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1. Patient Characteristics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26"/>
        <w:gridCol w:w="2367"/>
        <w:gridCol w:w="2343"/>
        <w:gridCol w:w="1132"/>
        <w:gridCol w:w="2343"/>
      </w:tblGrid>
      <w:tr>
        <w:trPr>
          <w:cantSplit/>
          <w:trHeight w:val="574" w:hRule="auto"/>
          <w:tblHeader/>
        </w:trPr>
        <w:tc>
          <w:tcPr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Treatment Outcome</w:t>
            </w:r>
          </w:p>
        </w:tc>
        <w:tc>
          <w:tcPr>
            <w:gridSpan w:val="2"/>
            <w:tcBorders>
              <w:bottom w:val="single" w:sz="4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612" w:hRule="auto"/>
          <w:tblHeader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Death, N = 2,582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Recover, N = 1,983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Overall, N = 4,565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1,227 / 2,455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953 / 1,903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2,180 / 4,358 (50%)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1,228 / 2,455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950 / 1,903 (50%)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2,178 / 4,358 (50%)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207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Cough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2,134 / 2,460 (87%)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1,625 / 1,904 (85%)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3,759 / 4,364 (86%)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Fever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2,002 / 2,460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1,543 / 1,904 (81%)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3,545 / 4,364 (81%)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Chills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491 / 2,460 (20%)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364 / 1,904 (19%)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855 / 4,364 (20%)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201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Age years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16 (13)</w:t>
            </w:r>
          </w:p>
        </w:tc>
      </w:tr>
      <w:tr>
        <w:trPr>
          <w:cantSplit/>
          <w:trHeight w:val="61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Weight Kg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(18)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52 (19)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 (19)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 / N (%); Mean (SD)</w:t>
            </w:r>
          </w:p>
        </w:tc>
      </w:tr>
      <w:tr>
        <w:trPr>
          <w:cantSplit/>
          <w:trHeight w:val="360" w:hRule="auto"/>
        </w:trPr>
        <w:tc>
          <w:tcPr>
            <w:gridSpan w:val="5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Pearson's Chi-squared test; Welch Two Sample t-test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2022-02-25T15:39:28Z</dcterms:modified>
  <cp:category/>
</cp:coreProperties>
</file>