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96F4" w14:textId="77777777" w:rsidR="00DA18C3" w:rsidRDefault="00FC6BD0">
      <w:pPr>
        <w:spacing w:after="80"/>
        <w:jc w:val="center"/>
      </w:pPr>
      <w:r>
        <w:rPr>
          <w:b/>
          <w:bCs/>
          <w:sz w:val="28"/>
          <w:szCs w:val="28"/>
        </w:rPr>
        <w:t>PRL Site Solutions Ltd</w:t>
      </w:r>
    </w:p>
    <w:p w14:paraId="099496F5" w14:textId="77777777" w:rsidR="00DA18C3" w:rsidRDefault="00FC6BD0">
      <w:pPr>
        <w:spacing w:after="80"/>
        <w:jc w:val="center"/>
      </w:pPr>
      <w:r>
        <w:rPr>
          <w:b/>
          <w:bCs/>
          <w:color w:val="1F3864"/>
          <w:sz w:val="34"/>
          <w:szCs w:val="34"/>
        </w:rPr>
        <w:t>Agency Workers Regulations 2010 — Process and Compliance</w:t>
      </w:r>
    </w:p>
    <w:p w14:paraId="099496F6" w14:textId="77777777" w:rsidR="00DA18C3" w:rsidRDefault="00FC6BD0">
      <w:pPr>
        <w:spacing w:after="320"/>
        <w:jc w:val="center"/>
      </w:pPr>
      <w:r>
        <w:rPr>
          <w:color w:val="666666"/>
          <w:sz w:val="18"/>
          <w:szCs w:val="18"/>
        </w:rPr>
        <w:t>Document Ref: PRL-AWR-</w:t>
      </w:r>
      <w:proofErr w:type="gramStart"/>
      <w:r>
        <w:rPr>
          <w:color w:val="666666"/>
          <w:sz w:val="18"/>
          <w:szCs w:val="18"/>
        </w:rPr>
        <w:t>001  |</w:t>
      </w:r>
      <w:proofErr w:type="gramEnd"/>
      <w:r>
        <w:rPr>
          <w:color w:val="666666"/>
          <w:sz w:val="18"/>
          <w:szCs w:val="18"/>
        </w:rPr>
        <w:t xml:space="preserve">  Version: </w:t>
      </w:r>
      <w:proofErr w:type="gramStart"/>
      <w:r>
        <w:rPr>
          <w:color w:val="666666"/>
          <w:sz w:val="18"/>
          <w:szCs w:val="18"/>
        </w:rPr>
        <w:t>1.0  |</w:t>
      </w:r>
      <w:proofErr w:type="gramEnd"/>
      <w:r>
        <w:rPr>
          <w:color w:val="666666"/>
          <w:sz w:val="18"/>
          <w:szCs w:val="18"/>
        </w:rPr>
        <w:t xml:space="preserve">  Issue Date: 19 May </w:t>
      </w:r>
      <w:proofErr w:type="gramStart"/>
      <w:r>
        <w:rPr>
          <w:color w:val="666666"/>
          <w:sz w:val="18"/>
          <w:szCs w:val="18"/>
        </w:rPr>
        <w:t>2026  |</w:t>
      </w:r>
      <w:proofErr w:type="gramEnd"/>
      <w:r>
        <w:rPr>
          <w:color w:val="666666"/>
          <w:sz w:val="18"/>
          <w:szCs w:val="18"/>
        </w:rPr>
        <w:t xml:space="preserve">  Review: May 2027</w:t>
      </w:r>
    </w:p>
    <w:p w14:paraId="099496F7" w14:textId="77777777" w:rsidR="00DA18C3" w:rsidRDefault="00FC6BD0">
      <w:pPr>
        <w:pStyle w:val="Heading1"/>
        <w:spacing w:before="320" w:after="160"/>
      </w:pPr>
      <w:r>
        <w:t>1. Purpose</w:t>
      </w:r>
    </w:p>
    <w:p w14:paraId="099496F8" w14:textId="77777777" w:rsidR="00DA18C3" w:rsidRDefault="00FC6BD0">
      <w:pPr>
        <w:spacing w:after="120"/>
      </w:pPr>
      <w:r>
        <w:rPr>
          <w:sz w:val="22"/>
          <w:szCs w:val="22"/>
        </w:rPr>
        <w:t xml:space="preserve">This document sets out PRL Site Solutions </w:t>
      </w:r>
      <w:proofErr w:type="spellStart"/>
      <w:r>
        <w:rPr>
          <w:sz w:val="22"/>
          <w:szCs w:val="22"/>
        </w:rPr>
        <w:t>Ltd's</w:t>
      </w:r>
      <w:proofErr w:type="spellEnd"/>
      <w:r>
        <w:rPr>
          <w:sz w:val="22"/>
          <w:szCs w:val="22"/>
        </w:rPr>
        <w:t xml:space="preserve"> process for complying with the Agency Workers Regulations 2010 (AWR). It covers the rights of agency workers, the 12-week qualifying period, responsibilities of the employment business and hirer, and the operational procedures in place to ensure compliance.</w:t>
      </w:r>
    </w:p>
    <w:p w14:paraId="099496F9" w14:textId="77777777" w:rsidR="00DA18C3" w:rsidRDefault="00DA18C3">
      <w:pPr>
        <w:spacing w:after="160"/>
      </w:pPr>
    </w:p>
    <w:p w14:paraId="099496FA" w14:textId="77777777" w:rsidR="00DA18C3" w:rsidRDefault="00FC6BD0">
      <w:pPr>
        <w:pStyle w:val="Heading1"/>
        <w:spacing w:before="320" w:after="160"/>
      </w:pPr>
      <w:r>
        <w:t>2. What the AWR Requires</w:t>
      </w:r>
    </w:p>
    <w:p w14:paraId="099496FB" w14:textId="77777777" w:rsidR="00DA18C3" w:rsidRDefault="00FC6BD0">
      <w:pPr>
        <w:spacing w:after="120"/>
      </w:pPr>
      <w:r>
        <w:rPr>
          <w:sz w:val="22"/>
          <w:szCs w:val="22"/>
        </w:rPr>
        <w:t>The Agency Workers Regulations 2010 give agency workers two categories of rights:</w:t>
      </w:r>
    </w:p>
    <w:p w14:paraId="099496FC" w14:textId="77777777" w:rsidR="00DA18C3" w:rsidRDefault="00DA18C3">
      <w:pPr>
        <w:spacing w:after="160"/>
      </w:pPr>
    </w:p>
    <w:p w14:paraId="099496FD" w14:textId="77777777" w:rsidR="00DA18C3" w:rsidRDefault="00FC6BD0">
      <w:pPr>
        <w:pStyle w:val="Heading2"/>
        <w:spacing w:before="240" w:after="120"/>
      </w:pPr>
      <w:r>
        <w:t>2.1 Day-One Rights (from the first day of any assignment)</w:t>
      </w:r>
    </w:p>
    <w:p w14:paraId="099496FE" w14:textId="77777777" w:rsidR="00DA18C3" w:rsidRDefault="00FC6BD0">
      <w:pPr>
        <w:spacing w:after="120"/>
      </w:pPr>
      <w:r>
        <w:rPr>
          <w:sz w:val="22"/>
          <w:szCs w:val="22"/>
        </w:rPr>
        <w:t>From the first day of their engagement, agency workers are entitled to:</w:t>
      </w:r>
    </w:p>
    <w:p w14:paraId="099496FF" w14:textId="77777777" w:rsidR="00DA18C3" w:rsidRDefault="00FC6BD0">
      <w:pPr>
        <w:pStyle w:val="ListParagraph"/>
        <w:numPr>
          <w:ilvl w:val="0"/>
          <w:numId w:val="1"/>
        </w:numPr>
        <w:spacing w:after="80"/>
      </w:pPr>
      <w:r>
        <w:rPr>
          <w:sz w:val="22"/>
          <w:szCs w:val="22"/>
        </w:rPr>
        <w:t>Access to the hirer's collective facilities — canteen, prayer room, car parking, crèche, transport services, waiting areas</w:t>
      </w:r>
    </w:p>
    <w:p w14:paraId="09949700" w14:textId="77777777" w:rsidR="00DA18C3" w:rsidRDefault="00FC6BD0">
      <w:pPr>
        <w:pStyle w:val="ListParagraph"/>
        <w:numPr>
          <w:ilvl w:val="0"/>
          <w:numId w:val="1"/>
        </w:numPr>
        <w:spacing w:after="80"/>
      </w:pPr>
      <w:r>
        <w:rPr>
          <w:sz w:val="22"/>
          <w:szCs w:val="22"/>
        </w:rPr>
        <w:t>Information about job vacancies at the hirer that they may be eligible to apply for (whether temporary or permanent)</w:t>
      </w:r>
    </w:p>
    <w:p w14:paraId="09949701" w14:textId="77777777" w:rsidR="00DA18C3" w:rsidRDefault="00FC6BD0">
      <w:pPr>
        <w:spacing w:after="120"/>
      </w:pPr>
      <w:r>
        <w:rPr>
          <w:sz w:val="22"/>
          <w:szCs w:val="22"/>
        </w:rPr>
        <w:t>These rights apply immediately regardless of how long the worker has been placed or how many hours they work.</w:t>
      </w:r>
    </w:p>
    <w:p w14:paraId="09949702" w14:textId="77777777" w:rsidR="00DA18C3" w:rsidRDefault="00DA18C3">
      <w:pPr>
        <w:spacing w:after="160"/>
      </w:pPr>
    </w:p>
    <w:p w14:paraId="09949703" w14:textId="77777777" w:rsidR="00DA18C3" w:rsidRDefault="00FC6BD0">
      <w:pPr>
        <w:pStyle w:val="Heading2"/>
        <w:spacing w:before="240" w:after="120"/>
      </w:pPr>
      <w:r>
        <w:t>2.2 Equal Treatment Rights (after 12 qualifying weeks)</w:t>
      </w:r>
    </w:p>
    <w:p w14:paraId="09949704" w14:textId="77777777" w:rsidR="00DA18C3" w:rsidRDefault="00FC6BD0">
      <w:pPr>
        <w:spacing w:after="120"/>
      </w:pPr>
      <w:r>
        <w:rPr>
          <w:sz w:val="22"/>
          <w:szCs w:val="22"/>
        </w:rPr>
        <w:t>After completing a 12-week qualifying period in the same role with the same hirer, agency workers are entitled to the same basic working and employment conditions as if they had been directly recruited by the hirer, including:</w:t>
      </w:r>
    </w:p>
    <w:p w14:paraId="09949705" w14:textId="77777777" w:rsidR="00DA18C3" w:rsidRDefault="00FC6BD0">
      <w:pPr>
        <w:pStyle w:val="ListParagraph"/>
        <w:numPr>
          <w:ilvl w:val="0"/>
          <w:numId w:val="1"/>
        </w:numPr>
        <w:spacing w:after="80"/>
      </w:pPr>
      <w:r>
        <w:rPr>
          <w:sz w:val="22"/>
          <w:szCs w:val="22"/>
        </w:rPr>
        <w:t>Basic pay — the same rate of pay as a comparable direct employee in the same role</w:t>
      </w:r>
    </w:p>
    <w:p w14:paraId="09949706" w14:textId="77777777" w:rsidR="00DA18C3" w:rsidRDefault="00FC6BD0">
      <w:pPr>
        <w:pStyle w:val="ListParagraph"/>
        <w:numPr>
          <w:ilvl w:val="0"/>
          <w:numId w:val="1"/>
        </w:numPr>
        <w:spacing w:after="80"/>
      </w:pPr>
      <w:r>
        <w:rPr>
          <w:sz w:val="22"/>
          <w:szCs w:val="22"/>
        </w:rPr>
        <w:t>Working time — same working hours, overtime, rest breaks, and rest periods</w:t>
      </w:r>
    </w:p>
    <w:p w14:paraId="09949707" w14:textId="77777777" w:rsidR="00DA18C3" w:rsidRDefault="00FC6BD0">
      <w:pPr>
        <w:pStyle w:val="ListParagraph"/>
        <w:numPr>
          <w:ilvl w:val="0"/>
          <w:numId w:val="1"/>
        </w:numPr>
        <w:spacing w:after="80"/>
      </w:pPr>
      <w:r>
        <w:rPr>
          <w:sz w:val="22"/>
          <w:szCs w:val="22"/>
        </w:rPr>
        <w:t>Annual leave — the same entitlement to paid annual leave (above the statutory minimum)</w:t>
      </w:r>
    </w:p>
    <w:p w14:paraId="09949708" w14:textId="77777777" w:rsidR="00DA18C3" w:rsidRDefault="00FC6BD0">
      <w:pPr>
        <w:pStyle w:val="ListParagraph"/>
        <w:numPr>
          <w:ilvl w:val="0"/>
          <w:numId w:val="1"/>
        </w:numPr>
        <w:spacing w:after="80"/>
      </w:pPr>
      <w:r>
        <w:rPr>
          <w:sz w:val="22"/>
          <w:szCs w:val="22"/>
        </w:rPr>
        <w:t>Night work limits</w:t>
      </w:r>
    </w:p>
    <w:p w14:paraId="09949709" w14:textId="77777777" w:rsidR="00DA18C3" w:rsidRDefault="00FC6BD0">
      <w:pPr>
        <w:pStyle w:val="ListParagraph"/>
        <w:numPr>
          <w:ilvl w:val="0"/>
          <w:numId w:val="1"/>
        </w:numPr>
        <w:spacing w:after="80"/>
      </w:pPr>
      <w:r>
        <w:rPr>
          <w:sz w:val="22"/>
          <w:szCs w:val="22"/>
        </w:rPr>
        <w:t>Pregnant workers — the right to paid time off for ante-natal appointments from day one</w:t>
      </w:r>
    </w:p>
    <w:p w14:paraId="0994970A" w14:textId="77777777" w:rsidR="00DA18C3" w:rsidRDefault="00FC6BD0">
      <w:pPr>
        <w:spacing w:after="120"/>
      </w:pPr>
      <w:r>
        <w:rPr>
          <w:sz w:val="22"/>
          <w:szCs w:val="22"/>
        </w:rPr>
        <w:t>Note: Equal treatment applies to basic pay only — it does not extend to occupational sick pay, pension contributions, redundancy pay, maternity/paternity pay, or benefits in kind unless specifically agreed.</w:t>
      </w:r>
    </w:p>
    <w:p w14:paraId="0994970B" w14:textId="77777777" w:rsidR="00DA18C3" w:rsidRDefault="00DA18C3">
      <w:pPr>
        <w:spacing w:after="160"/>
      </w:pPr>
    </w:p>
    <w:p w14:paraId="0994970C" w14:textId="77777777" w:rsidR="00DA18C3" w:rsidRDefault="00FC6BD0">
      <w:pPr>
        <w:pStyle w:val="Heading1"/>
        <w:spacing w:before="320" w:after="160"/>
      </w:pPr>
      <w:r>
        <w:t>3. The 12-Week Qualifying Period</w:t>
      </w:r>
    </w:p>
    <w:p w14:paraId="0994970D" w14:textId="77777777" w:rsidR="00DA18C3" w:rsidRDefault="00FC6BD0">
      <w:pPr>
        <w:pStyle w:val="Heading2"/>
        <w:spacing w:before="240" w:after="120"/>
      </w:pPr>
      <w:r>
        <w:lastRenderedPageBreak/>
        <w:t>3.1 What counts towards the 12 weeks</w:t>
      </w:r>
    </w:p>
    <w:p w14:paraId="0994970E" w14:textId="77777777" w:rsidR="00DA18C3" w:rsidRDefault="00FC6BD0">
      <w:pPr>
        <w:pStyle w:val="ListParagraph"/>
        <w:numPr>
          <w:ilvl w:val="0"/>
          <w:numId w:val="1"/>
        </w:numPr>
        <w:spacing w:after="80"/>
      </w:pPr>
      <w:r>
        <w:rPr>
          <w:sz w:val="22"/>
          <w:szCs w:val="22"/>
        </w:rPr>
        <w:t>Any week in which the worker works at least one day for the same hirer in the same role</w:t>
      </w:r>
    </w:p>
    <w:p w14:paraId="0994970F" w14:textId="77777777" w:rsidR="00DA18C3" w:rsidRDefault="00FC6BD0">
      <w:pPr>
        <w:pStyle w:val="ListParagraph"/>
        <w:numPr>
          <w:ilvl w:val="0"/>
          <w:numId w:val="1"/>
        </w:numPr>
        <w:spacing w:after="80"/>
      </w:pPr>
      <w:r>
        <w:rPr>
          <w:sz w:val="22"/>
          <w:szCs w:val="22"/>
        </w:rPr>
        <w:t>Weeks continue to accumulate even if hours vary week to week</w:t>
      </w:r>
    </w:p>
    <w:p w14:paraId="09949710" w14:textId="77777777" w:rsidR="00DA18C3" w:rsidRDefault="00FC6BD0">
      <w:pPr>
        <w:pStyle w:val="ListParagraph"/>
        <w:numPr>
          <w:ilvl w:val="0"/>
          <w:numId w:val="1"/>
        </w:numPr>
        <w:spacing w:after="80"/>
      </w:pPr>
      <w:r>
        <w:rPr>
          <w:sz w:val="22"/>
          <w:szCs w:val="22"/>
        </w:rPr>
        <w:t>Breaks of 6 weeks or less do not reset the clock</w:t>
      </w:r>
    </w:p>
    <w:p w14:paraId="09949711" w14:textId="77777777" w:rsidR="00DA18C3" w:rsidRDefault="00FC6BD0">
      <w:pPr>
        <w:pStyle w:val="ListParagraph"/>
        <w:numPr>
          <w:ilvl w:val="0"/>
          <w:numId w:val="1"/>
        </w:numPr>
        <w:spacing w:after="80"/>
      </w:pPr>
      <w:r>
        <w:rPr>
          <w:sz w:val="22"/>
          <w:szCs w:val="22"/>
        </w:rPr>
        <w:t>Breaks due to pregnancy, childbirth, parental leave, or jury service do not reset the clock</w:t>
      </w:r>
    </w:p>
    <w:p w14:paraId="09949712" w14:textId="77777777" w:rsidR="00DA18C3" w:rsidRDefault="00FC6BD0">
      <w:pPr>
        <w:pStyle w:val="ListParagraph"/>
        <w:numPr>
          <w:ilvl w:val="0"/>
          <w:numId w:val="1"/>
        </w:numPr>
        <w:spacing w:after="80"/>
      </w:pPr>
      <w:r>
        <w:rPr>
          <w:sz w:val="22"/>
          <w:szCs w:val="22"/>
        </w:rPr>
        <w:t>Breaks due to annual leave, sickness, or industrial action do not reset the clock</w:t>
      </w:r>
    </w:p>
    <w:p w14:paraId="09949713" w14:textId="77777777" w:rsidR="00DA18C3" w:rsidRDefault="00DA18C3">
      <w:pPr>
        <w:spacing w:after="160"/>
      </w:pPr>
    </w:p>
    <w:p w14:paraId="09949714" w14:textId="77777777" w:rsidR="00DA18C3" w:rsidRDefault="00FC6BD0">
      <w:pPr>
        <w:pStyle w:val="Heading2"/>
        <w:spacing w:before="240" w:after="120"/>
      </w:pPr>
      <w:r>
        <w:t>3.2 What resets the 12-week clock</w:t>
      </w:r>
    </w:p>
    <w:p w14:paraId="09949715" w14:textId="77777777" w:rsidR="00DA18C3" w:rsidRDefault="00FC6BD0">
      <w:pPr>
        <w:pStyle w:val="ListParagraph"/>
        <w:numPr>
          <w:ilvl w:val="0"/>
          <w:numId w:val="1"/>
        </w:numPr>
        <w:spacing w:after="80"/>
      </w:pPr>
      <w:r>
        <w:rPr>
          <w:sz w:val="22"/>
          <w:szCs w:val="22"/>
        </w:rPr>
        <w:t>A break of more than 6 weeks for any reason other than those protected above</w:t>
      </w:r>
    </w:p>
    <w:p w14:paraId="09949716" w14:textId="77777777" w:rsidR="00DA18C3" w:rsidRDefault="00FC6BD0">
      <w:pPr>
        <w:pStyle w:val="ListParagraph"/>
        <w:numPr>
          <w:ilvl w:val="0"/>
          <w:numId w:val="1"/>
        </w:numPr>
        <w:spacing w:after="80"/>
      </w:pPr>
      <w:r>
        <w:rPr>
          <w:sz w:val="22"/>
          <w:szCs w:val="22"/>
        </w:rPr>
        <w:t>The worker starting a new substantively different role with the same or a different hirer</w:t>
      </w:r>
    </w:p>
    <w:p w14:paraId="09949717" w14:textId="77777777" w:rsidR="00DA18C3" w:rsidRDefault="00FC6BD0">
      <w:pPr>
        <w:pStyle w:val="ListParagraph"/>
        <w:numPr>
          <w:ilvl w:val="0"/>
          <w:numId w:val="1"/>
        </w:numPr>
        <w:spacing w:after="80"/>
      </w:pPr>
      <w:r>
        <w:rPr>
          <w:sz w:val="22"/>
          <w:szCs w:val="22"/>
        </w:rPr>
        <w:t>The worker moving to a different hirer</w:t>
      </w:r>
    </w:p>
    <w:p w14:paraId="09949718" w14:textId="77777777" w:rsidR="00DA18C3" w:rsidRDefault="00DA18C3">
      <w:pPr>
        <w:spacing w:after="160"/>
      </w:pPr>
    </w:p>
    <w:p w14:paraId="09949719" w14:textId="77777777" w:rsidR="00DA18C3" w:rsidRDefault="00FC6BD0">
      <w:pPr>
        <w:pStyle w:val="Heading1"/>
        <w:spacing w:before="320" w:after="160"/>
      </w:pPr>
      <w:r>
        <w:t xml:space="preserve">4. PRL Site Solutions </w:t>
      </w:r>
      <w:proofErr w:type="spellStart"/>
      <w:r>
        <w:t>Ltd's</w:t>
      </w:r>
      <w:proofErr w:type="spellEnd"/>
      <w:r>
        <w:t xml:space="preserve"> AWR Process</w:t>
      </w:r>
    </w:p>
    <w:p w14:paraId="0994971A" w14:textId="77777777" w:rsidR="00DA18C3" w:rsidRDefault="00FC6BD0">
      <w:pPr>
        <w:pStyle w:val="Heading2"/>
        <w:spacing w:before="240" w:after="120"/>
      </w:pPr>
      <w:r>
        <w:t>Step 1 — Worker Onboarding</w:t>
      </w:r>
    </w:p>
    <w:p w14:paraId="0994971B" w14:textId="77777777" w:rsidR="00DA18C3" w:rsidRDefault="00FC6BD0">
      <w:pPr>
        <w:pStyle w:val="ListParagraph"/>
        <w:numPr>
          <w:ilvl w:val="0"/>
          <w:numId w:val="1"/>
        </w:numPr>
        <w:spacing w:after="80"/>
      </w:pPr>
      <w:r>
        <w:rPr>
          <w:sz w:val="22"/>
          <w:szCs w:val="22"/>
        </w:rPr>
        <w:t>All workers are issued a Key Information Document (KID) prior to commencing any assignment — this includes a summary of their AWR rights</w:t>
      </w:r>
    </w:p>
    <w:p w14:paraId="0994971C" w14:textId="77777777" w:rsidR="00DA18C3" w:rsidRDefault="00FC6BD0">
      <w:pPr>
        <w:pStyle w:val="ListParagraph"/>
        <w:numPr>
          <w:ilvl w:val="0"/>
          <w:numId w:val="1"/>
        </w:numPr>
        <w:spacing w:after="80"/>
      </w:pPr>
      <w:r>
        <w:rPr>
          <w:sz w:val="22"/>
          <w:szCs w:val="22"/>
        </w:rPr>
        <w:t>PRISM records the worker's start date, role, and hirer for each assignment</w:t>
      </w:r>
    </w:p>
    <w:p w14:paraId="0994971D" w14:textId="77777777" w:rsidR="00DA18C3" w:rsidRDefault="00FC6BD0">
      <w:pPr>
        <w:pStyle w:val="ListParagraph"/>
        <w:numPr>
          <w:ilvl w:val="0"/>
          <w:numId w:val="1"/>
        </w:numPr>
        <w:spacing w:after="80"/>
      </w:pPr>
      <w:r>
        <w:rPr>
          <w:sz w:val="22"/>
          <w:szCs w:val="22"/>
        </w:rPr>
        <w:t>The operations team is responsible for ensuring every placement is logged in PRISM before the worker starts</w:t>
      </w:r>
    </w:p>
    <w:p w14:paraId="0994971E" w14:textId="77777777" w:rsidR="00DA18C3" w:rsidRDefault="00DA18C3">
      <w:pPr>
        <w:spacing w:after="160"/>
      </w:pPr>
    </w:p>
    <w:p w14:paraId="0994971F" w14:textId="77777777" w:rsidR="00DA18C3" w:rsidRDefault="00FC6BD0">
      <w:pPr>
        <w:pStyle w:val="Heading2"/>
        <w:spacing w:before="240" w:after="120"/>
      </w:pPr>
      <w:r>
        <w:t>Step 2 — Tracking the Qualifying Period</w:t>
      </w:r>
    </w:p>
    <w:p w14:paraId="09949720" w14:textId="77777777" w:rsidR="00DA18C3" w:rsidRDefault="00FC6BD0">
      <w:pPr>
        <w:pStyle w:val="ListParagraph"/>
        <w:numPr>
          <w:ilvl w:val="0"/>
          <w:numId w:val="1"/>
        </w:numPr>
        <w:spacing w:after="80"/>
      </w:pPr>
      <w:r>
        <w:rPr>
          <w:sz w:val="22"/>
          <w:szCs w:val="22"/>
        </w:rPr>
        <w:t>PRISM tracks each worker's cumulative weeks per hirer and role</w:t>
      </w:r>
    </w:p>
    <w:p w14:paraId="09949721" w14:textId="77777777" w:rsidR="00DA18C3" w:rsidRDefault="00FC6BD0">
      <w:pPr>
        <w:pStyle w:val="ListParagraph"/>
        <w:numPr>
          <w:ilvl w:val="0"/>
          <w:numId w:val="1"/>
        </w:numPr>
        <w:spacing w:after="80"/>
      </w:pPr>
      <w:r>
        <w:rPr>
          <w:sz w:val="22"/>
          <w:szCs w:val="22"/>
        </w:rPr>
        <w:t>At week 10, an automatic alert is generated to the PRL operations lead: 'Worker [name] approaching AWR 12-week qualifying period with [hirer]'</w:t>
      </w:r>
    </w:p>
    <w:p w14:paraId="09949722" w14:textId="77777777" w:rsidR="00DA18C3" w:rsidRDefault="00FC6BD0">
      <w:pPr>
        <w:pStyle w:val="ListParagraph"/>
        <w:numPr>
          <w:ilvl w:val="0"/>
          <w:numId w:val="1"/>
        </w:numPr>
        <w:spacing w:after="80"/>
      </w:pPr>
      <w:r>
        <w:rPr>
          <w:sz w:val="22"/>
          <w:szCs w:val="22"/>
        </w:rPr>
        <w:t>The operations lead contacts the hirer to confirm the worker's start date, role, and the basic pay/conditions of a comparable permanent employee</w:t>
      </w:r>
    </w:p>
    <w:p w14:paraId="09949723" w14:textId="77777777" w:rsidR="00DA18C3" w:rsidRDefault="00FC6BD0">
      <w:pPr>
        <w:pStyle w:val="ListParagraph"/>
        <w:numPr>
          <w:ilvl w:val="0"/>
          <w:numId w:val="1"/>
        </w:numPr>
        <w:spacing w:after="80"/>
      </w:pPr>
      <w:r>
        <w:rPr>
          <w:sz w:val="22"/>
          <w:szCs w:val="22"/>
        </w:rPr>
        <w:t>If the hirer cannot confirm comparable conditions, PRL's director reviews and determines the appropriate equal treatment package</w:t>
      </w:r>
    </w:p>
    <w:p w14:paraId="09949724" w14:textId="77777777" w:rsidR="00DA18C3" w:rsidRDefault="00DA18C3">
      <w:pPr>
        <w:spacing w:after="160"/>
      </w:pPr>
    </w:p>
    <w:p w14:paraId="09949725" w14:textId="77777777" w:rsidR="00DA18C3" w:rsidRDefault="00FC6BD0">
      <w:pPr>
        <w:pStyle w:val="Heading2"/>
        <w:spacing w:before="240" w:after="120"/>
      </w:pPr>
      <w:r>
        <w:t>Step 3 — Week 12 — Applying Equal Treatment</w:t>
      </w:r>
    </w:p>
    <w:p w14:paraId="09949726" w14:textId="77777777" w:rsidR="00DA18C3" w:rsidRDefault="00FC6BD0">
      <w:pPr>
        <w:pStyle w:val="ListParagraph"/>
        <w:numPr>
          <w:ilvl w:val="0"/>
          <w:numId w:val="1"/>
        </w:numPr>
        <w:spacing w:after="80"/>
      </w:pPr>
      <w:r>
        <w:rPr>
          <w:sz w:val="22"/>
          <w:szCs w:val="22"/>
        </w:rPr>
        <w:t>From the first day of week 13, the worker's pay and conditions are reviewed against the hirer's comparable permanent employee terms</w:t>
      </w:r>
    </w:p>
    <w:p w14:paraId="09949727" w14:textId="77777777" w:rsidR="00DA18C3" w:rsidRDefault="00FC6BD0">
      <w:pPr>
        <w:pStyle w:val="ListParagraph"/>
        <w:numPr>
          <w:ilvl w:val="0"/>
          <w:numId w:val="1"/>
        </w:numPr>
        <w:spacing w:after="80"/>
      </w:pPr>
      <w:r>
        <w:rPr>
          <w:sz w:val="22"/>
          <w:szCs w:val="22"/>
        </w:rPr>
        <w:t>If the current rate is below the comparable rate: PRL increases the pay rate from the qualifying date</w:t>
      </w:r>
    </w:p>
    <w:p w14:paraId="09949728" w14:textId="77777777" w:rsidR="00DA18C3" w:rsidRDefault="00FC6BD0">
      <w:pPr>
        <w:pStyle w:val="ListParagraph"/>
        <w:numPr>
          <w:ilvl w:val="0"/>
          <w:numId w:val="1"/>
        </w:numPr>
        <w:spacing w:after="80"/>
      </w:pPr>
      <w:r>
        <w:rPr>
          <w:sz w:val="22"/>
          <w:szCs w:val="22"/>
        </w:rPr>
        <w:t>If the current rate already meets or exceeds the comparable rate: no change required; this is documented in PRISM</w:t>
      </w:r>
    </w:p>
    <w:p w14:paraId="09949729" w14:textId="77777777" w:rsidR="00DA18C3" w:rsidRDefault="00FC6BD0">
      <w:pPr>
        <w:pStyle w:val="ListParagraph"/>
        <w:numPr>
          <w:ilvl w:val="0"/>
          <w:numId w:val="1"/>
        </w:numPr>
        <w:spacing w:after="80"/>
      </w:pPr>
      <w:r>
        <w:rPr>
          <w:sz w:val="22"/>
          <w:szCs w:val="22"/>
        </w:rPr>
        <w:t>The worker is notified in writing of the outcome of the AWR assessment</w:t>
      </w:r>
    </w:p>
    <w:p w14:paraId="0994972A" w14:textId="77777777" w:rsidR="00DA18C3" w:rsidRDefault="00FC6BD0">
      <w:pPr>
        <w:pStyle w:val="ListParagraph"/>
        <w:numPr>
          <w:ilvl w:val="0"/>
          <w:numId w:val="1"/>
        </w:numPr>
        <w:spacing w:after="80"/>
      </w:pPr>
      <w:r>
        <w:rPr>
          <w:sz w:val="22"/>
          <w:szCs w:val="22"/>
        </w:rPr>
        <w:t>The hirer is notified of any pay rate adjustment and the reason</w:t>
      </w:r>
    </w:p>
    <w:p w14:paraId="0994972B" w14:textId="77777777" w:rsidR="00DA18C3" w:rsidRDefault="00DA18C3">
      <w:pPr>
        <w:spacing w:after="160"/>
      </w:pPr>
    </w:p>
    <w:p w14:paraId="0994972C" w14:textId="77777777" w:rsidR="00DA18C3" w:rsidRDefault="00FC6BD0">
      <w:pPr>
        <w:pStyle w:val="Heading2"/>
        <w:spacing w:before="240" w:after="120"/>
      </w:pPr>
      <w:r>
        <w:t>Step 4 — Ongoing Monitoring</w:t>
      </w:r>
    </w:p>
    <w:p w14:paraId="0994972D" w14:textId="77777777" w:rsidR="00DA18C3" w:rsidRDefault="00FC6BD0">
      <w:pPr>
        <w:pStyle w:val="ListParagraph"/>
        <w:numPr>
          <w:ilvl w:val="0"/>
          <w:numId w:val="1"/>
        </w:numPr>
        <w:spacing w:after="80"/>
      </w:pPr>
      <w:r>
        <w:rPr>
          <w:sz w:val="22"/>
          <w:szCs w:val="22"/>
        </w:rPr>
        <w:t>PRISM continues to track working conditions for the duration of the assignment post-qualifying period</w:t>
      </w:r>
    </w:p>
    <w:p w14:paraId="0994972E" w14:textId="77777777" w:rsidR="00DA18C3" w:rsidRDefault="00FC6BD0">
      <w:pPr>
        <w:pStyle w:val="ListParagraph"/>
        <w:numPr>
          <w:ilvl w:val="0"/>
          <w:numId w:val="1"/>
        </w:numPr>
        <w:spacing w:after="80"/>
      </w:pPr>
      <w:r>
        <w:rPr>
          <w:sz w:val="22"/>
          <w:szCs w:val="22"/>
        </w:rPr>
        <w:t>If the hirer changes the terms of comparable direct employees, PRL must be notified by the hirer so equal treatment can be maintained</w:t>
      </w:r>
    </w:p>
    <w:p w14:paraId="0994972F" w14:textId="77777777" w:rsidR="00DA18C3" w:rsidRDefault="00FC6BD0">
      <w:pPr>
        <w:pStyle w:val="ListParagraph"/>
        <w:numPr>
          <w:ilvl w:val="0"/>
          <w:numId w:val="1"/>
        </w:numPr>
        <w:spacing w:after="80"/>
      </w:pPr>
      <w:r>
        <w:rPr>
          <w:sz w:val="22"/>
          <w:szCs w:val="22"/>
        </w:rPr>
        <w:t>Any change in role is assessed by the operations lead — if the new role is substantively different, the qualifying period resets</w:t>
      </w:r>
    </w:p>
    <w:p w14:paraId="09949730" w14:textId="77777777" w:rsidR="00DA18C3" w:rsidRDefault="00DA18C3">
      <w:pPr>
        <w:spacing w:after="160"/>
      </w:pPr>
    </w:p>
    <w:p w14:paraId="09949731" w14:textId="77777777" w:rsidR="00DA18C3" w:rsidRDefault="00FC6BD0">
      <w:pPr>
        <w:pStyle w:val="Heading1"/>
        <w:spacing w:before="320" w:after="160"/>
      </w:pPr>
      <w:r>
        <w:t>5. Hirer Obligations</w:t>
      </w:r>
    </w:p>
    <w:p w14:paraId="09949732" w14:textId="77777777" w:rsidR="00DA18C3" w:rsidRDefault="00FC6BD0">
      <w:pPr>
        <w:spacing w:after="120"/>
      </w:pPr>
      <w:r>
        <w:rPr>
          <w:sz w:val="22"/>
          <w:szCs w:val="22"/>
        </w:rPr>
        <w:t>PRL Site Solutions Ltd requires all client hirers to:</w:t>
      </w:r>
    </w:p>
    <w:p w14:paraId="09949733" w14:textId="77777777" w:rsidR="00DA18C3" w:rsidRDefault="00FC6BD0">
      <w:pPr>
        <w:pStyle w:val="ListParagraph"/>
        <w:numPr>
          <w:ilvl w:val="0"/>
          <w:numId w:val="1"/>
        </w:numPr>
        <w:spacing w:after="80"/>
      </w:pPr>
      <w:r>
        <w:rPr>
          <w:sz w:val="22"/>
          <w:szCs w:val="22"/>
        </w:rPr>
        <w:t>Provide accurate information about the basic pay and working conditions of comparable permanent employees when requested</w:t>
      </w:r>
    </w:p>
    <w:p w14:paraId="09949734" w14:textId="77777777" w:rsidR="00DA18C3" w:rsidRDefault="00FC6BD0">
      <w:pPr>
        <w:pStyle w:val="ListParagraph"/>
        <w:numPr>
          <w:ilvl w:val="0"/>
          <w:numId w:val="1"/>
        </w:numPr>
        <w:spacing w:after="80"/>
      </w:pPr>
      <w:r>
        <w:rPr>
          <w:sz w:val="22"/>
          <w:szCs w:val="22"/>
        </w:rPr>
        <w:t>Notify PRL immediately if the role or working conditions of the agency worker change materially</w:t>
      </w:r>
    </w:p>
    <w:p w14:paraId="09949735" w14:textId="77777777" w:rsidR="00DA18C3" w:rsidRDefault="00FC6BD0">
      <w:pPr>
        <w:pStyle w:val="ListParagraph"/>
        <w:numPr>
          <w:ilvl w:val="0"/>
          <w:numId w:val="1"/>
        </w:numPr>
        <w:spacing w:after="80"/>
      </w:pPr>
      <w:r>
        <w:rPr>
          <w:sz w:val="22"/>
          <w:szCs w:val="22"/>
        </w:rPr>
        <w:t>Ensure the worker has access to collective facilities from day one</w:t>
      </w:r>
    </w:p>
    <w:p w14:paraId="09949736" w14:textId="77777777" w:rsidR="00DA18C3" w:rsidRDefault="00FC6BD0">
      <w:pPr>
        <w:pStyle w:val="ListParagraph"/>
        <w:numPr>
          <w:ilvl w:val="0"/>
          <w:numId w:val="1"/>
        </w:numPr>
        <w:spacing w:after="80"/>
      </w:pPr>
      <w:r>
        <w:rPr>
          <w:sz w:val="22"/>
          <w:szCs w:val="22"/>
        </w:rPr>
        <w:t>Notify PRL if they become aware of any AWR-related concern raised by an agency worker</w:t>
      </w:r>
    </w:p>
    <w:p w14:paraId="09949737" w14:textId="77777777" w:rsidR="00DA18C3" w:rsidRDefault="00FC6BD0">
      <w:pPr>
        <w:spacing w:after="120"/>
      </w:pPr>
      <w:r>
        <w:rPr>
          <w:sz w:val="22"/>
          <w:szCs w:val="22"/>
        </w:rPr>
        <w:t>These obligations are included in PRL's standard client terms of business.</w:t>
      </w:r>
    </w:p>
    <w:p w14:paraId="09949738" w14:textId="77777777" w:rsidR="00DA18C3" w:rsidRDefault="00DA18C3">
      <w:pPr>
        <w:spacing w:after="160"/>
      </w:pPr>
    </w:p>
    <w:p w14:paraId="09949739" w14:textId="77777777" w:rsidR="00DA18C3" w:rsidRDefault="00FC6BD0">
      <w:pPr>
        <w:pStyle w:val="Heading1"/>
        <w:spacing w:before="320" w:after="160"/>
      </w:pPr>
      <w:r>
        <w:t>6. Worker Obligations</w:t>
      </w:r>
    </w:p>
    <w:p w14:paraId="0994973A" w14:textId="77777777" w:rsidR="00DA18C3" w:rsidRDefault="00FC6BD0">
      <w:pPr>
        <w:pStyle w:val="ListParagraph"/>
        <w:numPr>
          <w:ilvl w:val="0"/>
          <w:numId w:val="1"/>
        </w:numPr>
        <w:spacing w:after="80"/>
      </w:pPr>
      <w:r>
        <w:rPr>
          <w:sz w:val="22"/>
          <w:szCs w:val="22"/>
        </w:rPr>
        <w:t>Workers must accurately record all hours worked via PRISM to enable accurate tracking of the qualifying period</w:t>
      </w:r>
    </w:p>
    <w:p w14:paraId="0994973B" w14:textId="77777777" w:rsidR="00DA18C3" w:rsidRDefault="00FC6BD0">
      <w:pPr>
        <w:pStyle w:val="ListParagraph"/>
        <w:numPr>
          <w:ilvl w:val="0"/>
          <w:numId w:val="1"/>
        </w:numPr>
        <w:spacing w:after="80"/>
      </w:pPr>
      <w:r>
        <w:rPr>
          <w:sz w:val="22"/>
          <w:szCs w:val="22"/>
        </w:rPr>
        <w:t>Workers must notify PRL if their role changes or if they have a break in their assignment</w:t>
      </w:r>
    </w:p>
    <w:p w14:paraId="0994973C" w14:textId="77777777" w:rsidR="00DA18C3" w:rsidRDefault="00FC6BD0">
      <w:pPr>
        <w:pStyle w:val="ListParagraph"/>
        <w:numPr>
          <w:ilvl w:val="0"/>
          <w:numId w:val="1"/>
        </w:numPr>
        <w:spacing w:after="80"/>
      </w:pPr>
      <w:r>
        <w:rPr>
          <w:sz w:val="22"/>
          <w:szCs w:val="22"/>
        </w:rPr>
        <w:t>Workers who believe their AWR rights have not been met should raise this with PRL immediately</w:t>
      </w:r>
    </w:p>
    <w:p w14:paraId="0994973D" w14:textId="77777777" w:rsidR="00DA18C3" w:rsidRDefault="00DA18C3">
      <w:pPr>
        <w:spacing w:after="160"/>
      </w:pPr>
    </w:p>
    <w:p w14:paraId="0994973E" w14:textId="77777777" w:rsidR="00DA18C3" w:rsidRDefault="00FC6BD0">
      <w:pPr>
        <w:pStyle w:val="Heading1"/>
        <w:spacing w:before="320" w:after="160"/>
      </w:pPr>
      <w:r>
        <w:t>7. Anti-Avoidance</w:t>
      </w:r>
    </w:p>
    <w:p w14:paraId="0994973F" w14:textId="77777777" w:rsidR="00DA18C3" w:rsidRDefault="00FC6BD0">
      <w:pPr>
        <w:spacing w:after="120"/>
      </w:pPr>
      <w:r>
        <w:rPr>
          <w:sz w:val="22"/>
          <w:szCs w:val="22"/>
        </w:rPr>
        <w:t>PRL Site Solutions Ltd will not:</w:t>
      </w:r>
    </w:p>
    <w:p w14:paraId="09949740" w14:textId="77777777" w:rsidR="00DA18C3" w:rsidRDefault="00FC6BD0">
      <w:pPr>
        <w:pStyle w:val="ListParagraph"/>
        <w:numPr>
          <w:ilvl w:val="0"/>
          <w:numId w:val="1"/>
        </w:numPr>
        <w:spacing w:after="80"/>
      </w:pPr>
      <w:r>
        <w:rPr>
          <w:sz w:val="22"/>
          <w:szCs w:val="22"/>
        </w:rPr>
        <w:t>Deliberately rotate workers between assignments or roles to prevent them from reaching the 12-week qualifying period</w:t>
      </w:r>
    </w:p>
    <w:p w14:paraId="09949741" w14:textId="77777777" w:rsidR="00DA18C3" w:rsidRDefault="00FC6BD0">
      <w:pPr>
        <w:pStyle w:val="ListParagraph"/>
        <w:numPr>
          <w:ilvl w:val="0"/>
          <w:numId w:val="1"/>
        </w:numPr>
        <w:spacing w:after="80"/>
      </w:pPr>
      <w:r>
        <w:rPr>
          <w:sz w:val="22"/>
          <w:szCs w:val="22"/>
        </w:rPr>
        <w:t>Change job titles or role descriptions artificially to reset the qualifying period</w:t>
      </w:r>
    </w:p>
    <w:p w14:paraId="09949742" w14:textId="77777777" w:rsidR="00DA18C3" w:rsidRDefault="00FC6BD0">
      <w:pPr>
        <w:pStyle w:val="ListParagraph"/>
        <w:numPr>
          <w:ilvl w:val="0"/>
          <w:numId w:val="1"/>
        </w:numPr>
        <w:spacing w:after="80"/>
      </w:pPr>
      <w:r>
        <w:rPr>
          <w:sz w:val="22"/>
          <w:szCs w:val="22"/>
        </w:rPr>
        <w:t>Discourage workers from asserting their AWR rights</w:t>
      </w:r>
    </w:p>
    <w:p w14:paraId="09949743" w14:textId="77777777" w:rsidR="00DA18C3" w:rsidRDefault="00FC6BD0">
      <w:pPr>
        <w:spacing w:after="120"/>
      </w:pPr>
      <w:r>
        <w:rPr>
          <w:sz w:val="22"/>
          <w:szCs w:val="22"/>
        </w:rPr>
        <w:t>Any instruction from a hirer to structure placements in a way that avoids AWR entitlements will be refused. PRL will not participate in arrangements that circumvent the regulations.</w:t>
      </w:r>
    </w:p>
    <w:p w14:paraId="09949744" w14:textId="77777777" w:rsidR="00DA18C3" w:rsidRDefault="00DA18C3">
      <w:pPr>
        <w:spacing w:after="160"/>
      </w:pPr>
    </w:p>
    <w:p w14:paraId="09949745" w14:textId="77777777" w:rsidR="00DA18C3" w:rsidRDefault="00FC6BD0">
      <w:pPr>
        <w:pStyle w:val="Heading1"/>
        <w:spacing w:before="320" w:after="160"/>
      </w:pPr>
      <w:r>
        <w:t>8. Complaints and Disputes</w:t>
      </w:r>
    </w:p>
    <w:p w14:paraId="09949746" w14:textId="77777777" w:rsidR="00DA18C3" w:rsidRDefault="00FC6BD0">
      <w:pPr>
        <w:spacing w:after="120"/>
      </w:pPr>
      <w:r>
        <w:rPr>
          <w:sz w:val="22"/>
          <w:szCs w:val="22"/>
        </w:rPr>
        <w:lastRenderedPageBreak/>
        <w:t>Any worker who believes their AWR rights have not been met should:</w:t>
      </w:r>
    </w:p>
    <w:p w14:paraId="09949747" w14:textId="77777777" w:rsidR="00DA18C3" w:rsidRDefault="00FC6BD0">
      <w:pPr>
        <w:pStyle w:val="ListParagraph"/>
        <w:numPr>
          <w:ilvl w:val="0"/>
          <w:numId w:val="1"/>
        </w:numPr>
        <w:spacing w:after="80"/>
      </w:pPr>
      <w:r>
        <w:rPr>
          <w:sz w:val="22"/>
          <w:szCs w:val="22"/>
        </w:rPr>
        <w:t>Raise the matter with their PRL contact in the first instance</w:t>
      </w:r>
    </w:p>
    <w:p w14:paraId="09949748" w14:textId="77777777" w:rsidR="00DA18C3" w:rsidRDefault="00FC6BD0">
      <w:pPr>
        <w:pStyle w:val="ListParagraph"/>
        <w:numPr>
          <w:ilvl w:val="0"/>
          <w:numId w:val="1"/>
        </w:numPr>
        <w:spacing w:after="80"/>
      </w:pPr>
      <w:r>
        <w:rPr>
          <w:sz w:val="22"/>
          <w:szCs w:val="22"/>
        </w:rPr>
        <w:t>If unresolved within 5 working days: escalate to the Director at info@prlsitesolutions.co.uk</w:t>
      </w:r>
    </w:p>
    <w:p w14:paraId="09949749" w14:textId="77777777" w:rsidR="00DA18C3" w:rsidRDefault="00FC6BD0">
      <w:pPr>
        <w:pStyle w:val="ListParagraph"/>
        <w:numPr>
          <w:ilvl w:val="0"/>
          <w:numId w:val="1"/>
        </w:numPr>
        <w:spacing w:after="80"/>
      </w:pPr>
      <w:r>
        <w:rPr>
          <w:sz w:val="22"/>
          <w:szCs w:val="22"/>
        </w:rPr>
        <w:t>Workers may also contact ACAS (0300 123 1100) or the Employment Tribunal Service</w:t>
      </w:r>
    </w:p>
    <w:p w14:paraId="0994974A" w14:textId="77777777" w:rsidR="00DA18C3" w:rsidRDefault="00FC6BD0">
      <w:pPr>
        <w:spacing w:after="120"/>
      </w:pPr>
      <w:r>
        <w:rPr>
          <w:sz w:val="22"/>
          <w:szCs w:val="22"/>
        </w:rPr>
        <w:t>PRL Site Solutions Ltd will not subject any worker to a detriment for asserting their rights under the AWR.</w:t>
      </w:r>
    </w:p>
    <w:p w14:paraId="0994974B" w14:textId="77777777" w:rsidR="00DA18C3" w:rsidRDefault="00DA18C3">
      <w:pPr>
        <w:spacing w:after="160"/>
      </w:pPr>
    </w:p>
    <w:p w14:paraId="0994974C" w14:textId="77777777" w:rsidR="00DA18C3" w:rsidRDefault="00FC6BD0">
      <w:pPr>
        <w:pStyle w:val="Heading1"/>
        <w:spacing w:before="320" w:after="160"/>
      </w:pPr>
      <w:r>
        <w:t>9. Record Keeping</w:t>
      </w:r>
    </w:p>
    <w:p w14:paraId="0994974D" w14:textId="77777777" w:rsidR="00DA18C3" w:rsidRDefault="00FC6BD0">
      <w:pPr>
        <w:spacing w:after="120"/>
      </w:pPr>
      <w:r>
        <w:rPr>
          <w:sz w:val="22"/>
          <w:szCs w:val="22"/>
        </w:rPr>
        <w:t>The following records are maintained in PRISM for each worker placement: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6"/>
        <w:gridCol w:w="5860"/>
      </w:tblGrid>
      <w:tr w:rsidR="00DA18C3" w14:paraId="09949750" w14:textId="77777777">
        <w:tc>
          <w:tcPr>
            <w:tcW w:w="1750" w:type="pct"/>
            <w:shd w:val="clear" w:color="auto" w:fill="E8EEF7"/>
          </w:tcPr>
          <w:p w14:paraId="0994974E" w14:textId="77777777" w:rsidR="00DA18C3" w:rsidRDefault="00FC6BD0">
            <w:r>
              <w:rPr>
                <w:b/>
                <w:bCs/>
              </w:rPr>
              <w:t>Assignment start date</w:t>
            </w:r>
          </w:p>
        </w:tc>
        <w:tc>
          <w:tcPr>
            <w:tcW w:w="3250" w:type="pct"/>
          </w:tcPr>
          <w:p w14:paraId="0994974F" w14:textId="77777777" w:rsidR="00DA18C3" w:rsidRDefault="00FC6BD0">
            <w:r>
              <w:t>Recorded at point of placement</w:t>
            </w:r>
          </w:p>
        </w:tc>
      </w:tr>
      <w:tr w:rsidR="00DA18C3" w14:paraId="09949753" w14:textId="77777777">
        <w:tc>
          <w:tcPr>
            <w:tcW w:w="1750" w:type="pct"/>
            <w:shd w:val="clear" w:color="auto" w:fill="E8EEF7"/>
          </w:tcPr>
          <w:p w14:paraId="09949751" w14:textId="77777777" w:rsidR="00DA18C3" w:rsidRDefault="00FC6BD0">
            <w:r>
              <w:rPr>
                <w:b/>
                <w:bCs/>
              </w:rPr>
              <w:t>Role / job title</w:t>
            </w:r>
          </w:p>
        </w:tc>
        <w:tc>
          <w:tcPr>
            <w:tcW w:w="3250" w:type="pct"/>
          </w:tcPr>
          <w:p w14:paraId="09949752" w14:textId="77777777" w:rsidR="00DA18C3" w:rsidRDefault="00FC6BD0">
            <w:r>
              <w:t>Recorded at point of placement; updated if role changes</w:t>
            </w:r>
          </w:p>
        </w:tc>
      </w:tr>
      <w:tr w:rsidR="00DA18C3" w14:paraId="09949756" w14:textId="77777777">
        <w:tc>
          <w:tcPr>
            <w:tcW w:w="1750" w:type="pct"/>
            <w:shd w:val="clear" w:color="auto" w:fill="E8EEF7"/>
          </w:tcPr>
          <w:p w14:paraId="09949754" w14:textId="77777777" w:rsidR="00DA18C3" w:rsidRDefault="00FC6BD0">
            <w:r>
              <w:rPr>
                <w:b/>
                <w:bCs/>
              </w:rPr>
              <w:t>Hirer details</w:t>
            </w:r>
          </w:p>
        </w:tc>
        <w:tc>
          <w:tcPr>
            <w:tcW w:w="3250" w:type="pct"/>
          </w:tcPr>
          <w:p w14:paraId="09949755" w14:textId="77777777" w:rsidR="00DA18C3" w:rsidRDefault="00FC6BD0">
            <w:r>
              <w:t>Client name, site, and contact</w:t>
            </w:r>
          </w:p>
        </w:tc>
      </w:tr>
      <w:tr w:rsidR="00DA18C3" w14:paraId="09949759" w14:textId="77777777">
        <w:tc>
          <w:tcPr>
            <w:tcW w:w="1750" w:type="pct"/>
            <w:shd w:val="clear" w:color="auto" w:fill="E8EEF7"/>
          </w:tcPr>
          <w:p w14:paraId="09949757" w14:textId="77777777" w:rsidR="00DA18C3" w:rsidRDefault="00FC6BD0">
            <w:r>
              <w:rPr>
                <w:b/>
                <w:bCs/>
              </w:rPr>
              <w:t>Qualifying week count</w:t>
            </w:r>
          </w:p>
        </w:tc>
        <w:tc>
          <w:tcPr>
            <w:tcW w:w="3250" w:type="pct"/>
          </w:tcPr>
          <w:p w14:paraId="09949758" w14:textId="77777777" w:rsidR="00DA18C3" w:rsidRDefault="00FC6BD0">
            <w:r>
              <w:t>Automatically tracked by PRISM</w:t>
            </w:r>
          </w:p>
        </w:tc>
      </w:tr>
      <w:tr w:rsidR="00DA18C3" w14:paraId="0994975C" w14:textId="77777777">
        <w:tc>
          <w:tcPr>
            <w:tcW w:w="1750" w:type="pct"/>
            <w:shd w:val="clear" w:color="auto" w:fill="E8EEF7"/>
          </w:tcPr>
          <w:p w14:paraId="0994975A" w14:textId="77777777" w:rsidR="00DA18C3" w:rsidRDefault="00FC6BD0">
            <w:r>
              <w:rPr>
                <w:b/>
                <w:bCs/>
              </w:rPr>
              <w:t>AWR assessment outcome</w:t>
            </w:r>
          </w:p>
        </w:tc>
        <w:tc>
          <w:tcPr>
            <w:tcW w:w="3250" w:type="pct"/>
          </w:tcPr>
          <w:p w14:paraId="0994975B" w14:textId="77777777" w:rsidR="00DA18C3" w:rsidRDefault="00FC6BD0">
            <w:r>
              <w:t>Documented at week 12; stored against worker record</w:t>
            </w:r>
          </w:p>
        </w:tc>
      </w:tr>
      <w:tr w:rsidR="00DA18C3" w14:paraId="0994975F" w14:textId="77777777">
        <w:tc>
          <w:tcPr>
            <w:tcW w:w="1750" w:type="pct"/>
            <w:shd w:val="clear" w:color="auto" w:fill="E8EEF7"/>
          </w:tcPr>
          <w:p w14:paraId="0994975D" w14:textId="77777777" w:rsidR="00DA18C3" w:rsidRDefault="00FC6BD0">
            <w:r>
              <w:rPr>
                <w:b/>
                <w:bCs/>
              </w:rPr>
              <w:t>Pay rate adjustments</w:t>
            </w:r>
          </w:p>
        </w:tc>
        <w:tc>
          <w:tcPr>
            <w:tcW w:w="3250" w:type="pct"/>
          </w:tcPr>
          <w:p w14:paraId="0994975E" w14:textId="77777777" w:rsidR="00DA18C3" w:rsidRDefault="00FC6BD0">
            <w:r>
              <w:t>Recorded with effective date and reason</w:t>
            </w:r>
          </w:p>
        </w:tc>
      </w:tr>
      <w:tr w:rsidR="00DA18C3" w14:paraId="09949762" w14:textId="77777777">
        <w:tc>
          <w:tcPr>
            <w:tcW w:w="1750" w:type="pct"/>
            <w:shd w:val="clear" w:color="auto" w:fill="E8EEF7"/>
          </w:tcPr>
          <w:p w14:paraId="09949760" w14:textId="77777777" w:rsidR="00DA18C3" w:rsidRDefault="00FC6BD0">
            <w:r>
              <w:rPr>
                <w:b/>
                <w:bCs/>
              </w:rPr>
              <w:t>Hirer comparable conditions</w:t>
            </w:r>
          </w:p>
        </w:tc>
        <w:tc>
          <w:tcPr>
            <w:tcW w:w="3250" w:type="pct"/>
          </w:tcPr>
          <w:p w14:paraId="09949761" w14:textId="77777777" w:rsidR="00DA18C3" w:rsidRDefault="00FC6BD0">
            <w:r>
              <w:t>Written confirmation from hirer retained</w:t>
            </w:r>
          </w:p>
        </w:tc>
      </w:tr>
    </w:tbl>
    <w:p w14:paraId="09949763" w14:textId="77777777" w:rsidR="00DA18C3" w:rsidRDefault="00FC6BD0">
      <w:pPr>
        <w:spacing w:after="120"/>
      </w:pPr>
      <w:r>
        <w:rPr>
          <w:sz w:val="22"/>
          <w:szCs w:val="22"/>
        </w:rPr>
        <w:t>All AWR records are retained for a minimum of 2 years after the end of the relevant assignment.</w:t>
      </w:r>
    </w:p>
    <w:p w14:paraId="09949764" w14:textId="77777777" w:rsidR="00DA18C3" w:rsidRDefault="00DA18C3">
      <w:pPr>
        <w:spacing w:after="160"/>
      </w:pPr>
    </w:p>
    <w:p w14:paraId="09949765" w14:textId="77777777" w:rsidR="00DA18C3" w:rsidRDefault="00FC6BD0">
      <w:pPr>
        <w:pStyle w:val="Heading1"/>
        <w:spacing w:before="320" w:after="160"/>
      </w:pPr>
      <w:r>
        <w:t>10.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6"/>
        <w:gridCol w:w="5860"/>
      </w:tblGrid>
      <w:tr w:rsidR="00DA18C3" w14:paraId="09949768" w14:textId="77777777">
        <w:tc>
          <w:tcPr>
            <w:tcW w:w="1750" w:type="pct"/>
            <w:shd w:val="clear" w:color="auto" w:fill="E8EEF7"/>
          </w:tcPr>
          <w:p w14:paraId="09949766" w14:textId="77777777" w:rsidR="00DA18C3" w:rsidRDefault="00FC6BD0">
            <w:r>
              <w:rPr>
                <w:b/>
                <w:bCs/>
              </w:rPr>
              <w:t>Director</w:t>
            </w:r>
          </w:p>
        </w:tc>
        <w:tc>
          <w:tcPr>
            <w:tcW w:w="3250" w:type="pct"/>
          </w:tcPr>
          <w:p w14:paraId="09949767" w14:textId="77777777" w:rsidR="00DA18C3" w:rsidRDefault="00FC6BD0">
            <w:r>
              <w:t>Overall accountability for AWR compliance; sign-off on any disputed assessments</w:t>
            </w:r>
          </w:p>
        </w:tc>
      </w:tr>
      <w:tr w:rsidR="00DA18C3" w14:paraId="0994976B" w14:textId="77777777">
        <w:tc>
          <w:tcPr>
            <w:tcW w:w="1750" w:type="pct"/>
            <w:shd w:val="clear" w:color="auto" w:fill="E8EEF7"/>
          </w:tcPr>
          <w:p w14:paraId="09949769" w14:textId="77777777" w:rsidR="00DA18C3" w:rsidRDefault="00FC6BD0">
            <w:r>
              <w:rPr>
                <w:b/>
                <w:bCs/>
              </w:rPr>
              <w:t>Operations Lead</w:t>
            </w:r>
          </w:p>
        </w:tc>
        <w:tc>
          <w:tcPr>
            <w:tcW w:w="3250" w:type="pct"/>
          </w:tcPr>
          <w:p w14:paraId="0994976A" w14:textId="77777777" w:rsidR="00DA18C3" w:rsidRDefault="00FC6BD0">
            <w:r>
              <w:t>Day-to-day tracking of qualifying periods; hirer liaison; worker notification</w:t>
            </w:r>
          </w:p>
        </w:tc>
      </w:tr>
      <w:tr w:rsidR="00DA18C3" w14:paraId="0994976E" w14:textId="77777777">
        <w:tc>
          <w:tcPr>
            <w:tcW w:w="1750" w:type="pct"/>
            <w:shd w:val="clear" w:color="auto" w:fill="E8EEF7"/>
          </w:tcPr>
          <w:p w14:paraId="0994976C" w14:textId="77777777" w:rsidR="00DA18C3" w:rsidRDefault="00FC6BD0">
            <w:r>
              <w:rPr>
                <w:b/>
                <w:bCs/>
              </w:rPr>
              <w:t>PRISM System</w:t>
            </w:r>
          </w:p>
        </w:tc>
        <w:tc>
          <w:tcPr>
            <w:tcW w:w="3250" w:type="pct"/>
          </w:tcPr>
          <w:p w14:paraId="0994976D" w14:textId="77777777" w:rsidR="00DA18C3" w:rsidRDefault="00FC6BD0">
            <w:r>
              <w:t>Automated 12-week tracking and alert generation</w:t>
            </w:r>
          </w:p>
        </w:tc>
      </w:tr>
      <w:tr w:rsidR="00DA18C3" w14:paraId="09949771" w14:textId="77777777">
        <w:tc>
          <w:tcPr>
            <w:tcW w:w="1750" w:type="pct"/>
            <w:shd w:val="clear" w:color="auto" w:fill="E8EEF7"/>
          </w:tcPr>
          <w:p w14:paraId="0994976F" w14:textId="77777777" w:rsidR="00DA18C3" w:rsidRDefault="00FC6BD0">
            <w:r>
              <w:rPr>
                <w:b/>
                <w:bCs/>
              </w:rPr>
              <w:t>Finance / Payroll</w:t>
            </w:r>
          </w:p>
        </w:tc>
        <w:tc>
          <w:tcPr>
            <w:tcW w:w="3250" w:type="pct"/>
          </w:tcPr>
          <w:p w14:paraId="09949770" w14:textId="77777777" w:rsidR="00DA18C3" w:rsidRDefault="00FC6BD0">
            <w:r>
              <w:t>Implementation of any pay rate adjustments from qualifying date</w:t>
            </w:r>
          </w:p>
        </w:tc>
      </w:tr>
      <w:tr w:rsidR="00DA18C3" w14:paraId="09949774" w14:textId="77777777">
        <w:tc>
          <w:tcPr>
            <w:tcW w:w="1750" w:type="pct"/>
            <w:shd w:val="clear" w:color="auto" w:fill="E8EEF7"/>
          </w:tcPr>
          <w:p w14:paraId="09949772" w14:textId="77777777" w:rsidR="00DA18C3" w:rsidRDefault="00FC6BD0">
            <w:r>
              <w:rPr>
                <w:b/>
                <w:bCs/>
              </w:rPr>
              <w:t>All Staff</w:t>
            </w:r>
          </w:p>
        </w:tc>
        <w:tc>
          <w:tcPr>
            <w:tcW w:w="3250" w:type="pct"/>
          </w:tcPr>
          <w:p w14:paraId="09949773" w14:textId="77777777" w:rsidR="00DA18C3" w:rsidRDefault="00FC6BD0">
            <w:r>
              <w:t>Awareness of AWR requirements; reporting of any concerns</w:t>
            </w:r>
          </w:p>
        </w:tc>
      </w:tr>
    </w:tbl>
    <w:p w14:paraId="09949775" w14:textId="77777777" w:rsidR="00DA18C3" w:rsidRDefault="00DA18C3">
      <w:pPr>
        <w:spacing w:after="160"/>
      </w:pPr>
    </w:p>
    <w:p w14:paraId="09949776" w14:textId="77777777" w:rsidR="00DA18C3" w:rsidRDefault="00FC6BD0">
      <w:pPr>
        <w:pStyle w:val="Heading1"/>
        <w:spacing w:before="320" w:after="160"/>
      </w:pPr>
      <w:r>
        <w:t>11. Training</w:t>
      </w:r>
    </w:p>
    <w:p w14:paraId="09949777" w14:textId="77777777" w:rsidR="00DA18C3" w:rsidRDefault="00FC6BD0">
      <w:pPr>
        <w:spacing w:after="120"/>
      </w:pPr>
      <w:r>
        <w:rPr>
          <w:sz w:val="22"/>
          <w:szCs w:val="22"/>
        </w:rPr>
        <w:t>All operations staff receive training on the Agency Workers Regulations 2010 at induction. Refresher training is provided annually or following any regulatory change.</w:t>
      </w:r>
    </w:p>
    <w:p w14:paraId="09949778" w14:textId="77777777" w:rsidR="00DA18C3" w:rsidRDefault="00DA18C3">
      <w:pPr>
        <w:spacing w:after="160"/>
      </w:pPr>
    </w:p>
    <w:p w14:paraId="09949779" w14:textId="77777777" w:rsidR="00DA18C3" w:rsidRDefault="00FC6BD0">
      <w:pPr>
        <w:pStyle w:val="Heading1"/>
        <w:spacing w:before="320" w:after="160"/>
      </w:pPr>
      <w:r>
        <w:t>12. Review</w:t>
      </w:r>
    </w:p>
    <w:p w14:paraId="0994977A" w14:textId="77777777" w:rsidR="00DA18C3" w:rsidRDefault="00FC6BD0">
      <w:pPr>
        <w:spacing w:after="120"/>
      </w:pPr>
      <w:r>
        <w:rPr>
          <w:sz w:val="22"/>
          <w:szCs w:val="22"/>
        </w:rPr>
        <w:t>This process document is reviewed annually or following any change to the Agency Workers Regulations 2010 or associated HMRC/BEIS guidance. Next review: May 2027.</w:t>
      </w:r>
    </w:p>
    <w:p w14:paraId="0994977B" w14:textId="77777777" w:rsidR="00DA18C3" w:rsidRDefault="00DA18C3">
      <w:pPr>
        <w:spacing w:after="160"/>
      </w:pPr>
    </w:p>
    <w:p w14:paraId="0994977C" w14:textId="77777777" w:rsidR="00DA18C3" w:rsidRDefault="00FC6BD0">
      <w:pPr>
        <w:pStyle w:val="Heading1"/>
        <w:spacing w:before="320" w:after="160"/>
      </w:pPr>
      <w:r>
        <w:t>13.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6"/>
        <w:gridCol w:w="5860"/>
      </w:tblGrid>
      <w:tr w:rsidR="00DA18C3" w14:paraId="0994977F" w14:textId="77777777">
        <w:tc>
          <w:tcPr>
            <w:tcW w:w="1750" w:type="pct"/>
            <w:shd w:val="clear" w:color="auto" w:fill="E8EEF7"/>
          </w:tcPr>
          <w:p w14:paraId="0994977D" w14:textId="77777777" w:rsidR="00DA18C3" w:rsidRDefault="00FC6BD0">
            <w:r>
              <w:rPr>
                <w:b/>
                <w:bCs/>
              </w:rPr>
              <w:t>Approved by</w:t>
            </w:r>
          </w:p>
        </w:tc>
        <w:tc>
          <w:tcPr>
            <w:tcW w:w="3250" w:type="pct"/>
          </w:tcPr>
          <w:p w14:paraId="0994977E" w14:textId="77777777" w:rsidR="00DA18C3" w:rsidRDefault="00FC6BD0">
            <w:r>
              <w:t>Director, PRL Site Solutions Ltd</w:t>
            </w:r>
          </w:p>
        </w:tc>
      </w:tr>
      <w:tr w:rsidR="00DA18C3" w14:paraId="09949782" w14:textId="77777777">
        <w:tc>
          <w:tcPr>
            <w:tcW w:w="1750" w:type="pct"/>
            <w:shd w:val="clear" w:color="auto" w:fill="E8EEF7"/>
          </w:tcPr>
          <w:p w14:paraId="09949780" w14:textId="77777777" w:rsidR="00DA18C3" w:rsidRDefault="00FC6BD0">
            <w:r>
              <w:rPr>
                <w:b/>
                <w:bCs/>
              </w:rPr>
              <w:t>Date</w:t>
            </w:r>
          </w:p>
        </w:tc>
        <w:tc>
          <w:tcPr>
            <w:tcW w:w="3250" w:type="pct"/>
          </w:tcPr>
          <w:p w14:paraId="09949781" w14:textId="77777777" w:rsidR="00DA18C3" w:rsidRDefault="00FC6BD0">
            <w:r>
              <w:t>19 May 2026</w:t>
            </w:r>
          </w:p>
        </w:tc>
      </w:tr>
      <w:tr w:rsidR="00DA18C3" w14:paraId="09949785" w14:textId="77777777">
        <w:tc>
          <w:tcPr>
            <w:tcW w:w="1750" w:type="pct"/>
            <w:shd w:val="clear" w:color="auto" w:fill="E8EEF7"/>
          </w:tcPr>
          <w:p w14:paraId="09949783" w14:textId="77777777" w:rsidR="00DA18C3" w:rsidRDefault="00FC6BD0">
            <w:r>
              <w:rPr>
                <w:b/>
                <w:bCs/>
              </w:rPr>
              <w:lastRenderedPageBreak/>
              <w:t>Version</w:t>
            </w:r>
          </w:p>
        </w:tc>
        <w:tc>
          <w:tcPr>
            <w:tcW w:w="3250" w:type="pct"/>
          </w:tcPr>
          <w:p w14:paraId="09949784" w14:textId="77777777" w:rsidR="00DA18C3" w:rsidRDefault="00FC6BD0">
            <w:r>
              <w:t>1.0</w:t>
            </w:r>
          </w:p>
        </w:tc>
      </w:tr>
      <w:tr w:rsidR="00DA18C3" w14:paraId="09949788" w14:textId="77777777">
        <w:tc>
          <w:tcPr>
            <w:tcW w:w="1750" w:type="pct"/>
            <w:shd w:val="clear" w:color="auto" w:fill="E8EEF7"/>
          </w:tcPr>
          <w:p w14:paraId="09949786" w14:textId="77777777" w:rsidR="00DA18C3" w:rsidRDefault="00FC6BD0">
            <w:r>
              <w:rPr>
                <w:b/>
                <w:bCs/>
              </w:rPr>
              <w:t>Document Ref</w:t>
            </w:r>
          </w:p>
        </w:tc>
        <w:tc>
          <w:tcPr>
            <w:tcW w:w="3250" w:type="pct"/>
          </w:tcPr>
          <w:p w14:paraId="09949787" w14:textId="77777777" w:rsidR="00DA18C3" w:rsidRDefault="00FC6BD0">
            <w:r>
              <w:t>PRL-AWR-001</w:t>
            </w:r>
          </w:p>
        </w:tc>
      </w:tr>
    </w:tbl>
    <w:p w14:paraId="09949789" w14:textId="77777777" w:rsidR="00452186" w:rsidRDefault="00452186"/>
    <w:sectPr w:rsidR="0045218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1DB57" w14:textId="77777777" w:rsidR="00FC6BD0" w:rsidRDefault="00FC6BD0" w:rsidP="00E1333C">
      <w:r>
        <w:separator/>
      </w:r>
    </w:p>
  </w:endnote>
  <w:endnote w:type="continuationSeparator" w:id="0">
    <w:p w14:paraId="42C47DA1" w14:textId="77777777" w:rsidR="00FC6BD0" w:rsidRDefault="00FC6BD0" w:rsidP="00E13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7E6D" w14:textId="77777777" w:rsidR="00E1333C" w:rsidRDefault="00E13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17EE" w14:textId="77777777" w:rsidR="00E1333C" w:rsidRDefault="00E133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B239" w14:textId="77777777" w:rsidR="00E1333C" w:rsidRDefault="00E13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67069" w14:textId="77777777" w:rsidR="00FC6BD0" w:rsidRDefault="00FC6BD0" w:rsidP="00E1333C">
      <w:r>
        <w:separator/>
      </w:r>
    </w:p>
  </w:footnote>
  <w:footnote w:type="continuationSeparator" w:id="0">
    <w:p w14:paraId="0EE3D709" w14:textId="77777777" w:rsidR="00FC6BD0" w:rsidRDefault="00FC6BD0" w:rsidP="00E13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1138" w14:textId="77777777" w:rsidR="00E1333C" w:rsidRDefault="00E133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4154" w14:textId="5AE0264D" w:rsidR="00E1333C" w:rsidRDefault="00EB42BB">
    <w:pPr>
      <w:pStyle w:val="Header"/>
    </w:pPr>
    <w:r>
      <w:rPr>
        <w:noProof/>
      </w:rPr>
      <w:drawing>
        <wp:inline distT="0" distB="0" distL="0" distR="0" wp14:anchorId="642A49C9" wp14:editId="2459E66B">
          <wp:extent cx="781050" cy="781050"/>
          <wp:effectExtent l="0" t="0" r="0" b="0"/>
          <wp:docPr id="21397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4645" name="Picture 2139794645"/>
                  <pic:cNvPicPr/>
                </pic:nvPicPr>
                <pic:blipFill>
                  <a:blip r:embed="rId1">
                    <a:extLst>
                      <a:ext uri="{28A0092B-C50C-407E-A947-70E740481C1C}">
                        <a14:useLocalDpi xmlns:a14="http://schemas.microsoft.com/office/drawing/2010/main" val="0"/>
                      </a:ext>
                    </a:extLst>
                  </a:blip>
                  <a:stretch>
                    <a:fillRect/>
                  </a:stretch>
                </pic:blipFill>
                <pic:spPr>
                  <a:xfrm>
                    <a:off x="0" y="0"/>
                    <a:ext cx="781243" cy="78124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7A86" w14:textId="77777777" w:rsidR="00E1333C" w:rsidRDefault="00E13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F6F4D"/>
    <w:multiLevelType w:val="hybridMultilevel"/>
    <w:tmpl w:val="59CC7430"/>
    <w:lvl w:ilvl="0" w:tplc="D514DF72">
      <w:start w:val="1"/>
      <w:numFmt w:val="bullet"/>
      <w:lvlText w:val="●"/>
      <w:lvlJc w:val="left"/>
      <w:pPr>
        <w:ind w:left="720" w:hanging="360"/>
      </w:pPr>
    </w:lvl>
    <w:lvl w:ilvl="1" w:tplc="B23C5D32">
      <w:start w:val="1"/>
      <w:numFmt w:val="bullet"/>
      <w:lvlText w:val="○"/>
      <w:lvlJc w:val="left"/>
      <w:pPr>
        <w:ind w:left="1440" w:hanging="360"/>
      </w:pPr>
    </w:lvl>
    <w:lvl w:ilvl="2" w:tplc="CB82E23E">
      <w:start w:val="1"/>
      <w:numFmt w:val="bullet"/>
      <w:lvlText w:val="■"/>
      <w:lvlJc w:val="left"/>
      <w:pPr>
        <w:ind w:left="2160" w:hanging="360"/>
      </w:pPr>
    </w:lvl>
    <w:lvl w:ilvl="3" w:tplc="272E695A">
      <w:start w:val="1"/>
      <w:numFmt w:val="bullet"/>
      <w:lvlText w:val="●"/>
      <w:lvlJc w:val="left"/>
      <w:pPr>
        <w:ind w:left="2880" w:hanging="360"/>
      </w:pPr>
    </w:lvl>
    <w:lvl w:ilvl="4" w:tplc="15AEF732">
      <w:start w:val="1"/>
      <w:numFmt w:val="bullet"/>
      <w:lvlText w:val="○"/>
      <w:lvlJc w:val="left"/>
      <w:pPr>
        <w:ind w:left="3600" w:hanging="360"/>
      </w:pPr>
    </w:lvl>
    <w:lvl w:ilvl="5" w:tplc="FC5866E6">
      <w:start w:val="1"/>
      <w:numFmt w:val="bullet"/>
      <w:lvlText w:val="■"/>
      <w:lvlJc w:val="left"/>
      <w:pPr>
        <w:ind w:left="4320" w:hanging="360"/>
      </w:pPr>
    </w:lvl>
    <w:lvl w:ilvl="6" w:tplc="FBCEC172">
      <w:start w:val="1"/>
      <w:numFmt w:val="bullet"/>
      <w:lvlText w:val="●"/>
      <w:lvlJc w:val="left"/>
      <w:pPr>
        <w:ind w:left="5040" w:hanging="360"/>
      </w:pPr>
    </w:lvl>
    <w:lvl w:ilvl="7" w:tplc="C01CA718">
      <w:start w:val="1"/>
      <w:numFmt w:val="bullet"/>
      <w:lvlText w:val="●"/>
      <w:lvlJc w:val="left"/>
      <w:pPr>
        <w:ind w:left="5760" w:hanging="360"/>
      </w:pPr>
    </w:lvl>
    <w:lvl w:ilvl="8" w:tplc="BEE4E1D4">
      <w:start w:val="1"/>
      <w:numFmt w:val="bullet"/>
      <w:lvlText w:val="●"/>
      <w:lvlJc w:val="left"/>
      <w:pPr>
        <w:ind w:left="6480" w:hanging="360"/>
      </w:pPr>
    </w:lvl>
  </w:abstractNum>
  <w:num w:numId="1" w16cid:durableId="2029745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8C3"/>
    <w:rsid w:val="00423081"/>
    <w:rsid w:val="00452186"/>
    <w:rsid w:val="00DA18C3"/>
    <w:rsid w:val="00E1333C"/>
    <w:rsid w:val="00EB42BB"/>
    <w:rsid w:val="00F601E7"/>
    <w:rsid w:val="00FC6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496F4"/>
  <w15:docId w15:val="{ECF85EB8-7504-46B1-BC37-BF257806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333C"/>
    <w:pPr>
      <w:tabs>
        <w:tab w:val="center" w:pos="4513"/>
        <w:tab w:val="right" w:pos="9026"/>
      </w:tabs>
    </w:pPr>
  </w:style>
  <w:style w:type="character" w:customStyle="1" w:styleId="HeaderChar">
    <w:name w:val="Header Char"/>
    <w:basedOn w:val="DefaultParagraphFont"/>
    <w:link w:val="Header"/>
    <w:uiPriority w:val="99"/>
    <w:rsid w:val="00E1333C"/>
  </w:style>
  <w:style w:type="paragraph" w:styleId="Footer">
    <w:name w:val="footer"/>
    <w:basedOn w:val="Normal"/>
    <w:link w:val="FooterChar"/>
    <w:uiPriority w:val="99"/>
    <w:unhideWhenUsed/>
    <w:rsid w:val="00E1333C"/>
    <w:pPr>
      <w:tabs>
        <w:tab w:val="center" w:pos="4513"/>
        <w:tab w:val="right" w:pos="9026"/>
      </w:tabs>
    </w:pPr>
  </w:style>
  <w:style w:type="character" w:customStyle="1" w:styleId="FooterChar">
    <w:name w:val="Footer Char"/>
    <w:basedOn w:val="DefaultParagraphFont"/>
    <w:link w:val="Footer"/>
    <w:uiPriority w:val="99"/>
    <w:rsid w:val="00E13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1151</Words>
  <Characters>6562</Characters>
  <Application>Microsoft Office Word</Application>
  <DocSecurity>0</DocSecurity>
  <Lines>54</Lines>
  <Paragraphs>15</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 Tech</cp:lastModifiedBy>
  <cp:revision>3</cp:revision>
  <dcterms:created xsi:type="dcterms:W3CDTF">2026-05-19T12:26:00Z</dcterms:created>
  <dcterms:modified xsi:type="dcterms:W3CDTF">2026-05-22T11:07:00Z</dcterms:modified>
</cp:coreProperties>
</file>