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80"/>
        <w:jc w:val="center"/>
      </w:pPr>
      <w:r>
        <w:rPr>
          <w:b/>
          <w:bCs/>
          <w:color w:val="1F3864"/>
          <w:sz w:val="32"/>
          <w:szCs w:val="32"/>
        </w:rPr>
        <w:t xml:space="preserve">Corporate Criminal Offence Policy Statement</w:t>
      </w:r>
    </w:p>
    <w:p>
      <w:pPr>
        <w:spacing w:after="320"/>
        <w:jc w:val="center"/>
      </w:pPr>
      <w:r>
        <w:rPr>
          <w:color w:val="666666"/>
          <w:sz w:val="18"/>
          <w:szCs w:val="18"/>
        </w:rPr>
        <w:t xml:space="preserve">Document Ref: PRL-POL-CCO-001  |  Version: 1.0  |  Issue Date: 19 May 2026  |  Review: May 2027</w:t>
      </w:r>
    </w:p>
    <w:p>
      <w:pPr>
        <w:pStyle w:val="Heading1"/>
        <w:spacing w:after="160" w:before="320"/>
      </w:pPr>
      <w:r>
        <w:t xml:space="preserve">1. Purpose</w:t>
      </w:r>
    </w:p>
    <w:p>
      <w:pPr>
        <w:spacing w:after="120"/>
      </w:pPr>
      <w:r>
        <w:rPr>
          <w:b w:val="false"/>
          <w:bCs w:val="false"/>
          <w:sz w:val="22"/>
          <w:szCs w:val="22"/>
        </w:rPr>
        <w:t xml:space="preserve">PRL Site Solutions Ltd is committed to the prevention of tax evasion and the facilitation of tax evasion by associated persons, as required under Part 3 of the Criminal Finances Act 2017 (the Act). This statement sets out the company's position and the policies that collectively satisfy the requirements of the Act.</w:t>
      </w:r>
    </w:p>
    <w:p>
      <w:pPr>
        <w:spacing w:after="160"/>
      </w:pPr>
    </w:p>
    <w:p>
      <w:pPr>
        <w:pStyle w:val="Heading1"/>
        <w:spacing w:after="160" w:before="320"/>
      </w:pPr>
      <w:r>
        <w:t xml:space="preserve">2. Scope</w:t>
      </w:r>
    </w:p>
    <w:p>
      <w:pPr>
        <w:spacing w:after="120"/>
      </w:pPr>
      <w:r>
        <w:rPr>
          <w:b w:val="false"/>
          <w:bCs w:val="false"/>
          <w:sz w:val="22"/>
          <w:szCs w:val="22"/>
        </w:rPr>
        <w:t xml:space="preserve">This policy applies to all employees, contractors, agency workers, directors, and any third parties acting on behalf of PRL Site Solutions Ltd.</w:t>
      </w:r>
    </w:p>
    <w:p>
      <w:pPr>
        <w:spacing w:after="160"/>
      </w:pPr>
    </w:p>
    <w:p>
      <w:pPr>
        <w:pStyle w:val="Heading1"/>
        <w:spacing w:after="160" w:before="320"/>
      </w:pPr>
      <w:r>
        <w:t xml:space="preserve">3. Policy Position</w:t>
      </w:r>
    </w:p>
    <w:p>
      <w:pPr>
        <w:spacing w:after="120"/>
      </w:pPr>
      <w:r>
        <w:rPr>
          <w:b w:val="false"/>
          <w:bCs w:val="false"/>
          <w:sz w:val="22"/>
          <w:szCs w:val="22"/>
        </w:rPr>
        <w:t xml:space="preserve">PRL Site Solutions Ltd does not maintain a separate standalone Corporate Criminal Offence policy. Instead, the requirements of the Criminal Finances Act 2017 are addressed through the following existing policies, which together provide comprehensive coverage of all required elements:</w:t>
      </w:r>
    </w:p>
    <w:p>
      <w:pPr>
        <w:pStyle w:val="ListParagraph"/>
        <w:numPr>
          <w:ilvl w:val="0"/>
          <w:numId w:val="1"/>
        </w:numPr>
        <w:spacing w:after="80"/>
      </w:pPr>
      <w:r>
        <w:rPr>
          <w:sz w:val="22"/>
          <w:szCs w:val="22"/>
        </w:rPr>
        <w:t xml:space="preserve">Anti-Bribery and Anti-Corruption Policy — prohibits facilitation payments and corrupt conduct by associated persons</w:t>
      </w:r>
    </w:p>
    <w:p>
      <w:pPr>
        <w:pStyle w:val="ListParagraph"/>
        <w:numPr>
          <w:ilvl w:val="0"/>
          <w:numId w:val="1"/>
        </w:numPr>
        <w:spacing w:after="80"/>
      </w:pPr>
      <w:r>
        <w:rPr>
          <w:sz w:val="22"/>
          <w:szCs w:val="22"/>
        </w:rPr>
        <w:t xml:space="preserve">Whistleblowing Policy — provides a confidential mechanism for reporting suspected tax evasion or other financial misconduct</w:t>
      </w:r>
    </w:p>
    <w:p>
      <w:pPr>
        <w:pStyle w:val="ListParagraph"/>
        <w:numPr>
          <w:ilvl w:val="0"/>
          <w:numId w:val="1"/>
        </w:numPr>
        <w:spacing w:after="80"/>
      </w:pPr>
      <w:r>
        <w:rPr>
          <w:sz w:val="22"/>
          <w:szCs w:val="22"/>
        </w:rPr>
        <w:t xml:space="preserve">Code of Conduct — sets behavioural standards for all staff and associated persons</w:t>
      </w:r>
    </w:p>
    <w:p>
      <w:pPr>
        <w:pStyle w:val="ListParagraph"/>
        <w:numPr>
          <w:ilvl w:val="0"/>
          <w:numId w:val="1"/>
        </w:numPr>
        <w:spacing w:after="80"/>
      </w:pPr>
      <w:r>
        <w:rPr>
          <w:sz w:val="22"/>
          <w:szCs w:val="22"/>
        </w:rPr>
        <w:t xml:space="preserve">Supply Chain Due Diligence Procedures — controls applied to subcontractors and labour providers to mitigate facilitation risk</w:t>
      </w:r>
    </w:p>
    <w:p>
      <w:pPr>
        <w:spacing w:after="160"/>
      </w:pPr>
    </w:p>
    <w:p>
      <w:pPr>
        <w:pStyle w:val="Heading1"/>
        <w:spacing w:after="160" w:before="320"/>
      </w:pPr>
      <w:r>
        <w:t xml:space="preserve">4. Prevention Procedures</w:t>
      </w:r>
    </w:p>
    <w:p>
      <w:pPr>
        <w:spacing w:after="120"/>
      </w:pPr>
      <w:r>
        <w:rPr>
          <w:b w:val="false"/>
          <w:bCs w:val="false"/>
          <w:sz w:val="22"/>
          <w:szCs w:val="22"/>
        </w:rPr>
        <w:t xml:space="preserve">The following reasonable prevention procedures are in place:</w:t>
      </w:r>
    </w:p>
    <w:p>
      <w:pPr>
        <w:pStyle w:val="ListParagraph"/>
        <w:numPr>
          <w:ilvl w:val="0"/>
          <w:numId w:val="1"/>
        </w:numPr>
        <w:spacing w:after="80"/>
      </w:pPr>
      <w:r>
        <w:rPr>
          <w:sz w:val="22"/>
          <w:szCs w:val="22"/>
        </w:rPr>
        <w:t xml:space="preserve">Risk assessment of associated persons, including contractors and payment intermediaries, conducted at onboarding</w:t>
      </w:r>
    </w:p>
    <w:p>
      <w:pPr>
        <w:pStyle w:val="ListParagraph"/>
        <w:numPr>
          <w:ilvl w:val="0"/>
          <w:numId w:val="1"/>
        </w:numPr>
        <w:spacing w:after="80"/>
      </w:pPr>
      <w:r>
        <w:rPr>
          <w:sz w:val="22"/>
          <w:szCs w:val="22"/>
        </w:rPr>
        <w:t xml:space="preserve">Contractual obligations requiring compliance with all relevant tax legislation imposed on suppliers and subcontractors</w:t>
      </w:r>
    </w:p>
    <w:p>
      <w:pPr>
        <w:pStyle w:val="ListParagraph"/>
        <w:numPr>
          <w:ilvl w:val="0"/>
          <w:numId w:val="1"/>
        </w:numPr>
        <w:spacing w:after="80"/>
      </w:pPr>
      <w:r>
        <w:rPr>
          <w:sz w:val="22"/>
          <w:szCs w:val="22"/>
        </w:rPr>
        <w:t xml:space="preserve">Staff training on the requirements of the Criminal Finances Act 2017 included in induction and annual compliance refresher</w:t>
      </w:r>
    </w:p>
    <w:p>
      <w:pPr>
        <w:pStyle w:val="ListParagraph"/>
        <w:numPr>
          <w:ilvl w:val="0"/>
          <w:numId w:val="1"/>
        </w:numPr>
        <w:spacing w:after="80"/>
      </w:pPr>
      <w:r>
        <w:rPr>
          <w:sz w:val="22"/>
          <w:szCs w:val="22"/>
        </w:rPr>
        <w:t xml:space="preserve">Clear escalation path for reporting suspected tax evasion: line manager → Director → external legal counsel</w:t>
      </w:r>
    </w:p>
    <w:p>
      <w:pPr>
        <w:pStyle w:val="ListParagraph"/>
        <w:numPr>
          <w:ilvl w:val="0"/>
          <w:numId w:val="1"/>
        </w:numPr>
        <w:spacing w:after="80"/>
      </w:pPr>
      <w:r>
        <w:rPr>
          <w:sz w:val="22"/>
          <w:szCs w:val="22"/>
        </w:rPr>
        <w:t xml:space="preserve">No tolerance for facilitation of tax evasion, regardless of commercial benefit</w:t>
      </w:r>
    </w:p>
    <w:p>
      <w:pPr>
        <w:spacing w:after="160"/>
      </w:pPr>
    </w:p>
    <w:p>
      <w:pPr>
        <w:pStyle w:val="Heading1"/>
        <w:spacing w:after="160" w:before="320"/>
      </w:pPr>
      <w:r>
        <w:t xml:space="preserve">5.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Pr>
          <w:p>
            <w:r>
              <w:rPr>
                <w:b/>
                <w:bCs/>
                <w:color w:val="000000"/>
                <w:sz w:val="20"/>
                <w:szCs w:val="20"/>
              </w:rPr>
              <w:t xml:space="preserve">Director</w:t>
            </w:r>
          </w:p>
        </w:tc>
        <w:tc>
          <w:tcPr>
            <w:tcW w:type="pct" w:w="75%"/>
          </w:tcPr>
          <w:p>
            <w:r>
              <w:rPr>
                <w:color w:val="000000"/>
                <w:sz w:val="20"/>
                <w:szCs w:val="20"/>
              </w:rPr>
              <w:t xml:space="preserve">Overall accountability for compliance with the Criminal Finances Act 2017</w:t>
            </w:r>
          </w:p>
        </w:tc>
      </w:tr>
      <w:tr>
        <w:tc>
          <w:tcPr>
            <w:tcW w:type="pct" w:w="25%"/>
          </w:tcPr>
          <w:p>
            <w:r>
              <w:rPr>
                <w:b/>
                <w:bCs/>
                <w:color w:val="000000"/>
                <w:sz w:val="20"/>
                <w:szCs w:val="20"/>
              </w:rPr>
              <w:t xml:space="preserve">Office Manager</w:t>
            </w:r>
          </w:p>
        </w:tc>
        <w:tc>
          <w:tcPr>
            <w:tcW w:type="pct" w:w="75%"/>
          </w:tcPr>
          <w:p>
            <w:r>
              <w:rPr>
                <w:color w:val="000000"/>
                <w:sz w:val="20"/>
                <w:szCs w:val="20"/>
              </w:rPr>
              <w:t xml:space="preserve">Maintenance of this policy statement and related procedures</w:t>
            </w:r>
          </w:p>
        </w:tc>
      </w:tr>
      <w:tr>
        <w:tc>
          <w:tcPr>
            <w:tcW w:type="pct" w:w="25%"/>
          </w:tcPr>
          <w:p>
            <w:r>
              <w:rPr>
                <w:b/>
                <w:bCs/>
                <w:color w:val="000000"/>
                <w:sz w:val="20"/>
                <w:szCs w:val="20"/>
              </w:rPr>
              <w:t xml:space="preserve">All Staff</w:t>
            </w:r>
          </w:p>
        </w:tc>
        <w:tc>
          <w:tcPr>
            <w:tcW w:type="pct" w:w="75%"/>
          </w:tcPr>
          <w:p>
            <w:r>
              <w:rPr>
                <w:color w:val="000000"/>
                <w:sz w:val="20"/>
                <w:szCs w:val="20"/>
              </w:rPr>
              <w:t xml:space="preserve">Compliance with this policy and immediate reporting of any concerns</w:t>
            </w:r>
          </w:p>
        </w:tc>
      </w:tr>
      <w:tr>
        <w:tc>
          <w:tcPr>
            <w:tcW w:type="pct" w:w="25%"/>
          </w:tcPr>
          <w:p>
            <w:r>
              <w:rPr>
                <w:b/>
                <w:bCs/>
                <w:color w:val="000000"/>
                <w:sz w:val="20"/>
                <w:szCs w:val="20"/>
              </w:rPr>
              <w:t xml:space="preserve">HR / Compliance</w:t>
            </w:r>
          </w:p>
        </w:tc>
        <w:tc>
          <w:tcPr>
            <w:tcW w:type="pct" w:w="75%"/>
          </w:tcPr>
          <w:p>
            <w:r>
              <w:rPr>
                <w:color w:val="000000"/>
                <w:sz w:val="20"/>
                <w:szCs w:val="20"/>
              </w:rPr>
              <w:t xml:space="preserve">Training delivery and supply chain due diligence oversight</w:t>
            </w:r>
          </w:p>
        </w:tc>
      </w:tr>
    </w:tbl>
    <w:p>
      <w:pPr>
        <w:spacing w:after="160"/>
      </w:pPr>
    </w:p>
    <w:p>
      <w:pPr>
        <w:pStyle w:val="Heading1"/>
        <w:spacing w:after="160" w:before="320"/>
      </w:pPr>
      <w:r>
        <w:t xml:space="preserve">6. Reporting</w:t>
      </w:r>
    </w:p>
    <w:p>
      <w:pPr>
        <w:spacing w:after="120"/>
      </w:pPr>
      <w:r>
        <w:rPr>
          <w:b w:val="false"/>
          <w:bCs w:val="false"/>
          <w:sz w:val="22"/>
          <w:szCs w:val="22"/>
        </w:rPr>
        <w:t xml:space="preserve">Any employee, contractor, or associated person who suspects facilitation of tax evasion must report this immediately via the Whistleblowing Policy. Reports can be made anonymously. There will be no retaliation against anyone who raises a concern in good faith.</w:t>
      </w:r>
    </w:p>
    <w:p>
      <w:pPr>
        <w:spacing w:after="160"/>
      </w:pPr>
    </w:p>
    <w:p>
      <w:pPr>
        <w:pStyle w:val="Heading1"/>
        <w:spacing w:after="160" w:before="320"/>
      </w:pPr>
      <w:r>
        <w:t xml:space="preserve">7. Consequences of Breach</w:t>
      </w:r>
    </w:p>
    <w:p>
      <w:pPr>
        <w:spacing w:after="120"/>
      </w:pPr>
      <w:r>
        <w:rPr>
          <w:b w:val="false"/>
          <w:bCs w:val="false"/>
          <w:sz w:val="22"/>
          <w:szCs w:val="22"/>
        </w:rPr>
        <w:t xml:space="preserve">Breach of this policy by an employee will result in disciplinary action up to and including dismissal. Breach by a contractor or associated person will result in immediate termination of contract and, where appropriate, referral to HMRC or other relevant authorities.</w:t>
      </w:r>
    </w:p>
    <w:p>
      <w:pPr>
        <w:spacing w:after="160"/>
      </w:pPr>
    </w:p>
    <w:p>
      <w:pPr>
        <w:pStyle w:val="Heading1"/>
        <w:spacing w:after="160" w:before="320"/>
      </w:pPr>
      <w:r>
        <w:t xml:space="preserve">8. Review</w:t>
      </w:r>
    </w:p>
    <w:p>
      <w:pPr>
        <w:spacing w:after="120"/>
      </w:pPr>
      <w:r>
        <w:rPr>
          <w:b w:val="false"/>
          <w:bCs w:val="false"/>
          <w:sz w:val="22"/>
          <w:szCs w:val="22"/>
        </w:rPr>
        <w:t xml:space="preserve">This policy statement will be reviewed annually or following any material change to the Criminal Finances Act 2017 or associated HMRC guidance. Next review: May 2027.</w:t>
      </w:r>
    </w:p>
    <w:p>
      <w:pPr>
        <w:spacing w:after="160"/>
      </w:pPr>
    </w:p>
    <w:p>
      <w:pPr>
        <w:pStyle w:val="Heading1"/>
        <w:spacing w:after="160" w:before="320"/>
      </w:pPr>
      <w:r>
        <w:t xml:space="preserve">9.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tcPr>
          <w:p>
            <w:r>
              <w:rPr>
                <w:b/>
                <w:bCs/>
                <w:color w:val="000000"/>
                <w:sz w:val="20"/>
                <w:szCs w:val="20"/>
              </w:rPr>
              <w:t xml:space="preserve">Approved by</w:t>
            </w:r>
          </w:p>
        </w:tc>
        <w:tc>
          <w:tcPr>
            <w:tcW w:type="pct" w:w="75%"/>
          </w:tcPr>
          <w:p>
            <w:r>
              <w:rPr>
                <w:color w:val="000000"/>
                <w:sz w:val="20"/>
                <w:szCs w:val="20"/>
              </w:rPr>
              <w:t xml:space="preserve">Director, PRL Site Solutions Ltd</w:t>
            </w:r>
          </w:p>
        </w:tc>
      </w:tr>
      <w:tr>
        <w:tc>
          <w:tcPr>
            <w:tcW w:type="pct" w:w="25%"/>
          </w:tcPr>
          <w:p>
            <w:r>
              <w:rPr>
                <w:b/>
                <w:bCs/>
                <w:color w:val="000000"/>
                <w:sz w:val="20"/>
                <w:szCs w:val="20"/>
              </w:rPr>
              <w:t xml:space="preserve">Date</w:t>
            </w:r>
          </w:p>
        </w:tc>
        <w:tc>
          <w:tcPr>
            <w:tcW w:type="pct" w:w="75%"/>
          </w:tcPr>
          <w:p>
            <w:r>
              <w:rPr>
                <w:color w:val="000000"/>
                <w:sz w:val="20"/>
                <w:szCs w:val="20"/>
              </w:rPr>
              <w:t xml:space="preserve">19 May 2026</w:t>
            </w:r>
          </w:p>
        </w:tc>
      </w:tr>
      <w:tr>
        <w:tc>
          <w:tcPr>
            <w:tcW w:type="pct" w:w="25%"/>
          </w:tcPr>
          <w:p>
            <w:r>
              <w:rPr>
                <w:b/>
                <w:bCs/>
                <w:color w:val="000000"/>
                <w:sz w:val="20"/>
                <w:szCs w:val="20"/>
              </w:rPr>
              <w:t xml:space="preserve">Version</w:t>
            </w:r>
          </w:p>
        </w:tc>
        <w:tc>
          <w:tcPr>
            <w:tcW w:type="pct" w:w="75%"/>
          </w:tcPr>
          <w:p>
            <w:r>
              <w:rPr>
                <w:color w:val="000000"/>
                <w:sz w:val="20"/>
                <w:szCs w:val="20"/>
              </w:rPr>
              <w:t xml:space="preserve">1.0</w:t>
            </w:r>
          </w:p>
        </w:tc>
      </w:tr>
      <w:tr>
        <w:tc>
          <w:tcPr>
            <w:tcW w:type="pct" w:w="25%"/>
          </w:tcPr>
          <w:p>
            <w:r>
              <w:rPr>
                <w:b/>
                <w:bCs/>
                <w:color w:val="000000"/>
                <w:sz w:val="20"/>
                <w:szCs w:val="20"/>
              </w:rPr>
              <w:t xml:space="preserve">Document Ref</w:t>
            </w:r>
          </w:p>
        </w:tc>
        <w:tc>
          <w:tcPr>
            <w:tcW w:type="pct" w:w="75%"/>
          </w:tcPr>
          <w:p>
            <w:r>
              <w:rPr>
                <w:color w:val="000000"/>
                <w:sz w:val="20"/>
                <w:szCs w:val="20"/>
              </w:rPr>
              <w:t xml:space="preserve">PRL-POL-CCO-001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2026-05-19T10:35:06.689Z</dcterms:created>
  <dcterms:modified xsi:type="dcterms:W3CDTF">2026-05-19T10:35:06.690Z</dcterms:modified>
</cp:coreProperties>
</file>

<file path=docProps/custom.xml><?xml version="1.0" encoding="utf-8"?>
<Properties xmlns="http://schemas.openxmlformats.org/officeDocument/2006/custom-properties" xmlns:vt="http://schemas.openxmlformats.org/officeDocument/2006/docPropsVTypes"/>
</file>