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60"/>
        <w:jc w:val="center"/>
      </w:pPr>
      <w:r>
        <w:rPr>
          <w:b/>
          <w:bCs/>
          <w:color w:val="1F3864"/>
          <w:sz w:val="36"/>
          <w:szCs w:val="36"/>
        </w:rPr>
        <w:t xml:space="preserve">Key Information Document</w:t>
      </w:r>
    </w:p>
    <w:p>
      <w:pPr>
        <w:spacing w:after="80"/>
        <w:jc w:val="center"/>
      </w:pPr>
      <w:r>
        <w:rPr>
          <w:b/>
          <w:bCs/>
          <w:color w:val="C55A11"/>
          <w:sz w:val="26"/>
          <w:szCs w:val="26"/>
        </w:rPr>
        <w:t xml:space="preserve">Engagement Type: Umbrella Company</w:t>
      </w:r>
    </w:p>
    <w:p>
      <w:pPr>
        <w:spacing w:after="200"/>
        <w:jc w:val="center"/>
      </w:pPr>
      <w:r>
        <w:rPr>
          <w:color w:val="666666"/>
          <w:sz w:val="18"/>
          <w:szCs w:val="18"/>
        </w:rPr>
        <w:t xml:space="preserve">Ref: PRL-KID-UMB-001  |  Version: 2.0  |  Issue Date: 19 May 2026  |  Review: May 2027</w:t>
      </w:r>
    </w:p>
    <w:p>
      <w:pPr>
        <w:spacing w:after="300"/>
      </w:pPr>
      <w:r>
        <w:rPr>
          <w:i/>
          <w:iCs/>
          <w:color w:val="C00000"/>
          <w:sz w:val="20"/>
          <w:szCs w:val="20"/>
        </w:rPr>
        <w:t xml:space="preserve">IMPORTANT: This document must be provided to the worker before they agree to an engagement. A new KID must be issued if any pay element changes.</w:t>
      </w:r>
    </w:p>
    <w:p>
      <w:pPr>
        <w:pStyle w:val="Heading1"/>
        <w:spacing w:after="160" w:before="320"/>
      </w:pPr>
      <w:r>
        <w:t xml:space="preserve">Section 1 — About PRL Site Solutions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Company Name</w:t>
            </w:r>
          </w:p>
        </w:tc>
        <w:tc>
          <w:tcPr>
            <w:tcW w:type="pct" w:w="60%"/>
          </w:tcPr>
          <w:p>
            <w:r>
              <w:rPr>
                <w:color w:val="000000"/>
                <w:sz w:val="20"/>
                <w:szCs w:val="20"/>
              </w:rPr>
              <w:t xml:space="preserve">PRL Site Solutions Ltd</w:t>
            </w:r>
          </w:p>
        </w:tc>
      </w:tr>
      <w:tr>
        <w:tc>
          <w:tcPr>
            <w:tcW w:type="pct" w:w="40%"/>
            <w:shd w:fill="E8EEF7" w:color="auto" w:val="clear"/>
          </w:tcPr>
          <w:p>
            <w:r>
              <w:rPr>
                <w:b/>
                <w:bCs/>
                <w:sz w:val="20"/>
                <w:szCs w:val="20"/>
              </w:rPr>
              <w:t xml:space="preserve">Type of Business</w:t>
            </w:r>
          </w:p>
        </w:tc>
        <w:tc>
          <w:tcPr>
            <w:tcW w:type="pct" w:w="60%"/>
          </w:tcPr>
          <w:p>
            <w:r>
              <w:rPr>
                <w:color w:val="000000"/>
                <w:sz w:val="20"/>
                <w:szCs w:val="20"/>
              </w:rPr>
              <w:t xml:space="preserve">Employment Business — supplying temporary workers</w:t>
            </w:r>
          </w:p>
        </w:tc>
      </w:tr>
      <w:tr>
        <w:tc>
          <w:tcPr>
            <w:tcW w:type="pct" w:w="40%"/>
            <w:shd w:fill="E8EEF7" w:color="auto" w:val="clear"/>
          </w:tcPr>
          <w:p>
            <w:r>
              <w:rPr>
                <w:b/>
                <w:bCs/>
                <w:sz w:val="20"/>
                <w:szCs w:val="20"/>
              </w:rPr>
              <w:t xml:space="preserve">Address</w:t>
            </w:r>
          </w:p>
        </w:tc>
        <w:tc>
          <w:tcPr>
            <w:tcW w:type="pct" w:w="60%"/>
          </w:tcPr>
          <w:p>
            <w:r>
              <w:rPr>
                <w:color w:val="000000"/>
                <w:sz w:val="20"/>
                <w:szCs w:val="20"/>
              </w:rPr>
              <w:t xml:space="preserve">15 Beryl Road, Prenton, Wirral, CH43 9RS</w:t>
            </w:r>
          </w:p>
        </w:tc>
      </w:tr>
      <w:tr>
        <w:tc>
          <w:tcPr>
            <w:tcW w:type="pct" w:w="40%"/>
            <w:shd w:fill="E8EEF7" w:color="auto" w:val="clear"/>
          </w:tcPr>
          <w:p>
            <w:r>
              <w:rPr>
                <w:b/>
                <w:bCs/>
                <w:sz w:val="20"/>
                <w:szCs w:val="20"/>
              </w:rPr>
              <w:t xml:space="preserve">Telephone</w:t>
            </w:r>
          </w:p>
        </w:tc>
        <w:tc>
          <w:tcPr>
            <w:tcW w:type="pct" w:w="60%"/>
          </w:tcPr>
          <w:p>
            <w:r>
              <w:rPr>
                <w:color w:val="000000"/>
                <w:sz w:val="20"/>
                <w:szCs w:val="20"/>
              </w:rPr>
              <w:t xml:space="preserve">0800 772 3959</w:t>
            </w:r>
          </w:p>
        </w:tc>
      </w:tr>
      <w:tr>
        <w:tc>
          <w:tcPr>
            <w:tcW w:type="pct" w:w="40%"/>
            <w:shd w:fill="E8EEF7" w:color="auto" w:val="clear"/>
          </w:tcPr>
          <w:p>
            <w:r>
              <w:rPr>
                <w:b/>
                <w:bCs/>
                <w:sz w:val="20"/>
                <w:szCs w:val="20"/>
              </w:rPr>
              <w:t xml:space="preserve">Email</w:t>
            </w:r>
          </w:p>
        </w:tc>
        <w:tc>
          <w:tcPr>
            <w:tcW w:type="pct" w:w="60%"/>
          </w:tcPr>
          <w:p>
            <w:r>
              <w:rPr>
                <w:color w:val="000000"/>
                <w:sz w:val="20"/>
                <w:szCs w:val="20"/>
              </w:rPr>
              <w:t xml:space="preserve">info@prlsitesolutions.co.uk</w:t>
            </w:r>
          </w:p>
        </w:tc>
      </w:tr>
      <w:tr>
        <w:tc>
          <w:tcPr>
            <w:tcW w:type="pct" w:w="40%"/>
            <w:shd w:fill="E8EEF7" w:color="auto" w:val="clear"/>
          </w:tcPr>
          <w:p>
            <w:r>
              <w:rPr>
                <w:b/>
                <w:bCs/>
                <w:sz w:val="20"/>
                <w:szCs w:val="20"/>
              </w:rPr>
              <w:t xml:space="preserve">Compliance Portal</w:t>
            </w:r>
          </w:p>
        </w:tc>
        <w:tc>
          <w:tcPr>
            <w:tcW w:type="pct" w:w="60%"/>
          </w:tcPr>
          <w:p>
            <w:r>
              <w:rPr>
                <w:color w:val="000000"/>
                <w:sz w:val="20"/>
                <w:szCs w:val="20"/>
              </w:rPr>
              <w:t xml:space="preserve">www.prismworkforce.online</w:t>
            </w:r>
          </w:p>
        </w:tc>
      </w:tr>
    </w:tbl>
    <w:p>
      <w:pPr>
        <w:spacing w:after="160"/>
      </w:pPr>
    </w:p>
    <w:p>
      <w:pPr>
        <w:pStyle w:val="Heading1"/>
        <w:spacing w:after="160" w:before="320"/>
      </w:pPr>
      <w:r>
        <w:t xml:space="preserve">Section 2 — Worker and Assignment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Name</w:t>
            </w:r>
          </w:p>
        </w:tc>
        <w:tc>
          <w:tcPr>
            <w:tcW w:type="pct" w:w="60%"/>
          </w:tcPr>
          <w:p>
            <w:r>
              <w:rPr>
                <w:color w:val="C00000"/>
                <w:sz w:val="20"/>
                <w:szCs w:val="20"/>
              </w:rPr>
              <w:t xml:space="preserve">[Worker full name]</w:t>
            </w:r>
          </w:p>
        </w:tc>
      </w:tr>
      <w:tr>
        <w:tc>
          <w:tcPr>
            <w:tcW w:type="pct" w:w="40%"/>
            <w:shd w:fill="E8EEF7" w:color="auto" w:val="clear"/>
          </w:tcPr>
          <w:p>
            <w:r>
              <w:rPr>
                <w:b/>
                <w:bCs/>
                <w:sz w:val="20"/>
                <w:szCs w:val="20"/>
              </w:rPr>
              <w:t xml:space="preserve">Date of Issue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Role / Job Title</w:t>
            </w:r>
          </w:p>
        </w:tc>
        <w:tc>
          <w:tcPr>
            <w:tcW w:type="pct" w:w="60%"/>
          </w:tcPr>
          <w:p>
            <w:r>
              <w:rPr>
                <w:color w:val="C00000"/>
                <w:sz w:val="20"/>
                <w:szCs w:val="20"/>
              </w:rPr>
              <w:t xml:space="preserve">[e.g. Electrician / Labourer / Plant Operator]</w:t>
            </w:r>
          </w:p>
        </w:tc>
      </w:tr>
      <w:tr>
        <w:tc>
          <w:tcPr>
            <w:tcW w:type="pct" w:w="40%"/>
            <w:shd w:fill="E8EEF7" w:color="auto" w:val="clear"/>
          </w:tcPr>
          <w:p>
            <w:r>
              <w:rPr>
                <w:b/>
                <w:bCs/>
                <w:sz w:val="20"/>
                <w:szCs w:val="20"/>
              </w:rPr>
              <w:t xml:space="preserve">Client / Hirer</w:t>
            </w:r>
          </w:p>
        </w:tc>
        <w:tc>
          <w:tcPr>
            <w:tcW w:type="pct" w:w="60%"/>
          </w:tcPr>
          <w:p>
            <w:r>
              <w:rPr>
                <w:color w:val="C00000"/>
                <w:sz w:val="20"/>
                <w:szCs w:val="20"/>
              </w:rPr>
              <w:t xml:space="preserve">[Client company name]</w:t>
            </w:r>
          </w:p>
        </w:tc>
      </w:tr>
      <w:tr>
        <w:tc>
          <w:tcPr>
            <w:tcW w:type="pct" w:w="40%"/>
            <w:shd w:fill="E8EEF7" w:color="auto" w:val="clear"/>
          </w:tcPr>
          <w:p>
            <w:r>
              <w:rPr>
                <w:b/>
                <w:bCs/>
                <w:sz w:val="20"/>
                <w:szCs w:val="20"/>
              </w:rPr>
              <w:t xml:space="preserve">Site Address</w:t>
            </w:r>
          </w:p>
        </w:tc>
        <w:tc>
          <w:tcPr>
            <w:tcW w:type="pct" w:w="60%"/>
          </w:tcPr>
          <w:p>
            <w:r>
              <w:rPr>
                <w:color w:val="C00000"/>
                <w:sz w:val="20"/>
                <w:szCs w:val="20"/>
              </w:rPr>
              <w:t xml:space="preserve">[Site address]</w:t>
            </w:r>
          </w:p>
        </w:tc>
      </w:tr>
      <w:tr>
        <w:tc>
          <w:tcPr>
            <w:tcW w:type="pct" w:w="40%"/>
            <w:shd w:fill="E8EEF7" w:color="auto" w:val="clear"/>
          </w:tcPr>
          <w:p>
            <w:r>
              <w:rPr>
                <w:b/>
                <w:bCs/>
                <w:sz w:val="20"/>
                <w:szCs w:val="20"/>
              </w:rPr>
              <w:t xml:space="preserve">Start Date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Expected Duration</w:t>
            </w:r>
          </w:p>
        </w:tc>
        <w:tc>
          <w:tcPr>
            <w:tcW w:type="pct" w:w="60%"/>
          </w:tcPr>
          <w:p>
            <w:r>
              <w:rPr>
                <w:color w:val="C00000"/>
                <w:sz w:val="20"/>
                <w:szCs w:val="20"/>
              </w:rPr>
              <w:t xml:space="preserve">[Date or 'Ongoing — subject to client requirements']</w:t>
            </w:r>
          </w:p>
        </w:tc>
      </w:tr>
      <w:tr>
        <w:tc>
          <w:tcPr>
            <w:tcW w:type="pct" w:w="40%"/>
            <w:shd w:fill="E8EEF7" w:color="auto" w:val="clear"/>
          </w:tcPr>
          <w:p>
            <w:r>
              <w:rPr>
                <w:b/>
                <w:bCs/>
                <w:sz w:val="20"/>
                <w:szCs w:val="20"/>
              </w:rPr>
              <w:t xml:space="preserve">Minimum Hours Guaranteed</w:t>
            </w:r>
          </w:p>
        </w:tc>
        <w:tc>
          <w:tcPr>
            <w:tcW w:type="pct" w:w="60%"/>
          </w:tcPr>
          <w:p>
            <w:r>
              <w:rPr>
                <w:color w:val="000000"/>
                <w:sz w:val="20"/>
                <w:szCs w:val="20"/>
              </w:rPr>
              <w:t xml:space="preserve">None — assignments offered as available</w:t>
            </w:r>
          </w:p>
        </w:tc>
      </w:tr>
    </w:tbl>
    <w:p>
      <w:pPr>
        <w:spacing w:after="160"/>
      </w:pPr>
    </w:p>
    <w:p>
      <w:pPr>
        <w:pStyle w:val="Heading1"/>
        <w:spacing w:after="160" w:before="320"/>
      </w:pPr>
      <w:r>
        <w:t xml:space="preserve">Section 3 — Pay Rate and Deductions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Gross Assignment Rate (paid to Umbrella)</w:t>
            </w:r>
          </w:p>
        </w:tc>
        <w:tc>
          <w:tcPr>
            <w:tcW w:type="pct" w:w="60%"/>
          </w:tcPr>
          <w:p>
            <w:r>
              <w:rPr>
                <w:color w:val="C00000"/>
                <w:sz w:val="20"/>
                <w:szCs w:val="20"/>
              </w:rPr>
              <w:t xml:space="preserve">[£ per hour] — this is the rate PRL pays to your umbrella company</w:t>
            </w:r>
          </w:p>
        </w:tc>
      </w:tr>
      <w:tr>
        <w:tc>
          <w:tcPr>
            <w:tcW w:type="pct" w:w="40%"/>
            <w:shd w:fill="E8EEF7" w:color="auto" w:val="clear"/>
          </w:tcPr>
          <w:p>
            <w:r>
              <w:rPr>
                <w:b/>
                <w:bCs/>
                <w:sz w:val="20"/>
                <w:szCs w:val="20"/>
              </w:rPr>
              <w:t xml:space="preserve">Umbrella Company Name</w:t>
            </w:r>
          </w:p>
        </w:tc>
        <w:tc>
          <w:tcPr>
            <w:tcW w:type="pct" w:w="60%"/>
          </w:tcPr>
          <w:p>
            <w:r>
              <w:rPr>
                <w:color w:val="C00000"/>
                <w:sz w:val="20"/>
                <w:szCs w:val="20"/>
              </w:rPr>
              <w:t xml:space="preserve">[Name of umbrella company chosen by worker]</w:t>
            </w:r>
          </w:p>
        </w:tc>
      </w:tr>
      <w:tr>
        <w:tc>
          <w:tcPr>
            <w:tcW w:type="pct" w:w="40%"/>
            <w:shd w:fill="E8EEF7" w:color="auto" w:val="clear"/>
          </w:tcPr>
          <w:p>
            <w:r>
              <w:rPr>
                <w:b/>
                <w:bCs/>
                <w:sz w:val="20"/>
                <w:szCs w:val="20"/>
              </w:rPr>
              <w:t xml:space="preserve">Umbrella Margin</w:t>
            </w:r>
          </w:p>
        </w:tc>
        <w:tc>
          <w:tcPr>
            <w:tcW w:type="pct" w:w="60%"/>
          </w:tcPr>
          <w:p>
            <w:r>
              <w:rPr>
                <w:color w:val="C00000"/>
                <w:sz w:val="20"/>
                <w:szCs w:val="20"/>
              </w:rPr>
              <w:t xml:space="preserve">[£ per week / stated by umbrella company] — deducted by umbrella before net pay is calculated</w:t>
            </w:r>
          </w:p>
        </w:tc>
      </w:tr>
      <w:tr>
        <w:tc>
          <w:tcPr>
            <w:tcW w:type="pct" w:w="40%"/>
            <w:shd w:fill="E8EEF7" w:color="auto" w:val="clear"/>
          </w:tcPr>
          <w:p>
            <w:r>
              <w:rPr>
                <w:b/>
                <w:bCs/>
                <w:sz w:val="20"/>
                <w:szCs w:val="20"/>
              </w:rPr>
              <w:t xml:space="preserve">Employer's National Insurance</w:t>
            </w:r>
          </w:p>
        </w:tc>
        <w:tc>
          <w:tcPr>
            <w:tcW w:type="pct" w:w="60%"/>
          </w:tcPr>
          <w:p>
            <w:r>
              <w:rPr>
                <w:color w:val="000000"/>
                <w:sz w:val="20"/>
                <w:szCs w:val="20"/>
              </w:rPr>
              <w:t xml:space="preserve">Deducted by umbrella company from the assignment rate before calculating your gross salary</w:t>
            </w:r>
          </w:p>
        </w:tc>
      </w:tr>
      <w:tr>
        <w:tc>
          <w:tcPr>
            <w:tcW w:type="pct" w:w="40%"/>
            <w:shd w:fill="E8EEF7" w:color="auto" w:val="clear"/>
          </w:tcPr>
          <w:p>
            <w:r>
              <w:rPr>
                <w:b/>
                <w:bCs/>
                <w:sz w:val="20"/>
                <w:szCs w:val="20"/>
              </w:rPr>
              <w:t xml:space="preserve">Employee's National Insurance</w:t>
            </w:r>
          </w:p>
        </w:tc>
        <w:tc>
          <w:tcPr>
            <w:tcW w:type="pct" w:w="60%"/>
          </w:tcPr>
          <w:p>
            <w:r>
              <w:rPr>
                <w:color w:val="000000"/>
                <w:sz w:val="20"/>
                <w:szCs w:val="20"/>
              </w:rPr>
              <w:t xml:space="preserve">Deducted at source from your gross salary by the umbrella company</w:t>
            </w:r>
          </w:p>
        </w:tc>
      </w:tr>
      <w:tr>
        <w:tc>
          <w:tcPr>
            <w:tcW w:type="pct" w:w="40%"/>
            <w:shd w:fill="E8EEF7" w:color="auto" w:val="clear"/>
          </w:tcPr>
          <w:p>
            <w:r>
              <w:rPr>
                <w:b/>
                <w:bCs/>
                <w:sz w:val="20"/>
                <w:szCs w:val="20"/>
              </w:rPr>
              <w:t xml:space="preserve">Income Tax (PAYE)</w:t>
            </w:r>
          </w:p>
        </w:tc>
        <w:tc>
          <w:tcPr>
            <w:tcW w:type="pct" w:w="60%"/>
          </w:tcPr>
          <w:p>
            <w:r>
              <w:rPr>
                <w:color w:val="000000"/>
                <w:sz w:val="20"/>
                <w:szCs w:val="20"/>
              </w:rPr>
              <w:t xml:space="preserve">Deducted at source from your gross salary by the umbrella company</w:t>
            </w:r>
          </w:p>
        </w:tc>
      </w:tr>
      <w:tr>
        <w:tc>
          <w:tcPr>
            <w:tcW w:type="pct" w:w="40%"/>
            <w:shd w:fill="E8EEF7" w:color="auto" w:val="clear"/>
          </w:tcPr>
          <w:p>
            <w:r>
              <w:rPr>
                <w:b/>
                <w:bCs/>
                <w:sz w:val="20"/>
                <w:szCs w:val="20"/>
              </w:rPr>
              <w:t xml:space="preserve">Apprenticeship Levy</w:t>
            </w:r>
          </w:p>
        </w:tc>
        <w:tc>
          <w:tcPr>
            <w:tcW w:type="pct" w:w="60%"/>
          </w:tcPr>
          <w:p>
            <w:r>
              <w:rPr>
                <w:color w:val="000000"/>
                <w:sz w:val="20"/>
                <w:szCs w:val="20"/>
              </w:rPr>
              <w:t xml:space="preserve">0.5% of payroll — deducted by umbrella company</w:t>
            </w:r>
          </w:p>
        </w:tc>
      </w:tr>
      <w:tr>
        <w:tc>
          <w:tcPr>
            <w:tcW w:type="pct" w:w="40%"/>
            <w:shd w:fill="E8EEF7" w:color="auto" w:val="clear"/>
          </w:tcPr>
          <w:p>
            <w:r>
              <w:rPr>
                <w:b/>
                <w:bCs/>
                <w:sz w:val="20"/>
                <w:szCs w:val="20"/>
              </w:rPr>
              <w:t xml:space="preserve">Holiday Pay</w:t>
            </w:r>
          </w:p>
        </w:tc>
        <w:tc>
          <w:tcPr>
            <w:tcW w:type="pct" w:w="60%"/>
          </w:tcPr>
          <w:p>
            <w:r>
              <w:rPr>
                <w:color w:val="000000"/>
                <w:sz w:val="20"/>
                <w:szCs w:val="20"/>
              </w:rPr>
              <w:t xml:space="preserve">Accrued and paid by umbrella company — confirm rolled-up or paid-when-taken with your umbrella</w:t>
            </w:r>
          </w:p>
        </w:tc>
      </w:tr>
      <w:tr>
        <w:tc>
          <w:tcPr>
            <w:tcW w:type="pct" w:w="40%"/>
            <w:shd w:fill="E8EEF7" w:color="auto" w:val="clear"/>
          </w:tcPr>
          <w:p>
            <w:r>
              <w:rPr>
                <w:b/>
                <w:bCs/>
                <w:sz w:val="20"/>
                <w:szCs w:val="20"/>
              </w:rPr>
              <w:t xml:space="preserve">Pension (Auto-enrolment)</w:t>
            </w:r>
          </w:p>
        </w:tc>
        <w:tc>
          <w:tcPr>
            <w:tcW w:type="pct" w:w="60%"/>
          </w:tcPr>
          <w:p>
            <w:r>
              <w:rPr>
                <w:color w:val="000000"/>
                <w:sz w:val="20"/>
                <w:szCs w:val="20"/>
              </w:rPr>
              <w:t xml:space="preserve">If eligible, your umbrella company will auto-enrol you. Employee and employer contributions apply.</w:t>
            </w:r>
          </w:p>
        </w:tc>
      </w:tr>
      <w:tr>
        <w:tc>
          <w:tcPr>
            <w:tcW w:type="pct" w:w="40%"/>
            <w:shd w:fill="E8EEF7" w:color="auto" w:val="clear"/>
          </w:tcPr>
          <w:p>
            <w:r>
              <w:rPr>
                <w:b/>
                <w:bCs/>
                <w:sz w:val="20"/>
                <w:szCs w:val="20"/>
              </w:rPr>
              <w:t xml:space="preserve">Other Deductions</w:t>
            </w:r>
          </w:p>
        </w:tc>
        <w:tc>
          <w:tcPr>
            <w:tcW w:type="pct" w:w="60%"/>
          </w:tcPr>
          <w:p>
            <w:r>
              <w:rPr>
                <w:color w:val="000000"/>
                <w:sz w:val="20"/>
                <w:szCs w:val="20"/>
              </w:rPr>
              <w:t xml:space="preserve">Student loan, salary sacrifice — only if applicable to you. None made by PRL.</w:t>
            </w:r>
          </w:p>
        </w:tc>
      </w:tr>
      <w:tr>
        <w:tc>
          <w:tcPr>
            <w:tcW w:type="pct" w:w="40%"/>
            <w:shd w:fill="E8EEF7" w:color="auto" w:val="clear"/>
          </w:tcPr>
          <w:p>
            <w:r>
              <w:rPr>
                <w:b/>
                <w:bCs/>
                <w:sz w:val="20"/>
                <w:szCs w:val="20"/>
              </w:rPr>
              <w:t xml:space="preserve">PRL Deductions</w:t>
            </w:r>
          </w:p>
        </w:tc>
        <w:tc>
          <w:tcPr>
            <w:tcW w:type="pct" w:w="60%"/>
          </w:tcPr>
          <w:p>
            <w:r>
              <w:rPr>
                <w:color w:val="000000"/>
                <w:sz w:val="20"/>
                <w:szCs w:val="20"/>
              </w:rPr>
              <w:t xml:space="preserve">None — PRL makes no deductions. All deductions are made by your umbrella company.</w:t>
            </w:r>
          </w:p>
        </w:tc>
      </w:tr>
    </w:tbl>
    <w:p>
      <w:pPr>
        <w:spacing w:after="120"/>
      </w:pPr>
      <w:r>
        <w:rPr>
          <w:b/>
          <w:bCs/>
          <w:color w:val="C00000"/>
          <w:sz w:val="22"/>
          <w:szCs w:val="22"/>
        </w:rPr>
        <w:t xml:space="preserve">IMPORTANT: The umbrella company's margin and employment costs are deducted from the assignment rate before your gross salary is calculated. Your take-home pay will be lower than the assignment rate.</w:t>
      </w:r>
    </w:p>
    <w:p>
      <w:pPr>
        <w:spacing w:after="160"/>
      </w:pPr>
    </w:p>
    <w:p>
      <w:pPr>
        <w:pStyle w:val="Heading1"/>
        <w:spacing w:after="160" w:before="320"/>
      </w:pPr>
      <w:r>
        <w:t xml:space="preserve">Section 4 — Illustrative Example Statement</w:t>
      </w:r>
    </w:p>
    <w:p>
      <w:pPr>
        <w:spacing w:after="120"/>
      </w:pPr>
      <w:r>
        <w:rPr>
          <w:b w:val="false"/>
          <w:bCs w:val="false"/>
          <w:color w:val="444444"/>
          <w:sz w:val="22"/>
          <w:szCs w:val="22"/>
        </w:rPr>
        <w:t xml:space="preserve">The following worked example shows how umbrella deductions affect your take-home pay. These are representative figures based on a standard week. Your actual pay depends on your agreed rate, hours worked, tax code, and umbrella company margin.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65%"/>
            <w:shd w:fill="D9E2F3" w:color="auto" w:val="clear"/>
          </w:tcPr>
          <w:p>
            <w:r>
              <w:rPr>
                <w:b/>
                <w:bCs/>
                <w:color w:val="1F3864"/>
                <w:sz w:val="20"/>
                <w:szCs w:val="20"/>
              </w:rPr>
              <w:t xml:space="preserve">Illustrative example based on:</w:t>
            </w:r>
          </w:p>
        </w:tc>
        <w:tc>
          <w:tcPr>
            <w:tcW w:type="pct" w:w="35%"/>
            <w:shd w:fill="E8EEF7" w:color="auto" w:val="clear"/>
          </w:tcPr>
          <w:p>
            <w:r>
              <w:rPr>
                <w:b/>
                <w:bCs/>
                <w:color w:val="1F3864"/>
                <w:sz w:val="20"/>
                <w:szCs w:val="20"/>
              </w:rPr>
              <w:t xml:space="preserve">40 hrs @ £20.00/hr</w:t>
            </w:r>
          </w:p>
        </w:tc>
      </w:tr>
      <w:tr>
        <w:tc>
          <w:tcPr>
            <w:tcW w:type="pct" w:w="65%"/>
            <w:shd w:fill="F2F2F2" w:color="auto" w:val="clear"/>
          </w:tcPr>
          <w:p>
            <w:r>
              <w:rPr>
                <w:b w:val="false"/>
                <w:bCs w:val="false"/>
                <w:color w:val="000000"/>
                <w:sz w:val="20"/>
                <w:szCs w:val="20"/>
              </w:rPr>
              <w:t xml:space="preserve">Gross Assignment Rate (40 hrs × £20.00)</w:t>
            </w:r>
          </w:p>
        </w:tc>
        <w:tc>
          <w:tcPr>
            <w:tcW w:type="pct" w:w="35%"/>
            <w:shd w:fill="FFFFFF" w:color="auto" w:val="clear"/>
          </w:tcPr>
          <w:p>
            <w:r>
              <w:rPr>
                <w:b w:val="false"/>
                <w:bCs w:val="false"/>
                <w:color w:val="000000"/>
                <w:sz w:val="20"/>
                <w:szCs w:val="20"/>
              </w:rPr>
              <w:t xml:space="preserve">£800.00</w:t>
            </w:r>
          </w:p>
        </w:tc>
      </w:tr>
      <w:tr>
        <w:tc>
          <w:tcPr>
            <w:tcW w:type="pct" w:w="65%"/>
            <w:shd w:fill="F2F2F2" w:color="auto" w:val="clear"/>
          </w:tcPr>
          <w:p>
            <w:r>
              <w:rPr>
                <w:b w:val="false"/>
                <w:bCs w:val="false"/>
                <w:color w:val="000000"/>
                <w:sz w:val="20"/>
                <w:szCs w:val="20"/>
              </w:rPr>
              <w:t xml:space="preserve">Less: Employer's NI (13.8% on earnings above threshold, ~£95)</w:t>
            </w:r>
          </w:p>
        </w:tc>
        <w:tc>
          <w:tcPr>
            <w:tcW w:type="pct" w:w="35%"/>
            <w:shd w:fill="FFFFFF" w:color="auto" w:val="clear"/>
          </w:tcPr>
          <w:p>
            <w:r>
              <w:rPr>
                <w:b w:val="false"/>
                <w:bCs w:val="false"/>
                <w:color w:val="000000"/>
                <w:sz w:val="20"/>
                <w:szCs w:val="20"/>
              </w:rPr>
              <w:t xml:space="preserve">– £95.00</w:t>
            </w:r>
          </w:p>
        </w:tc>
      </w:tr>
      <w:tr>
        <w:tc>
          <w:tcPr>
            <w:tcW w:type="pct" w:w="65%"/>
            <w:shd w:fill="F2F2F2" w:color="auto" w:val="clear"/>
          </w:tcPr>
          <w:p>
            <w:r>
              <w:rPr>
                <w:b w:val="false"/>
                <w:bCs w:val="false"/>
                <w:color w:val="000000"/>
                <w:sz w:val="20"/>
                <w:szCs w:val="20"/>
              </w:rPr>
              <w:t xml:space="preserve">Less: Apprenticeship Levy (0.5%)</w:t>
            </w:r>
          </w:p>
        </w:tc>
        <w:tc>
          <w:tcPr>
            <w:tcW w:type="pct" w:w="35%"/>
            <w:shd w:fill="FFFFFF" w:color="auto" w:val="clear"/>
          </w:tcPr>
          <w:p>
            <w:r>
              <w:rPr>
                <w:b w:val="false"/>
                <w:bCs w:val="false"/>
                <w:color w:val="000000"/>
                <w:sz w:val="20"/>
                <w:szCs w:val="20"/>
              </w:rPr>
              <w:t xml:space="preserve">– £4.00</w:t>
            </w:r>
          </w:p>
        </w:tc>
      </w:tr>
      <w:tr>
        <w:tc>
          <w:tcPr>
            <w:tcW w:type="pct" w:w="65%"/>
            <w:shd w:fill="F2F2F2" w:color="auto" w:val="clear"/>
          </w:tcPr>
          <w:p>
            <w:r>
              <w:rPr>
                <w:b w:val="false"/>
                <w:bCs w:val="false"/>
                <w:color w:val="000000"/>
                <w:sz w:val="20"/>
                <w:szCs w:val="20"/>
              </w:rPr>
              <w:t xml:space="preserve">Less: Umbrella Margin (illustrative)</w:t>
            </w:r>
          </w:p>
        </w:tc>
        <w:tc>
          <w:tcPr>
            <w:tcW w:type="pct" w:w="35%"/>
            <w:shd w:fill="FFFFFF" w:color="auto" w:val="clear"/>
          </w:tcPr>
          <w:p>
            <w:r>
              <w:rPr>
                <w:b w:val="false"/>
                <w:bCs w:val="false"/>
                <w:color w:val="000000"/>
                <w:sz w:val="20"/>
                <w:szCs w:val="20"/>
              </w:rPr>
              <w:t xml:space="preserve">– £25.00</w:t>
            </w:r>
          </w:p>
        </w:tc>
      </w:tr>
      <w:tr>
        <w:tc>
          <w:tcPr>
            <w:tcW w:type="pct" w:w="65%"/>
            <w:shd w:fill="F2F2F2" w:color="auto" w:val="clear"/>
          </w:tcPr>
          <w:p>
            <w:r>
              <w:rPr>
                <w:b w:val="false"/>
                <w:bCs w:val="false"/>
                <w:color w:val="000000"/>
                <w:sz w:val="20"/>
                <w:szCs w:val="20"/>
              </w:rPr>
              <w:t xml:space="preserve">= Worker Gross Salary</w:t>
            </w:r>
          </w:p>
        </w:tc>
        <w:tc>
          <w:tcPr>
            <w:tcW w:type="pct" w:w="35%"/>
            <w:shd w:fill="FFFFFF" w:color="auto" w:val="clear"/>
          </w:tcPr>
          <w:p>
            <w:r>
              <w:rPr>
                <w:b w:val="false"/>
                <w:bCs w:val="false"/>
                <w:color w:val="000000"/>
                <w:sz w:val="20"/>
                <w:szCs w:val="20"/>
              </w:rPr>
              <w:t xml:space="preserve">£676.00</w:t>
            </w:r>
          </w:p>
        </w:tc>
      </w:tr>
      <w:tr>
        <w:tc>
          <w:tcPr>
            <w:tcW w:type="pct" w:w="65%"/>
            <w:shd w:fill="F2F2F2" w:color="auto" w:val="clear"/>
          </w:tcPr>
          <w:p>
            <w:r>
              <w:rPr>
                <w:b w:val="false"/>
                <w:bCs w:val="false"/>
                <w:color w:val="000000"/>
                <w:sz w:val="20"/>
                <w:szCs w:val="20"/>
              </w:rPr>
              <w:t xml:space="preserve">Less: Employee's NI (approx. 8% on earnings above threshold)</w:t>
            </w:r>
          </w:p>
        </w:tc>
        <w:tc>
          <w:tcPr>
            <w:tcW w:type="pct" w:w="35%"/>
            <w:shd w:fill="FFFFFF" w:color="auto" w:val="clear"/>
          </w:tcPr>
          <w:p>
            <w:r>
              <w:rPr>
                <w:b w:val="false"/>
                <w:bCs w:val="false"/>
                <w:color w:val="000000"/>
                <w:sz w:val="20"/>
                <w:szCs w:val="20"/>
              </w:rPr>
              <w:t xml:space="preserve">– £45.00</w:t>
            </w:r>
          </w:p>
        </w:tc>
      </w:tr>
      <w:tr>
        <w:tc>
          <w:tcPr>
            <w:tcW w:type="pct" w:w="65%"/>
            <w:shd w:fill="F2F2F2" w:color="auto" w:val="clear"/>
          </w:tcPr>
          <w:p>
            <w:r>
              <w:rPr>
                <w:b w:val="false"/>
                <w:bCs w:val="false"/>
                <w:color w:val="000000"/>
                <w:sz w:val="20"/>
                <w:szCs w:val="20"/>
              </w:rPr>
              <w:t xml:space="preserve">Less: Income Tax (20% basic rate, after personal allowance)</w:t>
            </w:r>
          </w:p>
        </w:tc>
        <w:tc>
          <w:tcPr>
            <w:tcW w:type="pct" w:w="35%"/>
            <w:shd w:fill="FFFFFF" w:color="auto" w:val="clear"/>
          </w:tcPr>
          <w:p>
            <w:r>
              <w:rPr>
                <w:b w:val="false"/>
                <w:bCs w:val="false"/>
                <w:color w:val="000000"/>
                <w:sz w:val="20"/>
                <w:szCs w:val="20"/>
              </w:rPr>
              <w:t xml:space="preserve">– £75.00</w:t>
            </w:r>
          </w:p>
        </w:tc>
      </w:tr>
      <w:tr>
        <w:tc>
          <w:tcPr>
            <w:tcW w:type="pct" w:w="65%"/>
            <w:shd w:fill="F2F2F2" w:color="auto" w:val="clear"/>
          </w:tcPr>
          <w:p>
            <w:r>
              <w:rPr>
                <w:b/>
                <w:bCs/>
                <w:color w:val="1F3864"/>
                <w:sz w:val="20"/>
                <w:szCs w:val="20"/>
              </w:rPr>
              <w:t xml:space="preserve">ESTIMATED NET TAKE-HOME PAY</w:t>
            </w:r>
          </w:p>
        </w:tc>
        <w:tc>
          <w:tcPr>
            <w:tcW w:type="pct" w:w="35%"/>
            <w:shd w:fill="E8EEF7" w:color="auto" w:val="clear"/>
          </w:tcPr>
          <w:p>
            <w:r>
              <w:rPr>
                <w:b/>
                <w:bCs/>
                <w:color w:val="1F3864"/>
                <w:sz w:val="20"/>
                <w:szCs w:val="20"/>
              </w:rPr>
              <w:t xml:space="preserve">£556.00</w:t>
            </w:r>
          </w:p>
        </w:tc>
      </w:tr>
      <w:tr>
        <w:tc>
          <w:tcPr>
            <w:tcW w:type="pct" w:w="65%"/>
            <w:shd w:fill="F2F2F2" w:color="auto" w:val="clear"/>
          </w:tcPr>
          <w:p>
            <w:r>
              <w:rPr>
                <w:b w:val="false"/>
                <w:bCs w:val="false"/>
                <w:color w:val="666666"/>
                <w:sz w:val="20"/>
                <w:szCs w:val="20"/>
              </w:rPr>
              <w:t xml:space="preserve">Holiday pay (if accrued separately @ 12.07%): ~£82/week</w:t>
            </w:r>
          </w:p>
        </w:tc>
        <w:tc>
          <w:tcPr>
            <w:tcW w:type="pct" w:w="35%"/>
            <w:shd w:fill="FFFFFF" w:color="auto" w:val="clear"/>
          </w:tcPr>
          <w:p>
            <w:r>
              <w:rPr>
                <w:b w:val="false"/>
                <w:bCs w:val="false"/>
                <w:color w:val="666666"/>
                <w:sz w:val="20"/>
                <w:szCs w:val="20"/>
              </w:rPr>
              <w:t xml:space="preserve"/>
            </w:r>
          </w:p>
        </w:tc>
      </w:tr>
      <w:tr>
        <w:tc>
          <w:tcPr>
            <w:tcW w:type="pct" w:w="65%"/>
            <w:shd w:fill="F2F2F2" w:color="auto" w:val="clear"/>
          </w:tcPr>
          <w:p>
            <w:r>
              <w:rPr>
                <w:b w:val="false"/>
                <w:bCs w:val="false"/>
                <w:color w:val="666666"/>
                <w:sz w:val="20"/>
                <w:szCs w:val="20"/>
              </w:rPr>
              <w:t xml:space="preserve">Note: These figures are illustrative only. Your actual take-home will vary depending on your tax code, pension contributions, student loan status, and the umbrella company's exact margin. Request a personalised illustration from your umbrella company.</w:t>
            </w:r>
          </w:p>
        </w:tc>
        <w:tc>
          <w:tcPr>
            <w:tcW w:type="pct" w:w="35%"/>
            <w:shd w:fill="FFFFFF" w:color="auto" w:val="clear"/>
          </w:tcPr>
          <w:p>
            <w:r>
              <w:rPr>
                <w:b w:val="false"/>
                <w:bCs w:val="false"/>
                <w:color w:val="666666"/>
                <w:sz w:val="20"/>
                <w:szCs w:val="20"/>
              </w:rPr>
              <w:t xml:space="preserve"/>
            </w:r>
          </w:p>
        </w:tc>
      </w:tr>
    </w:tbl>
    <w:p>
      <w:pPr>
        <w:spacing w:after="160"/>
      </w:pPr>
    </w:p>
    <w:p>
      <w:pPr>
        <w:pStyle w:val="Heading1"/>
        <w:spacing w:after="160" w:before="320"/>
      </w:pPr>
      <w:r>
        <w:t xml:space="preserve">Section 5 — Pay Frequency and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Pay Frequency</w:t>
            </w:r>
          </w:p>
        </w:tc>
        <w:tc>
          <w:tcPr>
            <w:tcW w:type="pct" w:w="60%"/>
          </w:tcPr>
          <w:p>
            <w:r>
              <w:rPr>
                <w:color w:val="000000"/>
                <w:sz w:val="20"/>
                <w:szCs w:val="20"/>
              </w:rPr>
              <w:t xml:space="preserve">Weekly — every Friday for the preceding week worked</w:t>
            </w:r>
          </w:p>
        </w:tc>
      </w:tr>
      <w:tr>
        <w:tc>
          <w:tcPr>
            <w:tcW w:type="pct" w:w="40%"/>
            <w:shd w:fill="E8EEF7" w:color="auto" w:val="clear"/>
          </w:tcPr>
          <w:p>
            <w:r>
              <w:rPr>
                <w:b/>
                <w:bCs/>
                <w:sz w:val="20"/>
                <w:szCs w:val="20"/>
              </w:rPr>
              <w:t xml:space="preserve">Payment Method</w:t>
            </w:r>
          </w:p>
        </w:tc>
        <w:tc>
          <w:tcPr>
            <w:tcW w:type="pct" w:w="60%"/>
          </w:tcPr>
          <w:p>
            <w:r>
              <w:rPr>
                <w:color w:val="000000"/>
                <w:sz w:val="20"/>
                <w:szCs w:val="20"/>
              </w:rPr>
              <w:t xml:space="preserve">BACS bank transfer to your personal or company account</w:t>
            </w:r>
          </w:p>
        </w:tc>
      </w:tr>
      <w:tr>
        <w:tc>
          <w:tcPr>
            <w:tcW w:type="pct" w:w="40%"/>
            <w:shd w:fill="E8EEF7" w:color="auto" w:val="clear"/>
          </w:tcPr>
          <w:p>
            <w:r>
              <w:rPr>
                <w:b/>
                <w:bCs/>
                <w:sz w:val="20"/>
                <w:szCs w:val="20"/>
              </w:rPr>
              <w:t xml:space="preserve">Timesheet Deadline</w:t>
            </w:r>
          </w:p>
        </w:tc>
        <w:tc>
          <w:tcPr>
            <w:tcW w:type="pct" w:w="60%"/>
          </w:tcPr>
          <w:p>
            <w:r>
              <w:rPr>
                <w:color w:val="000000"/>
                <w:sz w:val="20"/>
                <w:szCs w:val="20"/>
              </w:rPr>
              <w:t xml:space="preserve">Timesheets must be submitted and approved via PRISM by [day/time] each week</w:t>
            </w:r>
          </w:p>
        </w:tc>
      </w:tr>
    </w:tbl>
    <w:p>
      <w:pPr>
        <w:spacing w:after="160"/>
      </w:pPr>
    </w:p>
    <w:p>
      <w:pPr>
        <w:pStyle w:val="Heading1"/>
        <w:spacing w:after="160" w:before="320"/>
      </w:pPr>
      <w:r>
        <w:t xml:space="preserve">Section 6 — Holiday Entitlement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Statutory Entitlement</w:t>
            </w:r>
          </w:p>
        </w:tc>
        <w:tc>
          <w:tcPr>
            <w:tcW w:type="pct" w:w="60%"/>
          </w:tcPr>
          <w:p>
            <w:r>
              <w:rPr>
                <w:color w:val="000000"/>
                <w:sz w:val="20"/>
                <w:szCs w:val="20"/>
              </w:rPr>
              <w:t xml:space="preserve">5.6 weeks per year (28 days), pro-rated</w:t>
            </w:r>
          </w:p>
        </w:tc>
      </w:tr>
      <w:tr>
        <w:tc>
          <w:tcPr>
            <w:tcW w:type="pct" w:w="40%"/>
            <w:shd w:fill="E8EEF7" w:color="auto" w:val="clear"/>
          </w:tcPr>
          <w:p>
            <w:r>
              <w:rPr>
                <w:b/>
                <w:bCs/>
                <w:sz w:val="20"/>
                <w:szCs w:val="20"/>
              </w:rPr>
              <w:t xml:space="preserve">Method</w:t>
            </w:r>
          </w:p>
        </w:tc>
        <w:tc>
          <w:tcPr>
            <w:tcW w:type="pct" w:w="60%"/>
          </w:tcPr>
          <w:p>
            <w:r>
              <w:rPr>
                <w:color w:val="000000"/>
                <w:sz w:val="20"/>
                <w:szCs w:val="20"/>
              </w:rPr>
              <w:t xml:space="preserve">Holiday pay is paid when holiday is taken — not rolled up into the hourly rate</w:t>
            </w:r>
          </w:p>
        </w:tc>
      </w:tr>
      <w:tr>
        <w:tc>
          <w:tcPr>
            <w:tcW w:type="pct" w:w="40%"/>
            <w:shd w:fill="E8EEF7" w:color="auto" w:val="clear"/>
          </w:tcPr>
          <w:p>
            <w:r>
              <w:rPr>
                <w:b/>
                <w:bCs/>
                <w:sz w:val="20"/>
                <w:szCs w:val="20"/>
              </w:rPr>
              <w:t xml:space="preserve">How to Request</w:t>
            </w:r>
          </w:p>
        </w:tc>
        <w:tc>
          <w:tcPr>
            <w:tcW w:type="pct" w:w="60%"/>
          </w:tcPr>
          <w:p>
            <w:r>
              <w:rPr>
                <w:color w:val="000000"/>
                <w:sz w:val="20"/>
                <w:szCs w:val="20"/>
              </w:rPr>
              <w:t xml:space="preserve">Contact your PRL representative to book holiday</w:t>
            </w:r>
          </w:p>
        </w:tc>
      </w:tr>
    </w:tbl>
    <w:p>
      <w:pPr>
        <w:spacing w:after="160"/>
      </w:pPr>
    </w:p>
    <w:p>
      <w:pPr>
        <w:pStyle w:val="Heading1"/>
        <w:spacing w:after="160" w:before="320"/>
      </w:pPr>
      <w:r>
        <w:t xml:space="preserve">Section 7 — Agency Workers Regulations 2010</w:t>
      </w:r>
    </w:p>
    <w:p>
      <w:pPr>
        <w:spacing w:after="120"/>
      </w:pPr>
      <w:r>
        <w:rPr>
          <w:b w:val="false"/>
          <w:bCs w:val="false"/>
          <w:color w:val="000000"/>
          <w:sz w:val="22"/>
          <w:szCs w:val="22"/>
        </w:rPr>
        <w:t xml:space="preserve">From day one you have the right to access the hirer's collective facilities (canteen, car parking) and be notified of job vacancies. After 12 continuous weeks in the same role with the same hirer, you will be entitled to equal pay and working conditions as a comparable direct employee. PRL will notify you when you are approaching this threshold.</w:t>
      </w:r>
    </w:p>
    <w:p>
      <w:pPr>
        <w:spacing w:after="160"/>
      </w:pPr>
    </w:p>
    <w:p>
      <w:pPr>
        <w:pStyle w:val="Heading1"/>
        <w:spacing w:after="160" w:before="320"/>
      </w:pPr>
      <w:r>
        <w:t xml:space="preserve">Section 8 — When a New KID Will Be Issued</w:t>
      </w:r>
    </w:p>
    <w:p>
      <w:pPr>
        <w:pStyle w:val="ListParagraph"/>
        <w:numPr>
          <w:ilvl w:val="0"/>
          <w:numId w:val="1"/>
        </w:numPr>
        <w:spacing w:after="80"/>
      </w:pPr>
      <w:r>
        <w:rPr>
          <w:sz w:val="22"/>
          <w:szCs w:val="22"/>
        </w:rPr>
        <w:t xml:space="preserve">When you are placed in a new assignment or your engagement method changes</w:t>
      </w:r>
    </w:p>
    <w:p>
      <w:pPr>
        <w:pStyle w:val="ListParagraph"/>
        <w:numPr>
          <w:ilvl w:val="0"/>
          <w:numId w:val="1"/>
        </w:numPr>
        <w:spacing w:after="80"/>
      </w:pPr>
      <w:r>
        <w:rPr>
          <w:sz w:val="22"/>
          <w:szCs w:val="22"/>
        </w:rPr>
        <w:t xml:space="preserve">If your pay rate changes (a new KID is best practice)</w:t>
      </w:r>
    </w:p>
    <w:p>
      <w:pPr>
        <w:pStyle w:val="ListParagraph"/>
        <w:numPr>
          <w:ilvl w:val="0"/>
          <w:numId w:val="1"/>
        </w:numPr>
        <w:spacing w:after="80"/>
      </w:pPr>
      <w:r>
        <w:rPr>
          <w:sz w:val="22"/>
          <w:szCs w:val="22"/>
        </w:rPr>
        <w:t xml:space="preserve">If any new deduction is added or removed (e.g. student loan, pension change)</w:t>
      </w:r>
    </w:p>
    <w:p>
      <w:pPr>
        <w:pStyle w:val="ListParagraph"/>
        <w:numPr>
          <w:ilvl w:val="0"/>
          <w:numId w:val="1"/>
        </w:numPr>
        <w:spacing w:after="80"/>
      </w:pPr>
      <w:r>
        <w:rPr>
          <w:sz w:val="22"/>
          <w:szCs w:val="22"/>
        </w:rPr>
        <w:t xml:space="preserve">If your umbrella company or payment vehicle changes</w:t>
      </w:r>
    </w:p>
    <w:p>
      <w:pPr>
        <w:spacing w:after="160"/>
      </w:pPr>
    </w:p>
    <w:p>
      <w:pPr>
        <w:pStyle w:val="Heading1"/>
        <w:spacing w:after="160" w:before="320"/>
      </w:pPr>
      <w:r>
        <w:t xml:space="preserve">Section 9 — Contact and Complaints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General Enquiries</w:t>
            </w:r>
          </w:p>
        </w:tc>
        <w:tc>
          <w:tcPr>
            <w:tcW w:type="pct" w:w="60%"/>
          </w:tcPr>
          <w:p>
            <w:r>
              <w:rPr>
                <w:color w:val="000000"/>
                <w:sz w:val="20"/>
                <w:szCs w:val="20"/>
              </w:rPr>
              <w:t xml:space="preserve">info@prlsitesolutions.co.uk | 0800 772 3959</w:t>
            </w:r>
          </w:p>
        </w:tc>
      </w:tr>
      <w:tr>
        <w:tc>
          <w:tcPr>
            <w:tcW w:type="pct" w:w="40%"/>
            <w:shd w:fill="E8EEF7" w:color="auto" w:val="clear"/>
          </w:tcPr>
          <w:p>
            <w:r>
              <w:rPr>
                <w:b/>
                <w:bCs/>
                <w:sz w:val="20"/>
                <w:szCs w:val="20"/>
              </w:rPr>
              <w:t xml:space="preserve">Pay Queries</w:t>
            </w:r>
          </w:p>
        </w:tc>
        <w:tc>
          <w:tcPr>
            <w:tcW w:type="pct" w:w="60%"/>
          </w:tcPr>
          <w:p>
            <w:r>
              <w:rPr>
                <w:color w:val="000000"/>
                <w:sz w:val="20"/>
                <w:szCs w:val="20"/>
              </w:rPr>
              <w:t xml:space="preserve">www.prismworkforce.online/payment-query</w:t>
            </w:r>
          </w:p>
        </w:tc>
      </w:tr>
      <w:tr>
        <w:tc>
          <w:tcPr>
            <w:tcW w:type="pct" w:w="40%"/>
            <w:shd w:fill="E8EEF7" w:color="auto" w:val="clear"/>
          </w:tcPr>
          <w:p>
            <w:r>
              <w:rPr>
                <w:b/>
                <w:bCs/>
                <w:sz w:val="20"/>
                <w:szCs w:val="20"/>
              </w:rPr>
              <w:t xml:space="preserve">Complaints</w:t>
            </w:r>
          </w:p>
        </w:tc>
        <w:tc>
          <w:tcPr>
            <w:tcW w:type="pct" w:w="60%"/>
          </w:tcPr>
          <w:p>
            <w:r>
              <w:rPr>
                <w:color w:val="000000"/>
                <w:sz w:val="20"/>
                <w:szCs w:val="20"/>
              </w:rPr>
              <w:t xml:space="preserve">Director — info@prlsitesolutions.co.uk</w:t>
            </w:r>
          </w:p>
        </w:tc>
      </w:tr>
      <w:tr>
        <w:tc>
          <w:tcPr>
            <w:tcW w:type="pct" w:w="40%"/>
            <w:shd w:fill="E8EEF7" w:color="auto" w:val="clear"/>
          </w:tcPr>
          <w:p>
            <w:r>
              <w:rPr>
                <w:b/>
                <w:bCs/>
                <w:sz w:val="20"/>
                <w:szCs w:val="20"/>
              </w:rPr>
              <w:t xml:space="preserve">ACAS (independent advice)</w:t>
            </w:r>
          </w:p>
        </w:tc>
        <w:tc>
          <w:tcPr>
            <w:tcW w:type="pct" w:w="60%"/>
          </w:tcPr>
          <w:p>
            <w:r>
              <w:rPr>
                <w:color w:val="000000"/>
                <w:sz w:val="20"/>
                <w:szCs w:val="20"/>
              </w:rPr>
              <w:t xml:space="preserve">0300 123 1100</w:t>
            </w:r>
          </w:p>
        </w:tc>
      </w:tr>
    </w:tbl>
    <w:p>
      <w:pPr>
        <w:spacing w:after="160"/>
      </w:pPr>
    </w:p>
    <w:p>
      <w:pPr>
        <w:spacing w:after="120" w:before="320"/>
      </w:pPr>
      <w:r>
        <w:rPr>
          <w:b/>
          <w:bCs/>
          <w:sz w:val="24"/>
          <w:szCs w:val="24"/>
        </w:rPr>
        <w:t xml:space="preserve">Worker Acknowledgement</w:t>
      </w:r>
    </w:p>
    <w:p>
      <w:pPr>
        <w:spacing w:after="120"/>
      </w:pPr>
      <w:r>
        <w:rPr>
          <w:b w:val="false"/>
          <w:bCs w:val="false"/>
          <w:color w:val="000000"/>
          <w:sz w:val="22"/>
          <w:szCs w:val="22"/>
        </w:rPr>
        <w:t xml:space="preserve">By signing below I confirm I have received and read this Key Information Document before agreeing to work through PRL Site Solutions Ltd.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Full Name (print)</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Worker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Representative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 Issued</w:t>
            </w:r>
          </w:p>
        </w:tc>
        <w:tc>
          <w:tcPr>
            <w:tcW w:type="pct" w:w="60%"/>
          </w:tcPr>
          <w:p>
            <w:r>
              <w:rPr>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2026-05-19T12:28:56.067Z</dcterms:created>
  <dcterms:modified xsi:type="dcterms:W3CDTF">2026-05-19T12:28:56.067Z</dcterms:modified>
</cp:coreProperties>
</file>

<file path=docProps/custom.xml><?xml version="1.0" encoding="utf-8"?>
<Properties xmlns="http://schemas.openxmlformats.org/officeDocument/2006/custom-properties" xmlns:vt="http://schemas.openxmlformats.org/officeDocument/2006/docPropsVTypes"/>
</file>