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PRL Site Solutions Ltd</w:t>
      </w:r>
    </w:p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Risk Assessment — Corporate Criminal Offence</w:t>
      </w:r>
    </w:p>
    <w:p>
      <w:pPr>
        <w:spacing w:after="320"/>
        <w:jc w:val="center"/>
      </w:pPr>
      <w:r>
        <w:rPr>
          <w:color w:val="666666"/>
          <w:sz w:val="18"/>
          <w:szCs w:val="18"/>
        </w:rPr>
        <w:t xml:space="preserve">Document Ref: PRL-RAMS-CCO-001  |  Version: 1.0  |  Issue Date: 19 May 2026  |  Review: May 2027</w:t>
      </w:r>
    </w:p>
    <w:p>
      <w:pPr>
        <w:pStyle w:val="Heading1"/>
        <w:spacing w:after="160" w:before="320"/>
      </w:pPr>
      <w:r>
        <w:t xml:space="preserve">1. 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PRL Site Solutions Ltd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Financial operations, contractor payments, tax compliance, supply chain management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Legislation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Criminal Finances Act 2017 (Part 3)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Director / Compliance Lead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 of Assessment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19 May 2026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May 2027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2. Purpose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risk assessment identifies the risks of PRL Site Solutions Ltd or its associated persons facilitating tax evasion, as defined under Part 3 of the Criminal Finances Act 2017, and sets out the prevention procedures and controls in place.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3. Risk Rating Key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Risk Rating = Likelihood (1–5) × Severity (1–5)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1–8: Low — monitor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9–15: Medium — additional controls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16–25: High — immediate action required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4. Risk Assessment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Hazard / Risk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Affected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
(1–5)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
(1–5)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Rating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pct" w:w="12%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Contractor payroll</w:t>
            </w:r>
          </w:p>
        </w:tc>
        <w:tc>
          <w:p>
            <w:r>
              <w:rPr>
                <w:sz w:val="18"/>
                <w:szCs w:val="18"/>
              </w:rPr>
              <w:t xml:space="preserve">Contractor operating outside IR35; company facilitates false employment status declaration</w:t>
            </w:r>
          </w:p>
        </w:tc>
        <w:tc>
          <w:p>
            <w:r>
              <w:rPr>
                <w:sz w:val="18"/>
                <w:szCs w:val="18"/>
              </w:rPr>
              <w:t xml:space="preserve">Contractors / HMRC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10 – Medium</w:t>
            </w:r>
          </w:p>
        </w:tc>
        <w:tc>
          <w:p>
            <w:r>
              <w:rPr>
                <w:sz w:val="18"/>
                <w:szCs w:val="18"/>
              </w:rPr>
              <w:t xml:space="preserve">IR35 status determined at engagement; HMRC CEST tool used; contractual terms reflect actual working arrangements; records retained in PRISM</w:t>
            </w:r>
          </w:p>
        </w:tc>
        <w:tc>
          <w:p>
            <w:r>
              <w:rPr>
                <w:sz w:val="18"/>
                <w:szCs w:val="18"/>
              </w:rPr>
              <w:t xml:space="preserve">4 – Low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Cash-in-hand payments</w:t>
            </w:r>
          </w:p>
        </w:tc>
        <w:tc>
          <w:p>
            <w:r>
              <w:rPr>
                <w:sz w:val="18"/>
                <w:szCs w:val="18"/>
              </w:rPr>
              <w:t xml:space="preserve">Payments made in cash enabling tax evasion by workers</w:t>
            </w:r>
          </w:p>
        </w:tc>
        <w:tc>
          <w:p>
            <w:r>
              <w:rPr>
                <w:sz w:val="18"/>
                <w:szCs w:val="18"/>
              </w:rPr>
              <w:t xml:space="preserve">Workers / HMRC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5 – Low</w:t>
            </w:r>
          </w:p>
        </w:tc>
        <w:tc>
          <w:p>
            <w:r>
              <w:rPr>
                <w:sz w:val="18"/>
                <w:szCs w:val="18"/>
              </w:rPr>
              <w:t xml:space="preserve">All payments made via bank transfer only; no cash payments policy in place; PRISM records all transactions</w:t>
            </w:r>
          </w:p>
        </w:tc>
        <w:tc>
          <w:p>
            <w:r>
              <w:rPr>
                <w:sz w:val="18"/>
                <w:szCs w:val="18"/>
              </w:rPr>
              <w:t xml:space="preserve">1 – Low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Supply chain — labour providers</w:t>
            </w:r>
          </w:p>
        </w:tc>
        <w:tc>
          <w:p>
            <w:r>
              <w:rPr>
                <w:sz w:val="18"/>
                <w:szCs w:val="18"/>
              </w:rPr>
              <w:t xml:space="preserve">Labour provider engaged by PRL fails to declare worker income / operates fraudulent payroll</w:t>
            </w:r>
          </w:p>
        </w:tc>
        <w:tc>
          <w:p>
            <w:r>
              <w:rPr>
                <w:sz w:val="18"/>
                <w:szCs w:val="18"/>
              </w:rPr>
              <w:t xml:space="preserve">Supply chain / HMRC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8 – Low</w:t>
            </w:r>
          </w:p>
        </w:tc>
        <w:tc>
          <w:p>
            <w:r>
              <w:rPr>
                <w:sz w:val="18"/>
                <w:szCs w:val="18"/>
              </w:rPr>
              <w:t xml:space="preserve">Supplier due diligence includes confirmation of PAYE/payroll compliance; contractual anti-facilitation clause; preference for accredited or GLAA-licensed providers</w:t>
            </w:r>
          </w:p>
        </w:tc>
        <w:tc>
          <w:p>
            <w:r>
              <w:rPr>
                <w:sz w:val="18"/>
                <w:szCs w:val="18"/>
              </w:rPr>
              <w:t xml:space="preserve">2 – Low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Umbrella company usage</w:t>
            </w:r>
          </w:p>
        </w:tc>
        <w:tc>
          <w:p>
            <w:r>
              <w:rPr>
                <w:sz w:val="18"/>
                <w:szCs w:val="18"/>
              </w:rPr>
              <w:t xml:space="preserve">Umbrella company used by contractors facilitates tax avoidance schemes</w:t>
            </w:r>
          </w:p>
        </w:tc>
        <w:tc>
          <w:p>
            <w:r>
              <w:rPr>
                <w:sz w:val="18"/>
                <w:szCs w:val="18"/>
              </w:rPr>
              <w:t xml:space="preserve">Contractors / HMRC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8 – Low</w:t>
            </w:r>
          </w:p>
        </w:tc>
        <w:tc>
          <w:p>
            <w:r>
              <w:rPr>
                <w:sz w:val="18"/>
                <w:szCs w:val="18"/>
              </w:rPr>
              <w:t xml:space="preserve">Contractors informed of risks of non-compliant umbrella schemes; HMRC's managed service company rules communicated; only compliant payment vehicles accepted</w:t>
            </w:r>
          </w:p>
        </w:tc>
        <w:tc>
          <w:p>
            <w:r>
              <w:rPr>
                <w:sz w:val="18"/>
                <w:szCs w:val="18"/>
              </w:rPr>
              <w:t xml:space="preserve">2 – Low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Client billing / invoicing</w:t>
            </w:r>
          </w:p>
        </w:tc>
        <w:tc>
          <w:p>
            <w:r>
              <w:rPr>
                <w:sz w:val="18"/>
                <w:szCs w:val="18"/>
              </w:rPr>
              <w:t xml:space="preserve">False invoicing or inflated billing to conceal income</w:t>
            </w:r>
          </w:p>
        </w:tc>
        <w:tc>
          <w:p>
            <w:r>
              <w:rPr>
                <w:sz w:val="18"/>
                <w:szCs w:val="18"/>
              </w:rPr>
              <w:t xml:space="preserve">Clients / HMRC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5 – Low</w:t>
            </w:r>
          </w:p>
        </w:tc>
        <w:tc>
          <w:p>
            <w:r>
              <w:rPr>
                <w:sz w:val="18"/>
                <w:szCs w:val="18"/>
              </w:rPr>
              <w:t xml:space="preserve">Invoices reconciled against timesheets; external accountant reviews quarterly; segregation of duties between operations and finance</w:t>
            </w:r>
          </w:p>
        </w:tc>
        <w:tc>
          <w:p>
            <w:r>
              <w:rPr>
                <w:sz w:val="18"/>
                <w:szCs w:val="18"/>
              </w:rPr>
              <w:t xml:space="preserve">1 – Low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Staff / director conduct</w:t>
            </w:r>
          </w:p>
        </w:tc>
        <w:tc>
          <w:p>
            <w:r>
              <w:rPr>
                <w:sz w:val="18"/>
                <w:szCs w:val="18"/>
              </w:rPr>
              <w:t xml:space="preserve">Employee or director acts dishonestly to facilitate another person's tax evasion</w:t>
            </w:r>
          </w:p>
        </w:tc>
        <w:tc>
          <w:p>
            <w:r>
              <w:rPr>
                <w:sz w:val="18"/>
                <w:szCs w:val="18"/>
              </w:rPr>
              <w:t xml:space="preserve">HMRC / third parties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5 – Low</w:t>
            </w:r>
          </w:p>
        </w:tc>
        <w:tc>
          <w:p>
            <w:r>
              <w:rPr>
                <w:sz w:val="18"/>
                <w:szCs w:val="18"/>
              </w:rPr>
              <w:t xml:space="preserve">Annual compliance training for all staff; Code of Conduct signed by all employees; Whistleblowing Policy provides anonymous reporting route; zero-tolerance policy enforced</w:t>
            </w:r>
          </w:p>
        </w:tc>
        <w:tc>
          <w:p>
            <w:r>
              <w:rPr>
                <w:sz w:val="18"/>
                <w:szCs w:val="18"/>
              </w:rPr>
              <w:t xml:space="preserve">1 – Low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5. Prevention Procedures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contractor payments made via bank transfer to personal accounts — no cash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IR35 status assessed at point of engagement using HMRC CEST tool; records stored in PRISM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Anti-facilitation clause included in all supplier and subcontractor contracts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Annual staff training covering Criminal Finances Act 2017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Whistleblowing Policy provides a confidential route for reporting suspected tax evasion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Quarterly finance review by external accountant; invoice reconciliation against timesheets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Contractors advised against use of non-compliant umbrella or mini-umbrella schemes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6. Review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risk assessment will be reviewed annually or following any material change in legislation, HMRC guidance, or company operations. Next review: May 2027.</w:t>
      </w:r>
    </w:p>
    <w:p>
      <w:pPr>
        <w:pStyle w:val="Heading1"/>
        <w:spacing w:after="160" w:before="320"/>
      </w:pPr>
      <w:r>
        <w:t xml:space="preserve">7.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Assessed by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Director, PRL Site Solutions Ltd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19 May 2026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Document Ref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PRL-RAMS-CCO-001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pct" w:w="75%"/>
          </w:tcPr>
          <w:p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2026-05-19T10:35:06.738Z</dcterms:created>
  <dcterms:modified xsi:type="dcterms:W3CDTF">2026-05-19T10:35:06.738Z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