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PRL Site Solutions Ltd</w:t>
      </w:r>
    </w:p>
    <w:p>
      <w:pPr>
        <w:spacing w:after="80"/>
        <w:jc w:val="center"/>
      </w:pPr>
      <w:r>
        <w:rPr>
          <w:b/>
          <w:bCs/>
          <w:color w:val="1F3864"/>
          <w:sz w:val="32"/>
          <w:szCs w:val="32"/>
        </w:rPr>
        <w:t xml:space="preserve">Risk Assessment — Modern Slavery</w:t>
      </w:r>
    </w:p>
    <w:p>
      <w:pPr>
        <w:spacing w:after="320"/>
        <w:jc w:val="center"/>
      </w:pPr>
      <w:r>
        <w:rPr>
          <w:color w:val="666666"/>
          <w:sz w:val="18"/>
          <w:szCs w:val="18"/>
        </w:rPr>
        <w:t xml:space="preserve">Document Ref: PRL-RAMS-MS-001  |  Version: 1.0  |  Issue Date: 19 May 2026  |  Review: May 2027</w:t>
      </w:r>
    </w:p>
    <w:p>
      <w:pPr>
        <w:pStyle w:val="Heading1"/>
        <w:spacing w:after="160" w:before="320"/>
      </w:pPr>
      <w:r>
        <w:t xml:space="preserve">1. 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Pr>
          <w:p>
            <w:r>
              <w:rPr>
                <w:b/>
                <w:bCs/>
                <w:color w:val="000000"/>
                <w:sz w:val="20"/>
                <w:szCs w:val="20"/>
              </w:rPr>
              <w:t xml:space="preserve">Company</w:t>
            </w:r>
          </w:p>
        </w:tc>
        <w:tc>
          <w:tcPr>
            <w:tcW w:type="pct" w:w="75%"/>
          </w:tcPr>
          <w:p>
            <w:r>
              <w:rPr>
                <w:color w:val="000000"/>
                <w:sz w:val="20"/>
                <w:szCs w:val="20"/>
              </w:rPr>
              <w:t xml:space="preserve">PRL Site Solutions Ltd</w:t>
            </w:r>
          </w:p>
        </w:tc>
      </w:tr>
      <w:tr>
        <w:tc>
          <w:tcPr>
            <w:tcW w:type="pct" w:w="25%"/>
          </w:tcPr>
          <w:p>
            <w:r>
              <w:rPr>
                <w:b/>
                <w:bCs/>
                <w:color w:val="000000"/>
                <w:sz w:val="20"/>
                <w:szCs w:val="20"/>
              </w:rPr>
              <w:t xml:space="preserve">Activity</w:t>
            </w:r>
          </w:p>
        </w:tc>
        <w:tc>
          <w:tcPr>
            <w:tcW w:type="pct" w:w="75%"/>
          </w:tcPr>
          <w:p>
            <w:r>
              <w:rPr>
                <w:color w:val="000000"/>
                <w:sz w:val="20"/>
                <w:szCs w:val="20"/>
              </w:rPr>
              <w:t xml:space="preserve">Recruitment, contractor management, supply chain operations</w:t>
            </w:r>
          </w:p>
        </w:tc>
      </w:tr>
      <w:tr>
        <w:tc>
          <w:tcPr>
            <w:tcW w:type="pct" w:w="25%"/>
          </w:tcPr>
          <w:p>
            <w:r>
              <w:rPr>
                <w:b/>
                <w:bCs/>
                <w:color w:val="000000"/>
                <w:sz w:val="20"/>
                <w:szCs w:val="20"/>
              </w:rPr>
              <w:t xml:space="preserve">Legislation</w:t>
            </w:r>
          </w:p>
        </w:tc>
        <w:tc>
          <w:tcPr>
            <w:tcW w:type="pct" w:w="75%"/>
          </w:tcPr>
          <w:p>
            <w:r>
              <w:rPr>
                <w:color w:val="000000"/>
                <w:sz w:val="20"/>
                <w:szCs w:val="20"/>
              </w:rPr>
              <w:t xml:space="preserve">Modern Slavery Act 2015</w:t>
            </w:r>
          </w:p>
        </w:tc>
      </w:tr>
      <w:tr>
        <w:tc>
          <w:tcPr>
            <w:tcW w:type="pct" w:w="25%"/>
          </w:tcPr>
          <w:p>
            <w:r>
              <w:rPr>
                <w:b/>
                <w:bCs/>
                <w:color w:val="000000"/>
                <w:sz w:val="20"/>
                <w:szCs w:val="20"/>
              </w:rPr>
              <w:t xml:space="preserve">Assessor</w:t>
            </w:r>
          </w:p>
        </w:tc>
        <w:tc>
          <w:tcPr>
            <w:tcW w:type="pct" w:w="75%"/>
          </w:tcPr>
          <w:p>
            <w:r>
              <w:rPr>
                <w:color w:val="000000"/>
                <w:sz w:val="20"/>
                <w:szCs w:val="20"/>
              </w:rPr>
              <w:t xml:space="preserve">Director / Compliance Lead</w:t>
            </w:r>
          </w:p>
        </w:tc>
      </w:tr>
      <w:tr>
        <w:tc>
          <w:tcPr>
            <w:tcW w:type="pct" w:w="25%"/>
          </w:tcPr>
          <w:p>
            <w:r>
              <w:rPr>
                <w:b/>
                <w:bCs/>
                <w:color w:val="000000"/>
                <w:sz w:val="20"/>
                <w:szCs w:val="20"/>
              </w:rPr>
              <w:t xml:space="preserve">Date of Assessment</w:t>
            </w:r>
          </w:p>
        </w:tc>
        <w:tc>
          <w:tcPr>
            <w:tcW w:type="pct" w:w="75%"/>
          </w:tcPr>
          <w:p>
            <w:r>
              <w:rPr>
                <w:color w:val="000000"/>
                <w:sz w:val="20"/>
                <w:szCs w:val="20"/>
              </w:rPr>
              <w:t xml:space="preserve">19 May 2026</w:t>
            </w:r>
          </w:p>
        </w:tc>
      </w:tr>
      <w:tr>
        <w:tc>
          <w:tcPr>
            <w:tcW w:type="pct" w:w="25%"/>
          </w:tcPr>
          <w:p>
            <w:r>
              <w:rPr>
                <w:b/>
                <w:bCs/>
                <w:color w:val="000000"/>
                <w:sz w:val="20"/>
                <w:szCs w:val="20"/>
              </w:rPr>
              <w:t xml:space="preserve">Review Date</w:t>
            </w:r>
          </w:p>
        </w:tc>
        <w:tc>
          <w:tcPr>
            <w:tcW w:type="pct" w:w="75%"/>
          </w:tcPr>
          <w:p>
            <w:r>
              <w:rPr>
                <w:color w:val="000000"/>
                <w:sz w:val="20"/>
                <w:szCs w:val="20"/>
              </w:rPr>
              <w:t xml:space="preserve">May 2027</w:t>
            </w:r>
          </w:p>
        </w:tc>
      </w:tr>
    </w:tbl>
    <w:p>
      <w:pPr>
        <w:spacing w:after="160"/>
      </w:pPr>
    </w:p>
    <w:p>
      <w:pPr>
        <w:pStyle w:val="Heading1"/>
        <w:spacing w:after="160" w:before="320"/>
      </w:pPr>
      <w:r>
        <w:t xml:space="preserve">2. Purpose</w:t>
      </w:r>
    </w:p>
    <w:p>
      <w:pPr>
        <w:spacing w:after="120"/>
      </w:pPr>
      <w:r>
        <w:rPr>
          <w:b w:val="false"/>
          <w:bCs w:val="false"/>
          <w:sz w:val="22"/>
          <w:szCs w:val="22"/>
        </w:rPr>
        <w:t xml:space="preserve">This risk assessment identifies the potential risks of modern slavery, forced labour, and human trafficking within PRL Site Solutions Ltd's operations and supply chain, and sets out the control measures in place to mitigate those risks.</w:t>
      </w:r>
    </w:p>
    <w:p>
      <w:pPr>
        <w:spacing w:after="160"/>
      </w:pPr>
    </w:p>
    <w:p>
      <w:pPr>
        <w:pStyle w:val="Heading1"/>
        <w:spacing w:after="160" w:before="320"/>
      </w:pPr>
      <w:r>
        <w:t xml:space="preserve">3. Risk Rating Key</w:t>
      </w:r>
    </w:p>
    <w:p>
      <w:pPr>
        <w:spacing w:after="120"/>
      </w:pPr>
      <w:r>
        <w:rPr>
          <w:b w:val="false"/>
          <w:bCs w:val="false"/>
          <w:sz w:val="22"/>
          <w:szCs w:val="22"/>
        </w:rPr>
        <w:t xml:space="preserve">Risk Rating = Likelihood (1–5) × Severity (1–5)</w:t>
      </w:r>
    </w:p>
    <w:p>
      <w:pPr>
        <w:pStyle w:val="ListParagraph"/>
        <w:numPr>
          <w:ilvl w:val="0"/>
          <w:numId w:val="1"/>
        </w:numPr>
        <w:spacing w:after="80"/>
      </w:pPr>
      <w:r>
        <w:rPr>
          <w:sz w:val="22"/>
          <w:szCs w:val="22"/>
        </w:rPr>
        <w:t xml:space="preserve">1–8: Low — monitor</w:t>
      </w:r>
    </w:p>
    <w:p>
      <w:pPr>
        <w:pStyle w:val="ListParagraph"/>
        <w:numPr>
          <w:ilvl w:val="0"/>
          <w:numId w:val="1"/>
        </w:numPr>
        <w:spacing w:after="80"/>
      </w:pPr>
      <w:r>
        <w:rPr>
          <w:sz w:val="22"/>
          <w:szCs w:val="22"/>
        </w:rPr>
        <w:t xml:space="preserve">9–15: Medium — additional controls required</w:t>
      </w:r>
    </w:p>
    <w:p>
      <w:pPr>
        <w:pStyle w:val="ListParagraph"/>
        <w:numPr>
          <w:ilvl w:val="0"/>
          <w:numId w:val="1"/>
        </w:numPr>
        <w:spacing w:after="80"/>
      </w:pPr>
      <w:r>
        <w:rPr>
          <w:sz w:val="22"/>
          <w:szCs w:val="22"/>
        </w:rPr>
        <w:t xml:space="preserve">16–25: High — immediate action required</w:t>
      </w:r>
    </w:p>
    <w:p>
      <w:pPr>
        <w:spacing w:after="160"/>
      </w:pPr>
    </w:p>
    <w:p>
      <w:pPr>
        <w:pStyle w:val="Heading1"/>
        <w:spacing w:after="160" w:before="320"/>
      </w:pPr>
      <w:r>
        <w:t xml:space="preserve">4. Risk Assessment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pct" w:w="12%"/>
            <w:shd w:fill="1F3864" w:color="auto" w:val="clear"/>
          </w:tcPr>
          <w:p>
            <w:r>
              <w:rPr>
                <w:b/>
                <w:bCs/>
                <w:color w:val="FFFFFF"/>
                <w:sz w:val="18"/>
                <w:szCs w:val="18"/>
              </w:rPr>
              <w:t xml:space="preserve">Activity</w:t>
            </w:r>
          </w:p>
        </w:tc>
        <w:tc>
          <w:tcPr>
            <w:tcW w:type="pct" w:w="12%"/>
            <w:shd w:fill="1F3864" w:color="auto" w:val="clear"/>
          </w:tcPr>
          <w:p>
            <w:r>
              <w:rPr>
                <w:b/>
                <w:bCs/>
                <w:color w:val="FFFFFF"/>
                <w:sz w:val="18"/>
                <w:szCs w:val="18"/>
              </w:rPr>
              <w:t xml:space="preserve">Hazard / Risk</w:t>
            </w:r>
          </w:p>
        </w:tc>
        <w:tc>
          <w:tcPr>
            <w:tcW w:type="pct" w:w="12%"/>
            <w:shd w:fill="1F3864" w:color="auto" w:val="clear"/>
          </w:tcPr>
          <w:p>
            <w:r>
              <w:rPr>
                <w:b/>
                <w:bCs/>
                <w:color w:val="FFFFFF"/>
                <w:sz w:val="18"/>
                <w:szCs w:val="18"/>
              </w:rPr>
              <w:t xml:space="preserve">Who Affected</w:t>
            </w:r>
          </w:p>
        </w:tc>
        <w:tc>
          <w:tcPr>
            <w:tcW w:type="pct" w:w="12%"/>
            <w:shd w:fill="1F3864" w:color="auto" w:val="clear"/>
          </w:tcPr>
          <w:p>
            <w:r>
              <w:rPr>
                <w:b/>
                <w:bCs/>
                <w:color w:val="FFFFFF"/>
                <w:sz w:val="18"/>
                <w:szCs w:val="18"/>
              </w:rPr>
              <w:t xml:space="preserve">Likelihood
(1–5)</w:t>
            </w:r>
          </w:p>
        </w:tc>
        <w:tc>
          <w:tcPr>
            <w:tcW w:type="pct" w:w="12%"/>
            <w:shd w:fill="1F3864" w:color="auto" w:val="clear"/>
          </w:tcPr>
          <w:p>
            <w:r>
              <w:rPr>
                <w:b/>
                <w:bCs/>
                <w:color w:val="FFFFFF"/>
                <w:sz w:val="18"/>
                <w:szCs w:val="18"/>
              </w:rPr>
              <w:t xml:space="preserve">Severity
(1–5)</w:t>
            </w:r>
          </w:p>
        </w:tc>
        <w:tc>
          <w:tcPr>
            <w:tcW w:type="pct" w:w="12%"/>
            <w:shd w:fill="1F3864" w:color="auto" w:val="clear"/>
          </w:tcPr>
          <w:p>
            <w:r>
              <w:rPr>
                <w:b/>
                <w:bCs/>
                <w:color w:val="FFFFFF"/>
                <w:sz w:val="18"/>
                <w:szCs w:val="18"/>
              </w:rPr>
              <w:t xml:space="preserve">Risk Rating</w:t>
            </w:r>
          </w:p>
        </w:tc>
        <w:tc>
          <w:tcPr>
            <w:tcW w:type="pct" w:w="12%"/>
            <w:shd w:fill="1F3864" w:color="auto" w:val="clear"/>
          </w:tcPr>
          <w:p>
            <w:r>
              <w:rPr>
                <w:b/>
                <w:bCs/>
                <w:color w:val="FFFFFF"/>
                <w:sz w:val="18"/>
                <w:szCs w:val="18"/>
              </w:rPr>
              <w:t xml:space="preserve">Control Measures</w:t>
            </w:r>
          </w:p>
        </w:tc>
        <w:tc>
          <w:tcPr>
            <w:tcW w:type="pct" w:w="12%"/>
            <w:shd w:fill="1F3864" w:color="auto" w:val="clear"/>
          </w:tcPr>
          <w:p>
            <w:r>
              <w:rPr>
                <w:b/>
                <w:bCs/>
                <w:color w:val="FFFFFF"/>
                <w:sz w:val="18"/>
                <w:szCs w:val="18"/>
              </w:rPr>
              <w:t xml:space="preserve">Residual Risk</w:t>
            </w:r>
          </w:p>
        </w:tc>
      </w:tr>
      <w:tr>
        <w:tc>
          <w:p>
            <w:r>
              <w:rPr>
                <w:sz w:val="18"/>
                <w:szCs w:val="18"/>
              </w:rPr>
              <w:t xml:space="preserve">Contractor recruitment</w:t>
            </w:r>
          </w:p>
        </w:tc>
        <w:tc>
          <w:p>
            <w:r>
              <w:rPr>
                <w:sz w:val="18"/>
                <w:szCs w:val="18"/>
              </w:rPr>
              <w:t xml:space="preserve">Workers recruited under false pretences or debt bondage</w:t>
            </w:r>
          </w:p>
        </w:tc>
        <w:tc>
          <w:p>
            <w:r>
              <w:rPr>
                <w:sz w:val="18"/>
                <w:szCs w:val="18"/>
              </w:rPr>
              <w:t xml:space="preserve">Contractors / Agency workers</w:t>
            </w:r>
          </w:p>
        </w:tc>
        <w:tc>
          <w:p>
            <w:r>
              <w:rPr>
                <w:sz w:val="18"/>
                <w:szCs w:val="18"/>
              </w:rPr>
              <w:t xml:space="preserve">2</w:t>
            </w:r>
          </w:p>
        </w:tc>
        <w:tc>
          <w:p>
            <w:r>
              <w:rPr>
                <w:sz w:val="18"/>
                <w:szCs w:val="18"/>
              </w:rPr>
              <w:t xml:space="preserve">5</w:t>
            </w:r>
          </w:p>
        </w:tc>
        <w:tc>
          <w:p>
            <w:r>
              <w:rPr>
                <w:sz w:val="18"/>
                <w:szCs w:val="18"/>
              </w:rPr>
              <w:t xml:space="preserve">10 – Medium</w:t>
            </w:r>
          </w:p>
        </w:tc>
        <w:tc>
          <w:p>
            <w:r>
              <w:rPr>
                <w:sz w:val="18"/>
                <w:szCs w:val="18"/>
              </w:rPr>
              <w:t xml:space="preserve">Right to work checks; ID verification; workers paid directly to personal accounts; no third-party payment deductions; PRISM onboarding captures worker consent</w:t>
            </w:r>
          </w:p>
        </w:tc>
        <w:tc>
          <w:p>
            <w:r>
              <w:rPr>
                <w:sz w:val="18"/>
                <w:szCs w:val="18"/>
              </w:rPr>
              <w:t xml:space="preserve">4 – Low</w:t>
            </w:r>
          </w:p>
        </w:tc>
      </w:tr>
      <w:tr>
        <w:tc>
          <w:p>
            <w:r>
              <w:rPr>
                <w:sz w:val="18"/>
                <w:szCs w:val="18"/>
              </w:rPr>
              <w:t xml:space="preserve">Supply chain / subcontractors</w:t>
            </w:r>
          </w:p>
        </w:tc>
        <w:tc>
          <w:p>
            <w:r>
              <w:rPr>
                <w:sz w:val="18"/>
                <w:szCs w:val="18"/>
              </w:rPr>
              <w:t xml:space="preserve">Labour provider using coerced or trafficked workers</w:t>
            </w:r>
          </w:p>
        </w:tc>
        <w:tc>
          <w:p>
            <w:r>
              <w:rPr>
                <w:sz w:val="18"/>
                <w:szCs w:val="18"/>
              </w:rPr>
              <w:t xml:space="preserve">Subcontractor workforce</w:t>
            </w:r>
          </w:p>
        </w:tc>
        <w:tc>
          <w:p>
            <w:r>
              <w:rPr>
                <w:sz w:val="18"/>
                <w:szCs w:val="18"/>
              </w:rPr>
              <w:t xml:space="preserve">2</w:t>
            </w:r>
          </w:p>
        </w:tc>
        <w:tc>
          <w:p>
            <w:r>
              <w:rPr>
                <w:sz w:val="18"/>
                <w:szCs w:val="18"/>
              </w:rPr>
              <w:t xml:space="preserve">5</w:t>
            </w:r>
          </w:p>
        </w:tc>
        <w:tc>
          <w:p>
            <w:r>
              <w:rPr>
                <w:sz w:val="18"/>
                <w:szCs w:val="18"/>
              </w:rPr>
              <w:t xml:space="preserve">10 – Medium</w:t>
            </w:r>
          </w:p>
        </w:tc>
        <w:tc>
          <w:p>
            <w:r>
              <w:rPr>
                <w:sz w:val="18"/>
                <w:szCs w:val="18"/>
              </w:rPr>
              <w:t xml:space="preserve">Supplier due diligence questionnaire; contractual anti-slavery clauses; audit rights reserved; preference for accredited labour providers</w:t>
            </w:r>
          </w:p>
        </w:tc>
        <w:tc>
          <w:p>
            <w:r>
              <w:rPr>
                <w:sz w:val="18"/>
                <w:szCs w:val="18"/>
              </w:rPr>
              <w:t xml:space="preserve">4 – Low</w:t>
            </w:r>
          </w:p>
        </w:tc>
      </w:tr>
      <w:tr>
        <w:tc>
          <w:p>
            <w:r>
              <w:rPr>
                <w:sz w:val="18"/>
                <w:szCs w:val="18"/>
              </w:rPr>
              <w:t xml:space="preserve">Accommodation / transport</w:t>
            </w:r>
          </w:p>
        </w:tc>
        <w:tc>
          <w:p>
            <w:r>
              <w:rPr>
                <w:sz w:val="18"/>
                <w:szCs w:val="18"/>
              </w:rPr>
              <w:t xml:space="preserve">Workers housed in controlled/coercive conditions by a third party</w:t>
            </w:r>
          </w:p>
        </w:tc>
        <w:tc>
          <w:p>
            <w:r>
              <w:rPr>
                <w:sz w:val="18"/>
                <w:szCs w:val="18"/>
              </w:rPr>
              <w:t xml:space="preserve">Contractors</w:t>
            </w:r>
          </w:p>
        </w:tc>
        <w:tc>
          <w:p>
            <w:r>
              <w:rPr>
                <w:sz w:val="18"/>
                <w:szCs w:val="18"/>
              </w:rPr>
              <w:t xml:space="preserve">1</w:t>
            </w:r>
          </w:p>
        </w:tc>
        <w:tc>
          <w:p>
            <w:r>
              <w:rPr>
                <w:sz w:val="18"/>
                <w:szCs w:val="18"/>
              </w:rPr>
              <w:t xml:space="preserve">5</w:t>
            </w:r>
          </w:p>
        </w:tc>
        <w:tc>
          <w:p>
            <w:r>
              <w:rPr>
                <w:sz w:val="18"/>
                <w:szCs w:val="18"/>
              </w:rPr>
              <w:t xml:space="preserve">5 – Low</w:t>
            </w:r>
          </w:p>
        </w:tc>
        <w:tc>
          <w:p>
            <w:r>
              <w:rPr>
                <w:sz w:val="18"/>
                <w:szCs w:val="18"/>
              </w:rPr>
              <w:t xml:space="preserve">Workers are self-sourcing; company does not arrange accommodation; welfare checks available via site managers</w:t>
            </w:r>
          </w:p>
        </w:tc>
        <w:tc>
          <w:p>
            <w:r>
              <w:rPr>
                <w:sz w:val="18"/>
                <w:szCs w:val="18"/>
              </w:rPr>
              <w:t xml:space="preserve">2 – Low</w:t>
            </w:r>
          </w:p>
        </w:tc>
      </w:tr>
      <w:tr>
        <w:tc>
          <w:p>
            <w:r>
              <w:rPr>
                <w:sz w:val="18"/>
                <w:szCs w:val="18"/>
              </w:rPr>
              <w:t xml:space="preserve">Payroll / umbrella companies</w:t>
            </w:r>
          </w:p>
        </w:tc>
        <w:tc>
          <w:p>
            <w:r>
              <w:rPr>
                <w:sz w:val="18"/>
                <w:szCs w:val="18"/>
              </w:rPr>
              <w:t xml:space="preserve">Wage deductions, withholding of pay, or financial control by intermediary</w:t>
            </w:r>
          </w:p>
        </w:tc>
        <w:tc>
          <w:p>
            <w:r>
              <w:rPr>
                <w:sz w:val="18"/>
                <w:szCs w:val="18"/>
              </w:rPr>
              <w:t xml:space="preserve">Contractors</w:t>
            </w:r>
          </w:p>
        </w:tc>
        <w:tc>
          <w:p>
            <w:r>
              <w:rPr>
                <w:sz w:val="18"/>
                <w:szCs w:val="18"/>
              </w:rPr>
              <w:t xml:space="preserve">2</w:t>
            </w:r>
          </w:p>
        </w:tc>
        <w:tc>
          <w:p>
            <w:r>
              <w:rPr>
                <w:sz w:val="18"/>
                <w:szCs w:val="18"/>
              </w:rPr>
              <w:t xml:space="preserve">4</w:t>
            </w:r>
          </w:p>
        </w:tc>
        <w:tc>
          <w:p>
            <w:r>
              <w:rPr>
                <w:sz w:val="18"/>
                <w:szCs w:val="18"/>
              </w:rPr>
              <w:t xml:space="preserve">8 – Low</w:t>
            </w:r>
          </w:p>
        </w:tc>
        <w:tc>
          <w:p>
            <w:r>
              <w:rPr>
                <w:sz w:val="18"/>
                <w:szCs w:val="18"/>
              </w:rPr>
              <w:t xml:space="preserve">Workers select their own payment method; PRISM records payment queries; timesheet approval requires worker sign-off; complaints escalation in place</w:t>
            </w:r>
          </w:p>
        </w:tc>
        <w:tc>
          <w:p>
            <w:r>
              <w:rPr>
                <w:sz w:val="18"/>
                <w:szCs w:val="18"/>
              </w:rPr>
              <w:t xml:space="preserve">2 – Low</w:t>
            </w:r>
          </w:p>
        </w:tc>
      </w:tr>
      <w:tr>
        <w:tc>
          <w:p>
            <w:r>
              <w:rPr>
                <w:sz w:val="18"/>
                <w:szCs w:val="18"/>
              </w:rPr>
              <w:t xml:space="preserve">Site operations</w:t>
            </w:r>
          </w:p>
        </w:tc>
        <w:tc>
          <w:p>
            <w:r>
              <w:rPr>
                <w:sz w:val="18"/>
                <w:szCs w:val="18"/>
              </w:rPr>
              <w:t xml:space="preserve">Signs of exploitation observed on client sites not reported</w:t>
            </w:r>
          </w:p>
        </w:tc>
        <w:tc>
          <w:p>
            <w:r>
              <w:rPr>
                <w:sz w:val="18"/>
                <w:szCs w:val="18"/>
              </w:rPr>
              <w:t xml:space="preserve">All workers on site</w:t>
            </w:r>
          </w:p>
        </w:tc>
        <w:tc>
          <w:p>
            <w:r>
              <w:rPr>
                <w:sz w:val="18"/>
                <w:szCs w:val="18"/>
              </w:rPr>
              <w:t xml:space="preserve">2</w:t>
            </w:r>
          </w:p>
        </w:tc>
        <w:tc>
          <w:p>
            <w:r>
              <w:rPr>
                <w:sz w:val="18"/>
                <w:szCs w:val="18"/>
              </w:rPr>
              <w:t xml:space="preserve">4</w:t>
            </w:r>
          </w:p>
        </w:tc>
        <w:tc>
          <w:p>
            <w:r>
              <w:rPr>
                <w:sz w:val="18"/>
                <w:szCs w:val="18"/>
              </w:rPr>
              <w:t xml:space="preserve">8 – Low</w:t>
            </w:r>
          </w:p>
        </w:tc>
        <w:tc>
          <w:p>
            <w:r>
              <w:rPr>
                <w:sz w:val="18"/>
                <w:szCs w:val="18"/>
              </w:rPr>
              <w:t xml:space="preserve">Staff trained to recognise indicators of modern slavery; clear reporting path to management; Gangmasters and Labour Abuse Authority (GLAA) referral route documented</w:t>
            </w:r>
          </w:p>
        </w:tc>
        <w:tc>
          <w:p>
            <w:r>
              <w:rPr>
                <w:sz w:val="18"/>
                <w:szCs w:val="18"/>
              </w:rPr>
              <w:t xml:space="preserve">2 – Low</w:t>
            </w:r>
          </w:p>
        </w:tc>
      </w:tr>
    </w:tbl>
    <w:p>
      <w:pPr>
        <w:spacing w:after="160"/>
      </w:pPr>
    </w:p>
    <w:p>
      <w:pPr>
        <w:pStyle w:val="Heading1"/>
        <w:spacing w:after="160" w:before="320"/>
      </w:pPr>
      <w:r>
        <w:t xml:space="preserve">5. Control Measures Summary</w:t>
      </w:r>
    </w:p>
    <w:p>
      <w:pPr>
        <w:pStyle w:val="ListParagraph"/>
        <w:numPr>
          <w:ilvl w:val="0"/>
          <w:numId w:val="1"/>
        </w:numPr>
        <w:spacing w:after="80"/>
      </w:pPr>
      <w:r>
        <w:rPr>
          <w:sz w:val="22"/>
          <w:szCs w:val="22"/>
        </w:rPr>
        <w:t xml:space="preserve">Right to work checks and identity verification for all workers prior to placement</w:t>
      </w:r>
    </w:p>
    <w:p>
      <w:pPr>
        <w:pStyle w:val="ListParagraph"/>
        <w:numPr>
          <w:ilvl w:val="0"/>
          <w:numId w:val="1"/>
        </w:numPr>
        <w:spacing w:after="80"/>
      </w:pPr>
      <w:r>
        <w:rPr>
          <w:sz w:val="22"/>
          <w:szCs w:val="22"/>
        </w:rPr>
        <w:t xml:space="preserve">Workers paid directly to personal bank accounts; no deductions without written consent</w:t>
      </w:r>
    </w:p>
    <w:p>
      <w:pPr>
        <w:pStyle w:val="ListParagraph"/>
        <w:numPr>
          <w:ilvl w:val="0"/>
          <w:numId w:val="1"/>
        </w:numPr>
        <w:spacing w:after="80"/>
      </w:pPr>
      <w:r>
        <w:rPr>
          <w:sz w:val="22"/>
          <w:szCs w:val="22"/>
        </w:rPr>
        <w:t xml:space="preserve">Modern Slavery Act compliance clause included in all supplier and subcontractor contracts</w:t>
      </w:r>
    </w:p>
    <w:p>
      <w:pPr>
        <w:pStyle w:val="ListParagraph"/>
        <w:numPr>
          <w:ilvl w:val="0"/>
          <w:numId w:val="1"/>
        </w:numPr>
        <w:spacing w:after="80"/>
      </w:pPr>
      <w:r>
        <w:rPr>
          <w:sz w:val="22"/>
          <w:szCs w:val="22"/>
        </w:rPr>
        <w:t xml:space="preserve">Annual Modern Slavery Statement published on company website</w:t>
      </w:r>
    </w:p>
    <w:p>
      <w:pPr>
        <w:pStyle w:val="ListParagraph"/>
        <w:numPr>
          <w:ilvl w:val="0"/>
          <w:numId w:val="1"/>
        </w:numPr>
        <w:spacing w:after="80"/>
      </w:pPr>
      <w:r>
        <w:rPr>
          <w:sz w:val="22"/>
          <w:szCs w:val="22"/>
        </w:rPr>
        <w:t xml:space="preserve">Staff training: recognising signs of exploitation included in induction and annual refresher</w:t>
      </w:r>
    </w:p>
    <w:p>
      <w:pPr>
        <w:pStyle w:val="ListParagraph"/>
        <w:numPr>
          <w:ilvl w:val="0"/>
          <w:numId w:val="1"/>
        </w:numPr>
        <w:spacing w:after="80"/>
      </w:pPr>
      <w:r>
        <w:rPr>
          <w:sz w:val="22"/>
          <w:szCs w:val="22"/>
        </w:rPr>
        <w:t xml:space="preserve">Anonymous reporting available via Whistleblowing Policy</w:t>
      </w:r>
    </w:p>
    <w:p>
      <w:pPr>
        <w:pStyle w:val="ListParagraph"/>
        <w:numPr>
          <w:ilvl w:val="0"/>
          <w:numId w:val="1"/>
        </w:numPr>
        <w:spacing w:after="80"/>
      </w:pPr>
      <w:r>
        <w:rPr>
          <w:sz w:val="22"/>
          <w:szCs w:val="22"/>
        </w:rPr>
        <w:t xml:space="preserve">GLAA referral process documented and available to all staff</w:t>
      </w:r>
    </w:p>
    <w:p>
      <w:pPr>
        <w:spacing w:after="160"/>
      </w:pPr>
    </w:p>
    <w:p>
      <w:pPr>
        <w:pStyle w:val="Heading1"/>
        <w:spacing w:after="160" w:before="320"/>
      </w:pPr>
      <w:r>
        <w:t xml:space="preserve">6. Review</w:t>
      </w:r>
    </w:p>
    <w:p>
      <w:pPr>
        <w:spacing w:after="120"/>
      </w:pPr>
      <w:r>
        <w:rPr>
          <w:b w:val="false"/>
          <w:bCs w:val="false"/>
          <w:sz w:val="22"/>
          <w:szCs w:val="22"/>
        </w:rPr>
        <w:t xml:space="preserve">This risk assessment will be reviewed annually or following any significant change in operations, supply chain, or legislation. Next review: May 2027.</w:t>
      </w:r>
    </w:p>
    <w:p>
      <w:pPr>
        <w:pStyle w:val="Heading1"/>
        <w:spacing w:after="160" w:before="320"/>
      </w:pPr>
      <w:r>
        <w:t xml:space="preserve">7.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Pr>
          <w:p>
            <w:r>
              <w:rPr>
                <w:b/>
                <w:bCs/>
                <w:color w:val="000000"/>
                <w:sz w:val="20"/>
                <w:szCs w:val="20"/>
              </w:rPr>
              <w:t xml:space="preserve">Assessed by</w:t>
            </w:r>
          </w:p>
        </w:tc>
        <w:tc>
          <w:tcPr>
            <w:tcW w:type="pct" w:w="75%"/>
          </w:tcPr>
          <w:p>
            <w:r>
              <w:rPr>
                <w:color w:val="000000"/>
                <w:sz w:val="20"/>
                <w:szCs w:val="20"/>
              </w:rPr>
              <w:t xml:space="preserve">Director, PRL Site Solutions Ltd</w:t>
            </w:r>
          </w:p>
        </w:tc>
      </w:tr>
      <w:tr>
        <w:tc>
          <w:tcPr>
            <w:tcW w:type="pct" w:w="25%"/>
          </w:tcPr>
          <w:p>
            <w:r>
              <w:rPr>
                <w:b/>
                <w:bCs/>
                <w:color w:val="000000"/>
                <w:sz w:val="20"/>
                <w:szCs w:val="20"/>
              </w:rPr>
              <w:t xml:space="preserve">Date</w:t>
            </w:r>
          </w:p>
        </w:tc>
        <w:tc>
          <w:tcPr>
            <w:tcW w:type="pct" w:w="75%"/>
          </w:tcPr>
          <w:p>
            <w:r>
              <w:rPr>
                <w:color w:val="000000"/>
                <w:sz w:val="20"/>
                <w:szCs w:val="20"/>
              </w:rPr>
              <w:t xml:space="preserve">19 May 2026</w:t>
            </w:r>
          </w:p>
        </w:tc>
      </w:tr>
      <w:tr>
        <w:tc>
          <w:tcPr>
            <w:tcW w:type="pct" w:w="25%"/>
          </w:tcPr>
          <w:p>
            <w:r>
              <w:rPr>
                <w:b/>
                <w:bCs/>
                <w:color w:val="000000"/>
                <w:sz w:val="20"/>
                <w:szCs w:val="20"/>
              </w:rPr>
              <w:t xml:space="preserve">Document Ref</w:t>
            </w:r>
          </w:p>
        </w:tc>
        <w:tc>
          <w:tcPr>
            <w:tcW w:type="pct" w:w="75%"/>
          </w:tcPr>
          <w:p>
            <w:r>
              <w:rPr>
                <w:color w:val="000000"/>
                <w:sz w:val="20"/>
                <w:szCs w:val="20"/>
              </w:rPr>
              <w:t xml:space="preserve">PRL-RAMS-MS-001</w:t>
            </w:r>
          </w:p>
        </w:tc>
      </w:tr>
      <w:tr>
        <w:tc>
          <w:tcPr>
            <w:tcW w:type="pct" w:w="25%"/>
          </w:tcPr>
          <w:p>
            <w:r>
              <w:rPr>
                <w:b/>
                <w:bCs/>
                <w:color w:val="000000"/>
                <w:sz w:val="20"/>
                <w:szCs w:val="20"/>
              </w:rPr>
              <w:t xml:space="preserve">Version</w:t>
            </w:r>
          </w:p>
        </w:tc>
        <w:tc>
          <w:tcPr>
            <w:tcW w:type="pct" w:w="75%"/>
          </w:tcPr>
          <w:p>
            <w:r>
              <w:rPr>
                <w:color w:val="000000"/>
                <w:sz w:val="20"/>
                <w:szCs w:val="20"/>
              </w:rPr>
              <w:t xml:space="preserve">1.0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2026-05-19T10:35:06.725Z</dcterms:created>
  <dcterms:modified xsi:type="dcterms:W3CDTF">2026-05-19T10:35:06.725Z</dcterms:modified>
</cp:coreProperties>
</file>

<file path=docProps/custom.xml><?xml version="1.0" encoding="utf-8"?>
<Properties xmlns="http://schemas.openxmlformats.org/officeDocument/2006/custom-properties" xmlns:vt="http://schemas.openxmlformats.org/officeDocument/2006/docPropsVTypes"/>
</file>