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937" w:val="clear"/>
        <w:spacing w:after="0" w:before="0"/>
        <w:ind w:left="200" w:right="200"/>
      </w:pPr>
      <w:r>
        <w:rPr>
          <w:rFonts w:ascii="Calibri" w:cs="Calibri" w:eastAsia="Calibri" w:hAnsi="Calibri"/>
          <w:b/>
          <w:bCs/>
          <w:color w:val="FFFFFF"/>
          <w:sz w:val="40"/>
          <w:szCs w:val="40"/>
        </w:rPr>
        <w:t xml:space="preserve">Sexual Harassment Policy</w:t>
      </w:r>
    </w:p>
    <w:p>
      <w:pPr>
        <w:shd w:fill="1F2937" w:val="clear"/>
        <w:spacing w:after="0" w:before="0"/>
        <w:ind w:left="200" w:right="200"/>
      </w:pPr>
      <w:r>
        <w:rPr>
          <w:rFonts w:ascii="Calibri" w:cs="Calibri" w:eastAsia="Calibri" w:hAnsi="Calibri"/>
          <w:color w:val="D1D5DB"/>
          <w:sz w:val="20"/>
          <w:szCs w:val="20"/>
        </w:rPr>
        <w:t xml:space="preserve">Prevention of Harassment in the Workplace — Worker Protection Act 2023</w:t>
      </w:r>
    </w:p>
    <w:p>
      <w:pPr>
        <w:shd w:fill="1F2937" w:val="clear"/>
        <w:spacing w:after="24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Policy Reference</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HR-POL-006</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Version</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1.0</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Effective Date</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May 2026</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Review Date</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May 2027</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Approved By</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Directors, PRL Site Solutions Ltd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Applies To</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All employees, contractors, agency workers, and third parties acting on behalf of PRL Site Solutions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2937"/>
                <w:sz w:val="18"/>
                <w:szCs w:val="18"/>
              </w:rPr>
              <w:t xml:space="preserve">Legislative Basis</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374151"/>
                <w:sz w:val="18"/>
                <w:szCs w:val="18"/>
              </w:rPr>
              <w:t xml:space="preserve">Worker Protection (Amendment of Equality Act 2010) Act 2023; Equality Act 2010; Employment Rights Act 1996</w:t>
            </w:r>
          </w:p>
        </w:tc>
      </w:tr>
    </w:tbl>
    <w:p>
      <w:pPr>
        <w:spacing w:after="120" w:before="0"/>
      </w:pPr>
    </w:p>
    <w:p>
      <w:pPr>
        <w:pBdr>
          <w:bottom w:val="single" w:color="F59E0B" w:sz="4" w:space="1"/>
        </w:pBdr>
        <w:spacing w:after="80" w:before="280"/>
      </w:pPr>
      <w:r>
        <w:rPr>
          <w:rFonts w:ascii="Calibri" w:cs="Calibri" w:eastAsia="Calibri" w:hAnsi="Calibri"/>
          <w:b/>
          <w:bCs/>
          <w:color w:val="1F2937"/>
          <w:sz w:val="26"/>
          <w:szCs w:val="26"/>
        </w:rPr>
        <w:t xml:space="preserve">1.  Purpose</w:t>
      </w:r>
    </w:p>
    <w:p>
      <w:pPr>
        <w:spacing w:after="60" w:before="40"/>
      </w:pPr>
      <w:r>
        <w:rPr>
          <w:rFonts w:ascii="Calibri" w:cs="Calibri" w:eastAsia="Calibri" w:hAnsi="Calibri"/>
          <w:color w:val="374151"/>
          <w:sz w:val="20"/>
          <w:szCs w:val="20"/>
        </w:rPr>
        <w:t xml:space="preserve">PRL Site Solutions Ltd is committed to providing a safe, respectful, and dignified working environment for all workers, employees, contractors, and anyone engaged with our business. Sexual harassment is unlawful, unacceptable, and will not be tolerated in any form.</w:t>
      </w:r>
    </w:p>
    <w:p>
      <w:pPr>
        <w:spacing w:after="60" w:before="40"/>
      </w:pPr>
      <w:r>
        <w:rPr>
          <w:rFonts w:ascii="Calibri" w:cs="Calibri" w:eastAsia="Calibri" w:hAnsi="Calibri"/>
          <w:color w:val="374151"/>
          <w:sz w:val="20"/>
          <w:szCs w:val="20"/>
        </w:rPr>
        <w:t xml:space="preserve">This policy sets out:</w:t>
      </w:r>
    </w:p>
    <w:p>
      <w:pPr>
        <w:pStyle w:val="ListParagraph"/>
        <w:numPr>
          <w:ilvl w:val="0"/>
          <w:numId w:val="2"/>
        </w:numPr>
        <w:spacing w:after="40" w:before="20"/>
      </w:pPr>
      <w:r>
        <w:rPr>
          <w:rFonts w:ascii="Calibri" w:cs="Calibri" w:eastAsia="Calibri" w:hAnsi="Calibri"/>
          <w:color w:val="374151"/>
          <w:sz w:val="20"/>
          <w:szCs w:val="20"/>
        </w:rPr>
        <w:t xml:space="preserve">What constitutes sexual harassment</w:t>
      </w:r>
    </w:p>
    <w:p>
      <w:pPr>
        <w:pStyle w:val="ListParagraph"/>
        <w:numPr>
          <w:ilvl w:val="0"/>
          <w:numId w:val="2"/>
        </w:numPr>
        <w:spacing w:after="40" w:before="20"/>
      </w:pPr>
      <w:r>
        <w:rPr>
          <w:rFonts w:ascii="Calibri" w:cs="Calibri" w:eastAsia="Calibri" w:hAnsi="Calibri"/>
          <w:color w:val="374151"/>
          <w:sz w:val="20"/>
          <w:szCs w:val="20"/>
        </w:rPr>
        <w:t xml:space="preserve">Our obligations as an employer under the Worker Protection Act 2023</w:t>
      </w:r>
    </w:p>
    <w:p>
      <w:pPr>
        <w:pStyle w:val="ListParagraph"/>
        <w:numPr>
          <w:ilvl w:val="0"/>
          <w:numId w:val="2"/>
        </w:numPr>
        <w:spacing w:after="40" w:before="20"/>
      </w:pPr>
      <w:r>
        <w:rPr>
          <w:rFonts w:ascii="Calibri" w:cs="Calibri" w:eastAsia="Calibri" w:hAnsi="Calibri"/>
          <w:color w:val="374151"/>
          <w:sz w:val="20"/>
          <w:szCs w:val="20"/>
        </w:rPr>
        <w:t xml:space="preserve">The steps we take to prevent sexual harassment from occurring</w:t>
      </w:r>
    </w:p>
    <w:p>
      <w:pPr>
        <w:pStyle w:val="ListParagraph"/>
        <w:numPr>
          <w:ilvl w:val="0"/>
          <w:numId w:val="2"/>
        </w:numPr>
        <w:spacing w:after="40" w:before="20"/>
      </w:pPr>
      <w:r>
        <w:rPr>
          <w:rFonts w:ascii="Calibri" w:cs="Calibri" w:eastAsia="Calibri" w:hAnsi="Calibri"/>
          <w:color w:val="374151"/>
          <w:sz w:val="20"/>
          <w:szCs w:val="20"/>
        </w:rPr>
        <w:t xml:space="preserve">How complaints are raised and handled</w:t>
      </w:r>
    </w:p>
    <w:p>
      <w:pPr>
        <w:pStyle w:val="ListParagraph"/>
        <w:numPr>
          <w:ilvl w:val="0"/>
          <w:numId w:val="2"/>
        </w:numPr>
        <w:spacing w:after="40" w:before="20"/>
      </w:pPr>
      <w:r>
        <w:rPr>
          <w:rFonts w:ascii="Calibri" w:cs="Calibri" w:eastAsia="Calibri" w:hAnsi="Calibri"/>
          <w:color w:val="374151"/>
          <w:sz w:val="20"/>
          <w:szCs w:val="20"/>
        </w:rPr>
        <w:t xml:space="preserve">The consequences for those found to have breached this policy</w:t>
      </w:r>
    </w:p>
    <w:p>
      <w:pPr>
        <w:spacing w:after="8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F59E0B" w:sz="4"/>
              <w:left w:val="single" w:color="F59E0B" w:sz="12"/>
              <w:bottom w:val="single" w:color="E5E7EB" w:sz="1"/>
              <w:right w:val="single" w:color="E5E7EB" w:sz="1"/>
            </w:tcBorders>
            <w:shd w:fill="FEF3C7" w:val="clear"/>
            <w:tcMar>
              <w:top w:type="dxa" w:w="120"/>
              <w:left w:type="dxa" w:w="160"/>
              <w:bottom w:type="dxa" w:w="120"/>
              <w:right w:type="dxa" w:w="160"/>
            </w:tcMar>
          </w:tcPr>
          <w:p>
            <w:pPr>
              <w:spacing w:after="60" w:before="0"/>
            </w:pPr>
            <w:r>
              <w:rPr>
                <w:rFonts w:ascii="Calibri" w:cs="Calibri" w:eastAsia="Calibri" w:hAnsi="Calibri"/>
                <w:b/>
                <w:bCs/>
                <w:color w:val="1F2937"/>
                <w:sz w:val="18"/>
                <w:szCs w:val="18"/>
              </w:rPr>
              <w:t xml:space="preserve">Important — Worker Protection Act 2023</w:t>
            </w:r>
          </w:p>
          <w:p>
            <w:pPr>
              <w:spacing w:after="0" w:before="0"/>
            </w:pPr>
            <w:r>
              <w:rPr>
                <w:rFonts w:ascii="Calibri" w:cs="Calibri" w:eastAsia="Calibri" w:hAnsi="Calibri"/>
                <w:color w:val="374151"/>
                <w:sz w:val="18"/>
                <w:szCs w:val="18"/>
              </w:rPr>
              <w:t xml:space="preserve">From 26 October 2024, employers have a legal duty to take reasonable steps to prevent sexual harassment of their workers. Failure to do so can result in an uplift of up to 25% on any Employment Tribunal compensation award.</w:t>
            </w:r>
          </w:p>
        </w:tc>
      </w:tr>
    </w:tbl>
    <w:p>
      <w:pPr>
        <w:pBdr>
          <w:bottom w:val="single" w:color="F59E0B" w:sz="4" w:space="1"/>
        </w:pBdr>
        <w:spacing w:after="80" w:before="280"/>
      </w:pPr>
      <w:r>
        <w:rPr>
          <w:rFonts w:ascii="Calibri" w:cs="Calibri" w:eastAsia="Calibri" w:hAnsi="Calibri"/>
          <w:b/>
          <w:bCs/>
          <w:color w:val="1F2937"/>
          <w:sz w:val="26"/>
          <w:szCs w:val="26"/>
        </w:rPr>
        <w:t xml:space="preserve">2.  Scope</w:t>
      </w:r>
    </w:p>
    <w:p>
      <w:pPr>
        <w:spacing w:after="60" w:before="40"/>
      </w:pPr>
      <w:r>
        <w:rPr>
          <w:rFonts w:ascii="Calibri" w:cs="Calibri" w:eastAsia="Calibri" w:hAnsi="Calibri"/>
          <w:color w:val="374151"/>
          <w:sz w:val="20"/>
          <w:szCs w:val="20"/>
        </w:rPr>
        <w:t xml:space="preserve">This policy applies to:</w:t>
      </w:r>
    </w:p>
    <w:p>
      <w:pPr>
        <w:pStyle w:val="ListParagraph"/>
        <w:numPr>
          <w:ilvl w:val="0"/>
          <w:numId w:val="2"/>
        </w:numPr>
        <w:spacing w:after="40" w:before="20"/>
      </w:pPr>
      <w:r>
        <w:rPr>
          <w:rFonts w:ascii="Calibri" w:cs="Calibri" w:eastAsia="Calibri" w:hAnsi="Calibri"/>
          <w:color w:val="374151"/>
          <w:sz w:val="20"/>
          <w:szCs w:val="20"/>
        </w:rPr>
        <w:t xml:space="preserve">All permanent and temporary employees of PRL Site Solutions Ltd</w:t>
      </w:r>
    </w:p>
    <w:p>
      <w:pPr>
        <w:pStyle w:val="ListParagraph"/>
        <w:numPr>
          <w:ilvl w:val="0"/>
          <w:numId w:val="2"/>
        </w:numPr>
        <w:spacing w:after="40" w:before="20"/>
      </w:pPr>
      <w:r>
        <w:rPr>
          <w:rFonts w:ascii="Calibri" w:cs="Calibri" w:eastAsia="Calibri" w:hAnsi="Calibri"/>
          <w:color w:val="374151"/>
          <w:sz w:val="20"/>
          <w:szCs w:val="20"/>
        </w:rPr>
        <w:t xml:space="preserve">Agency workers and labour supplied by PRL to client sites</w:t>
      </w:r>
    </w:p>
    <w:p>
      <w:pPr>
        <w:pStyle w:val="ListParagraph"/>
        <w:numPr>
          <w:ilvl w:val="0"/>
          <w:numId w:val="2"/>
        </w:numPr>
        <w:spacing w:after="40" w:before="20"/>
      </w:pPr>
      <w:r>
        <w:rPr>
          <w:rFonts w:ascii="Calibri" w:cs="Calibri" w:eastAsia="Calibri" w:hAnsi="Calibri"/>
          <w:color w:val="374151"/>
          <w:sz w:val="20"/>
          <w:szCs w:val="20"/>
        </w:rPr>
        <w:t xml:space="preserve">Self-employed contractors engaged by PRL</w:t>
      </w:r>
    </w:p>
    <w:p>
      <w:pPr>
        <w:pStyle w:val="ListParagraph"/>
        <w:numPr>
          <w:ilvl w:val="0"/>
          <w:numId w:val="2"/>
        </w:numPr>
        <w:spacing w:after="40" w:before="20"/>
      </w:pPr>
      <w:r>
        <w:rPr>
          <w:rFonts w:ascii="Calibri" w:cs="Calibri" w:eastAsia="Calibri" w:hAnsi="Calibri"/>
          <w:color w:val="374151"/>
          <w:sz w:val="20"/>
          <w:szCs w:val="20"/>
        </w:rPr>
        <w:t xml:space="preserve">Apprentices, trainees, and work experience placements</w:t>
      </w:r>
    </w:p>
    <w:p>
      <w:pPr>
        <w:pStyle w:val="ListParagraph"/>
        <w:numPr>
          <w:ilvl w:val="0"/>
          <w:numId w:val="2"/>
        </w:numPr>
        <w:spacing w:after="40" w:before="20"/>
      </w:pPr>
      <w:r>
        <w:rPr>
          <w:rFonts w:ascii="Calibri" w:cs="Calibri" w:eastAsia="Calibri" w:hAnsi="Calibri"/>
          <w:color w:val="374151"/>
          <w:sz w:val="20"/>
          <w:szCs w:val="20"/>
        </w:rPr>
        <w:t xml:space="preserve">Any individual representing PRL Site Solutions in a professional capacity</w:t>
      </w:r>
    </w:p>
    <w:p>
      <w:pPr>
        <w:spacing w:after="60" w:before="40"/>
      </w:pPr>
      <w:r>
        <w:rPr>
          <w:rFonts w:ascii="Calibri" w:cs="Calibri" w:eastAsia="Calibri" w:hAnsi="Calibri"/>
          <w:color w:val="374151"/>
          <w:sz w:val="20"/>
          <w:szCs w:val="20"/>
        </w:rPr>
        <w:t xml:space="preserve">It applies to conduct in the workplace, at work-related events (including site visits, social events, and training), and through electronic communications including text, email, and social media.</w:t>
      </w:r>
    </w:p>
    <w:p>
      <w:pPr>
        <w:pBdr>
          <w:bottom w:val="single" w:color="F59E0B" w:sz="4" w:space="1"/>
        </w:pBdr>
        <w:spacing w:after="80" w:before="280"/>
      </w:pPr>
      <w:r>
        <w:rPr>
          <w:rFonts w:ascii="Calibri" w:cs="Calibri" w:eastAsia="Calibri" w:hAnsi="Calibri"/>
          <w:b/>
          <w:bCs/>
          <w:color w:val="1F2937"/>
          <w:sz w:val="26"/>
          <w:szCs w:val="26"/>
        </w:rPr>
        <w:t xml:space="preserve">3.  What Is Sexual Harassment?</w:t>
      </w:r>
    </w:p>
    <w:p>
      <w:pPr>
        <w:spacing w:after="60" w:before="40"/>
      </w:pPr>
      <w:r>
        <w:rPr>
          <w:rFonts w:ascii="Calibri" w:cs="Calibri" w:eastAsia="Calibri" w:hAnsi="Calibri"/>
          <w:color w:val="374151"/>
          <w:sz w:val="20"/>
          <w:szCs w:val="20"/>
        </w:rPr>
        <w:t xml:space="preserve">Under the Equality Act 2010, sexual harassment is defined as unwanted conduct of a sexual nature that has the purpose or effect of:</w:t>
      </w:r>
    </w:p>
    <w:p>
      <w:pPr>
        <w:pStyle w:val="ListParagraph"/>
        <w:numPr>
          <w:ilvl w:val="0"/>
          <w:numId w:val="2"/>
        </w:numPr>
        <w:spacing w:after="40" w:before="20"/>
      </w:pPr>
      <w:r>
        <w:rPr>
          <w:rFonts w:ascii="Calibri" w:cs="Calibri" w:eastAsia="Calibri" w:hAnsi="Calibri"/>
          <w:color w:val="374151"/>
          <w:sz w:val="20"/>
          <w:szCs w:val="20"/>
        </w:rPr>
        <w:t xml:space="preserve">Violating a person's dignity, or</w:t>
      </w:r>
    </w:p>
    <w:p>
      <w:pPr>
        <w:pStyle w:val="ListParagraph"/>
        <w:numPr>
          <w:ilvl w:val="0"/>
          <w:numId w:val="2"/>
        </w:numPr>
        <w:spacing w:after="40" w:before="20"/>
      </w:pPr>
      <w:r>
        <w:rPr>
          <w:rFonts w:ascii="Calibri" w:cs="Calibri" w:eastAsia="Calibri" w:hAnsi="Calibri"/>
          <w:color w:val="374151"/>
          <w:sz w:val="20"/>
          <w:szCs w:val="20"/>
        </w:rPr>
        <w:t xml:space="preserve">Creating an intimidating, hostile, degrading, humiliating, or offensive environment for them</w:t>
      </w:r>
    </w:p>
    <w:p>
      <w:pPr>
        <w:spacing w:after="60" w:before="200"/>
      </w:pPr>
      <w:r>
        <w:rPr>
          <w:rFonts w:ascii="Calibri" w:cs="Calibri" w:eastAsia="Calibri" w:hAnsi="Calibri"/>
          <w:b/>
          <w:bCs/>
          <w:color w:val="1F2937"/>
          <w:sz w:val="22"/>
          <w:szCs w:val="22"/>
        </w:rPr>
        <w:t xml:space="preserve">Examples include but are not limited to:</w:t>
      </w:r>
    </w:p>
    <w:p>
      <w:pPr>
        <w:pStyle w:val="ListParagraph"/>
        <w:numPr>
          <w:ilvl w:val="0"/>
          <w:numId w:val="2"/>
        </w:numPr>
        <w:spacing w:after="40" w:before="20"/>
      </w:pPr>
      <w:r>
        <w:rPr>
          <w:rFonts w:ascii="Calibri" w:cs="Calibri" w:eastAsia="Calibri" w:hAnsi="Calibri"/>
          <w:color w:val="374151"/>
          <w:sz w:val="20"/>
          <w:szCs w:val="20"/>
        </w:rPr>
        <w:t xml:space="preserve">Unwanted physical contact — touching, groping, assault</w:t>
      </w:r>
    </w:p>
    <w:p>
      <w:pPr>
        <w:pStyle w:val="ListParagraph"/>
        <w:numPr>
          <w:ilvl w:val="0"/>
          <w:numId w:val="2"/>
        </w:numPr>
        <w:spacing w:after="40" w:before="20"/>
      </w:pPr>
      <w:r>
        <w:rPr>
          <w:rFonts w:ascii="Calibri" w:cs="Calibri" w:eastAsia="Calibri" w:hAnsi="Calibri"/>
          <w:color w:val="374151"/>
          <w:sz w:val="20"/>
          <w:szCs w:val="20"/>
        </w:rPr>
        <w:t xml:space="preserve">Sexual comments, jokes, or banter</w:t>
      </w:r>
    </w:p>
    <w:p>
      <w:pPr>
        <w:pStyle w:val="ListParagraph"/>
        <w:numPr>
          <w:ilvl w:val="0"/>
          <w:numId w:val="2"/>
        </w:numPr>
        <w:spacing w:after="40" w:before="20"/>
      </w:pPr>
      <w:r>
        <w:rPr>
          <w:rFonts w:ascii="Calibri" w:cs="Calibri" w:eastAsia="Calibri" w:hAnsi="Calibri"/>
          <w:color w:val="374151"/>
          <w:sz w:val="20"/>
          <w:szCs w:val="20"/>
        </w:rPr>
        <w:t xml:space="preserve">Sending or displaying sexually explicit material, images, or messages</w:t>
      </w:r>
    </w:p>
    <w:p>
      <w:pPr>
        <w:pStyle w:val="ListParagraph"/>
        <w:numPr>
          <w:ilvl w:val="0"/>
          <w:numId w:val="2"/>
        </w:numPr>
        <w:spacing w:after="40" w:before="20"/>
      </w:pPr>
      <w:r>
        <w:rPr>
          <w:rFonts w:ascii="Calibri" w:cs="Calibri" w:eastAsia="Calibri" w:hAnsi="Calibri"/>
          <w:color w:val="374151"/>
          <w:sz w:val="20"/>
          <w:szCs w:val="20"/>
        </w:rPr>
        <w:t xml:space="preserve">Unwanted advances, propositions, or persistent requests for dates</w:t>
      </w:r>
    </w:p>
    <w:p>
      <w:pPr>
        <w:pStyle w:val="ListParagraph"/>
        <w:numPr>
          <w:ilvl w:val="0"/>
          <w:numId w:val="2"/>
        </w:numPr>
        <w:spacing w:after="40" w:before="20"/>
      </w:pPr>
      <w:r>
        <w:rPr>
          <w:rFonts w:ascii="Calibri" w:cs="Calibri" w:eastAsia="Calibri" w:hAnsi="Calibri"/>
          <w:color w:val="374151"/>
          <w:sz w:val="20"/>
          <w:szCs w:val="20"/>
        </w:rPr>
        <w:t xml:space="preserve">Comments about a person's body, appearance, or sexuality</w:t>
      </w:r>
    </w:p>
    <w:p>
      <w:pPr>
        <w:pStyle w:val="ListParagraph"/>
        <w:numPr>
          <w:ilvl w:val="0"/>
          <w:numId w:val="2"/>
        </w:numPr>
        <w:spacing w:after="40" w:before="20"/>
      </w:pPr>
      <w:r>
        <w:rPr>
          <w:rFonts w:ascii="Calibri" w:cs="Calibri" w:eastAsia="Calibri" w:hAnsi="Calibri"/>
          <w:color w:val="374151"/>
          <w:sz w:val="20"/>
          <w:szCs w:val="20"/>
        </w:rPr>
        <w:t xml:space="preserve">Leering, staring, or making sexual gestures</w:t>
      </w:r>
    </w:p>
    <w:p>
      <w:pPr>
        <w:pStyle w:val="ListParagraph"/>
        <w:numPr>
          <w:ilvl w:val="0"/>
          <w:numId w:val="2"/>
        </w:numPr>
        <w:spacing w:after="40" w:before="20"/>
      </w:pPr>
      <w:r>
        <w:rPr>
          <w:rFonts w:ascii="Calibri" w:cs="Calibri" w:eastAsia="Calibri" w:hAnsi="Calibri"/>
          <w:color w:val="374151"/>
          <w:sz w:val="20"/>
          <w:szCs w:val="20"/>
        </w:rPr>
        <w:t xml:space="preserve">Requests for sexual favours in exchange for work, promotion, or preferential treatment (quid pro quo harassment)</w:t>
      </w:r>
    </w:p>
    <w:p>
      <w:pPr>
        <w:pStyle w:val="ListParagraph"/>
        <w:numPr>
          <w:ilvl w:val="0"/>
          <w:numId w:val="2"/>
        </w:numPr>
        <w:spacing w:after="40" w:before="20"/>
      </w:pPr>
      <w:r>
        <w:rPr>
          <w:rFonts w:ascii="Calibri" w:cs="Calibri" w:eastAsia="Calibri" w:hAnsi="Calibri"/>
          <w:color w:val="374151"/>
          <w:sz w:val="20"/>
          <w:szCs w:val="20"/>
        </w:rPr>
        <w:t xml:space="preserve">Sharing intimate images without consent</w:t>
      </w:r>
    </w:p>
    <w:p>
      <w:pPr>
        <w:spacing w:after="60" w:before="40"/>
      </w:pPr>
      <w:r>
        <w:rPr>
          <w:rFonts w:ascii="Calibri" w:cs="Calibri" w:eastAsia="Calibri" w:hAnsi="Calibri"/>
          <w:color w:val="374151"/>
          <w:sz w:val="20"/>
          <w:szCs w:val="20"/>
        </w:rPr>
        <w:t xml:space="preserve">Sexual harassment can be committed by anyone regardless of gender, and the victim and perpetrator may be of the same or different sexes. Intent is not required — behaviour that the recipient reasonably finds unwanted and offensive constitutes harassment.</w:t>
      </w:r>
    </w:p>
    <w:p>
      <w:pPr>
        <w:pBdr>
          <w:bottom w:val="single" w:color="F59E0B" w:sz="4" w:space="1"/>
        </w:pBdr>
        <w:spacing w:after="80" w:before="280"/>
      </w:pPr>
      <w:r>
        <w:rPr>
          <w:rFonts w:ascii="Calibri" w:cs="Calibri" w:eastAsia="Calibri" w:hAnsi="Calibri"/>
          <w:b/>
          <w:bCs/>
          <w:color w:val="1F2937"/>
          <w:sz w:val="26"/>
          <w:szCs w:val="26"/>
        </w:rPr>
        <w:t xml:space="preserve">4.  Responsibilities</w:t>
      </w:r>
    </w:p>
    <w:p>
      <w:pPr>
        <w:spacing w:after="60" w:before="200"/>
      </w:pPr>
      <w:r>
        <w:rPr>
          <w:rFonts w:ascii="Calibri" w:cs="Calibri" w:eastAsia="Calibri" w:hAnsi="Calibri"/>
          <w:b/>
          <w:bCs/>
          <w:color w:val="1F2937"/>
          <w:sz w:val="22"/>
          <w:szCs w:val="22"/>
        </w:rPr>
        <w:t xml:space="preserve">4.1  The Company</w:t>
      </w:r>
    </w:p>
    <w:p>
      <w:pPr>
        <w:pStyle w:val="ListParagraph"/>
        <w:numPr>
          <w:ilvl w:val="0"/>
          <w:numId w:val="2"/>
        </w:numPr>
        <w:spacing w:after="40" w:before="20"/>
      </w:pPr>
      <w:r>
        <w:rPr>
          <w:rFonts w:ascii="Calibri" w:cs="Calibri" w:eastAsia="Calibri" w:hAnsi="Calibri"/>
          <w:color w:val="374151"/>
          <w:sz w:val="20"/>
          <w:szCs w:val="20"/>
        </w:rPr>
        <w:t xml:space="preserve">Take all reasonable preventive steps to ensure sexual harassment does not occur</w:t>
      </w:r>
    </w:p>
    <w:p>
      <w:pPr>
        <w:pStyle w:val="ListParagraph"/>
        <w:numPr>
          <w:ilvl w:val="0"/>
          <w:numId w:val="2"/>
        </w:numPr>
        <w:spacing w:after="40" w:before="20"/>
      </w:pPr>
      <w:r>
        <w:rPr>
          <w:rFonts w:ascii="Calibri" w:cs="Calibri" w:eastAsia="Calibri" w:hAnsi="Calibri"/>
          <w:color w:val="374151"/>
          <w:sz w:val="20"/>
          <w:szCs w:val="20"/>
        </w:rPr>
        <w:t xml:space="preserve">Provide training and awareness to all workers and managers</w:t>
      </w:r>
    </w:p>
    <w:p>
      <w:pPr>
        <w:pStyle w:val="ListParagraph"/>
        <w:numPr>
          <w:ilvl w:val="0"/>
          <w:numId w:val="2"/>
        </w:numPr>
        <w:spacing w:after="40" w:before="20"/>
      </w:pPr>
      <w:r>
        <w:rPr>
          <w:rFonts w:ascii="Calibri" w:cs="Calibri" w:eastAsia="Calibri" w:hAnsi="Calibri"/>
          <w:color w:val="374151"/>
          <w:sz w:val="20"/>
          <w:szCs w:val="20"/>
        </w:rPr>
        <w:t xml:space="preserve">Investigate all complaints promptly, fairly, and confidentially</w:t>
      </w:r>
    </w:p>
    <w:p>
      <w:pPr>
        <w:pStyle w:val="ListParagraph"/>
        <w:numPr>
          <w:ilvl w:val="0"/>
          <w:numId w:val="2"/>
        </w:numPr>
        <w:spacing w:after="40" w:before="20"/>
      </w:pPr>
      <w:r>
        <w:rPr>
          <w:rFonts w:ascii="Calibri" w:cs="Calibri" w:eastAsia="Calibri" w:hAnsi="Calibri"/>
          <w:color w:val="374151"/>
          <w:sz w:val="20"/>
          <w:szCs w:val="20"/>
        </w:rPr>
        <w:t xml:space="preserve">Take appropriate disciplinary action where harassment is found to have occurred</w:t>
      </w:r>
    </w:p>
    <w:p>
      <w:pPr>
        <w:pStyle w:val="ListParagraph"/>
        <w:numPr>
          <w:ilvl w:val="0"/>
          <w:numId w:val="2"/>
        </w:numPr>
        <w:spacing w:after="40" w:before="20"/>
      </w:pPr>
      <w:r>
        <w:rPr>
          <w:rFonts w:ascii="Calibri" w:cs="Calibri" w:eastAsia="Calibri" w:hAnsi="Calibri"/>
          <w:color w:val="374151"/>
          <w:sz w:val="20"/>
          <w:szCs w:val="20"/>
        </w:rPr>
        <w:t xml:space="preserve">Protect complainants from victimisation or retaliation</w:t>
      </w:r>
    </w:p>
    <w:p>
      <w:pPr>
        <w:pStyle w:val="ListParagraph"/>
        <w:numPr>
          <w:ilvl w:val="0"/>
          <w:numId w:val="2"/>
        </w:numPr>
        <w:spacing w:after="40" w:before="20"/>
      </w:pPr>
      <w:r>
        <w:rPr>
          <w:rFonts w:ascii="Calibri" w:cs="Calibri" w:eastAsia="Calibri" w:hAnsi="Calibri"/>
          <w:color w:val="374151"/>
          <w:sz w:val="20"/>
          <w:szCs w:val="20"/>
        </w:rPr>
        <w:t xml:space="preserve">Conduct regular risk assessments to identify areas of vulnerability</w:t>
      </w:r>
    </w:p>
    <w:p>
      <w:pPr>
        <w:spacing w:after="60" w:before="200"/>
      </w:pPr>
      <w:r>
        <w:rPr>
          <w:rFonts w:ascii="Calibri" w:cs="Calibri" w:eastAsia="Calibri" w:hAnsi="Calibri"/>
          <w:b/>
          <w:bCs/>
          <w:color w:val="1F2937"/>
          <w:sz w:val="22"/>
          <w:szCs w:val="22"/>
        </w:rPr>
        <w:t xml:space="preserve">4.2  Managers and Supervisors</w:t>
      </w:r>
    </w:p>
    <w:p>
      <w:pPr>
        <w:pStyle w:val="ListParagraph"/>
        <w:numPr>
          <w:ilvl w:val="0"/>
          <w:numId w:val="2"/>
        </w:numPr>
        <w:spacing w:after="40" w:before="20"/>
      </w:pPr>
      <w:r>
        <w:rPr>
          <w:rFonts w:ascii="Calibri" w:cs="Calibri" w:eastAsia="Calibri" w:hAnsi="Calibri"/>
          <w:color w:val="374151"/>
          <w:sz w:val="20"/>
          <w:szCs w:val="20"/>
        </w:rPr>
        <w:t xml:space="preserve">Model appropriate professional behaviour at all times</w:t>
      </w:r>
    </w:p>
    <w:p>
      <w:pPr>
        <w:pStyle w:val="ListParagraph"/>
        <w:numPr>
          <w:ilvl w:val="0"/>
          <w:numId w:val="2"/>
        </w:numPr>
        <w:spacing w:after="40" w:before="20"/>
      </w:pPr>
      <w:r>
        <w:rPr>
          <w:rFonts w:ascii="Calibri" w:cs="Calibri" w:eastAsia="Calibri" w:hAnsi="Calibri"/>
          <w:color w:val="374151"/>
          <w:sz w:val="20"/>
          <w:szCs w:val="20"/>
        </w:rPr>
        <w:t xml:space="preserve">Challenge and address any inappropriate behaviour or language immediately</w:t>
      </w:r>
    </w:p>
    <w:p>
      <w:pPr>
        <w:pStyle w:val="ListParagraph"/>
        <w:numPr>
          <w:ilvl w:val="0"/>
          <w:numId w:val="2"/>
        </w:numPr>
        <w:spacing w:after="40" w:before="20"/>
      </w:pPr>
      <w:r>
        <w:rPr>
          <w:rFonts w:ascii="Calibri" w:cs="Calibri" w:eastAsia="Calibri" w:hAnsi="Calibri"/>
          <w:color w:val="374151"/>
          <w:sz w:val="20"/>
          <w:szCs w:val="20"/>
        </w:rPr>
        <w:t xml:space="preserve">Take all reports of harassment seriously and escalate promptly</w:t>
      </w:r>
    </w:p>
    <w:p>
      <w:pPr>
        <w:pStyle w:val="ListParagraph"/>
        <w:numPr>
          <w:ilvl w:val="0"/>
          <w:numId w:val="2"/>
        </w:numPr>
        <w:spacing w:after="40" w:before="20"/>
      </w:pPr>
      <w:r>
        <w:rPr>
          <w:rFonts w:ascii="Calibri" w:cs="Calibri" w:eastAsia="Calibri" w:hAnsi="Calibri"/>
          <w:color w:val="374151"/>
          <w:sz w:val="20"/>
          <w:szCs w:val="20"/>
        </w:rPr>
        <w:t xml:space="preserve">Ensure workers on site are aware of this policy and how to raise concerns</w:t>
      </w:r>
    </w:p>
    <w:p>
      <w:pPr>
        <w:pStyle w:val="ListParagraph"/>
        <w:numPr>
          <w:ilvl w:val="0"/>
          <w:numId w:val="2"/>
        </w:numPr>
        <w:spacing w:after="40" w:before="20"/>
      </w:pPr>
      <w:r>
        <w:rPr>
          <w:rFonts w:ascii="Calibri" w:cs="Calibri" w:eastAsia="Calibri" w:hAnsi="Calibri"/>
          <w:color w:val="374151"/>
          <w:sz w:val="20"/>
          <w:szCs w:val="20"/>
        </w:rPr>
        <w:t xml:space="preserve">Not permit harassment by clients, customers, or third parties to go unreported</w:t>
      </w:r>
    </w:p>
    <w:p>
      <w:pPr>
        <w:spacing w:after="60" w:before="200"/>
      </w:pPr>
      <w:r>
        <w:rPr>
          <w:rFonts w:ascii="Calibri" w:cs="Calibri" w:eastAsia="Calibri" w:hAnsi="Calibri"/>
          <w:b/>
          <w:bCs/>
          <w:color w:val="1F2937"/>
          <w:sz w:val="22"/>
          <w:szCs w:val="22"/>
        </w:rPr>
        <w:t xml:space="preserve">4.3  All Workers</w:t>
      </w:r>
    </w:p>
    <w:p>
      <w:pPr>
        <w:pStyle w:val="ListParagraph"/>
        <w:numPr>
          <w:ilvl w:val="0"/>
          <w:numId w:val="2"/>
        </w:numPr>
        <w:spacing w:after="40" w:before="20"/>
      </w:pPr>
      <w:r>
        <w:rPr>
          <w:rFonts w:ascii="Calibri" w:cs="Calibri" w:eastAsia="Calibri" w:hAnsi="Calibri"/>
          <w:color w:val="374151"/>
          <w:sz w:val="20"/>
          <w:szCs w:val="20"/>
        </w:rPr>
        <w:t xml:space="preserve">Treat colleagues and all individuals with dignity and respect</w:t>
      </w:r>
    </w:p>
    <w:p>
      <w:pPr>
        <w:pStyle w:val="ListParagraph"/>
        <w:numPr>
          <w:ilvl w:val="0"/>
          <w:numId w:val="2"/>
        </w:numPr>
        <w:spacing w:after="40" w:before="20"/>
      </w:pPr>
      <w:r>
        <w:rPr>
          <w:rFonts w:ascii="Calibri" w:cs="Calibri" w:eastAsia="Calibri" w:hAnsi="Calibri"/>
          <w:color w:val="374151"/>
          <w:sz w:val="20"/>
          <w:szCs w:val="20"/>
        </w:rPr>
        <w:t xml:space="preserve">Refuse to participate in or condone sexually harassing behaviour</w:t>
      </w:r>
    </w:p>
    <w:p>
      <w:pPr>
        <w:pStyle w:val="ListParagraph"/>
        <w:numPr>
          <w:ilvl w:val="0"/>
          <w:numId w:val="2"/>
        </w:numPr>
        <w:spacing w:after="40" w:before="20"/>
      </w:pPr>
      <w:r>
        <w:rPr>
          <w:rFonts w:ascii="Calibri" w:cs="Calibri" w:eastAsia="Calibri" w:hAnsi="Calibri"/>
          <w:color w:val="374151"/>
          <w:sz w:val="20"/>
          <w:szCs w:val="20"/>
        </w:rPr>
        <w:t xml:space="preserve">Report incidents they witness or experience using the procedure below</w:t>
      </w:r>
    </w:p>
    <w:p>
      <w:pPr>
        <w:pStyle w:val="ListParagraph"/>
        <w:numPr>
          <w:ilvl w:val="0"/>
          <w:numId w:val="2"/>
        </w:numPr>
        <w:spacing w:after="40" w:before="20"/>
      </w:pPr>
      <w:r>
        <w:rPr>
          <w:rFonts w:ascii="Calibri" w:cs="Calibri" w:eastAsia="Calibri" w:hAnsi="Calibri"/>
          <w:color w:val="374151"/>
          <w:sz w:val="20"/>
          <w:szCs w:val="20"/>
        </w:rPr>
        <w:t xml:space="preserve">Co-operate with any investigation under this policy</w:t>
      </w:r>
    </w:p>
    <w:p>
      <w:pPr>
        <w:pBdr>
          <w:bottom w:val="single" w:color="F59E0B" w:sz="4" w:space="1"/>
        </w:pBdr>
        <w:spacing w:after="80" w:before="280"/>
      </w:pPr>
      <w:r>
        <w:rPr>
          <w:rFonts w:ascii="Calibri" w:cs="Calibri" w:eastAsia="Calibri" w:hAnsi="Calibri"/>
          <w:b/>
          <w:bCs/>
          <w:color w:val="1F2937"/>
          <w:sz w:val="26"/>
          <w:szCs w:val="26"/>
        </w:rPr>
        <w:t xml:space="preserve">5.  Prevention Measures</w:t>
      </w:r>
    </w:p>
    <w:p>
      <w:pPr>
        <w:spacing w:after="60" w:before="40"/>
      </w:pPr>
      <w:r>
        <w:rPr>
          <w:rFonts w:ascii="Calibri" w:cs="Calibri" w:eastAsia="Calibri" w:hAnsi="Calibri"/>
          <w:color w:val="374151"/>
          <w:sz w:val="20"/>
          <w:szCs w:val="20"/>
        </w:rPr>
        <w:t xml:space="preserve">PRL Site Solutions takes the following proactive steps to prevent sexual harassment:</w:t>
      </w:r>
    </w:p>
    <w:p>
      <w:pPr>
        <w:pStyle w:val="ListParagraph"/>
        <w:numPr>
          <w:ilvl w:val="0"/>
          <w:numId w:val="2"/>
        </w:numPr>
        <w:spacing w:after="40" w:before="20"/>
      </w:pPr>
      <w:r>
        <w:rPr>
          <w:rFonts w:ascii="Calibri" w:cs="Calibri" w:eastAsia="Calibri" w:hAnsi="Calibri"/>
          <w:color w:val="374151"/>
          <w:sz w:val="20"/>
          <w:szCs w:val="20"/>
        </w:rPr>
        <w:t xml:space="preserve">Training: All workers receive induction training covering this policy. Managers receive additional training on recognising and responding to harassment.</w:t>
      </w:r>
    </w:p>
    <w:p>
      <w:pPr>
        <w:pStyle w:val="ListParagraph"/>
        <w:numPr>
          <w:ilvl w:val="0"/>
          <w:numId w:val="2"/>
        </w:numPr>
        <w:spacing w:after="40" w:before="20"/>
      </w:pPr>
      <w:r>
        <w:rPr>
          <w:rFonts w:ascii="Calibri" w:cs="Calibri" w:eastAsia="Calibri" w:hAnsi="Calibri"/>
          <w:color w:val="374151"/>
          <w:sz w:val="20"/>
          <w:szCs w:val="20"/>
        </w:rPr>
        <w:t xml:space="preserve">Risk assessments: We assess workplace environments, including client sites, for harassment risks and take steps to mitigate them.</w:t>
      </w:r>
    </w:p>
    <w:p>
      <w:pPr>
        <w:pStyle w:val="ListParagraph"/>
        <w:numPr>
          <w:ilvl w:val="0"/>
          <w:numId w:val="2"/>
        </w:numPr>
        <w:spacing w:after="40" w:before="20"/>
      </w:pPr>
      <w:r>
        <w:rPr>
          <w:rFonts w:ascii="Calibri" w:cs="Calibri" w:eastAsia="Calibri" w:hAnsi="Calibri"/>
          <w:color w:val="374151"/>
          <w:sz w:val="20"/>
          <w:szCs w:val="20"/>
        </w:rPr>
        <w:t xml:space="preserve">Site briefings: Sexual harassment awareness is included in site inductions and toolbox talks.</w:t>
      </w:r>
    </w:p>
    <w:p>
      <w:pPr>
        <w:pStyle w:val="ListParagraph"/>
        <w:numPr>
          <w:ilvl w:val="0"/>
          <w:numId w:val="2"/>
        </w:numPr>
        <w:spacing w:after="40" w:before="20"/>
      </w:pPr>
      <w:r>
        <w:rPr>
          <w:rFonts w:ascii="Calibri" w:cs="Calibri" w:eastAsia="Calibri" w:hAnsi="Calibri"/>
          <w:color w:val="374151"/>
          <w:sz w:val="20"/>
          <w:szCs w:val="20"/>
        </w:rPr>
        <w:t xml:space="preserve">Third-party conduct: We take action to protect our workers from harassment by clients, customers, or members of the public and will remove workers from placements where necessary.</w:t>
      </w:r>
    </w:p>
    <w:p>
      <w:pPr>
        <w:pStyle w:val="ListParagraph"/>
        <w:numPr>
          <w:ilvl w:val="0"/>
          <w:numId w:val="2"/>
        </w:numPr>
        <w:spacing w:after="40" w:before="20"/>
      </w:pPr>
      <w:r>
        <w:rPr>
          <w:rFonts w:ascii="Calibri" w:cs="Calibri" w:eastAsia="Calibri" w:hAnsi="Calibri"/>
          <w:color w:val="374151"/>
          <w:sz w:val="20"/>
          <w:szCs w:val="20"/>
        </w:rPr>
        <w:t xml:space="preserve">Reporting channels: Multiple confidential reporting options are available (see Section 6).</w:t>
      </w:r>
    </w:p>
    <w:p>
      <w:pPr>
        <w:pStyle w:val="ListParagraph"/>
        <w:numPr>
          <w:ilvl w:val="0"/>
          <w:numId w:val="2"/>
        </w:numPr>
        <w:spacing w:after="40" w:before="20"/>
      </w:pPr>
      <w:r>
        <w:rPr>
          <w:rFonts w:ascii="Calibri" w:cs="Calibri" w:eastAsia="Calibri" w:hAnsi="Calibri"/>
          <w:color w:val="374151"/>
          <w:sz w:val="20"/>
          <w:szCs w:val="20"/>
        </w:rPr>
        <w:t xml:space="preserve">Bystander intervention: Workers are encouraged to safely challenge inappropriate behaviour and report what they witness.</w:t>
      </w:r>
    </w:p>
    <w:p>
      <w:pPr>
        <w:pStyle w:val="ListParagraph"/>
        <w:numPr>
          <w:ilvl w:val="0"/>
          <w:numId w:val="2"/>
        </w:numPr>
        <w:spacing w:after="40" w:before="20"/>
      </w:pPr>
      <w:r>
        <w:rPr>
          <w:rFonts w:ascii="Calibri" w:cs="Calibri" w:eastAsia="Calibri" w:hAnsi="Calibri"/>
          <w:color w:val="374151"/>
          <w:sz w:val="20"/>
          <w:szCs w:val="20"/>
        </w:rPr>
        <w:t xml:space="preserve">Regular review: This policy is reviewed annually or following any significant incident.</w:t>
      </w:r>
    </w:p>
    <w:p>
      <w:pPr>
        <w:pBdr>
          <w:bottom w:val="single" w:color="F59E0B" w:sz="4" w:space="1"/>
        </w:pBdr>
        <w:spacing w:after="80" w:before="280"/>
      </w:pPr>
      <w:r>
        <w:rPr>
          <w:rFonts w:ascii="Calibri" w:cs="Calibri" w:eastAsia="Calibri" w:hAnsi="Calibri"/>
          <w:b/>
          <w:bCs/>
          <w:color w:val="1F2937"/>
          <w:sz w:val="26"/>
          <w:szCs w:val="26"/>
        </w:rPr>
        <w:t xml:space="preserve">6.  How to Report a Complaint</w:t>
      </w:r>
    </w:p>
    <w:p>
      <w:pPr>
        <w:spacing w:after="4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F59E0B" w:sz="4"/>
              <w:left w:val="single" w:color="F59E0B" w:sz="12"/>
              <w:bottom w:val="single" w:color="E5E7EB" w:sz="1"/>
              <w:right w:val="single" w:color="E5E7EB" w:sz="1"/>
            </w:tcBorders>
            <w:shd w:fill="ECFDF5" w:val="clear"/>
            <w:tcMar>
              <w:top w:type="dxa" w:w="120"/>
              <w:left w:type="dxa" w:w="160"/>
              <w:bottom w:type="dxa" w:w="120"/>
              <w:right w:type="dxa" w:w="160"/>
            </w:tcMar>
          </w:tcPr>
          <w:p>
            <w:pPr>
              <w:spacing w:after="60" w:before="0"/>
            </w:pPr>
            <w:r>
              <w:rPr>
                <w:rFonts w:ascii="Calibri" w:cs="Calibri" w:eastAsia="Calibri" w:hAnsi="Calibri"/>
                <w:b/>
                <w:bCs/>
                <w:color w:val="1F2937"/>
                <w:sz w:val="18"/>
                <w:szCs w:val="18"/>
              </w:rPr>
              <w:t xml:space="preserve">You will not be penalised for making a genuine complaint.</w:t>
            </w:r>
          </w:p>
          <w:p>
            <w:pPr>
              <w:spacing w:after="0" w:before="0"/>
            </w:pPr>
            <w:r>
              <w:rPr>
                <w:rFonts w:ascii="Calibri" w:cs="Calibri" w:eastAsia="Calibri" w:hAnsi="Calibri"/>
                <w:color w:val="374151"/>
                <w:sz w:val="18"/>
                <w:szCs w:val="18"/>
              </w:rPr>
              <w:t xml:space="preserve">All reports are treated with confidentiality. Victimisation of anyone who raises a concern is itself a disciplinary offence.</w:t>
            </w:r>
          </w:p>
        </w:tc>
      </w:tr>
    </w:tbl>
    <w:p>
      <w:pPr>
        <w:spacing w:after="80" w:before="0"/>
      </w:pPr>
    </w:p>
    <w:p>
      <w:pPr>
        <w:spacing w:after="60" w:before="200"/>
      </w:pPr>
      <w:r>
        <w:rPr>
          <w:rFonts w:ascii="Calibri" w:cs="Calibri" w:eastAsia="Calibri" w:hAnsi="Calibri"/>
          <w:b/>
          <w:bCs/>
          <w:color w:val="1F2937"/>
          <w:sz w:val="22"/>
          <w:szCs w:val="22"/>
        </w:rPr>
        <w:t xml:space="preserve">6.1  Informal Resolution</w:t>
      </w:r>
    </w:p>
    <w:p>
      <w:pPr>
        <w:spacing w:after="60" w:before="40"/>
      </w:pPr>
      <w:r>
        <w:rPr>
          <w:rFonts w:ascii="Calibri" w:cs="Calibri" w:eastAsia="Calibri" w:hAnsi="Calibri"/>
          <w:color w:val="374151"/>
          <w:sz w:val="20"/>
          <w:szCs w:val="20"/>
        </w:rPr>
        <w:t xml:space="preserve">Where the complainant feels comfortable doing so, they may initially raise the matter informally with the perpetrator (clearly stating the behaviour is unwanted and must stop), or with a trusted manager or colleague. In some cases, an informal approach may resolve the situation quickly.</w:t>
      </w:r>
    </w:p>
    <w:p>
      <w:pPr>
        <w:spacing w:after="60" w:before="200"/>
      </w:pPr>
      <w:r>
        <w:rPr>
          <w:rFonts w:ascii="Calibri" w:cs="Calibri" w:eastAsia="Calibri" w:hAnsi="Calibri"/>
          <w:b/>
          <w:bCs/>
          <w:color w:val="1F2937"/>
          <w:sz w:val="22"/>
          <w:szCs w:val="22"/>
        </w:rPr>
        <w:t xml:space="preserve">6.2  Formal Complaint</w:t>
      </w:r>
    </w:p>
    <w:p>
      <w:pPr>
        <w:spacing w:after="60" w:before="40"/>
      </w:pPr>
      <w:r>
        <w:rPr>
          <w:rFonts w:ascii="Calibri" w:cs="Calibri" w:eastAsia="Calibri" w:hAnsi="Calibri"/>
          <w:color w:val="374151"/>
          <w:sz w:val="20"/>
          <w:szCs w:val="20"/>
        </w:rPr>
        <w:t xml:space="preserve">A formal complaint can be raised at any time, regardless of whether informal steps have been attempted:</w:t>
      </w:r>
    </w:p>
    <w:p>
      <w:pPr>
        <w:pStyle w:val="ListParagraph"/>
        <w:numPr>
          <w:ilvl w:val="0"/>
          <w:numId w:val="2"/>
        </w:numPr>
        <w:spacing w:after="40" w:before="20"/>
      </w:pPr>
      <w:r>
        <w:rPr>
          <w:rFonts w:ascii="Calibri" w:cs="Calibri" w:eastAsia="Calibri" w:hAnsi="Calibri"/>
          <w:color w:val="374151"/>
          <w:sz w:val="20"/>
          <w:szCs w:val="20"/>
        </w:rPr>
        <w:t xml:space="preserve">In writing or verbally to your direct manager or any senior manager at PRL Site Solutions</w:t>
      </w:r>
    </w:p>
    <w:p>
      <w:pPr>
        <w:pStyle w:val="ListParagraph"/>
        <w:numPr>
          <w:ilvl w:val="0"/>
          <w:numId w:val="2"/>
        </w:numPr>
        <w:spacing w:after="40" w:before="20"/>
      </w:pPr>
      <w:r>
        <w:rPr>
          <w:rFonts w:ascii="Calibri" w:cs="Calibri" w:eastAsia="Calibri" w:hAnsi="Calibri"/>
          <w:color w:val="374151"/>
          <w:sz w:val="20"/>
          <w:szCs w:val="20"/>
        </w:rPr>
        <w:t xml:space="preserve">By email: hr@prlsitesolutions.co.uk</w:t>
      </w:r>
    </w:p>
    <w:p>
      <w:pPr>
        <w:pStyle w:val="ListParagraph"/>
        <w:numPr>
          <w:ilvl w:val="0"/>
          <w:numId w:val="2"/>
        </w:numPr>
        <w:spacing w:after="40" w:before="20"/>
      </w:pPr>
      <w:r>
        <w:rPr>
          <w:rFonts w:ascii="Calibri" w:cs="Calibri" w:eastAsia="Calibri" w:hAnsi="Calibri"/>
          <w:color w:val="374151"/>
          <w:sz w:val="20"/>
          <w:szCs w:val="20"/>
        </w:rPr>
        <w:t xml:space="preserve">Via PRISM: www.prismworkforce.online/grievance — use category "Harassment / Discrimination"</w:t>
      </w:r>
    </w:p>
    <w:p>
      <w:pPr>
        <w:spacing w:after="60" w:before="40"/>
      </w:pPr>
      <w:r>
        <w:rPr>
          <w:rFonts w:ascii="Calibri" w:cs="Calibri" w:eastAsia="Calibri" w:hAnsi="Calibri"/>
          <w:color w:val="374151"/>
          <w:sz w:val="20"/>
          <w:szCs w:val="20"/>
        </w:rPr>
        <w:t xml:space="preserve">If the complaint is against a direct manager, the complainant should contact a director directly.</w:t>
      </w:r>
    </w:p>
    <w:p>
      <w:pPr>
        <w:spacing w:after="60" w:before="200"/>
      </w:pPr>
      <w:r>
        <w:rPr>
          <w:rFonts w:ascii="Calibri" w:cs="Calibri" w:eastAsia="Calibri" w:hAnsi="Calibri"/>
          <w:b/>
          <w:bCs/>
          <w:color w:val="1F2937"/>
          <w:sz w:val="22"/>
          <w:szCs w:val="22"/>
        </w:rPr>
        <w:t xml:space="preserve">6.3  External Reporting</w:t>
      </w:r>
    </w:p>
    <w:p>
      <w:pPr>
        <w:spacing w:after="60" w:before="40"/>
      </w:pPr>
      <w:r>
        <w:rPr>
          <w:rFonts w:ascii="Calibri" w:cs="Calibri" w:eastAsia="Calibri" w:hAnsi="Calibri"/>
          <w:color w:val="374151"/>
          <w:sz w:val="20"/>
          <w:szCs w:val="20"/>
        </w:rPr>
        <w:t xml:space="preserve">Workers also have the right to raise concerns externally:</w:t>
      </w:r>
    </w:p>
    <w:p>
      <w:pPr>
        <w:pStyle w:val="ListParagraph"/>
        <w:numPr>
          <w:ilvl w:val="0"/>
          <w:numId w:val="2"/>
        </w:numPr>
        <w:spacing w:after="40" w:before="20"/>
      </w:pPr>
      <w:r>
        <w:rPr>
          <w:rFonts w:ascii="Calibri" w:cs="Calibri" w:eastAsia="Calibri" w:hAnsi="Calibri"/>
          <w:color w:val="374151"/>
          <w:sz w:val="20"/>
          <w:szCs w:val="20"/>
        </w:rPr>
        <w:t xml:space="preserve">ACAS: 0300 123 1100 | www.acas.org.uk</w:t>
      </w:r>
    </w:p>
    <w:p>
      <w:pPr>
        <w:pStyle w:val="ListParagraph"/>
        <w:numPr>
          <w:ilvl w:val="0"/>
          <w:numId w:val="2"/>
        </w:numPr>
        <w:spacing w:after="40" w:before="20"/>
      </w:pPr>
      <w:r>
        <w:rPr>
          <w:rFonts w:ascii="Calibri" w:cs="Calibri" w:eastAsia="Calibri" w:hAnsi="Calibri"/>
          <w:color w:val="374151"/>
          <w:sz w:val="20"/>
          <w:szCs w:val="20"/>
        </w:rPr>
        <w:t xml:space="preserve">Equality and Human Rights Commission: www.equalityhumanrights.com</w:t>
      </w:r>
    </w:p>
    <w:p>
      <w:pPr>
        <w:pStyle w:val="ListParagraph"/>
        <w:numPr>
          <w:ilvl w:val="0"/>
          <w:numId w:val="2"/>
        </w:numPr>
        <w:spacing w:after="40" w:before="20"/>
      </w:pPr>
      <w:r>
        <w:rPr>
          <w:rFonts w:ascii="Calibri" w:cs="Calibri" w:eastAsia="Calibri" w:hAnsi="Calibri"/>
          <w:color w:val="374151"/>
          <w:sz w:val="20"/>
          <w:szCs w:val="20"/>
        </w:rPr>
        <w:t xml:space="preserve">Employment Tribunal: Claims must ordinarily be submitted within 3 months of the last act of harassment</w:t>
      </w:r>
    </w:p>
    <w:p>
      <w:pPr>
        <w:pBdr>
          <w:bottom w:val="single" w:color="F59E0B" w:sz="4" w:space="1"/>
        </w:pBdr>
        <w:spacing w:after="80" w:before="280"/>
      </w:pPr>
      <w:r>
        <w:rPr>
          <w:rFonts w:ascii="Calibri" w:cs="Calibri" w:eastAsia="Calibri" w:hAnsi="Calibri"/>
          <w:b/>
          <w:bCs/>
          <w:color w:val="1F2937"/>
          <w:sz w:val="26"/>
          <w:szCs w:val="26"/>
        </w:rPr>
        <w:t xml:space="preserve">7.  Investigation Process</w:t>
      </w:r>
    </w:p>
    <w:p>
      <w:pPr>
        <w:spacing w:after="60" w:before="40"/>
      </w:pPr>
      <w:r>
        <w:rPr>
          <w:rFonts w:ascii="Calibri" w:cs="Calibri" w:eastAsia="Calibri" w:hAnsi="Calibri"/>
          <w:color w:val="374151"/>
          <w:sz w:val="20"/>
          <w:szCs w:val="20"/>
        </w:rPr>
        <w:t xml:space="preserve">On receipt of a formal complaint, PRL Site Solutions will:</w:t>
      </w:r>
    </w:p>
    <w:p>
      <w:pPr>
        <w:pStyle w:val="ListParagraph"/>
        <w:numPr>
          <w:ilvl w:val="0"/>
          <w:numId w:val="3"/>
        </w:numPr>
        <w:spacing w:after="40" w:before="20"/>
      </w:pPr>
      <w:r>
        <w:rPr>
          <w:rFonts w:ascii="Calibri" w:cs="Calibri" w:eastAsia="Calibri" w:hAnsi="Calibri"/>
          <w:color w:val="374151"/>
          <w:sz w:val="20"/>
          <w:szCs w:val="20"/>
        </w:rPr>
        <w:t xml:space="preserve">Acknowledge receipt within 2 working days</w:t>
      </w:r>
    </w:p>
    <w:p>
      <w:pPr>
        <w:pStyle w:val="ListParagraph"/>
        <w:numPr>
          <w:ilvl w:val="0"/>
          <w:numId w:val="3"/>
        </w:numPr>
        <w:spacing w:after="40" w:before="20"/>
      </w:pPr>
      <w:r>
        <w:rPr>
          <w:rFonts w:ascii="Calibri" w:cs="Calibri" w:eastAsia="Calibri" w:hAnsi="Calibri"/>
          <w:color w:val="374151"/>
          <w:sz w:val="20"/>
          <w:szCs w:val="20"/>
        </w:rPr>
        <w:t xml:space="preserve">Appoint an appropriate, impartial investigating manager</w:t>
      </w:r>
    </w:p>
    <w:p>
      <w:pPr>
        <w:pStyle w:val="ListParagraph"/>
        <w:numPr>
          <w:ilvl w:val="0"/>
          <w:numId w:val="3"/>
        </w:numPr>
        <w:spacing w:after="40" w:before="20"/>
      </w:pPr>
      <w:r>
        <w:rPr>
          <w:rFonts w:ascii="Calibri" w:cs="Calibri" w:eastAsia="Calibri" w:hAnsi="Calibri"/>
          <w:color w:val="374151"/>
          <w:sz w:val="20"/>
          <w:szCs w:val="20"/>
        </w:rPr>
        <w:t xml:space="preserve">Where necessary, implement interim measures to protect the complainant (e.g. adjusted site placement, temporary separation) pending investigation</w:t>
      </w:r>
    </w:p>
    <w:p>
      <w:pPr>
        <w:pStyle w:val="ListParagraph"/>
        <w:numPr>
          <w:ilvl w:val="0"/>
          <w:numId w:val="3"/>
        </w:numPr>
        <w:spacing w:after="40" w:before="20"/>
      </w:pPr>
      <w:r>
        <w:rPr>
          <w:rFonts w:ascii="Calibri" w:cs="Calibri" w:eastAsia="Calibri" w:hAnsi="Calibri"/>
          <w:color w:val="374151"/>
          <w:sz w:val="20"/>
          <w:szCs w:val="20"/>
        </w:rPr>
        <w:t xml:space="preserve">Conduct a thorough and fair investigation, interviewing relevant parties and reviewing evidence</w:t>
      </w:r>
    </w:p>
    <w:p>
      <w:pPr>
        <w:pStyle w:val="ListParagraph"/>
        <w:numPr>
          <w:ilvl w:val="0"/>
          <w:numId w:val="3"/>
        </w:numPr>
        <w:spacing w:after="40" w:before="20"/>
      </w:pPr>
      <w:r>
        <w:rPr>
          <w:rFonts w:ascii="Calibri" w:cs="Calibri" w:eastAsia="Calibri" w:hAnsi="Calibri"/>
          <w:color w:val="374151"/>
          <w:sz w:val="20"/>
          <w:szCs w:val="20"/>
        </w:rPr>
        <w:t xml:space="preserve">Conclude the investigation and communicate findings within 28 working days (or notify the complainant if more time is required)</w:t>
      </w:r>
    </w:p>
    <w:p>
      <w:pPr>
        <w:pStyle w:val="ListParagraph"/>
        <w:numPr>
          <w:ilvl w:val="0"/>
          <w:numId w:val="3"/>
        </w:numPr>
        <w:spacing w:after="40" w:before="20"/>
      </w:pPr>
      <w:r>
        <w:rPr>
          <w:rFonts w:ascii="Calibri" w:cs="Calibri" w:eastAsia="Calibri" w:hAnsi="Calibri"/>
          <w:color w:val="374151"/>
          <w:sz w:val="20"/>
          <w:szCs w:val="20"/>
        </w:rPr>
        <w:t xml:space="preserve">Take appropriate disciplinary action if the complaint is upheld</w:t>
      </w:r>
    </w:p>
    <w:p>
      <w:pPr>
        <w:pStyle w:val="ListParagraph"/>
        <w:numPr>
          <w:ilvl w:val="0"/>
          <w:numId w:val="3"/>
        </w:numPr>
        <w:spacing w:after="40" w:before="20"/>
      </w:pPr>
      <w:r>
        <w:rPr>
          <w:rFonts w:ascii="Calibri" w:cs="Calibri" w:eastAsia="Calibri" w:hAnsi="Calibri"/>
          <w:color w:val="374151"/>
          <w:sz w:val="20"/>
          <w:szCs w:val="20"/>
        </w:rPr>
        <w:t xml:space="preserve">Inform both parties of the outcome, subject to confidentiality constraints</w:t>
      </w:r>
    </w:p>
    <w:p>
      <w:pPr>
        <w:spacing w:after="60" w:before="40"/>
      </w:pPr>
      <w:r>
        <w:rPr>
          <w:rFonts w:ascii="Calibri" w:cs="Calibri" w:eastAsia="Calibri" w:hAnsi="Calibri"/>
          <w:color w:val="374151"/>
          <w:sz w:val="20"/>
          <w:szCs w:val="20"/>
        </w:rPr>
        <w:t xml:space="preserve">Both the complainant and the respondent have the right to be accompanied at any formal meeting by a colleague or trade union representative.</w:t>
      </w:r>
    </w:p>
    <w:p>
      <w:pPr>
        <w:pBdr>
          <w:bottom w:val="single" w:color="F59E0B" w:sz="4" w:space="1"/>
        </w:pBdr>
        <w:spacing w:after="80" w:before="280"/>
      </w:pPr>
      <w:r>
        <w:rPr>
          <w:rFonts w:ascii="Calibri" w:cs="Calibri" w:eastAsia="Calibri" w:hAnsi="Calibri"/>
          <w:b/>
          <w:bCs/>
          <w:color w:val="1F2937"/>
          <w:sz w:val="26"/>
          <w:szCs w:val="26"/>
        </w:rPr>
        <w:t xml:space="preserve">8.  Confidentiality</w:t>
      </w:r>
    </w:p>
    <w:p>
      <w:pPr>
        <w:spacing w:after="60" w:before="40"/>
      </w:pPr>
      <w:r>
        <w:rPr>
          <w:rFonts w:ascii="Calibri" w:cs="Calibri" w:eastAsia="Calibri" w:hAnsi="Calibri"/>
          <w:color w:val="374151"/>
          <w:sz w:val="20"/>
          <w:szCs w:val="20"/>
        </w:rPr>
        <w:t xml:space="preserve">All complaints and investigations will be handled with the strictest confidence. Information will only be shared on a strictly need-to-know basis to conduct the investigation. However, absolute confidentiality cannot be guaranteed where there is a risk of harm to an individual or a legal obligation to disclose.</w:t>
      </w:r>
    </w:p>
    <w:p>
      <w:pPr>
        <w:pBdr>
          <w:bottom w:val="single" w:color="F59E0B" w:sz="4" w:space="1"/>
        </w:pBdr>
        <w:spacing w:after="80" w:before="280"/>
      </w:pPr>
      <w:r>
        <w:rPr>
          <w:rFonts w:ascii="Calibri" w:cs="Calibri" w:eastAsia="Calibri" w:hAnsi="Calibri"/>
          <w:b/>
          <w:bCs/>
          <w:color w:val="1F2937"/>
          <w:sz w:val="26"/>
          <w:szCs w:val="26"/>
        </w:rPr>
        <w:t xml:space="preserve">9.  Disciplinary Action</w:t>
      </w:r>
    </w:p>
    <w:p>
      <w:pPr>
        <w:spacing w:after="60" w:before="40"/>
      </w:pPr>
      <w:r>
        <w:rPr>
          <w:rFonts w:ascii="Calibri" w:cs="Calibri" w:eastAsia="Calibri" w:hAnsi="Calibri"/>
          <w:color w:val="374151"/>
          <w:sz w:val="20"/>
          <w:szCs w:val="20"/>
        </w:rPr>
        <w:t xml:space="preserve">Sexual harassment is a serious disciplinary offence. Where an allegation is upheld following investigation, the outcome may include:</w:t>
      </w:r>
    </w:p>
    <w:p>
      <w:pPr>
        <w:pStyle w:val="ListParagraph"/>
        <w:numPr>
          <w:ilvl w:val="0"/>
          <w:numId w:val="2"/>
        </w:numPr>
        <w:spacing w:after="40" w:before="20"/>
      </w:pPr>
      <w:r>
        <w:rPr>
          <w:rFonts w:ascii="Calibri" w:cs="Calibri" w:eastAsia="Calibri" w:hAnsi="Calibri"/>
          <w:color w:val="374151"/>
          <w:sz w:val="20"/>
          <w:szCs w:val="20"/>
        </w:rPr>
        <w:t xml:space="preserve">Formal written warning</w:t>
      </w:r>
    </w:p>
    <w:p>
      <w:pPr>
        <w:pStyle w:val="ListParagraph"/>
        <w:numPr>
          <w:ilvl w:val="0"/>
          <w:numId w:val="2"/>
        </w:numPr>
        <w:spacing w:after="40" w:before="20"/>
      </w:pPr>
      <w:r>
        <w:rPr>
          <w:rFonts w:ascii="Calibri" w:cs="Calibri" w:eastAsia="Calibri" w:hAnsi="Calibri"/>
          <w:color w:val="374151"/>
          <w:sz w:val="20"/>
          <w:szCs w:val="20"/>
        </w:rPr>
        <w:t xml:space="preserve">Final written warning</w:t>
      </w:r>
    </w:p>
    <w:p>
      <w:pPr>
        <w:pStyle w:val="ListParagraph"/>
        <w:numPr>
          <w:ilvl w:val="0"/>
          <w:numId w:val="2"/>
        </w:numPr>
        <w:spacing w:after="40" w:before="20"/>
      </w:pPr>
      <w:r>
        <w:rPr>
          <w:rFonts w:ascii="Calibri" w:cs="Calibri" w:eastAsia="Calibri" w:hAnsi="Calibri"/>
          <w:color w:val="374151"/>
          <w:sz w:val="20"/>
          <w:szCs w:val="20"/>
        </w:rPr>
        <w:t xml:space="preserve">Demotion or reassignment</w:t>
      </w:r>
    </w:p>
    <w:p>
      <w:pPr>
        <w:pStyle w:val="ListParagraph"/>
        <w:numPr>
          <w:ilvl w:val="0"/>
          <w:numId w:val="2"/>
        </w:numPr>
        <w:spacing w:after="40" w:before="20"/>
      </w:pPr>
      <w:r>
        <w:rPr>
          <w:rFonts w:ascii="Calibri" w:cs="Calibri" w:eastAsia="Calibri" w:hAnsi="Calibri"/>
          <w:color w:val="374151"/>
          <w:sz w:val="20"/>
          <w:szCs w:val="20"/>
        </w:rPr>
        <w:t xml:space="preserve">Dismissal — including summary dismissal for serious cases</w:t>
      </w:r>
    </w:p>
    <w:p>
      <w:pPr>
        <w:pStyle w:val="ListParagraph"/>
        <w:numPr>
          <w:ilvl w:val="0"/>
          <w:numId w:val="2"/>
        </w:numPr>
        <w:spacing w:after="40" w:before="20"/>
      </w:pPr>
      <w:r>
        <w:rPr>
          <w:rFonts w:ascii="Calibri" w:cs="Calibri" w:eastAsia="Calibri" w:hAnsi="Calibri"/>
          <w:color w:val="374151"/>
          <w:sz w:val="20"/>
          <w:szCs w:val="20"/>
        </w:rPr>
        <w:t xml:space="preserve">Referral to relevant professional bodies or regulatory authorities where appropriate</w:t>
      </w:r>
    </w:p>
    <w:p>
      <w:pPr>
        <w:spacing w:after="60" w:before="40"/>
      </w:pPr>
      <w:r>
        <w:rPr>
          <w:rFonts w:ascii="Calibri" w:cs="Calibri" w:eastAsia="Calibri" w:hAnsi="Calibri"/>
          <w:color w:val="374151"/>
          <w:sz w:val="20"/>
          <w:szCs w:val="20"/>
        </w:rPr>
        <w:t xml:space="preserve">The above applies equally to permanent staff, contractors, and agency workers supplied by PRL. For workers placed at client sites, PRL reserves the right to remove individuals from placements immediately pending investigation.</w:t>
      </w:r>
    </w:p>
    <w:p>
      <w:pPr>
        <w:pBdr>
          <w:bottom w:val="single" w:color="F59E0B" w:sz="4" w:space="1"/>
        </w:pBdr>
        <w:spacing w:after="80" w:before="280"/>
      </w:pPr>
      <w:r>
        <w:rPr>
          <w:rFonts w:ascii="Calibri" w:cs="Calibri" w:eastAsia="Calibri" w:hAnsi="Calibri"/>
          <w:b/>
          <w:bCs/>
          <w:color w:val="1F2937"/>
          <w:sz w:val="26"/>
          <w:szCs w:val="26"/>
        </w:rPr>
        <w:t xml:space="preserve">10.  Support for Those Affected</w:t>
      </w:r>
    </w:p>
    <w:p>
      <w:pPr>
        <w:spacing w:after="60" w:before="40"/>
      </w:pPr>
      <w:r>
        <w:rPr>
          <w:rFonts w:ascii="Calibri" w:cs="Calibri" w:eastAsia="Calibri" w:hAnsi="Calibri"/>
          <w:color w:val="374151"/>
          <w:sz w:val="20"/>
          <w:szCs w:val="20"/>
        </w:rPr>
        <w:t xml:space="preserve">PRL Site Solutions recognises that experiencing harassment can be distressing and may affect a person's health and wellbeing. The following support is available:</w:t>
      </w:r>
    </w:p>
    <w:p>
      <w:pPr>
        <w:pStyle w:val="ListParagraph"/>
        <w:numPr>
          <w:ilvl w:val="0"/>
          <w:numId w:val="2"/>
        </w:numPr>
        <w:spacing w:after="40" w:before="20"/>
      </w:pPr>
      <w:r>
        <w:rPr>
          <w:rFonts w:ascii="Calibri" w:cs="Calibri" w:eastAsia="Calibri" w:hAnsi="Calibri"/>
          <w:color w:val="374151"/>
          <w:sz w:val="20"/>
          <w:szCs w:val="20"/>
        </w:rPr>
        <w:t xml:space="preserve">Lighthouse Construction Charity 24/7 Helpline: UK 0345 605 1956 | ROI 1800 939 122  |  Text HARDHAT to 85258 (UK) or 50808 (ROI)</w:t>
      </w:r>
    </w:p>
    <w:p>
      <w:pPr>
        <w:pStyle w:val="ListParagraph"/>
        <w:numPr>
          <w:ilvl w:val="0"/>
          <w:numId w:val="2"/>
        </w:numPr>
        <w:spacing w:after="40" w:before="20"/>
      </w:pPr>
      <w:r>
        <w:rPr>
          <w:rFonts w:ascii="Calibri" w:cs="Calibri" w:eastAsia="Calibri" w:hAnsi="Calibri"/>
          <w:color w:val="374151"/>
          <w:sz w:val="20"/>
          <w:szCs w:val="20"/>
        </w:rPr>
        <w:t xml:space="preserve">ACAS helpline: 0300 123 1100</w:t>
      </w:r>
    </w:p>
    <w:p>
      <w:pPr>
        <w:pStyle w:val="ListParagraph"/>
        <w:numPr>
          <w:ilvl w:val="0"/>
          <w:numId w:val="2"/>
        </w:numPr>
        <w:spacing w:after="40" w:before="20"/>
      </w:pPr>
      <w:r>
        <w:rPr>
          <w:rFonts w:ascii="Calibri" w:cs="Calibri" w:eastAsia="Calibri" w:hAnsi="Calibri"/>
          <w:color w:val="374151"/>
          <w:sz w:val="20"/>
          <w:szCs w:val="20"/>
        </w:rPr>
        <w:t xml:space="preserve">Citizens Advice: www.citizensadvice.org.uk</w:t>
      </w:r>
    </w:p>
    <w:p>
      <w:pPr>
        <w:pBdr>
          <w:bottom w:val="single" w:color="F59E0B" w:sz="4" w:space="1"/>
        </w:pBdr>
        <w:spacing w:after="80" w:before="280"/>
      </w:pPr>
      <w:r>
        <w:rPr>
          <w:rFonts w:ascii="Calibri" w:cs="Calibri" w:eastAsia="Calibri" w:hAnsi="Calibri"/>
          <w:b/>
          <w:bCs/>
          <w:color w:val="1F2937"/>
          <w:sz w:val="26"/>
          <w:szCs w:val="26"/>
        </w:rPr>
        <w:t xml:space="preserve">11.  Related Policies</w:t>
      </w:r>
    </w:p>
    <w:p>
      <w:pPr>
        <w:pStyle w:val="ListParagraph"/>
        <w:numPr>
          <w:ilvl w:val="0"/>
          <w:numId w:val="2"/>
        </w:numPr>
        <w:spacing w:after="40" w:before="20"/>
      </w:pPr>
      <w:r>
        <w:rPr>
          <w:rFonts w:ascii="Calibri" w:cs="Calibri" w:eastAsia="Calibri" w:hAnsi="Calibri"/>
          <w:color w:val="374151"/>
          <w:sz w:val="20"/>
          <w:szCs w:val="20"/>
        </w:rPr>
        <w:t xml:space="preserve">Equality, Diversity &amp; Inclusion Policy (HR-POL-001)</w:t>
      </w:r>
    </w:p>
    <w:p>
      <w:pPr>
        <w:pStyle w:val="ListParagraph"/>
        <w:numPr>
          <w:ilvl w:val="0"/>
          <w:numId w:val="2"/>
        </w:numPr>
        <w:spacing w:after="40" w:before="20"/>
      </w:pPr>
      <w:r>
        <w:rPr>
          <w:rFonts w:ascii="Calibri" w:cs="Calibri" w:eastAsia="Calibri" w:hAnsi="Calibri"/>
          <w:color w:val="374151"/>
          <w:sz w:val="20"/>
          <w:szCs w:val="20"/>
        </w:rPr>
        <w:t xml:space="preserve">Grievance Policy (HR-POL-003)</w:t>
      </w:r>
    </w:p>
    <w:p>
      <w:pPr>
        <w:pStyle w:val="ListParagraph"/>
        <w:numPr>
          <w:ilvl w:val="0"/>
          <w:numId w:val="2"/>
        </w:numPr>
        <w:spacing w:after="40" w:before="20"/>
      </w:pPr>
      <w:r>
        <w:rPr>
          <w:rFonts w:ascii="Calibri" w:cs="Calibri" w:eastAsia="Calibri" w:hAnsi="Calibri"/>
          <w:color w:val="374151"/>
          <w:sz w:val="20"/>
          <w:szCs w:val="20"/>
        </w:rPr>
        <w:t xml:space="preserve">Disciplinary Policy (HR-POL-004)</w:t>
      </w:r>
    </w:p>
    <w:p>
      <w:pPr>
        <w:pStyle w:val="ListParagraph"/>
        <w:numPr>
          <w:ilvl w:val="0"/>
          <w:numId w:val="2"/>
        </w:numPr>
        <w:spacing w:after="40" w:before="20"/>
      </w:pPr>
      <w:r>
        <w:rPr>
          <w:rFonts w:ascii="Calibri" w:cs="Calibri" w:eastAsia="Calibri" w:hAnsi="Calibri"/>
          <w:color w:val="374151"/>
          <w:sz w:val="20"/>
          <w:szCs w:val="20"/>
        </w:rPr>
        <w:t xml:space="preserve">Bullying &amp; Harassment Policy (HR-POL-005)</w:t>
      </w:r>
    </w:p>
    <w:p>
      <w:pPr>
        <w:pStyle w:val="ListParagraph"/>
        <w:numPr>
          <w:ilvl w:val="0"/>
          <w:numId w:val="2"/>
        </w:numPr>
        <w:spacing w:after="40" w:before="20"/>
      </w:pPr>
      <w:r>
        <w:rPr>
          <w:rFonts w:ascii="Calibri" w:cs="Calibri" w:eastAsia="Calibri" w:hAnsi="Calibri"/>
          <w:color w:val="374151"/>
          <w:sz w:val="20"/>
          <w:szCs w:val="20"/>
        </w:rPr>
        <w:t xml:space="preserve">Whistleblowing Policy (HR-POL-007)</w:t>
      </w:r>
    </w:p>
    <w:p>
      <w:pPr>
        <w:pBdr>
          <w:bottom w:val="single" w:color="F59E0B" w:sz="4" w:space="1"/>
        </w:pBdr>
        <w:spacing w:after="80" w:before="280"/>
      </w:pPr>
      <w:r>
        <w:rPr>
          <w:rFonts w:ascii="Calibri" w:cs="Calibri" w:eastAsia="Calibri" w:hAnsi="Calibri"/>
          <w:b/>
          <w:bCs/>
          <w:color w:val="1F2937"/>
          <w:sz w:val="26"/>
          <w:szCs w:val="26"/>
        </w:rPr>
        <w:t xml:space="preserve">12.  Policy Review</w:t>
      </w:r>
    </w:p>
    <w:p>
      <w:pPr>
        <w:spacing w:after="60" w:before="40"/>
      </w:pPr>
      <w:r>
        <w:rPr>
          <w:rFonts w:ascii="Calibri" w:cs="Calibri" w:eastAsia="Calibri" w:hAnsi="Calibri"/>
          <w:color w:val="374151"/>
          <w:sz w:val="20"/>
          <w:szCs w:val="20"/>
        </w:rPr>
        <w:t xml:space="preserve">This policy will be reviewed annually by PRL Site Solutions Ltd directors, or earlier if there is a change in legislation, a significant incident, or where the risk assessment indicates it is necessary.</w:t>
      </w:r>
    </w:p>
    <w:p>
      <w:pPr>
        <w:spacing w:after="40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200"/>
        <w:gridCol w:w="600"/>
        <w:gridCol w:w="4226"/>
      </w:tblGrid>
      <w:tr>
        <w:tc>
          <w:tcPr>
            <w:tcW w:type="dxa" w:w="4200"/>
            <w:tcBorders>
              <w:top w:val="none" w:color="FFFFFF" w:sz="0"/>
              <w:left w:val="none" w:color="FFFFFF" w:sz="0"/>
              <w:bottom w:val="single" w:color="1F2937" w:sz="4"/>
              <w:right w:val="none" w:color="FFFFFF" w:sz="0"/>
            </w:tcBorders>
            <w:tcMar>
              <w:top w:type="dxa" w:w="0"/>
              <w:left w:type="dxa" w:w="0"/>
              <w:bottom w:type="dxa" w:w="60"/>
              <w:right w:type="dxa" w:w="0"/>
            </w:tcMar>
          </w:tcPr>
          <w:p>
            <w:pPr>
              <w:spacing w:after="0" w:before="480"/>
            </w:pPr>
          </w:p>
        </w:tc>
        <w:tc>
          <w:tcPr>
            <w:tcW w:type="dxa" w:w="600"/>
            <w:tcBorders>
              <w:top w:val="none" w:color="FFFFFF" w:sz="0"/>
              <w:left w:val="none" w:color="FFFFFF" w:sz="0"/>
              <w:bottom w:val="none" w:color="FFFFFF" w:sz="0"/>
              <w:right w:val="none" w:color="FFFFFF" w:sz="0"/>
            </w:tcBorders>
          </w:tcPr>
          <w:p/>
        </w:tc>
        <w:tc>
          <w:tcPr>
            <w:tcW w:type="dxa" w:w="4226"/>
            <w:tcBorders>
              <w:top w:val="none" w:color="FFFFFF" w:sz="0"/>
              <w:left w:val="none" w:color="FFFFFF" w:sz="0"/>
              <w:bottom w:val="single" w:color="1F2937" w:sz="4"/>
              <w:right w:val="none" w:color="FFFFFF" w:sz="0"/>
            </w:tcBorders>
            <w:tcMar>
              <w:top w:type="dxa" w:w="0"/>
              <w:left w:type="dxa" w:w="0"/>
              <w:bottom w:type="dxa" w:w="60"/>
              <w:right w:type="dxa" w:w="0"/>
            </w:tcMar>
          </w:tcPr>
          <w:p>
            <w:pPr>
              <w:spacing w:after="0" w:before="480"/>
            </w:pPr>
          </w:p>
        </w:tc>
      </w:tr>
      <w:tr>
        <w:tc>
          <w:tcPr>
            <w:tcW w:type="dxa" w:w="4200"/>
            <w:tcBorders>
              <w:top w:val="none" w:color="FFFFFF" w:sz="0"/>
              <w:left w:val="none" w:color="FFFFFF" w:sz="0"/>
              <w:bottom w:val="none" w:color="FFFFFF" w:sz="0"/>
              <w:right w:val="none" w:color="FFFFFF" w:sz="0"/>
            </w:tcBorders>
          </w:tcPr>
          <w:p>
            <w:r>
              <w:rPr>
                <w:rFonts w:ascii="Calibri" w:cs="Calibri" w:eastAsia="Calibri" w:hAnsi="Calibri"/>
                <w:color w:val="6B7280"/>
                <w:sz w:val="18"/>
                <w:szCs w:val="18"/>
              </w:rPr>
              <w:t xml:space="preserve">Authorised Signatory — Director</w:t>
            </w:r>
          </w:p>
        </w:tc>
        <w:tc>
          <w:tcPr>
            <w:tcW w:type="dxa" w:w="600"/>
            <w:tcBorders>
              <w:top w:val="none" w:color="FFFFFF" w:sz="0"/>
              <w:left w:val="none" w:color="FFFFFF" w:sz="0"/>
              <w:bottom w:val="none" w:color="FFFFFF" w:sz="0"/>
              <w:right w:val="none" w:color="FFFFFF" w:sz="0"/>
            </w:tcBorders>
          </w:tcPr>
          <w:p/>
        </w:tc>
        <w:tc>
          <w:tcPr>
            <w:tcW w:type="dxa" w:w="4226"/>
            <w:tcBorders>
              <w:top w:val="none" w:color="FFFFFF" w:sz="0"/>
              <w:left w:val="none" w:color="FFFFFF" w:sz="0"/>
              <w:bottom w:val="none" w:color="FFFFFF" w:sz="0"/>
              <w:right w:val="none" w:color="FFFFFF" w:sz="0"/>
            </w:tcBorders>
          </w:tcPr>
          <w:p>
            <w:r>
              <w:rPr>
                <w:rFonts w:ascii="Calibri" w:cs="Calibri" w:eastAsia="Calibri" w:hAnsi="Calibri"/>
                <w:color w:val="6B7280"/>
                <w:sz w:val="18"/>
                <w:szCs w:val="18"/>
              </w:rPr>
              <w:t xml:space="preserve">Date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Calibri" w:cs="Calibri" w:eastAsia="Calibri" w:hAnsi="Calibri"/>
        <w:color w:val="6B7280"/>
        <w:sz w:val="16"/>
        <w:szCs w:val="16"/>
      </w:rPr>
      <w:t xml:space="preserve">PRL Site Solutions Ltd  —  HR-POL-006 v1.0  —  Sexual Harassment Policy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8" w:space="4"/>
      </w:pBdr>
      <w:tabs>
        <w:tab w:val="right" w:pos="9026"/>
      </w:tabs>
      <w:spacing w:after="120" w:before="0"/>
    </w:pPr>
    <w:r>
      <w:drawing>
        <wp:inline distT="0" distB="0" distL="0" distR="0">
          <wp:extent cx="571500" cy="571500"/>
          <wp:effectExtent t="0" r="0" b="0" l="0"/>
          <wp:docPr id="1" name="PRL Logo" descr="PRL Site Solutions" title="PR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d59da293a37bbf4a724369f61ac9b41cb847af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2026-05-26T06:03:56.266Z</dcterms:created>
  <dcterms:modified xsi:type="dcterms:W3CDTF">2026-05-26T06:03:56.267Z</dcterms:modified>
</cp:coreProperties>
</file>

<file path=docProps/custom.xml><?xml version="1.0" encoding="utf-8"?>
<Properties xmlns="http://schemas.openxmlformats.org/officeDocument/2006/custom-properties" xmlns:vt="http://schemas.openxmlformats.org/officeDocument/2006/docPropsVTypes"/>
</file>