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Alamo ACE 2024 Organizational Smart Sheets Report</w:t>
      </w:r>
    </w:p>
    <w:p>
      <w:pPr>
        <w:pStyle w:val="Heading1"/>
      </w:pPr>
      <w:r>
        <w:t xml:space="preserve">Executive Summary</w:t>
      </w:r>
    </w:p>
    <w:p>
      <w:r>
        <w:t xml:space="preserve">This report provides a comprehensive set of "smart sheets" for the key organizations and leaders attending Alamo ACE in early December. Each smart sheet distills essential information—mission, leadership, key programs, and capabilities—into a concise, actionable format. The goal is to equip the team with a unified, in-depth understanding of each organization's strategic priorities, modernization efforts, and industry partnerships, ensuring effective engagement and collaboration at the event.</w:t>
      </w:r>
    </w:p>
    <w:p>
      <w:r>
        <w:br w:type="page"/>
      </w:r>
    </w:p>
    <w:p>
      <w:pPr>
        <w:pStyle w:val="Heading1"/>
      </w:pPr>
      <w:r>
        <w:t xml:space="preserve">Introduction</w:t>
      </w:r>
    </w:p>
    <w:p>
      <w:r>
        <w:t xml:space="preserve">The purpose of this report is to provide the Alamo ACE team with a set of tailored smart sheets for PEO C3BM, HN, NC3, and ES. These organizations are central to the Department of Defense's modernization and operational effectiveness, each contributing unique capabilities in command and control, nuclear deterrence, and electronic systems. The report synthesizes available data, highlights leadership and programmatic priorities, and identifies areas for further inquiry where information is limited. This approach ensures the team is well-prepared to engage with stakeholders, foster collaboration, and advance mission objectives at Alamo ACE.</w:t>
      </w:r>
    </w:p>
    <w:p>
      <w:pPr>
        <w:pStyle w:val="Heading1"/>
      </w:pPr>
      <w:r>
        <w:t xml:space="preserve">Smart Sheets Overview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Organization</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Mission</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Key Leaders</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Key Programs/Capabilities</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Modernization Focus</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Industry Partners</w:t>
            </w:r>
          </w:p>
        </w:tc>
      </w:tr>
      <w:tr>
        <w:tc>
          <w:tcPr>
            <w:tcW w:type="dxa" w:w="1560"/>
            <w:tcBorders>
              <w:top w:val="single" w:color="CCCCCC" w:sz="1"/>
              <w:left w:val="single" w:color="CCCCCC" w:sz="1"/>
              <w:bottom w:val="single" w:color="CCCCCC" w:sz="1"/>
              <w:right w:val="single" w:color="CCCCCC" w:sz="1"/>
            </w:tcBorders>
          </w:tcPr>
          <w:p>
            <w:r>
              <w:rPr>
                <w:b/>
                <w:bCs/>
              </w:rPr>
              <w:t xml:space="preserve">PEO C3BM</w:t>
            </w:r>
          </w:p>
        </w:tc>
        <w:tc>
          <w:tcPr>
            <w:tcW w:type="dxa" w:w="1560"/>
            <w:tcBorders>
              <w:top w:val="single" w:color="CCCCCC" w:sz="1"/>
              <w:left w:val="single" w:color="CCCCCC" w:sz="1"/>
              <w:bottom w:val="single" w:color="CCCCCC" w:sz="1"/>
              <w:right w:val="single" w:color="CCCCCC" w:sz="1"/>
            </w:tcBorders>
          </w:tcPr>
          <w:p>
            <w:r>
              <w:t xml:space="preserve">Deliver next-gen command and control (NGC2) for Army; integrate advanced tech for decision dominance</w:t>
            </w:r>
          </w:p>
        </w:tc>
        <w:tc>
          <w:tcPr>
            <w:tcW w:type="dxa" w:w="1560"/>
            <w:tcBorders>
              <w:top w:val="single" w:color="CCCCCC" w:sz="1"/>
              <w:left w:val="single" w:color="CCCCCC" w:sz="1"/>
              <w:bottom w:val="single" w:color="CCCCCC" w:sz="1"/>
              <w:right w:val="single" w:color="CCCCCC" w:sz="1"/>
            </w:tcBorders>
          </w:tcPr>
          <w:p>
            <w:r>
              <w:t xml:space="preserve">MG Cropsey, Mr. Gordon Kordyak (retiring Jan)</w:t>
            </w:r>
          </w:p>
        </w:tc>
        <w:tc>
          <w:tcPr>
            <w:tcW w:type="dxa" w:w="1560"/>
            <w:tcBorders>
              <w:top w:val="single" w:color="CCCCCC" w:sz="1"/>
              <w:left w:val="single" w:color="CCCCCC" w:sz="1"/>
              <w:bottom w:val="single" w:color="CCCCCC" w:sz="1"/>
              <w:right w:val="single" w:color="CCCCCC" w:sz="1"/>
            </w:tcBorders>
          </w:tcPr>
          <w:p>
            <w:r>
              <w:t xml:space="preserve">NGC2, Project Convergence, NetModX, SBIRs, Data Mesh, AI/Quantum/Zero Trust</w:t>
            </w:r>
          </w:p>
        </w:tc>
        <w:tc>
          <w:tcPr>
            <w:tcW w:type="dxa" w:w="1560"/>
            <w:tcBorders>
              <w:top w:val="single" w:color="CCCCCC" w:sz="1"/>
              <w:left w:val="single" w:color="CCCCCC" w:sz="1"/>
              <w:bottom w:val="single" w:color="CCCCCC" w:sz="1"/>
              <w:right w:val="single" w:color="CCCCCC" w:sz="1"/>
            </w:tcBorders>
          </w:tcPr>
          <w:p>
            <w:r>
              <w:t xml:space="preserve">Persistent experimentation, portfolio approach, "-as-a-Service" models</w:t>
            </w:r>
          </w:p>
        </w:tc>
        <w:tc>
          <w:tcPr>
            <w:tcW w:type="dxa" w:w="1560"/>
            <w:tcBorders>
              <w:top w:val="single" w:color="CCCCCC" w:sz="1"/>
              <w:left w:val="single" w:color="CCCCCC" w:sz="1"/>
              <w:bottom w:val="single" w:color="CCCCCC" w:sz="1"/>
              <w:right w:val="single" w:color="CCCCCC" w:sz="1"/>
            </w:tcBorders>
          </w:tcPr>
          <w:p>
            <w:r>
              <w:t xml:space="preserve">Cubic, Thunder, Isidore, Forward Edge AI</w:t>
            </w:r>
          </w:p>
        </w:tc>
      </w:tr>
      <w:tr>
        <w:tc>
          <w:tcPr>
            <w:tcW w:type="dxa" w:w="1560"/>
            <w:tcBorders>
              <w:top w:val="single" w:color="CCCCCC" w:sz="1"/>
              <w:left w:val="single" w:color="CCCCCC" w:sz="1"/>
              <w:bottom w:val="single" w:color="CCCCCC" w:sz="1"/>
              <w:right w:val="single" w:color="CCCCCC" w:sz="1"/>
            </w:tcBorders>
          </w:tcPr>
          <w:p>
            <w:r>
              <w:rPr>
                <w:b/>
                <w:bCs/>
              </w:rPr>
              <w:t xml:space="preserve">HN</w:t>
            </w:r>
          </w:p>
        </w:tc>
        <w:tc>
          <w:tcPr>
            <w:tcW w:type="dxa" w:w="1560"/>
            <w:tcBorders>
              <w:top w:val="single" w:color="CCCCCC" w:sz="1"/>
              <w:left w:val="single" w:color="CCCCCC" w:sz="1"/>
              <w:bottom w:val="single" w:color="CCCCCC" w:sz="1"/>
              <w:right w:val="single" w:color="CCCCCC" w:sz="1"/>
            </w:tcBorders>
          </w:tcPr>
          <w:p>
            <w:r>
              <w:t xml:space="preserve">(To be confirmed; likely supports C2, tech integration, interoperability)</w:t>
            </w:r>
          </w:p>
        </w:tc>
        <w:tc>
          <w:tcPr>
            <w:tcW w:type="dxa" w:w="1560"/>
            <w:tcBorders>
              <w:top w:val="single" w:color="CCCCCC" w:sz="1"/>
              <w:left w:val="single" w:color="CCCCCC" w:sz="1"/>
              <w:bottom w:val="single" w:color="CCCCCC" w:sz="1"/>
              <w:right w:val="single" w:color="CCCCCC" w:sz="1"/>
            </w:tcBorders>
          </w:tcPr>
          <w:p>
            <w:r>
              <w:t xml:space="preserve">BG Williams, Col Garcia</w:t>
            </w:r>
          </w:p>
        </w:tc>
        <w:tc>
          <w:tcPr>
            <w:tcW w:type="dxa" w:w="1560"/>
            <w:tcBorders>
              <w:top w:val="single" w:color="CCCCCC" w:sz="1"/>
              <w:left w:val="single" w:color="CCCCCC" w:sz="1"/>
              <w:bottom w:val="single" w:color="CCCCCC" w:sz="1"/>
              <w:right w:val="single" w:color="CCCCCC" w:sz="1"/>
            </w:tcBorders>
          </w:tcPr>
          <w:p>
            <w:r>
              <w:t xml:space="preserve">(To be confirmed; likely C2, tech integration, joint ops)</w:t>
            </w:r>
          </w:p>
        </w:tc>
        <w:tc>
          <w:tcPr>
            <w:tcW w:type="dxa" w:w="1560"/>
            <w:tcBorders>
              <w:top w:val="single" w:color="CCCCCC" w:sz="1"/>
              <w:left w:val="single" w:color="CCCCCC" w:sz="1"/>
              <w:bottom w:val="single" w:color="CCCCCC" w:sz="1"/>
              <w:right w:val="single" w:color="CCCCCC" w:sz="1"/>
            </w:tcBorders>
          </w:tcPr>
          <w:p>
            <w:r>
              <w:t xml:space="preserve">(To be confirmed)</w:t>
            </w:r>
          </w:p>
        </w:tc>
        <w:tc>
          <w:tcPr>
            <w:tcW w:type="dxa" w:w="1560"/>
            <w:tcBorders>
              <w:top w:val="single" w:color="CCCCCC" w:sz="1"/>
              <w:left w:val="single" w:color="CCCCCC" w:sz="1"/>
              <w:bottom w:val="single" w:color="CCCCCC" w:sz="1"/>
              <w:right w:val="single" w:color="CCCCCC" w:sz="1"/>
            </w:tcBorders>
          </w:tcPr>
          <w:p>
            <w:r>
              <w:t xml:space="preserve">(To be confirmed)</w:t>
            </w:r>
          </w:p>
        </w:tc>
      </w:tr>
      <w:tr>
        <w:tc>
          <w:tcPr>
            <w:tcW w:type="dxa" w:w="1560"/>
            <w:tcBorders>
              <w:top w:val="single" w:color="CCCCCC" w:sz="1"/>
              <w:left w:val="single" w:color="CCCCCC" w:sz="1"/>
              <w:bottom w:val="single" w:color="CCCCCC" w:sz="1"/>
              <w:right w:val="single" w:color="CCCCCC" w:sz="1"/>
            </w:tcBorders>
          </w:tcPr>
          <w:p>
            <w:r>
              <w:rPr>
                <w:b/>
                <w:bCs/>
              </w:rPr>
              <w:t xml:space="preserve">NC3</w:t>
            </w:r>
          </w:p>
        </w:tc>
        <w:tc>
          <w:tcPr>
            <w:tcW w:type="dxa" w:w="1560"/>
            <w:tcBorders>
              <w:top w:val="single" w:color="CCCCCC" w:sz="1"/>
              <w:left w:val="single" w:color="CCCCCC" w:sz="1"/>
              <w:bottom w:val="single" w:color="CCCCCC" w:sz="1"/>
              <w:right w:val="single" w:color="CCCCCC" w:sz="1"/>
            </w:tcBorders>
          </w:tcPr>
          <w:p>
            <w:r>
              <w:t xml:space="preserve">Provide secure, survivable nuclear C2 communications for national leadership</w:t>
            </w:r>
          </w:p>
        </w:tc>
        <w:tc>
          <w:tcPr>
            <w:tcW w:type="dxa" w:w="1560"/>
            <w:tcBorders>
              <w:top w:val="single" w:color="CCCCCC" w:sz="1"/>
              <w:left w:val="single" w:color="CCCCCC" w:sz="1"/>
              <w:bottom w:val="single" w:color="CCCCCC" w:sz="1"/>
              <w:right w:val="single" w:color="CCCCCC" w:sz="1"/>
            </w:tcBorders>
          </w:tcPr>
          <w:p>
            <w:r>
              <w:t xml:space="preserve">Mr. Scott Hardiman, Mr. Mike Clark (Head of Engineering)</w:t>
            </w:r>
          </w:p>
        </w:tc>
        <w:tc>
          <w:tcPr>
            <w:tcW w:type="dxa" w:w="1560"/>
            <w:tcBorders>
              <w:top w:val="single" w:color="CCCCCC" w:sz="1"/>
              <w:left w:val="single" w:color="CCCCCC" w:sz="1"/>
              <w:bottom w:val="single" w:color="CCCCCC" w:sz="1"/>
              <w:right w:val="single" w:color="CCCCCC" w:sz="1"/>
            </w:tcBorders>
          </w:tcPr>
          <w:p>
            <w:r>
              <w:t xml:space="preserve">SACCS, Hybrid Solutions, Engineering/Tech Assistance</w:t>
            </w:r>
          </w:p>
        </w:tc>
        <w:tc>
          <w:tcPr>
            <w:tcW w:type="dxa" w:w="1560"/>
            <w:tcBorders>
              <w:top w:val="single" w:color="CCCCCC" w:sz="1"/>
              <w:left w:val="single" w:color="CCCCCC" w:sz="1"/>
              <w:bottom w:val="single" w:color="CCCCCC" w:sz="1"/>
              <w:right w:val="single" w:color="CCCCCC" w:sz="1"/>
            </w:tcBorders>
          </w:tcPr>
          <w:p>
            <w:r>
              <w:t xml:space="preserve">SACCS Replacement, hybrid comms, cryptography, mobile SCIFs</w:t>
            </w:r>
          </w:p>
        </w:tc>
        <w:tc>
          <w:tcPr>
            <w:tcW w:type="dxa" w:w="1560"/>
            <w:tcBorders>
              <w:top w:val="single" w:color="CCCCCC" w:sz="1"/>
              <w:left w:val="single" w:color="CCCCCC" w:sz="1"/>
              <w:bottom w:val="single" w:color="CCCCCC" w:sz="1"/>
              <w:right w:val="single" w:color="CCCCCC" w:sz="1"/>
            </w:tcBorders>
          </w:tcPr>
          <w:p>
            <w:r>
              <w:t xml:space="preserve">Multiple (see SACCS Replacement, hybrid solutions)</w:t>
            </w:r>
          </w:p>
        </w:tc>
      </w:tr>
      <w:tr>
        <w:tc>
          <w:tcPr>
            <w:tcW w:type="dxa" w:w="1560"/>
            <w:tcBorders>
              <w:top w:val="single" w:color="CCCCCC" w:sz="1"/>
              <w:left w:val="single" w:color="CCCCCC" w:sz="1"/>
              <w:bottom w:val="single" w:color="CCCCCC" w:sz="1"/>
              <w:right w:val="single" w:color="CCCCCC" w:sz="1"/>
            </w:tcBorders>
          </w:tcPr>
          <w:p>
            <w:r>
              <w:rPr>
                <w:b/>
                <w:bCs/>
              </w:rPr>
              <w:t xml:space="preserve">ES</w:t>
            </w:r>
          </w:p>
        </w:tc>
        <w:tc>
          <w:tcPr>
            <w:tcW w:type="dxa" w:w="1560"/>
            <w:tcBorders>
              <w:top w:val="single" w:color="CCCCCC" w:sz="1"/>
              <w:left w:val="single" w:color="CCCCCC" w:sz="1"/>
              <w:bottom w:val="single" w:color="CCCCCC" w:sz="1"/>
              <w:right w:val="single" w:color="CCCCCC" w:sz="1"/>
            </w:tcBorders>
          </w:tcPr>
          <w:p>
            <w:r>
              <w:t xml:space="preserve">Develop, integrate, sustain advanced electronic systems for DoD</w:t>
            </w:r>
          </w:p>
        </w:tc>
        <w:tc>
          <w:tcPr>
            <w:tcW w:type="dxa" w:w="1560"/>
            <w:tcBorders>
              <w:top w:val="single" w:color="CCCCCC" w:sz="1"/>
              <w:left w:val="single" w:color="CCCCCC" w:sz="1"/>
              <w:bottom w:val="single" w:color="CCCCCC" w:sz="1"/>
              <w:right w:val="single" w:color="CCCCCC" w:sz="1"/>
            </w:tcBorders>
          </w:tcPr>
          <w:p>
            <w:r>
              <w:t xml:space="preserve">Ms. Leah Kirkwood</w:t>
            </w:r>
          </w:p>
        </w:tc>
        <w:tc>
          <w:tcPr>
            <w:tcW w:type="dxa" w:w="1560"/>
            <w:tcBorders>
              <w:top w:val="single" w:color="CCCCCC" w:sz="1"/>
              <w:left w:val="single" w:color="CCCCCC" w:sz="1"/>
              <w:bottom w:val="single" w:color="CCCCCC" w:sz="1"/>
              <w:right w:val="single" w:color="CCCCCC" w:sz="1"/>
            </w:tcBorders>
          </w:tcPr>
          <w:p>
            <w:r>
              <w:t xml:space="preserve">Electronic warfare, ISR, secure comms, AI/ML integration, sustainment</w:t>
            </w:r>
          </w:p>
        </w:tc>
        <w:tc>
          <w:tcPr>
            <w:tcW w:type="dxa" w:w="1560"/>
            <w:tcBorders>
              <w:top w:val="single" w:color="CCCCCC" w:sz="1"/>
              <w:left w:val="single" w:color="CCCCCC" w:sz="1"/>
              <w:bottom w:val="single" w:color="CCCCCC" w:sz="1"/>
              <w:right w:val="single" w:color="CCCCCC" w:sz="1"/>
            </w:tcBorders>
          </w:tcPr>
          <w:p>
            <w:r>
              <w:t xml:space="preserve">R&amp;D, system integration, modernization, agile dev</w:t>
            </w:r>
          </w:p>
        </w:tc>
        <w:tc>
          <w:tcPr>
            <w:tcW w:type="dxa" w:w="1560"/>
            <w:tcBorders>
              <w:top w:val="single" w:color="CCCCCC" w:sz="1"/>
              <w:left w:val="single" w:color="CCCCCC" w:sz="1"/>
              <w:bottom w:val="single" w:color="CCCCCC" w:sz="1"/>
              <w:right w:val="single" w:color="CCCCCC" w:sz="1"/>
            </w:tcBorders>
          </w:tcPr>
          <w:p>
            <w:r>
              <w:t xml:space="preserve">(To be confirmed)</w:t>
            </w:r>
          </w:p>
        </w:tc>
      </w:tr>
    </w:tbl>
    <w:p>
      <w:r>
        <w:br w:type="page"/>
      </w:r>
    </w:p>
    <w:p>
      <w:pPr>
        <w:pStyle w:val="Heading1"/>
      </w:pPr>
      <w:r>
        <w:t xml:space="preserve">PEO C3BM Smart Sheet</w:t>
      </w:r>
    </w:p>
    <w:p>
      <w:pPr>
        <w:pStyle w:val="Heading2"/>
      </w:pPr>
      <w:r>
        <w:t xml:space="preserve">Program Executive Office for Command, Control, Battle Management</w:t>
      </w:r>
    </w:p>
    <w:p>
      <w:pPr>
        <w:pStyle w:val="Heading3"/>
      </w:pPr>
      <w:r>
        <w:t xml:space="preserve">Mission</w:t>
      </w:r>
    </w:p>
    <w:p>
      <w:r>
        <w:t xml:space="preserve">Deliver next-generation command and control (NGC2) capabilities for the Army, integrating advanced technologies to ensure decision dominance and operational superiority. PEO C3BM's mission aligns with DoD's Joint All-Domain Command and Control (CJADC2) vision, focusing on interoperability, data-driven decision-making, and operational agility.</w:t>
      </w:r>
    </w:p>
    <w:p>
      <w:pPr>
        <w:pStyle w:val="Heading3"/>
      </w:pPr>
      <w:r>
        <w:t xml:space="preserve">Key Leaders</w:t>
      </w:r>
    </w:p>
    <w:p>
      <w:pPr>
        <w:pStyle w:val="ListParagraph"/>
        <w:numPr>
          <w:ilvl w:val="0"/>
          <w:numId w:val="2"/>
        </w:numPr>
      </w:pPr>
      <w:r>
        <w:t xml:space="preserve">MG Cropsey</w:t>
      </w:r>
    </w:p>
    <w:p>
      <w:pPr>
        <w:pStyle w:val="ListParagraph"/>
        <w:numPr>
          <w:ilvl w:val="0"/>
          <w:numId w:val="2"/>
        </w:numPr>
      </w:pPr>
      <w:r>
        <w:t xml:space="preserve">Mr. Gordon Kordyak (retiring January)</w:t>
      </w:r>
    </w:p>
    <w:p>
      <w:pPr>
        <w:pStyle w:val="Heading3"/>
      </w:pPr>
      <w:r>
        <w:t xml:space="preserve">Key Programs/Capabilities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Program/Capability</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NGC2</w:t>
            </w:r>
          </w:p>
        </w:tc>
        <w:tc>
          <w:tcPr>
            <w:tcW w:type="dxa" w:w="6240"/>
            <w:tcBorders>
              <w:top w:val="single" w:color="CCCCCC" w:sz="1"/>
              <w:left w:val="single" w:color="CCCCCC" w:sz="1"/>
              <w:bottom w:val="single" w:color="CCCCCC" w:sz="1"/>
              <w:right w:val="single" w:color="CCCCCC" w:sz="1"/>
            </w:tcBorders>
          </w:tcPr>
          <w:p>
            <w:r>
              <w:t xml:space="preserve">Integrates AI, quantum computing, data mesh, and zero trust to create a unified C2 framework</w:t>
            </w:r>
          </w:p>
        </w:tc>
      </w:tr>
      <w:tr>
        <w:tc>
          <w:tcPr>
            <w:tcW w:type="dxa" w:w="3120"/>
            <w:tcBorders>
              <w:top w:val="single" w:color="CCCCCC" w:sz="1"/>
              <w:left w:val="single" w:color="CCCCCC" w:sz="1"/>
              <w:bottom w:val="single" w:color="CCCCCC" w:sz="1"/>
              <w:right w:val="single" w:color="CCCCCC" w:sz="1"/>
            </w:tcBorders>
          </w:tcPr>
          <w:p>
            <w:r>
              <w:rPr>
                <w:b/>
                <w:bCs/>
              </w:rPr>
              <w:t xml:space="preserve">Project Convergence</w:t>
            </w:r>
          </w:p>
        </w:tc>
        <w:tc>
          <w:tcPr>
            <w:tcW w:type="dxa" w:w="6240"/>
            <w:tcBorders>
              <w:top w:val="single" w:color="CCCCCC" w:sz="1"/>
              <w:left w:val="single" w:color="CCCCCC" w:sz="1"/>
              <w:bottom w:val="single" w:color="CCCCCC" w:sz="1"/>
              <w:right w:val="single" w:color="CCCCCC" w:sz="1"/>
            </w:tcBorders>
          </w:tcPr>
          <w:p>
            <w:r>
              <w:t xml:space="preserve">Platform for testing/integrating new tech and concepts into Army C2; emphasizes joint/coalition experimentation</w:t>
            </w:r>
          </w:p>
        </w:tc>
      </w:tr>
      <w:tr>
        <w:tc>
          <w:tcPr>
            <w:tcW w:type="dxa" w:w="3120"/>
            <w:tcBorders>
              <w:top w:val="single" w:color="CCCCCC" w:sz="1"/>
              <w:left w:val="single" w:color="CCCCCC" w:sz="1"/>
              <w:bottom w:val="single" w:color="CCCCCC" w:sz="1"/>
              <w:right w:val="single" w:color="CCCCCC" w:sz="1"/>
            </w:tcBorders>
          </w:tcPr>
          <w:p>
            <w:r>
              <w:rPr>
                <w:b/>
                <w:bCs/>
              </w:rPr>
              <w:t xml:space="preserve">NetModX</w:t>
            </w:r>
          </w:p>
        </w:tc>
        <w:tc>
          <w:tcPr>
            <w:tcW w:type="dxa" w:w="6240"/>
            <w:tcBorders>
              <w:top w:val="single" w:color="CCCCCC" w:sz="1"/>
              <w:left w:val="single" w:color="CCCCCC" w:sz="1"/>
              <w:bottom w:val="single" w:color="CCCCCC" w:sz="1"/>
              <w:right w:val="single" w:color="CCCCCC" w:sz="1"/>
            </w:tcBorders>
          </w:tcPr>
          <w:p>
            <w:r>
              <w:t xml:space="preserve">Modernizes tactical networks for resilience, scalability, and security (Zero Trust, hybrid cloud)</w:t>
            </w:r>
          </w:p>
        </w:tc>
      </w:tr>
      <w:tr>
        <w:tc>
          <w:tcPr>
            <w:tcW w:type="dxa" w:w="3120"/>
            <w:tcBorders>
              <w:top w:val="single" w:color="CCCCCC" w:sz="1"/>
              <w:left w:val="single" w:color="CCCCCC" w:sz="1"/>
              <w:bottom w:val="single" w:color="CCCCCC" w:sz="1"/>
              <w:right w:val="single" w:color="CCCCCC" w:sz="1"/>
            </w:tcBorders>
          </w:tcPr>
          <w:p>
            <w:r>
              <w:rPr>
                <w:b/>
                <w:bCs/>
              </w:rPr>
              <w:t xml:space="preserve">SBIRs &amp; Competitions</w:t>
            </w:r>
          </w:p>
        </w:tc>
        <w:tc>
          <w:tcPr>
            <w:tcW w:type="dxa" w:w="6240"/>
            <w:tcBorders>
              <w:top w:val="single" w:color="CCCCCC" w:sz="1"/>
              <w:left w:val="single" w:color="CCCCCC" w:sz="1"/>
              <w:bottom w:val="single" w:color="CCCCCC" w:sz="1"/>
              <w:right w:val="single" w:color="CCCCCC" w:sz="1"/>
            </w:tcBorders>
          </w:tcPr>
          <w:p>
            <w:r>
              <w:t xml:space="preserve">Engages small businesses for innovation and capability gap solutions</w:t>
            </w:r>
          </w:p>
        </w:tc>
      </w:tr>
      <w:tr>
        <w:tc>
          <w:tcPr>
            <w:tcW w:type="dxa" w:w="3120"/>
            <w:tcBorders>
              <w:top w:val="single" w:color="CCCCCC" w:sz="1"/>
              <w:left w:val="single" w:color="CCCCCC" w:sz="1"/>
              <w:bottom w:val="single" w:color="CCCCCC" w:sz="1"/>
              <w:right w:val="single" w:color="CCCCCC" w:sz="1"/>
            </w:tcBorders>
          </w:tcPr>
          <w:p>
            <w:r>
              <w:rPr>
                <w:b/>
                <w:bCs/>
              </w:rPr>
              <w:t xml:space="preserve">Deliberate Pilots &amp; Continuous Integration</w:t>
            </w:r>
          </w:p>
        </w:tc>
        <w:tc>
          <w:tcPr>
            <w:tcW w:type="dxa" w:w="6240"/>
            <w:tcBorders>
              <w:top w:val="single" w:color="CCCCCC" w:sz="1"/>
              <w:left w:val="single" w:color="CCCCCC" w:sz="1"/>
              <w:bottom w:val="single" w:color="CCCCCC" w:sz="1"/>
              <w:right w:val="single" w:color="CCCCCC" w:sz="1"/>
            </w:tcBorders>
          </w:tcPr>
          <w:p>
            <w:r>
              <w:t xml:space="preserve">Rapidly tests, refines, and deploys emerging capabilities</w:t>
            </w:r>
          </w:p>
        </w:tc>
      </w:tr>
      <w:tr>
        <w:tc>
          <w:tcPr>
            <w:tcW w:type="dxa" w:w="3120"/>
            <w:tcBorders>
              <w:top w:val="single" w:color="CCCCCC" w:sz="1"/>
              <w:left w:val="single" w:color="CCCCCC" w:sz="1"/>
              <w:bottom w:val="single" w:color="CCCCCC" w:sz="1"/>
              <w:right w:val="single" w:color="CCCCCC" w:sz="1"/>
            </w:tcBorders>
          </w:tcPr>
          <w:p>
            <w:r>
              <w:rPr>
                <w:b/>
                <w:bCs/>
              </w:rPr>
              <w:t xml:space="preserve">Persistent Experimentation</w:t>
            </w:r>
          </w:p>
        </w:tc>
        <w:tc>
          <w:tcPr>
            <w:tcW w:type="dxa" w:w="6240"/>
            <w:tcBorders>
              <w:top w:val="single" w:color="CCCCCC" w:sz="1"/>
              <w:left w:val="single" w:color="CCCCCC" w:sz="1"/>
              <w:bottom w:val="single" w:color="CCCCCC" w:sz="1"/>
              <w:right w:val="single" w:color="CCCCCC" w:sz="1"/>
            </w:tcBorders>
          </w:tcPr>
          <w:p>
            <w:r>
              <w:t xml:space="preserve">Adopts "-as-a-Service" models for infrastructure/communications; explores new operational concepts</w:t>
            </w:r>
          </w:p>
        </w:tc>
      </w:tr>
      <w:tr>
        <w:tc>
          <w:tcPr>
            <w:tcW w:type="dxa" w:w="3120"/>
            <w:tcBorders>
              <w:top w:val="single" w:color="CCCCCC" w:sz="1"/>
              <w:left w:val="single" w:color="CCCCCC" w:sz="1"/>
              <w:bottom w:val="single" w:color="CCCCCC" w:sz="1"/>
              <w:right w:val="single" w:color="CCCCCC" w:sz="1"/>
            </w:tcBorders>
          </w:tcPr>
          <w:p>
            <w:r>
              <w:rPr>
                <w:b/>
                <w:bCs/>
              </w:rPr>
              <w:t xml:space="preserve">Portfolio Approach</w:t>
            </w:r>
          </w:p>
        </w:tc>
        <w:tc>
          <w:tcPr>
            <w:tcW w:type="dxa" w:w="6240"/>
            <w:tcBorders>
              <w:top w:val="single" w:color="CCCCCC" w:sz="1"/>
              <w:left w:val="single" w:color="CCCCCC" w:sz="1"/>
              <w:bottom w:val="single" w:color="CCCCCC" w:sz="1"/>
              <w:right w:val="single" w:color="CCCCCC" w:sz="1"/>
            </w:tcBorders>
          </w:tcPr>
          <w:p>
            <w:r>
              <w:t xml:space="preserve">Leverages DoD/Joint investments in CJADC2; continuous transformation and modernization</w:t>
            </w:r>
          </w:p>
        </w:tc>
      </w:tr>
    </w:tbl>
    <w:p>
      <w:pPr>
        <w:pStyle w:val="Heading3"/>
      </w:pPr>
      <w:r>
        <w:t xml:space="preserve">Modernization Focus</w:t>
      </w:r>
    </w:p>
    <w:p>
      <w:pPr>
        <w:pStyle w:val="ListParagraph"/>
        <w:numPr>
          <w:ilvl w:val="0"/>
          <w:numId w:val="2"/>
        </w:numPr>
      </w:pPr>
      <w:r>
        <w:t xml:space="preserve">Breaking down C2 silos for seamless data flow</w:t>
      </w:r>
    </w:p>
    <w:p>
      <w:pPr>
        <w:pStyle w:val="ListParagraph"/>
        <w:numPr>
          <w:ilvl w:val="0"/>
          <w:numId w:val="2"/>
        </w:numPr>
      </w:pPr>
      <w:r>
        <w:t xml:space="preserve">Persistent experimentation and rapid integration</w:t>
      </w:r>
    </w:p>
    <w:p>
      <w:pPr>
        <w:pStyle w:val="ListParagraph"/>
        <w:numPr>
          <w:ilvl w:val="0"/>
          <w:numId w:val="2"/>
        </w:numPr>
      </w:pPr>
      <w:r>
        <w:t xml:space="preserve">Industry collaboration for innovation</w:t>
      </w:r>
    </w:p>
    <w:p>
      <w:pPr>
        <w:pStyle w:val="ListParagraph"/>
        <w:numPr>
          <w:ilvl w:val="0"/>
          <w:numId w:val="2"/>
        </w:numPr>
      </w:pPr>
      <w:r>
        <w:t xml:space="preserve">Emphasis on data-centric, scalable, and resilient architectures</w:t>
      </w:r>
    </w:p>
    <w:p>
      <w:pPr>
        <w:pStyle w:val="Heading3"/>
      </w:pPr>
      <w:r>
        <w:t xml:space="preserve">Industry Partners</w:t>
      </w:r>
    </w:p>
    <w:p>
      <w:pPr>
        <w:pStyle w:val="ListParagraph"/>
        <w:numPr>
          <w:ilvl w:val="0"/>
          <w:numId w:val="2"/>
        </w:numPr>
      </w:pPr>
      <w:r>
        <w:rPr>
          <w:b/>
          <w:bCs/>
        </w:rPr>
        <w:t xml:space="preserve">Cubic Corporation</w:t>
      </w:r>
      <w:r>
        <w:t xml:space="preserve">: Advanced comms solutions</w:t>
      </w:r>
    </w:p>
    <w:p>
      <w:pPr>
        <w:pStyle w:val="ListParagraph"/>
        <w:numPr>
          <w:ilvl w:val="0"/>
          <w:numId w:val="2"/>
        </w:numPr>
      </w:pPr>
      <w:r>
        <w:rPr>
          <w:b/>
          <w:bCs/>
        </w:rPr>
        <w:t xml:space="preserve">Thunder</w:t>
      </w:r>
      <w:r>
        <w:t xml:space="preserve">: Hardware/services for NGC2</w:t>
      </w:r>
    </w:p>
    <w:p>
      <w:pPr>
        <w:pStyle w:val="ListParagraph"/>
        <w:numPr>
          <w:ilvl w:val="0"/>
          <w:numId w:val="2"/>
        </w:numPr>
      </w:pPr>
      <w:r>
        <w:rPr>
          <w:b/>
          <w:bCs/>
        </w:rPr>
        <w:t xml:space="preserve">Isidore</w:t>
      </w:r>
      <w:r>
        <w:t xml:space="preserve">: Post-quantum, zero-trust tactical network solutions</w:t>
      </w:r>
    </w:p>
    <w:p>
      <w:pPr>
        <w:pStyle w:val="ListParagraph"/>
        <w:numPr>
          <w:ilvl w:val="0"/>
          <w:numId w:val="2"/>
        </w:numPr>
      </w:pPr>
      <w:r>
        <w:rPr>
          <w:b/>
          <w:bCs/>
        </w:rPr>
        <w:t xml:space="preserve">Forward Edge AI</w:t>
      </w:r>
      <w:r>
        <w:t xml:space="preserve">: AI/logistics modernization</w:t>
      </w:r>
    </w:p>
    <w:p>
      <w:r>
        <w:br w:type="page"/>
      </w:r>
    </w:p>
    <w:p>
      <w:pPr>
        <w:pStyle w:val="Heading1"/>
      </w:pPr>
      <w:r>
        <w:t xml:space="preserve">HN Smart Sheet</w:t>
      </w:r>
    </w:p>
    <w:p>
      <w:pPr>
        <w:pStyle w:val="Heading2"/>
      </w:pPr>
      <w:r>
        <w:t xml:space="preserve">HN Organization</w:t>
      </w:r>
    </w:p>
    <w:p>
      <w:pPr>
        <w:pStyle w:val="Heading3"/>
      </w:pPr>
      <w:r>
        <w:t xml:space="preserve">Mission</w:t>
      </w:r>
    </w:p>
    <w:p>
      <w:r>
        <w:rPr>
          <w:i/>
          <w:iCs/>
        </w:rPr>
        <w:t xml:space="preserve">To be confirmed.</w:t>
      </w:r>
      <w:r>
        <w:t xml:space="preserve"> HN likely supports military operations in areas such as command and control systems, technology integration, and interoperability/joint operations.</w:t>
      </w:r>
    </w:p>
    <w:p>
      <w:pPr>
        <w:pStyle w:val="Heading3"/>
      </w:pPr>
      <w:r>
        <w:t xml:space="preserve">Key Leaders</w:t>
      </w:r>
    </w:p>
    <w:p>
      <w:pPr>
        <w:pStyle w:val="ListParagraph"/>
        <w:numPr>
          <w:ilvl w:val="0"/>
          <w:numId w:val="2"/>
        </w:numPr>
      </w:pPr>
      <w:r>
        <w:t xml:space="preserve">BG Williams</w:t>
      </w:r>
    </w:p>
    <w:p>
      <w:pPr>
        <w:pStyle w:val="ListParagraph"/>
        <w:numPr>
          <w:ilvl w:val="0"/>
          <w:numId w:val="2"/>
        </w:numPr>
      </w:pPr>
      <w:r>
        <w:t xml:space="preserve">Col Garcia</w:t>
      </w:r>
    </w:p>
    <w:p>
      <w:pPr>
        <w:pStyle w:val="Heading3"/>
      </w:pPr>
      <w:r>
        <w:t xml:space="preserve">Key Programs/Capabilities</w:t>
      </w:r>
    </w:p>
    <w:p>
      <w:r>
        <w:rPr>
          <w:i/>
          <w:iCs/>
        </w:rPr>
        <w:t xml:space="preserve">To be confirmed.</w:t>
      </w:r>
      <w:r>
        <w:t xml:space="preserve"> Potential areas include:</w:t>
      </w:r>
    </w:p>
    <w:p>
      <w:pPr>
        <w:pStyle w:val="ListParagraph"/>
        <w:numPr>
          <w:ilvl w:val="0"/>
          <w:numId w:val="2"/>
        </w:numPr>
      </w:pPr>
      <w:r>
        <w:t xml:space="preserve">C2 systems modernization</w:t>
      </w:r>
    </w:p>
    <w:p>
      <w:pPr>
        <w:pStyle w:val="ListParagraph"/>
        <w:numPr>
          <w:ilvl w:val="0"/>
          <w:numId w:val="2"/>
        </w:numPr>
      </w:pPr>
      <w:r>
        <w:t xml:space="preserve">Technology integration (AI, data analytics, cybersecurity)</w:t>
      </w:r>
    </w:p>
    <w:p>
      <w:pPr>
        <w:pStyle w:val="ListParagraph"/>
        <w:numPr>
          <w:ilvl w:val="0"/>
          <w:numId w:val="2"/>
        </w:numPr>
      </w:pPr>
      <w:r>
        <w:t xml:space="preserve">Interoperability and joint operations support</w:t>
      </w:r>
    </w:p>
    <w:p>
      <w:pPr>
        <w:pStyle w:val="Heading3"/>
      </w:pPr>
      <w:r>
        <w:t xml:space="preserve">Recommendations</w:t>
      </w:r>
    </w:p>
    <w:p>
      <w:pPr>
        <w:pStyle w:val="ListParagraph"/>
        <w:numPr>
          <w:ilvl w:val="0"/>
          <w:numId w:val="2"/>
        </w:numPr>
      </w:pPr>
      <w:r>
        <w:t xml:space="preserve">Engage directly with BG Williams and Col Garcia for mission/program details</w:t>
      </w:r>
    </w:p>
    <w:p>
      <w:pPr>
        <w:pStyle w:val="ListParagraph"/>
        <w:numPr>
          <w:ilvl w:val="0"/>
          <w:numId w:val="2"/>
        </w:numPr>
      </w:pPr>
      <w:r>
        <w:t xml:space="preserve">Consult internal resources for additional information</w:t>
      </w:r>
    </w:p>
    <w:p>
      <w:r>
        <w:br w:type="page"/>
      </w:r>
    </w:p>
    <w:p>
      <w:pPr>
        <w:pStyle w:val="Heading1"/>
      </w:pPr>
      <w:r>
        <w:t xml:space="preserve">NC3 Smart Sheet</w:t>
      </w:r>
    </w:p>
    <w:p>
      <w:pPr>
        <w:pStyle w:val="Heading2"/>
      </w:pPr>
      <w:r>
        <w:t xml:space="preserve">Nuclear Command, Control, and Communications</w:t>
      </w:r>
    </w:p>
    <w:p>
      <w:pPr>
        <w:pStyle w:val="Heading3"/>
      </w:pPr>
      <w:r>
        <w:t xml:space="preserve">Mission</w:t>
      </w:r>
    </w:p>
    <w:p>
      <w:r>
        <w:t xml:space="preserve">Provide robust, survivable, and secure communications between the President, Secretary of Defense, and nuclear forces, supporting nuclear force planning, situation monitoring, force management, force direction, and decision-making.</w:t>
      </w:r>
    </w:p>
    <w:p>
      <w:pPr>
        <w:pStyle w:val="Heading3"/>
      </w:pPr>
      <w:r>
        <w:t xml:space="preserve">Key Leaders</w:t>
      </w:r>
    </w:p>
    <w:p>
      <w:pPr>
        <w:pStyle w:val="ListParagraph"/>
        <w:numPr>
          <w:ilvl w:val="0"/>
          <w:numId w:val="2"/>
        </w:numPr>
      </w:pPr>
      <w:r>
        <w:t xml:space="preserve">Mr. Scott Hardiman</w:t>
      </w:r>
    </w:p>
    <w:p>
      <w:pPr>
        <w:pStyle w:val="ListParagraph"/>
        <w:numPr>
          <w:ilvl w:val="0"/>
          <w:numId w:val="2"/>
        </w:numPr>
      </w:pPr>
      <w:r>
        <w:t xml:space="preserve">Mr. Mike Clark (Head of Engineering)</w:t>
      </w:r>
    </w:p>
    <w:p>
      <w:pPr>
        <w:pStyle w:val="Heading3"/>
      </w:pPr>
      <w:r>
        <w:t xml:space="preserve">Key Programs/Capabilities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Program/Capability</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SACCS</w:t>
            </w:r>
          </w:p>
        </w:tc>
        <w:tc>
          <w:tcPr>
            <w:tcW w:type="dxa" w:w="6240"/>
            <w:tcBorders>
              <w:top w:val="single" w:color="CCCCCC" w:sz="1"/>
              <w:left w:val="single" w:color="CCCCCC" w:sz="1"/>
              <w:bottom w:val="single" w:color="CCCCCC" w:sz="1"/>
              <w:right w:val="single" w:color="CCCCCC" w:sz="1"/>
            </w:tcBorders>
          </w:tcPr>
          <w:p>
            <w:r>
              <w:t xml:space="preserve">Strategic Automated Command and Control System; provides secure terrestrial NC3 connectivity for Air Force nuclear forces; supports EAMs, FDMs, FSRs</w:t>
            </w:r>
          </w:p>
        </w:tc>
      </w:tr>
      <w:tr>
        <w:tc>
          <w:tcPr>
            <w:tcW w:type="dxa" w:w="3120"/>
            <w:tcBorders>
              <w:top w:val="single" w:color="CCCCCC" w:sz="1"/>
              <w:left w:val="single" w:color="CCCCCC" w:sz="1"/>
              <w:bottom w:val="single" w:color="CCCCCC" w:sz="1"/>
              <w:right w:val="single" w:color="CCCCCC" w:sz="1"/>
            </w:tcBorders>
          </w:tcPr>
          <w:p>
            <w:r>
              <w:rPr>
                <w:b/>
                <w:bCs/>
              </w:rPr>
              <w:t xml:space="preserve">Hybrid Solutions</w:t>
            </w:r>
          </w:p>
        </w:tc>
        <w:tc>
          <w:tcPr>
            <w:tcW w:type="dxa" w:w="6240"/>
            <w:tcBorders>
              <w:top w:val="single" w:color="CCCCCC" w:sz="1"/>
              <w:left w:val="single" w:color="CCCCCC" w:sz="1"/>
              <w:bottom w:val="single" w:color="CCCCCC" w:sz="1"/>
              <w:right w:val="single" w:color="CCCCCC" w:sz="1"/>
            </w:tcBorders>
          </w:tcPr>
          <w:p>
            <w:r>
              <w:t xml:space="preserve">Combines terrestrial and airborne networks; integrates next-gen cryptography (CNSA 2.0), enhances network ops</w:t>
            </w:r>
          </w:p>
        </w:tc>
      </w:tr>
      <w:tr>
        <w:tc>
          <w:tcPr>
            <w:tcW w:type="dxa" w:w="3120"/>
            <w:tcBorders>
              <w:top w:val="single" w:color="CCCCCC" w:sz="1"/>
              <w:left w:val="single" w:color="CCCCCC" w:sz="1"/>
              <w:bottom w:val="single" w:color="CCCCCC" w:sz="1"/>
              <w:right w:val="single" w:color="CCCCCC" w:sz="1"/>
            </w:tcBorders>
          </w:tcPr>
          <w:p>
            <w:r>
              <w:rPr>
                <w:b/>
                <w:bCs/>
              </w:rPr>
              <w:t xml:space="preserve">Engineering/Technical Assistance</w:t>
            </w:r>
          </w:p>
        </w:tc>
        <w:tc>
          <w:tcPr>
            <w:tcW w:type="dxa" w:w="6240"/>
            <w:tcBorders>
              <w:top w:val="single" w:color="CCCCCC" w:sz="1"/>
              <w:left w:val="single" w:color="CCCCCC" w:sz="1"/>
              <w:bottom w:val="single" w:color="CCCCCC" w:sz="1"/>
              <w:right w:val="single" w:color="CCCCCC" w:sz="1"/>
            </w:tcBorders>
          </w:tcPr>
          <w:p>
            <w:r>
              <w:t xml:space="preserve">Manufacturing innovation, mobile SCIF development, sustainment</w:t>
            </w:r>
          </w:p>
        </w:tc>
      </w:tr>
    </w:tbl>
    <w:p>
      <w:pPr>
        <w:pStyle w:val="Heading3"/>
      </w:pPr>
      <w:r>
        <w:t xml:space="preserve">Modernization Focus</w:t>
      </w:r>
    </w:p>
    <w:p>
      <w:pPr>
        <w:pStyle w:val="ListParagraph"/>
        <w:numPr>
          <w:ilvl w:val="0"/>
          <w:numId w:val="2"/>
        </w:numPr>
      </w:pPr>
      <w:r>
        <w:t xml:space="preserve">SACCS Replacement Program to address obsolescence and technical data gaps</w:t>
      </w:r>
    </w:p>
    <w:p>
      <w:pPr>
        <w:pStyle w:val="ListParagraph"/>
        <w:numPr>
          <w:ilvl w:val="0"/>
          <w:numId w:val="2"/>
        </w:numPr>
      </w:pPr>
      <w:r>
        <w:t xml:space="preserve">Integration of advanced cryptography and hybrid comms</w:t>
      </w:r>
    </w:p>
    <w:p>
      <w:pPr>
        <w:pStyle w:val="ListParagraph"/>
        <w:numPr>
          <w:ilvl w:val="0"/>
          <w:numId w:val="2"/>
        </w:numPr>
      </w:pPr>
      <w:r>
        <w:t xml:space="preserve">Engineering innovation for sustainment and survivability</w:t>
      </w:r>
    </w:p>
    <w:p>
      <w:r>
        <w:br w:type="page"/>
      </w:r>
    </w:p>
    <w:p>
      <w:pPr>
        <w:pStyle w:val="Heading1"/>
      </w:pPr>
      <w:r>
        <w:t xml:space="preserve">ES Smart Sheet</w:t>
      </w:r>
    </w:p>
    <w:p>
      <w:pPr>
        <w:pStyle w:val="Heading2"/>
      </w:pPr>
      <w:r>
        <w:t xml:space="preserve">Electronic Systems Organization</w:t>
      </w:r>
    </w:p>
    <w:p>
      <w:pPr>
        <w:pStyle w:val="Heading3"/>
      </w:pPr>
      <w:r>
        <w:t xml:space="preserve">Mission</w:t>
      </w:r>
    </w:p>
    <w:p>
      <w:r>
        <w:t xml:space="preserve">Develop, integrate, and sustain advanced electronic systems to enhance U.S. military operational effectiveness. Focus areas include communications, electronic warfare, and ISR.</w:t>
      </w:r>
    </w:p>
    <w:p>
      <w:pPr>
        <w:pStyle w:val="Heading3"/>
      </w:pPr>
      <w:r>
        <w:t xml:space="preserve">Key Leaders</w:t>
      </w:r>
    </w:p>
    <w:p>
      <w:pPr>
        <w:pStyle w:val="ListParagraph"/>
        <w:numPr>
          <w:ilvl w:val="0"/>
          <w:numId w:val="2"/>
        </w:numPr>
      </w:pPr>
      <w:r>
        <w:t xml:space="preserve">Ms. Leah Kirkwood</w:t>
      </w:r>
    </w:p>
    <w:p>
      <w:pPr>
        <w:pStyle w:val="Heading3"/>
      </w:pPr>
      <w:r>
        <w:t xml:space="preserve">Key Programs/Capabilities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Program/Capability</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Electronic Warfare</w:t>
            </w:r>
          </w:p>
        </w:tc>
        <w:tc>
          <w:tcPr>
            <w:tcW w:type="dxa" w:w="6240"/>
            <w:tcBorders>
              <w:top w:val="single" w:color="CCCCCC" w:sz="1"/>
              <w:left w:val="single" w:color="CCCCCC" w:sz="1"/>
              <w:bottom w:val="single" w:color="CCCCCC" w:sz="1"/>
              <w:right w:val="single" w:color="CCCCCC" w:sz="1"/>
            </w:tcBorders>
          </w:tcPr>
          <w:p>
            <w:r>
              <w:t xml:space="preserve">Next-gen EW systems for contested environments; disrupt/neutralize adversary comms/radar</w:t>
            </w:r>
          </w:p>
        </w:tc>
      </w:tr>
      <w:tr>
        <w:tc>
          <w:tcPr>
            <w:tcW w:type="dxa" w:w="3120"/>
            <w:tcBorders>
              <w:top w:val="single" w:color="CCCCCC" w:sz="1"/>
              <w:left w:val="single" w:color="CCCCCC" w:sz="1"/>
              <w:bottom w:val="single" w:color="CCCCCC" w:sz="1"/>
              <w:right w:val="single" w:color="CCCCCC" w:sz="1"/>
            </w:tcBorders>
          </w:tcPr>
          <w:p>
            <w:r>
              <w:rPr>
                <w:b/>
                <w:bCs/>
              </w:rPr>
              <w:t xml:space="preserve">Integrated ISR</w:t>
            </w:r>
          </w:p>
        </w:tc>
        <w:tc>
          <w:tcPr>
            <w:tcW w:type="dxa" w:w="6240"/>
            <w:tcBorders>
              <w:top w:val="single" w:color="CCCCCC" w:sz="1"/>
              <w:left w:val="single" w:color="CCCCCC" w:sz="1"/>
              <w:bottom w:val="single" w:color="CCCCCC" w:sz="1"/>
              <w:right w:val="single" w:color="CCCCCC" w:sz="1"/>
            </w:tcBorders>
          </w:tcPr>
          <w:p>
            <w:r>
              <w:t xml:space="preserve">Advanced sensors and ISR integration across domains for situational awareness</w:t>
            </w:r>
          </w:p>
        </w:tc>
      </w:tr>
      <w:tr>
        <w:tc>
          <w:tcPr>
            <w:tcW w:type="dxa" w:w="3120"/>
            <w:tcBorders>
              <w:top w:val="single" w:color="CCCCCC" w:sz="1"/>
              <w:left w:val="single" w:color="CCCCCC" w:sz="1"/>
              <w:bottom w:val="single" w:color="CCCCCC" w:sz="1"/>
              <w:right w:val="single" w:color="CCCCCC" w:sz="1"/>
            </w:tcBorders>
          </w:tcPr>
          <w:p>
            <w:r>
              <w:rPr>
                <w:b/>
                <w:bCs/>
              </w:rPr>
              <w:t xml:space="preserve">Secure Communications</w:t>
            </w:r>
          </w:p>
        </w:tc>
        <w:tc>
          <w:tcPr>
            <w:tcW w:type="dxa" w:w="6240"/>
            <w:tcBorders>
              <w:top w:val="single" w:color="CCCCCC" w:sz="1"/>
              <w:left w:val="single" w:color="CCCCCC" w:sz="1"/>
              <w:bottom w:val="single" w:color="CCCCCC" w:sz="1"/>
              <w:right w:val="single" w:color="CCCCCC" w:sz="1"/>
            </w:tcBorders>
          </w:tcPr>
          <w:p>
            <w:r>
              <w:t xml:space="preserve">Resilient, encrypted networks; zero-trust architectures</w:t>
            </w:r>
          </w:p>
        </w:tc>
      </w:tr>
      <w:tr>
        <w:tc>
          <w:tcPr>
            <w:tcW w:type="dxa" w:w="3120"/>
            <w:tcBorders>
              <w:top w:val="single" w:color="CCCCCC" w:sz="1"/>
              <w:left w:val="single" w:color="CCCCCC" w:sz="1"/>
              <w:bottom w:val="single" w:color="CCCCCC" w:sz="1"/>
              <w:right w:val="single" w:color="CCCCCC" w:sz="1"/>
            </w:tcBorders>
          </w:tcPr>
          <w:p>
            <w:r>
              <w:rPr>
                <w:b/>
                <w:bCs/>
              </w:rPr>
              <w:t xml:space="preserve">AI/ML Integration</w:t>
            </w:r>
          </w:p>
        </w:tc>
        <w:tc>
          <w:tcPr>
            <w:tcW w:type="dxa" w:w="6240"/>
            <w:tcBorders>
              <w:top w:val="single" w:color="CCCCCC" w:sz="1"/>
              <w:left w:val="single" w:color="CCCCCC" w:sz="1"/>
              <w:bottom w:val="single" w:color="CCCCCC" w:sz="1"/>
              <w:right w:val="single" w:color="CCCCCC" w:sz="1"/>
            </w:tcBorders>
          </w:tcPr>
          <w:p>
            <w:r>
              <w:t xml:space="preserve">Automated threat detection, predictive maintenance, real-time analytics</w:t>
            </w:r>
          </w:p>
        </w:tc>
      </w:tr>
      <w:tr>
        <w:tc>
          <w:tcPr>
            <w:tcW w:type="dxa" w:w="3120"/>
            <w:tcBorders>
              <w:top w:val="single" w:color="CCCCCC" w:sz="1"/>
              <w:left w:val="single" w:color="CCCCCC" w:sz="1"/>
              <w:bottom w:val="single" w:color="CCCCCC" w:sz="1"/>
              <w:right w:val="single" w:color="CCCCCC" w:sz="1"/>
            </w:tcBorders>
          </w:tcPr>
          <w:p>
            <w:r>
              <w:rPr>
                <w:b/>
                <w:bCs/>
              </w:rPr>
              <w:t xml:space="preserve">Sustainment/Modernization</w:t>
            </w:r>
          </w:p>
        </w:tc>
        <w:tc>
          <w:tcPr>
            <w:tcW w:type="dxa" w:w="6240"/>
            <w:tcBorders>
              <w:top w:val="single" w:color="CCCCCC" w:sz="1"/>
              <w:left w:val="single" w:color="CCCCCC" w:sz="1"/>
              <w:bottom w:val="single" w:color="CCCCCC" w:sz="1"/>
              <w:right w:val="single" w:color="CCCCCC" w:sz="1"/>
            </w:tcBorders>
          </w:tcPr>
          <w:p>
            <w:r>
              <w:t xml:space="preserve">Lifecycle management, obsolescence mitigation, agile development</w:t>
            </w:r>
          </w:p>
        </w:tc>
      </w:tr>
    </w:tbl>
    <w:p>
      <w:pPr>
        <w:pStyle w:val="Heading3"/>
      </w:pPr>
      <w:r>
        <w:t xml:space="preserve">Modernization Focus</w:t>
      </w:r>
    </w:p>
    <w:p>
      <w:pPr>
        <w:pStyle w:val="ListParagraph"/>
        <w:numPr>
          <w:ilvl w:val="0"/>
          <w:numId w:val="2"/>
        </w:numPr>
      </w:pPr>
      <w:r>
        <w:t xml:space="preserve">R&amp;D in emerging tech (AI, ML, quantum, 5G)</w:t>
      </w:r>
    </w:p>
    <w:p>
      <w:pPr>
        <w:pStyle w:val="ListParagraph"/>
        <w:numPr>
          <w:ilvl w:val="0"/>
          <w:numId w:val="2"/>
        </w:numPr>
      </w:pPr>
      <w:r>
        <w:t xml:space="preserve">System integration and agile development</w:t>
      </w:r>
    </w:p>
    <w:p>
      <w:pPr>
        <w:pStyle w:val="ListParagraph"/>
        <w:numPr>
          <w:ilvl w:val="0"/>
          <w:numId w:val="2"/>
        </w:numPr>
      </w:pPr>
      <w:r>
        <w:t xml:space="preserve">Collaboration with industry/academia</w:t>
      </w:r>
    </w:p>
    <w:p>
      <w:r>
        <w:br w:type="page"/>
      </w:r>
    </w:p>
    <w:p>
      <w:pPr>
        <w:pStyle w:val="Heading1"/>
      </w:pPr>
      <w:r>
        <w:t xml:space="preserve">Strategic Recommendations</w:t>
      </w:r>
    </w:p>
    <w:p>
      <w:r>
        <w:t xml:space="preserve">To maximize the team's effectiveness at Alamo ACE, the following actions are recommended:</w:t>
      </w:r>
    </w:p>
    <w:p>
      <w:pPr>
        <w:pStyle w:val="Heading2"/>
      </w:pPr>
      <w:r>
        <w:t xml:space="preserve">General</w:t>
      </w:r>
    </w:p>
    <w:p>
      <w:pPr>
        <w:pStyle w:val="ListParagraph"/>
        <w:numPr>
          <w:ilvl w:val="0"/>
          <w:numId w:val="2"/>
        </w:numPr>
      </w:pPr>
      <w:r>
        <w:rPr>
          <w:b/>
          <w:bCs/>
        </w:rPr>
        <w:t xml:space="preserve">Standardize Smart Sheets</w:t>
      </w:r>
      <w:r>
        <w:t xml:space="preserve">: Use a consistent template for all organizations.</w:t>
      </w:r>
    </w:p>
    <w:p>
      <w:pPr>
        <w:pStyle w:val="ListParagraph"/>
        <w:numPr>
          <w:ilvl w:val="0"/>
          <w:numId w:val="2"/>
        </w:numPr>
      </w:pPr>
      <w:r>
        <w:rPr>
          <w:b/>
          <w:bCs/>
        </w:rPr>
        <w:t xml:space="preserve">Equip Team with Key Questions</w:t>
      </w:r>
      <w:r>
        <w:t xml:space="preserve">: Prepare targeted questions for each organization to uncover strategic priorities and collaboration opportunities.</w:t>
      </w:r>
    </w:p>
    <w:p>
      <w:pPr>
        <w:pStyle w:val="ListParagraph"/>
        <w:numPr>
          <w:ilvl w:val="0"/>
          <w:numId w:val="2"/>
        </w:numPr>
      </w:pPr>
      <w:r>
        <w:rPr>
          <w:b/>
          <w:bCs/>
        </w:rPr>
        <w:t xml:space="preserve">Leverage Networking</w:t>
      </w:r>
      <w:r>
        <w:t xml:space="preserve">: Encourage active engagement with industry and government attendees.</w:t>
      </w:r>
    </w:p>
    <w:p>
      <w:pPr>
        <w:pStyle w:val="Heading2"/>
      </w:pPr>
      <w:r>
        <w:t xml:space="preserve">PEO C3BM</w:t>
      </w:r>
    </w:p>
    <w:p>
      <w:pPr>
        <w:pStyle w:val="ListParagraph"/>
        <w:numPr>
          <w:ilvl w:val="0"/>
          <w:numId w:val="2"/>
        </w:numPr>
      </w:pPr>
      <w:r>
        <w:t xml:space="preserve">Highlight leadership transition (MG Cropsey, Mr. Kordyak)</w:t>
      </w:r>
    </w:p>
    <w:p>
      <w:pPr>
        <w:pStyle w:val="ListParagraph"/>
        <w:numPr>
          <w:ilvl w:val="0"/>
          <w:numId w:val="2"/>
        </w:numPr>
      </w:pPr>
      <w:r>
        <w:t xml:space="preserve">Emphasize modernization programs and industry partnerships</w:t>
      </w:r>
    </w:p>
    <w:p>
      <w:pPr>
        <w:pStyle w:val="ListParagraph"/>
        <w:numPr>
          <w:ilvl w:val="0"/>
          <w:numId w:val="2"/>
        </w:numPr>
      </w:pPr>
      <w:r>
        <w:t xml:space="preserve">Prepare for discussions on persistent experimentation and portfolio approach</w:t>
      </w:r>
    </w:p>
    <w:p>
      <w:pPr>
        <w:pStyle w:val="Heading2"/>
      </w:pPr>
      <w:r>
        <w:t xml:space="preserve">HN</w:t>
      </w:r>
    </w:p>
    <w:p>
      <w:pPr>
        <w:pStyle w:val="ListParagraph"/>
        <w:numPr>
          <w:ilvl w:val="0"/>
          <w:numId w:val="2"/>
        </w:numPr>
      </w:pPr>
      <w:r>
        <w:t xml:space="preserve">Prioritize direct engagement with BG Williams and Col Garcia to clarify mission and programs</w:t>
      </w:r>
    </w:p>
    <w:p>
      <w:pPr>
        <w:pStyle w:val="ListParagraph"/>
        <w:numPr>
          <w:ilvl w:val="0"/>
          <w:numId w:val="2"/>
        </w:numPr>
      </w:pPr>
      <w:r>
        <w:t xml:space="preserve">Identify potential synergies with other organizations</w:t>
      </w:r>
    </w:p>
    <w:p>
      <w:pPr>
        <w:pStyle w:val="Heading2"/>
      </w:pPr>
      <w:r>
        <w:t xml:space="preserve">NC3</w:t>
      </w:r>
    </w:p>
    <w:p>
      <w:pPr>
        <w:pStyle w:val="ListParagraph"/>
        <w:numPr>
          <w:ilvl w:val="0"/>
          <w:numId w:val="2"/>
        </w:numPr>
      </w:pPr>
      <w:r>
        <w:t xml:space="preserve">Focus on SACCS modernization and hybrid solutions</w:t>
      </w:r>
    </w:p>
    <w:p>
      <w:pPr>
        <w:pStyle w:val="ListParagraph"/>
        <w:numPr>
          <w:ilvl w:val="0"/>
          <w:numId w:val="2"/>
        </w:numPr>
      </w:pPr>
      <w:r>
        <w:t xml:space="preserve">Engage with Mr. Hardiman and Mr. Clark on technical challenges and engineering innovation</w:t>
      </w:r>
    </w:p>
    <w:p>
      <w:pPr>
        <w:pStyle w:val="Heading2"/>
      </w:pPr>
      <w:r>
        <w:t xml:space="preserve">ES</w:t>
      </w:r>
    </w:p>
    <w:p>
      <w:pPr>
        <w:pStyle w:val="ListParagraph"/>
        <w:numPr>
          <w:ilvl w:val="0"/>
          <w:numId w:val="2"/>
        </w:numPr>
      </w:pPr>
      <w:r>
        <w:t xml:space="preserve">Gather additional information from Ms. Kirkwood or internal resources</w:t>
      </w:r>
    </w:p>
    <w:p>
      <w:pPr>
        <w:pStyle w:val="ListParagraph"/>
        <w:numPr>
          <w:ilvl w:val="0"/>
          <w:numId w:val="2"/>
        </w:numPr>
      </w:pPr>
      <w:r>
        <w:t xml:space="preserve">Explore ES's role in electronic warfare, ISR, and secure comms</w:t>
      </w:r>
    </w:p>
    <w:p>
      <w:r>
        <w:br w:type="page"/>
      </w:r>
    </w:p>
    <w:p>
      <w:pPr>
        <w:pStyle w:val="Heading1"/>
      </w:pPr>
      <w:r>
        <w:t xml:space="preserve">Conclusion</w:t>
      </w:r>
    </w:p>
    <w:p>
      <w:r>
        <w:t xml:space="preserve">This report provides a unified, comprehensive foundation for preparing smart sheets for PEO C3BM, HN, NC3, and ES. The synthesized insights into missions, leadership, key programs, modernization efforts, and industry partnerships will enable the Alamo ACE team to engage confidently and effectively. Where information gaps exist, targeted recommendations for further inquiry are provided. By leveraging these smart sheets, the team will be well-positioned to foster collaboration, address strategic priorities, and advance mission objectives at Alamo 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48"/>
      <w:szCs w:val="48"/>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2025-11-15T20:13:17.712Z</dcterms:created>
  <dcterms:modified xsi:type="dcterms:W3CDTF">2025-11-15T20:13:17.713Z</dcterms:modified>
</cp:coreProperties>
</file>

<file path=docProps/custom.xml><?xml version="1.0" encoding="utf-8"?>
<Properties xmlns="http://schemas.openxmlformats.org/officeDocument/2006/custom-properties" xmlns:vt="http://schemas.openxmlformats.org/officeDocument/2006/docPropsVTypes"/>
</file>