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C5588" w14:textId="77777777" w:rsidR="000F31B1" w:rsidRDefault="000F31B1">
      <w:pPr>
        <w:spacing w:after="0" w:line="360" w:lineRule="auto"/>
        <w:jc w:val="center"/>
        <w:rPr>
          <w:rFonts w:ascii="Arial" w:hAnsi="Arial"/>
          <w:b/>
          <w:sz w:val="36"/>
          <w:szCs w:val="36"/>
          <w:lang w:eastAsia="de-DE"/>
        </w:rPr>
      </w:pPr>
    </w:p>
    <w:p w14:paraId="33D9EA0B" w14:textId="77777777" w:rsidR="000F31B1" w:rsidRDefault="000F31B1">
      <w:pPr>
        <w:spacing w:after="0" w:line="360" w:lineRule="auto"/>
        <w:jc w:val="center"/>
        <w:rPr>
          <w:rFonts w:ascii="Arial" w:hAnsi="Arial"/>
          <w:b/>
          <w:sz w:val="36"/>
          <w:szCs w:val="36"/>
          <w:lang w:eastAsia="de-DE"/>
        </w:rPr>
      </w:pPr>
    </w:p>
    <w:p w14:paraId="49F48535" w14:textId="77777777" w:rsidR="000F31B1" w:rsidRDefault="000F31B1">
      <w:pPr>
        <w:spacing w:after="0" w:line="360" w:lineRule="auto"/>
        <w:jc w:val="center"/>
        <w:rPr>
          <w:rFonts w:ascii="Arial" w:hAnsi="Arial"/>
          <w:b/>
          <w:sz w:val="36"/>
          <w:szCs w:val="36"/>
          <w:lang w:eastAsia="de-DE"/>
        </w:rPr>
      </w:pPr>
      <w:r>
        <w:rPr>
          <w:rFonts w:ascii="Arial" w:hAnsi="Arial"/>
          <w:b/>
          <w:sz w:val="36"/>
          <w:szCs w:val="36"/>
          <w:lang w:eastAsia="de-DE"/>
        </w:rPr>
        <w:t xml:space="preserve">„Kieler Sicherheitskonzept Sexualstraftäter“ </w:t>
      </w:r>
    </w:p>
    <w:p w14:paraId="44A71A98" w14:textId="77777777" w:rsidR="000F31B1" w:rsidRDefault="000F31B1">
      <w:pPr>
        <w:spacing w:after="0" w:line="360" w:lineRule="auto"/>
        <w:jc w:val="center"/>
        <w:rPr>
          <w:rFonts w:ascii="Arial" w:hAnsi="Arial"/>
          <w:b/>
          <w:sz w:val="36"/>
          <w:szCs w:val="36"/>
          <w:lang w:eastAsia="de-DE"/>
        </w:rPr>
      </w:pPr>
      <w:r>
        <w:rPr>
          <w:rFonts w:ascii="Arial" w:hAnsi="Arial"/>
          <w:b/>
          <w:sz w:val="36"/>
          <w:szCs w:val="36"/>
          <w:lang w:eastAsia="de-DE"/>
        </w:rPr>
        <w:t>(KSKS)</w:t>
      </w:r>
    </w:p>
    <w:p w14:paraId="59B418FA" w14:textId="77777777" w:rsidR="000F31B1" w:rsidRDefault="000F31B1">
      <w:pPr>
        <w:spacing w:after="0" w:line="360" w:lineRule="auto"/>
        <w:jc w:val="both"/>
        <w:rPr>
          <w:rFonts w:ascii="Arial" w:hAnsi="Arial"/>
          <w:b/>
          <w:sz w:val="24"/>
          <w:szCs w:val="24"/>
          <w:lang w:eastAsia="de-DE"/>
        </w:rPr>
      </w:pPr>
    </w:p>
    <w:p w14:paraId="6D2F0DE7" w14:textId="77777777" w:rsidR="000F31B1" w:rsidRDefault="000F31B1">
      <w:pPr>
        <w:spacing w:after="0" w:line="360" w:lineRule="auto"/>
        <w:jc w:val="both"/>
        <w:rPr>
          <w:rFonts w:ascii="Arial" w:hAnsi="Arial"/>
          <w:b/>
          <w:sz w:val="24"/>
          <w:szCs w:val="24"/>
          <w:lang w:eastAsia="de-DE"/>
        </w:rPr>
      </w:pPr>
    </w:p>
    <w:p w14:paraId="41354404" w14:textId="77777777" w:rsidR="000F31B1" w:rsidRDefault="000F31B1">
      <w:pPr>
        <w:spacing w:after="0" w:line="360" w:lineRule="auto"/>
        <w:jc w:val="both"/>
        <w:rPr>
          <w:rFonts w:ascii="Arial" w:hAnsi="Arial"/>
          <w:b/>
          <w:sz w:val="24"/>
          <w:szCs w:val="24"/>
          <w:lang w:eastAsia="de-DE"/>
        </w:rPr>
      </w:pPr>
      <w:r>
        <w:rPr>
          <w:rFonts w:ascii="Arial" w:hAnsi="Arial"/>
          <w:b/>
          <w:sz w:val="24"/>
          <w:szCs w:val="24"/>
          <w:lang w:eastAsia="de-DE"/>
        </w:rPr>
        <w:t>Was ist KSKS?</w:t>
      </w:r>
    </w:p>
    <w:p w14:paraId="337F12EA" w14:textId="77777777" w:rsidR="000F31B1" w:rsidRDefault="000F31B1">
      <w:pPr>
        <w:spacing w:after="0" w:line="360" w:lineRule="auto"/>
        <w:jc w:val="both"/>
        <w:rPr>
          <w:rFonts w:ascii="Arial" w:hAnsi="Arial"/>
          <w:sz w:val="24"/>
          <w:szCs w:val="24"/>
          <w:lang w:eastAsia="de-DE"/>
        </w:rPr>
      </w:pPr>
      <w:r>
        <w:rPr>
          <w:rFonts w:ascii="Arial" w:hAnsi="Arial"/>
          <w:sz w:val="24"/>
          <w:szCs w:val="24"/>
          <w:lang w:eastAsia="de-DE"/>
        </w:rPr>
        <w:t>In Schleswig-Holstein ist seit dem 1. Oktober 2008 die Gemeinsame AV des Justiz-, I</w:t>
      </w:r>
      <w:r>
        <w:rPr>
          <w:rFonts w:ascii="Arial" w:hAnsi="Arial"/>
          <w:sz w:val="24"/>
          <w:szCs w:val="24"/>
          <w:lang w:eastAsia="de-DE"/>
        </w:rPr>
        <w:t>n</w:t>
      </w:r>
      <w:r>
        <w:rPr>
          <w:rFonts w:ascii="Arial" w:hAnsi="Arial"/>
          <w:sz w:val="24"/>
          <w:szCs w:val="24"/>
          <w:lang w:eastAsia="de-DE"/>
        </w:rPr>
        <w:t>nen- und S</w:t>
      </w:r>
      <w:r>
        <w:rPr>
          <w:rFonts w:ascii="Arial" w:hAnsi="Arial"/>
          <w:sz w:val="24"/>
          <w:szCs w:val="24"/>
          <w:lang w:eastAsia="de-DE"/>
        </w:rPr>
        <w:t>o</w:t>
      </w:r>
      <w:r>
        <w:rPr>
          <w:rFonts w:ascii="Arial" w:hAnsi="Arial"/>
          <w:sz w:val="24"/>
          <w:szCs w:val="24"/>
          <w:lang w:eastAsia="de-DE"/>
        </w:rPr>
        <w:t>zialministeriums „Kieler Sicherheitskonzept Sexualstraftäter“ (KSKS) in Kraft.</w:t>
      </w:r>
    </w:p>
    <w:p w14:paraId="2D055D19" w14:textId="77777777" w:rsidR="000F31B1" w:rsidRDefault="000F31B1">
      <w:pPr>
        <w:spacing w:after="0" w:line="360" w:lineRule="auto"/>
        <w:jc w:val="both"/>
        <w:rPr>
          <w:rFonts w:ascii="Arial" w:hAnsi="Arial"/>
          <w:sz w:val="24"/>
          <w:szCs w:val="24"/>
          <w:lang w:eastAsia="de-DE"/>
        </w:rPr>
      </w:pPr>
    </w:p>
    <w:p w14:paraId="41D14380" w14:textId="77777777" w:rsidR="000F31B1" w:rsidRDefault="000F31B1">
      <w:pPr>
        <w:spacing w:after="0" w:line="360" w:lineRule="auto"/>
        <w:jc w:val="both"/>
        <w:rPr>
          <w:rFonts w:ascii="Arial" w:hAnsi="Arial"/>
          <w:sz w:val="24"/>
          <w:szCs w:val="24"/>
          <w:lang w:eastAsia="de-DE"/>
        </w:rPr>
      </w:pPr>
      <w:r>
        <w:rPr>
          <w:rFonts w:ascii="Arial" w:hAnsi="Arial"/>
          <w:sz w:val="24"/>
          <w:szCs w:val="24"/>
          <w:lang w:eastAsia="de-DE"/>
        </w:rPr>
        <w:t>Ziel von KSKS ist im Wesentlichen der formalisierte und standardisierte Datentransfer von der Justiz an die Polizei, um Letztere in die Überwachung gefährlicher und rückfallgefäh</w:t>
      </w:r>
      <w:r>
        <w:rPr>
          <w:rFonts w:ascii="Arial" w:hAnsi="Arial"/>
          <w:sz w:val="24"/>
          <w:szCs w:val="24"/>
          <w:lang w:eastAsia="de-DE"/>
        </w:rPr>
        <w:t>r</w:t>
      </w:r>
      <w:r>
        <w:rPr>
          <w:rFonts w:ascii="Arial" w:hAnsi="Arial"/>
          <w:sz w:val="24"/>
          <w:szCs w:val="24"/>
          <w:lang w:eastAsia="de-DE"/>
        </w:rPr>
        <w:t>deter Täter, die sich in Freiheit befinden, nach Polizeirecht einzubinden.</w:t>
      </w:r>
    </w:p>
    <w:p w14:paraId="141760EA" w14:textId="77777777" w:rsidR="000F31B1" w:rsidRDefault="000F31B1">
      <w:pPr>
        <w:spacing w:after="0" w:line="360" w:lineRule="auto"/>
        <w:jc w:val="both"/>
        <w:rPr>
          <w:rFonts w:ascii="Arial" w:hAnsi="Arial"/>
          <w:sz w:val="24"/>
          <w:szCs w:val="24"/>
          <w:lang w:eastAsia="de-DE"/>
        </w:rPr>
      </w:pPr>
    </w:p>
    <w:p w14:paraId="5FEDBB8F" w14:textId="77777777" w:rsidR="000F31B1" w:rsidRDefault="000F31B1">
      <w:pPr>
        <w:spacing w:after="0" w:line="360" w:lineRule="auto"/>
        <w:jc w:val="both"/>
        <w:rPr>
          <w:rFonts w:ascii="Arial" w:hAnsi="Arial"/>
          <w:sz w:val="24"/>
          <w:szCs w:val="24"/>
          <w:lang w:eastAsia="de-DE"/>
        </w:rPr>
      </w:pPr>
      <w:r>
        <w:rPr>
          <w:rFonts w:ascii="Arial" w:hAnsi="Arial"/>
          <w:sz w:val="24"/>
          <w:szCs w:val="24"/>
          <w:lang w:eastAsia="de-DE"/>
        </w:rPr>
        <w:t>Zielgruppen sind Sexualstraftäter, die wegen einer Straftat gegen die sexuelle Selbstb</w:t>
      </w:r>
      <w:r>
        <w:rPr>
          <w:rFonts w:ascii="Arial" w:hAnsi="Arial"/>
          <w:sz w:val="24"/>
          <w:szCs w:val="24"/>
          <w:lang w:eastAsia="de-DE"/>
        </w:rPr>
        <w:t>e</w:t>
      </w:r>
      <w:r>
        <w:rPr>
          <w:rFonts w:ascii="Arial" w:hAnsi="Arial"/>
          <w:sz w:val="24"/>
          <w:szCs w:val="24"/>
          <w:lang w:eastAsia="de-DE"/>
        </w:rPr>
        <w:t>stimmung nach den §§ 174 bis 174c, 176 bis 180 und 182 StGB oder eines Tötung</w:t>
      </w:r>
      <w:r>
        <w:rPr>
          <w:rFonts w:ascii="Arial" w:hAnsi="Arial"/>
          <w:sz w:val="24"/>
          <w:szCs w:val="24"/>
          <w:lang w:eastAsia="de-DE"/>
        </w:rPr>
        <w:t>s</w:t>
      </w:r>
      <w:r>
        <w:rPr>
          <w:rFonts w:ascii="Arial" w:hAnsi="Arial"/>
          <w:sz w:val="24"/>
          <w:szCs w:val="24"/>
          <w:lang w:eastAsia="de-DE"/>
        </w:rPr>
        <w:t>delikts (§§ 211, 212 StGB) mit sexuell motiviertem Hintergrund oder wegen Begehung einer der vorgenannten Taten wegen Vollrausches (§ 323a StGB) verurteilt worden sind und de</w:t>
      </w:r>
      <w:r>
        <w:rPr>
          <w:rFonts w:ascii="Arial" w:hAnsi="Arial"/>
          <w:sz w:val="24"/>
          <w:szCs w:val="24"/>
          <w:lang w:eastAsia="de-DE"/>
        </w:rPr>
        <w:t>s</w:t>
      </w:r>
      <w:r>
        <w:rPr>
          <w:rFonts w:ascii="Arial" w:hAnsi="Arial"/>
          <w:sz w:val="24"/>
          <w:szCs w:val="24"/>
          <w:lang w:eastAsia="de-DE"/>
        </w:rPr>
        <w:t xml:space="preserve">halb unter Führungsaufsicht stehen. Zudem erfasst </w:t>
      </w:r>
      <w:proofErr w:type="gramStart"/>
      <w:r>
        <w:rPr>
          <w:rFonts w:ascii="Arial" w:hAnsi="Arial"/>
          <w:sz w:val="24"/>
          <w:szCs w:val="24"/>
          <w:lang w:eastAsia="de-DE"/>
        </w:rPr>
        <w:t>KSKS Bewährungsfälle</w:t>
      </w:r>
      <w:proofErr w:type="gramEnd"/>
      <w:r>
        <w:rPr>
          <w:rFonts w:ascii="Arial" w:hAnsi="Arial"/>
          <w:sz w:val="24"/>
          <w:szCs w:val="24"/>
          <w:lang w:eastAsia="de-DE"/>
        </w:rPr>
        <w:t>, d.h. verurteile Straftäter im vorgenannten Sinne, bei denen die Vollstreckung einer Freiheits- bzw. J</w:t>
      </w:r>
      <w:r>
        <w:rPr>
          <w:rFonts w:ascii="Arial" w:hAnsi="Arial"/>
          <w:sz w:val="24"/>
          <w:szCs w:val="24"/>
          <w:lang w:eastAsia="de-DE"/>
        </w:rPr>
        <w:t>u</w:t>
      </w:r>
      <w:r>
        <w:rPr>
          <w:rFonts w:ascii="Arial" w:hAnsi="Arial"/>
          <w:sz w:val="24"/>
          <w:szCs w:val="24"/>
          <w:lang w:eastAsia="de-DE"/>
        </w:rPr>
        <w:t xml:space="preserve">gendstrafe bzw. eines Strafrestes zur Bewährung ausgesetzt wurde – insoweit ist die Prognose einer Rückfallgefahr auch denkbar (vgl. </w:t>
      </w:r>
      <w:r>
        <w:rPr>
          <w:rFonts w:ascii="Arial" w:hAnsi="Arial"/>
          <w:i/>
          <w:sz w:val="24"/>
          <w:szCs w:val="24"/>
          <w:lang w:eastAsia="de-DE"/>
        </w:rPr>
        <w:t>BVerfG</w:t>
      </w:r>
      <w:r>
        <w:rPr>
          <w:rFonts w:ascii="Arial" w:hAnsi="Arial"/>
          <w:sz w:val="24"/>
          <w:szCs w:val="24"/>
          <w:lang w:eastAsia="de-DE"/>
        </w:rPr>
        <w:t>, NStZ 2001, 328 (330)), insb</w:t>
      </w:r>
      <w:r>
        <w:rPr>
          <w:rFonts w:ascii="Arial" w:hAnsi="Arial"/>
          <w:sz w:val="24"/>
          <w:szCs w:val="24"/>
          <w:lang w:eastAsia="de-DE"/>
        </w:rPr>
        <w:t>e</w:t>
      </w:r>
      <w:r>
        <w:rPr>
          <w:rFonts w:ascii="Arial" w:hAnsi="Arial"/>
          <w:sz w:val="24"/>
          <w:szCs w:val="24"/>
          <w:lang w:eastAsia="de-DE"/>
        </w:rPr>
        <w:t>sondere, wenn sich nachträglich Hinweise dahingehend erg</w:t>
      </w:r>
      <w:r>
        <w:rPr>
          <w:rFonts w:ascii="Arial" w:hAnsi="Arial"/>
          <w:sz w:val="24"/>
          <w:szCs w:val="24"/>
          <w:lang w:eastAsia="de-DE"/>
        </w:rPr>
        <w:t>e</w:t>
      </w:r>
      <w:r>
        <w:rPr>
          <w:rFonts w:ascii="Arial" w:hAnsi="Arial"/>
          <w:sz w:val="24"/>
          <w:szCs w:val="24"/>
          <w:lang w:eastAsia="de-DE"/>
        </w:rPr>
        <w:t>ben, dass die zunächst zu Grunde gelegte positive Sozialprognose nicht mehr angenommen werden kann. Schlie</w:t>
      </w:r>
      <w:r>
        <w:rPr>
          <w:rFonts w:ascii="Arial" w:hAnsi="Arial"/>
          <w:sz w:val="24"/>
          <w:szCs w:val="24"/>
          <w:lang w:eastAsia="de-DE"/>
        </w:rPr>
        <w:t>ß</w:t>
      </w:r>
      <w:r>
        <w:rPr>
          <w:rFonts w:ascii="Arial" w:hAnsi="Arial"/>
          <w:sz w:val="24"/>
          <w:szCs w:val="24"/>
          <w:lang w:eastAsia="de-DE"/>
        </w:rPr>
        <w:t xml:space="preserve">lich werden </w:t>
      </w:r>
      <w:proofErr w:type="spellStart"/>
      <w:r>
        <w:rPr>
          <w:rFonts w:ascii="Arial" w:hAnsi="Arial"/>
          <w:sz w:val="24"/>
          <w:szCs w:val="24"/>
          <w:lang w:eastAsia="de-DE"/>
        </w:rPr>
        <w:t>Vollverbüßer</w:t>
      </w:r>
      <w:proofErr w:type="spellEnd"/>
      <w:r>
        <w:rPr>
          <w:rFonts w:ascii="Arial" w:hAnsi="Arial"/>
          <w:sz w:val="24"/>
          <w:szCs w:val="24"/>
          <w:lang w:eastAsia="de-DE"/>
        </w:rPr>
        <w:t xml:space="preserve"> im oben genannten Sinne erfasst, die nach ihrer Entlassung nicht mehr der justiziellen Kontrolle unte</w:t>
      </w:r>
      <w:r>
        <w:rPr>
          <w:rFonts w:ascii="Arial" w:hAnsi="Arial"/>
          <w:sz w:val="24"/>
          <w:szCs w:val="24"/>
          <w:lang w:eastAsia="de-DE"/>
        </w:rPr>
        <w:t>r</w:t>
      </w:r>
      <w:r>
        <w:rPr>
          <w:rFonts w:ascii="Arial" w:hAnsi="Arial"/>
          <w:sz w:val="24"/>
          <w:szCs w:val="24"/>
          <w:lang w:eastAsia="de-DE"/>
        </w:rPr>
        <w:t xml:space="preserve">liegen. </w:t>
      </w:r>
    </w:p>
    <w:p w14:paraId="3E4152E3" w14:textId="77777777" w:rsidR="000F31B1" w:rsidRDefault="000F31B1">
      <w:pPr>
        <w:spacing w:after="0" w:line="360" w:lineRule="auto"/>
        <w:jc w:val="both"/>
        <w:rPr>
          <w:rFonts w:ascii="Arial" w:hAnsi="Arial"/>
          <w:sz w:val="24"/>
          <w:szCs w:val="24"/>
          <w:lang w:eastAsia="de-DE"/>
        </w:rPr>
      </w:pPr>
    </w:p>
    <w:p w14:paraId="6B15A48E" w14:textId="77777777" w:rsidR="000F31B1" w:rsidRDefault="000F31B1">
      <w:pPr>
        <w:tabs>
          <w:tab w:val="left" w:pos="8535"/>
        </w:tabs>
        <w:spacing w:after="0" w:line="360" w:lineRule="auto"/>
        <w:rPr>
          <w:rFonts w:ascii="Arial" w:hAnsi="Arial"/>
          <w:sz w:val="24"/>
          <w:szCs w:val="24"/>
          <w:lang w:eastAsia="de-DE"/>
        </w:rPr>
      </w:pPr>
      <w:r>
        <w:rPr>
          <w:rFonts w:ascii="Arial" w:hAnsi="Arial"/>
          <w:sz w:val="24"/>
          <w:szCs w:val="24"/>
          <w:lang w:eastAsia="de-DE"/>
        </w:rPr>
        <w:t>KSKS-Probanden werden in drei Gefährlichkeits-Kategorien eingeteilt („A“: hohe Gefäh</w:t>
      </w:r>
      <w:r>
        <w:rPr>
          <w:rFonts w:ascii="Arial" w:hAnsi="Arial"/>
          <w:sz w:val="24"/>
          <w:szCs w:val="24"/>
          <w:lang w:eastAsia="de-DE"/>
        </w:rPr>
        <w:t>r</w:t>
      </w:r>
      <w:r>
        <w:rPr>
          <w:rFonts w:ascii="Arial" w:hAnsi="Arial"/>
          <w:sz w:val="24"/>
          <w:szCs w:val="24"/>
          <w:lang w:eastAsia="de-DE"/>
        </w:rPr>
        <w:t>lichkeit ohne risikomindernde Bedingungen; „B“: hohe Gefährlichkeit bei Vorliegen risik</w:t>
      </w:r>
      <w:r>
        <w:rPr>
          <w:rFonts w:ascii="Arial" w:hAnsi="Arial"/>
          <w:sz w:val="24"/>
          <w:szCs w:val="24"/>
          <w:lang w:eastAsia="de-DE"/>
        </w:rPr>
        <w:t>o</w:t>
      </w:r>
      <w:r>
        <w:rPr>
          <w:rFonts w:ascii="Arial" w:hAnsi="Arial"/>
          <w:sz w:val="24"/>
          <w:szCs w:val="24"/>
          <w:lang w:eastAsia="de-DE"/>
        </w:rPr>
        <w:t xml:space="preserve">mindernder Bedingungen; „C“: Fälle, die nicht unter „A“ bzw. „B“ fallen). </w:t>
      </w:r>
    </w:p>
    <w:p w14:paraId="3856D07A" w14:textId="77777777" w:rsidR="000F31B1" w:rsidRDefault="000F31B1">
      <w:pPr>
        <w:tabs>
          <w:tab w:val="left" w:pos="8535"/>
        </w:tabs>
        <w:spacing w:after="0" w:line="360" w:lineRule="auto"/>
        <w:rPr>
          <w:rFonts w:ascii="Arial" w:hAnsi="Arial"/>
          <w:sz w:val="24"/>
          <w:szCs w:val="16"/>
          <w:u w:val="single"/>
          <w:lang w:eastAsia="de-DE"/>
        </w:rPr>
      </w:pPr>
    </w:p>
    <w:p w14:paraId="75889994" w14:textId="77777777" w:rsidR="000F31B1" w:rsidRDefault="000F31B1">
      <w:pPr>
        <w:tabs>
          <w:tab w:val="left" w:pos="8535"/>
        </w:tabs>
        <w:spacing w:after="0" w:line="360" w:lineRule="auto"/>
        <w:rPr>
          <w:rFonts w:ascii="Arial" w:hAnsi="Arial"/>
          <w:sz w:val="24"/>
          <w:szCs w:val="16"/>
          <w:u w:val="single"/>
          <w:lang w:eastAsia="de-DE"/>
        </w:rPr>
      </w:pPr>
    </w:p>
    <w:p w14:paraId="1478CAFD" w14:textId="77777777" w:rsidR="000F31B1" w:rsidRDefault="000F31B1">
      <w:pPr>
        <w:tabs>
          <w:tab w:val="left" w:pos="8535"/>
        </w:tabs>
        <w:spacing w:after="0" w:line="360" w:lineRule="auto"/>
        <w:rPr>
          <w:rFonts w:ascii="Arial" w:hAnsi="Arial"/>
          <w:b/>
          <w:sz w:val="24"/>
          <w:szCs w:val="16"/>
          <w:lang w:eastAsia="de-DE"/>
        </w:rPr>
      </w:pPr>
      <w:r>
        <w:rPr>
          <w:rFonts w:ascii="Arial" w:hAnsi="Arial"/>
          <w:b/>
          <w:sz w:val="24"/>
          <w:szCs w:val="16"/>
          <w:lang w:eastAsia="de-DE"/>
        </w:rPr>
        <w:t>Welche Zuständigkeiten und Datentransfers bestehen bei KSKS?</w:t>
      </w:r>
    </w:p>
    <w:p w14:paraId="79100813" w14:textId="77777777" w:rsidR="000F31B1" w:rsidRDefault="000F31B1">
      <w:pPr>
        <w:tabs>
          <w:tab w:val="left" w:pos="8535"/>
        </w:tabs>
        <w:spacing w:after="0" w:line="360" w:lineRule="auto"/>
        <w:jc w:val="both"/>
        <w:rPr>
          <w:rFonts w:ascii="Arial" w:hAnsi="Arial"/>
          <w:sz w:val="24"/>
          <w:szCs w:val="24"/>
          <w:lang w:eastAsia="de-DE"/>
        </w:rPr>
      </w:pPr>
      <w:r>
        <w:rPr>
          <w:rFonts w:ascii="Arial" w:hAnsi="Arial"/>
          <w:sz w:val="24"/>
          <w:szCs w:val="24"/>
          <w:lang w:eastAsia="de-DE"/>
        </w:rPr>
        <w:t>Zuständig für die formularmäßig erfasste Prognoseerstellung ist für Fälle aus dem Justi</w:t>
      </w:r>
      <w:r>
        <w:rPr>
          <w:rFonts w:ascii="Arial" w:hAnsi="Arial"/>
          <w:sz w:val="24"/>
          <w:szCs w:val="24"/>
          <w:lang w:eastAsia="de-DE"/>
        </w:rPr>
        <w:t>z</w:t>
      </w:r>
      <w:r>
        <w:rPr>
          <w:rFonts w:ascii="Arial" w:hAnsi="Arial"/>
          <w:sz w:val="24"/>
          <w:szCs w:val="24"/>
          <w:lang w:eastAsia="de-DE"/>
        </w:rPr>
        <w:t>vollzug in einem zweistufigen Verfahren zunächst die Vollzugsbehörde (in Fällen des Ma</w:t>
      </w:r>
      <w:r>
        <w:rPr>
          <w:rFonts w:ascii="Arial" w:hAnsi="Arial"/>
          <w:sz w:val="24"/>
          <w:szCs w:val="24"/>
          <w:lang w:eastAsia="de-DE"/>
        </w:rPr>
        <w:t>ß</w:t>
      </w:r>
      <w:r>
        <w:rPr>
          <w:rFonts w:ascii="Arial" w:hAnsi="Arial"/>
          <w:sz w:val="24"/>
          <w:szCs w:val="24"/>
          <w:lang w:eastAsia="de-DE"/>
        </w:rPr>
        <w:t>regelvollzugs entsprechend die Maßregelvollzugseinrichtung) und nachfolgend die Vol</w:t>
      </w:r>
      <w:r>
        <w:rPr>
          <w:rFonts w:ascii="Arial" w:hAnsi="Arial"/>
          <w:sz w:val="24"/>
          <w:szCs w:val="24"/>
          <w:lang w:eastAsia="de-DE"/>
        </w:rPr>
        <w:t>l</w:t>
      </w:r>
      <w:r>
        <w:rPr>
          <w:rFonts w:ascii="Arial" w:hAnsi="Arial"/>
          <w:sz w:val="24"/>
          <w:szCs w:val="24"/>
          <w:lang w:eastAsia="de-DE"/>
        </w:rPr>
        <w:t>streckungsbehörde. In Bewährungsfällen bei einer Aussetzung nach § 56 StGB entsche</w:t>
      </w:r>
      <w:r>
        <w:rPr>
          <w:rFonts w:ascii="Arial" w:hAnsi="Arial"/>
          <w:sz w:val="24"/>
          <w:szCs w:val="24"/>
          <w:lang w:eastAsia="de-DE"/>
        </w:rPr>
        <w:t>i</w:t>
      </w:r>
      <w:r>
        <w:rPr>
          <w:rFonts w:ascii="Arial" w:hAnsi="Arial"/>
          <w:sz w:val="24"/>
          <w:szCs w:val="24"/>
          <w:lang w:eastAsia="de-DE"/>
        </w:rPr>
        <w:t xml:space="preserve">det die Vollstreckungsbehörde, bei einer </w:t>
      </w:r>
      <w:proofErr w:type="spellStart"/>
      <w:r>
        <w:rPr>
          <w:rFonts w:ascii="Arial" w:hAnsi="Arial"/>
          <w:sz w:val="24"/>
          <w:szCs w:val="24"/>
          <w:lang w:eastAsia="de-DE"/>
        </w:rPr>
        <w:t>Reststrafenaussetzung</w:t>
      </w:r>
      <w:proofErr w:type="spellEnd"/>
      <w:r>
        <w:rPr>
          <w:rFonts w:ascii="Arial" w:hAnsi="Arial"/>
          <w:sz w:val="24"/>
          <w:szCs w:val="24"/>
          <w:lang w:eastAsia="de-DE"/>
        </w:rPr>
        <w:t xml:space="preserve"> (§ 57 StGB) wird die Prognose wiederum zweistufig durch Vollzugs- und nachfolgend Vollstreckungsbehörde e</w:t>
      </w:r>
      <w:r>
        <w:rPr>
          <w:rFonts w:ascii="Arial" w:hAnsi="Arial"/>
          <w:sz w:val="24"/>
          <w:szCs w:val="24"/>
          <w:lang w:eastAsia="de-DE"/>
        </w:rPr>
        <w:t>r</w:t>
      </w:r>
      <w:r>
        <w:rPr>
          <w:rFonts w:ascii="Arial" w:hAnsi="Arial"/>
          <w:sz w:val="24"/>
          <w:szCs w:val="24"/>
          <w:lang w:eastAsia="de-DE"/>
        </w:rPr>
        <w:t>stellt.</w:t>
      </w:r>
    </w:p>
    <w:p w14:paraId="7712BBA2" w14:textId="77777777" w:rsidR="000F31B1" w:rsidRDefault="000F31B1">
      <w:pPr>
        <w:tabs>
          <w:tab w:val="left" w:pos="8535"/>
        </w:tabs>
        <w:spacing w:after="0" w:line="360" w:lineRule="auto"/>
        <w:jc w:val="both"/>
        <w:rPr>
          <w:rFonts w:ascii="Arial" w:hAnsi="Arial"/>
          <w:sz w:val="16"/>
          <w:szCs w:val="16"/>
          <w:lang w:eastAsia="de-DE"/>
        </w:rPr>
      </w:pPr>
    </w:p>
    <w:p w14:paraId="24B52413" w14:textId="77777777" w:rsidR="000F31B1" w:rsidRDefault="000F31B1">
      <w:pPr>
        <w:tabs>
          <w:tab w:val="left" w:pos="8535"/>
        </w:tabs>
        <w:spacing w:after="0" w:line="360" w:lineRule="auto"/>
        <w:jc w:val="both"/>
        <w:rPr>
          <w:rFonts w:ascii="Arial" w:hAnsi="Arial"/>
          <w:sz w:val="16"/>
          <w:szCs w:val="16"/>
          <w:lang w:eastAsia="de-DE"/>
        </w:rPr>
      </w:pPr>
    </w:p>
    <w:p w14:paraId="5435A7DF" w14:textId="77777777" w:rsidR="000F31B1" w:rsidRDefault="000F31B1">
      <w:pPr>
        <w:tabs>
          <w:tab w:val="left" w:pos="8535"/>
        </w:tabs>
        <w:spacing w:after="0" w:line="360" w:lineRule="auto"/>
        <w:jc w:val="both"/>
        <w:rPr>
          <w:rFonts w:ascii="Arial" w:hAnsi="Arial"/>
          <w:b/>
          <w:sz w:val="24"/>
          <w:szCs w:val="24"/>
          <w:lang w:eastAsia="de-DE"/>
        </w:rPr>
      </w:pPr>
      <w:r>
        <w:rPr>
          <w:rFonts w:ascii="Arial" w:hAnsi="Arial"/>
          <w:b/>
          <w:sz w:val="24"/>
          <w:szCs w:val="24"/>
          <w:lang w:eastAsia="de-DE"/>
        </w:rPr>
        <w:t>In welchen Fällen sind die unabhängigen Gerichte betroffen?</w:t>
      </w:r>
    </w:p>
    <w:p w14:paraId="2975EDFB" w14:textId="77777777" w:rsidR="000F31B1" w:rsidRDefault="000F31B1">
      <w:pPr>
        <w:tabs>
          <w:tab w:val="left" w:pos="8535"/>
        </w:tabs>
        <w:spacing w:after="0" w:line="360" w:lineRule="auto"/>
        <w:jc w:val="both"/>
        <w:rPr>
          <w:rFonts w:ascii="Arial" w:hAnsi="Arial"/>
          <w:sz w:val="24"/>
          <w:szCs w:val="24"/>
          <w:lang w:eastAsia="de-DE"/>
        </w:rPr>
      </w:pPr>
      <w:r>
        <w:rPr>
          <w:rFonts w:ascii="Arial" w:hAnsi="Arial"/>
          <w:sz w:val="24"/>
          <w:szCs w:val="24"/>
          <w:lang w:eastAsia="de-DE"/>
        </w:rPr>
        <w:t>Soweit Richterinnen und Richter nicht für die Führungsaufsichtsstellen oder als Vollstr</w:t>
      </w:r>
      <w:r>
        <w:rPr>
          <w:rFonts w:ascii="Arial" w:hAnsi="Arial"/>
          <w:sz w:val="24"/>
          <w:szCs w:val="24"/>
          <w:lang w:eastAsia="de-DE"/>
        </w:rPr>
        <w:t>e</w:t>
      </w:r>
      <w:r>
        <w:rPr>
          <w:rFonts w:ascii="Arial" w:hAnsi="Arial"/>
          <w:sz w:val="24"/>
          <w:szCs w:val="24"/>
          <w:lang w:eastAsia="de-DE"/>
        </w:rPr>
        <w:t>ckungsbehörde (Entscheidungen im Vollstreckungsverfahren nach Jugendstrafrecht) agi</w:t>
      </w:r>
      <w:r>
        <w:rPr>
          <w:rFonts w:ascii="Arial" w:hAnsi="Arial"/>
          <w:sz w:val="24"/>
          <w:szCs w:val="24"/>
          <w:lang w:eastAsia="de-DE"/>
        </w:rPr>
        <w:t>e</w:t>
      </w:r>
      <w:r>
        <w:rPr>
          <w:rFonts w:ascii="Arial" w:hAnsi="Arial"/>
          <w:sz w:val="24"/>
          <w:szCs w:val="24"/>
          <w:lang w:eastAsia="de-DE"/>
        </w:rPr>
        <w:t>ren, sind sie maßgeblich von Nummer 14. KSKS betroffen, nämlich dann, wenn sich wä</w:t>
      </w:r>
      <w:r>
        <w:rPr>
          <w:rFonts w:ascii="Arial" w:hAnsi="Arial"/>
          <w:sz w:val="24"/>
          <w:szCs w:val="24"/>
          <w:lang w:eastAsia="de-DE"/>
        </w:rPr>
        <w:t>h</w:t>
      </w:r>
      <w:r>
        <w:rPr>
          <w:rFonts w:ascii="Arial" w:hAnsi="Arial"/>
          <w:sz w:val="24"/>
          <w:szCs w:val="24"/>
          <w:lang w:eastAsia="de-DE"/>
        </w:rPr>
        <w:t>rend laufender Bewährungszeit negative Veränderungen beim Probanden erg</w:t>
      </w:r>
      <w:r>
        <w:rPr>
          <w:rFonts w:ascii="Arial" w:hAnsi="Arial"/>
          <w:sz w:val="24"/>
          <w:szCs w:val="24"/>
          <w:lang w:eastAsia="de-DE"/>
        </w:rPr>
        <w:t>e</w:t>
      </w:r>
      <w:r>
        <w:rPr>
          <w:rFonts w:ascii="Arial" w:hAnsi="Arial"/>
          <w:sz w:val="24"/>
          <w:szCs w:val="24"/>
          <w:lang w:eastAsia="de-DE"/>
        </w:rPr>
        <w:t>ben, die Anlass geben könnten, ihn in KSKS umzustufen. Dann soll die Bewährungshilfe einen en</w:t>
      </w:r>
      <w:r>
        <w:rPr>
          <w:rFonts w:ascii="Arial" w:hAnsi="Arial"/>
          <w:sz w:val="24"/>
          <w:szCs w:val="24"/>
          <w:lang w:eastAsia="de-DE"/>
        </w:rPr>
        <w:t>t</w:t>
      </w:r>
      <w:r>
        <w:rPr>
          <w:rFonts w:ascii="Arial" w:hAnsi="Arial"/>
          <w:sz w:val="24"/>
          <w:szCs w:val="24"/>
          <w:lang w:eastAsia="de-DE"/>
        </w:rPr>
        <w:t>sprechenden Bericht an das Aufsicht führende Gericht übermitteln, das diesen an die Vol</w:t>
      </w:r>
      <w:r>
        <w:rPr>
          <w:rFonts w:ascii="Arial" w:hAnsi="Arial"/>
          <w:sz w:val="24"/>
          <w:szCs w:val="24"/>
          <w:lang w:eastAsia="de-DE"/>
        </w:rPr>
        <w:t>l</w:t>
      </w:r>
      <w:r>
        <w:rPr>
          <w:rFonts w:ascii="Arial" w:hAnsi="Arial"/>
          <w:sz w:val="24"/>
          <w:szCs w:val="24"/>
          <w:lang w:eastAsia="de-DE"/>
        </w:rPr>
        <w:t>streckungsbehörde weiterleiten kann, welche wiederum nach § 481 Absatz 1 Satz 2 StPO bzw. § 17 Nummer 3 und 4 EGGVG vorgeht und an die KSKS-Zentralstelle weite</w:t>
      </w:r>
      <w:r>
        <w:rPr>
          <w:rFonts w:ascii="Arial" w:hAnsi="Arial"/>
          <w:sz w:val="24"/>
          <w:szCs w:val="24"/>
          <w:lang w:eastAsia="de-DE"/>
        </w:rPr>
        <w:t>r</w:t>
      </w:r>
      <w:r>
        <w:rPr>
          <w:rFonts w:ascii="Arial" w:hAnsi="Arial"/>
          <w:sz w:val="24"/>
          <w:szCs w:val="24"/>
          <w:lang w:eastAsia="de-DE"/>
        </w:rPr>
        <w:t xml:space="preserve">leitet. In </w:t>
      </w:r>
      <w:proofErr w:type="spellStart"/>
      <w:r>
        <w:rPr>
          <w:rFonts w:ascii="Arial" w:hAnsi="Arial"/>
          <w:sz w:val="24"/>
          <w:szCs w:val="24"/>
          <w:lang w:eastAsia="de-DE"/>
        </w:rPr>
        <w:t>eiligen</w:t>
      </w:r>
      <w:proofErr w:type="spellEnd"/>
      <w:r>
        <w:rPr>
          <w:rFonts w:ascii="Arial" w:hAnsi="Arial"/>
          <w:sz w:val="24"/>
          <w:szCs w:val="24"/>
          <w:lang w:eastAsia="de-DE"/>
        </w:rPr>
        <w:t xml:space="preserve"> Fällen sollte die telefonische Information von der Bewährungshilfe an das G</w:t>
      </w:r>
      <w:r>
        <w:rPr>
          <w:rFonts w:ascii="Arial" w:hAnsi="Arial"/>
          <w:sz w:val="24"/>
          <w:szCs w:val="24"/>
          <w:lang w:eastAsia="de-DE"/>
        </w:rPr>
        <w:t>e</w:t>
      </w:r>
      <w:r>
        <w:rPr>
          <w:rFonts w:ascii="Arial" w:hAnsi="Arial"/>
          <w:sz w:val="24"/>
          <w:szCs w:val="24"/>
          <w:lang w:eastAsia="de-DE"/>
        </w:rPr>
        <w:t>richt erfolgen, dieses kann KSKS direkt informieren. Für diese direkte Information kommt als Rechtsgrundl</w:t>
      </w:r>
      <w:r>
        <w:rPr>
          <w:rFonts w:ascii="Arial" w:hAnsi="Arial"/>
          <w:sz w:val="24"/>
          <w:szCs w:val="24"/>
          <w:lang w:eastAsia="de-DE"/>
        </w:rPr>
        <w:t>a</w:t>
      </w:r>
      <w:r>
        <w:rPr>
          <w:rFonts w:ascii="Arial" w:hAnsi="Arial"/>
          <w:sz w:val="24"/>
          <w:szCs w:val="24"/>
          <w:lang w:eastAsia="de-DE"/>
        </w:rPr>
        <w:t>ge § 17 Nummer 3 und 4 EGGVG in Betracht.</w:t>
      </w:r>
    </w:p>
    <w:p w14:paraId="2C37731A" w14:textId="77777777" w:rsidR="000F31B1" w:rsidRDefault="000F31B1">
      <w:pPr>
        <w:tabs>
          <w:tab w:val="left" w:pos="8535"/>
        </w:tabs>
        <w:spacing w:after="0" w:line="360" w:lineRule="auto"/>
        <w:jc w:val="both"/>
        <w:rPr>
          <w:rFonts w:ascii="Arial" w:hAnsi="Arial"/>
          <w:sz w:val="24"/>
          <w:szCs w:val="24"/>
          <w:lang w:eastAsia="de-DE"/>
        </w:rPr>
      </w:pPr>
      <w:r>
        <w:rPr>
          <w:rFonts w:ascii="Arial" w:hAnsi="Arial"/>
          <w:sz w:val="24"/>
          <w:szCs w:val="24"/>
          <w:lang w:eastAsia="de-DE"/>
        </w:rPr>
        <w:t>Zudem ist in Nummer 12. Absatz 2 KSKS („Fälle aus andern Bundesländern“) eine Pro</w:t>
      </w:r>
      <w:r>
        <w:rPr>
          <w:rFonts w:ascii="Arial" w:hAnsi="Arial"/>
          <w:sz w:val="24"/>
          <w:szCs w:val="24"/>
          <w:lang w:eastAsia="de-DE"/>
        </w:rPr>
        <w:t>g</w:t>
      </w:r>
      <w:r>
        <w:rPr>
          <w:rFonts w:ascii="Arial" w:hAnsi="Arial"/>
          <w:sz w:val="24"/>
          <w:szCs w:val="24"/>
          <w:lang w:eastAsia="de-DE"/>
        </w:rPr>
        <w:t>nosezuständigkeit des Bewährungsaufsicht führenden Gerichts beim Wechsel eines B</w:t>
      </w:r>
      <w:r>
        <w:rPr>
          <w:rFonts w:ascii="Arial" w:hAnsi="Arial"/>
          <w:sz w:val="24"/>
          <w:szCs w:val="24"/>
          <w:lang w:eastAsia="de-DE"/>
        </w:rPr>
        <w:t>e</w:t>
      </w:r>
      <w:r>
        <w:rPr>
          <w:rFonts w:ascii="Arial" w:hAnsi="Arial"/>
          <w:sz w:val="24"/>
          <w:szCs w:val="24"/>
          <w:lang w:eastAsia="de-DE"/>
        </w:rPr>
        <w:t>währungsprobanden aus einem andern Bundesland nach Schleswig-Holstein vorges</w:t>
      </w:r>
      <w:r>
        <w:rPr>
          <w:rFonts w:ascii="Arial" w:hAnsi="Arial"/>
          <w:sz w:val="24"/>
          <w:szCs w:val="24"/>
          <w:lang w:eastAsia="de-DE"/>
        </w:rPr>
        <w:t>e</w:t>
      </w:r>
      <w:r>
        <w:rPr>
          <w:rFonts w:ascii="Arial" w:hAnsi="Arial"/>
          <w:sz w:val="24"/>
          <w:szCs w:val="24"/>
          <w:lang w:eastAsia="de-DE"/>
        </w:rPr>
        <w:t>hen.</w:t>
      </w:r>
    </w:p>
    <w:p w14:paraId="664779C5" w14:textId="77777777" w:rsidR="000F31B1" w:rsidRDefault="000F31B1">
      <w:pPr>
        <w:tabs>
          <w:tab w:val="left" w:pos="8535"/>
        </w:tabs>
        <w:spacing w:after="0" w:line="360" w:lineRule="auto"/>
        <w:jc w:val="both"/>
        <w:rPr>
          <w:rFonts w:ascii="Arial" w:hAnsi="Arial"/>
          <w:sz w:val="16"/>
          <w:szCs w:val="16"/>
          <w:lang w:eastAsia="de-DE"/>
        </w:rPr>
      </w:pPr>
    </w:p>
    <w:p w14:paraId="5F1765CA" w14:textId="77777777" w:rsidR="000F31B1" w:rsidRDefault="000F31B1">
      <w:pPr>
        <w:tabs>
          <w:tab w:val="left" w:pos="8535"/>
        </w:tabs>
        <w:spacing w:after="0" w:line="360" w:lineRule="auto"/>
        <w:jc w:val="both"/>
        <w:rPr>
          <w:rFonts w:ascii="Arial" w:hAnsi="Arial"/>
          <w:sz w:val="16"/>
          <w:szCs w:val="16"/>
          <w:lang w:eastAsia="de-DE"/>
        </w:rPr>
      </w:pPr>
    </w:p>
    <w:p w14:paraId="1FA8CD74" w14:textId="77777777" w:rsidR="000F31B1" w:rsidRDefault="000F31B1">
      <w:pPr>
        <w:tabs>
          <w:tab w:val="left" w:pos="8535"/>
        </w:tabs>
        <w:spacing w:after="0" w:line="360" w:lineRule="auto"/>
        <w:jc w:val="both"/>
        <w:rPr>
          <w:rFonts w:ascii="Arial" w:hAnsi="Arial"/>
          <w:b/>
          <w:sz w:val="24"/>
          <w:szCs w:val="24"/>
          <w:lang w:eastAsia="de-DE"/>
        </w:rPr>
      </w:pPr>
      <w:r>
        <w:rPr>
          <w:rFonts w:ascii="Arial" w:hAnsi="Arial"/>
          <w:b/>
          <w:sz w:val="24"/>
          <w:szCs w:val="24"/>
          <w:lang w:eastAsia="de-DE"/>
        </w:rPr>
        <w:t>Ist der direkte Transfer personenbezogener Daten von der Bewährungshilfe an die Polizei möglich?</w:t>
      </w:r>
    </w:p>
    <w:p w14:paraId="29DE912A" w14:textId="77777777" w:rsidR="000F31B1" w:rsidRDefault="000F31B1">
      <w:pPr>
        <w:tabs>
          <w:tab w:val="left" w:pos="8535"/>
        </w:tabs>
        <w:spacing w:after="0" w:line="360" w:lineRule="auto"/>
        <w:jc w:val="both"/>
        <w:rPr>
          <w:rFonts w:ascii="Arial" w:hAnsi="Arial"/>
          <w:sz w:val="24"/>
          <w:szCs w:val="24"/>
          <w:lang w:eastAsia="de-DE"/>
        </w:rPr>
      </w:pPr>
      <w:r>
        <w:rPr>
          <w:rFonts w:ascii="Arial" w:hAnsi="Arial"/>
          <w:sz w:val="24"/>
          <w:szCs w:val="24"/>
          <w:lang w:eastAsia="de-DE"/>
        </w:rPr>
        <w:t>Derzeit, d.h. nach geltendem Recht, ist die Übermittlung der Daten direkt an die Polizei nur in den Ausnahmefällen des rechtfertigenden Notstands und bei Vorliegen einer Einwill</w:t>
      </w:r>
      <w:r>
        <w:rPr>
          <w:rFonts w:ascii="Arial" w:hAnsi="Arial"/>
          <w:sz w:val="24"/>
          <w:szCs w:val="24"/>
          <w:lang w:eastAsia="de-DE"/>
        </w:rPr>
        <w:t>i</w:t>
      </w:r>
      <w:r>
        <w:rPr>
          <w:rFonts w:ascii="Arial" w:hAnsi="Arial"/>
          <w:sz w:val="24"/>
          <w:szCs w:val="24"/>
          <w:lang w:eastAsia="de-DE"/>
        </w:rPr>
        <w:t>gung des Probanden möglich (vgl. Nummer 24. KSKS). Die erforderliche gesetzliche Grundl</w:t>
      </w:r>
      <w:r>
        <w:rPr>
          <w:rFonts w:ascii="Arial" w:hAnsi="Arial"/>
          <w:sz w:val="24"/>
          <w:szCs w:val="24"/>
          <w:lang w:eastAsia="de-DE"/>
        </w:rPr>
        <w:t>a</w:t>
      </w:r>
      <w:r>
        <w:rPr>
          <w:rFonts w:ascii="Arial" w:hAnsi="Arial"/>
          <w:sz w:val="24"/>
          <w:szCs w:val="24"/>
          <w:lang w:eastAsia="de-DE"/>
        </w:rPr>
        <w:t>ge besteht derzeit nicht, soll aber baldmöglich in das Gesetzgebungsverfahren eing</w:t>
      </w:r>
      <w:r>
        <w:rPr>
          <w:rFonts w:ascii="Arial" w:hAnsi="Arial"/>
          <w:sz w:val="24"/>
          <w:szCs w:val="24"/>
          <w:lang w:eastAsia="de-DE"/>
        </w:rPr>
        <w:t>e</w:t>
      </w:r>
      <w:r>
        <w:rPr>
          <w:rFonts w:ascii="Arial" w:hAnsi="Arial"/>
          <w:sz w:val="24"/>
          <w:szCs w:val="24"/>
          <w:lang w:eastAsia="de-DE"/>
        </w:rPr>
        <w:t>bracht werden (§ 496 StPO-E).</w:t>
      </w:r>
    </w:p>
    <w:sectPr w:rsidR="000F31B1">
      <w:headerReference w:type="default" r:id="rId7"/>
      <w:headerReference w:type="first" r:id="rId8"/>
      <w:footerReference w:type="first" r:id="rId9"/>
      <w:type w:val="continuous"/>
      <w:pgSz w:w="11906" w:h="16838" w:code="9"/>
      <w:pgMar w:top="1418" w:right="907" w:bottom="1134" w:left="1366" w:header="737" w:footer="85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9BACB" w14:textId="77777777" w:rsidR="000F31B1" w:rsidRDefault="000F31B1">
      <w:pPr>
        <w:spacing w:after="0" w:line="360" w:lineRule="auto"/>
        <w:rPr>
          <w:rFonts w:ascii="Arial" w:hAnsi="Arial"/>
          <w:szCs w:val="20"/>
          <w:lang w:eastAsia="de-DE"/>
        </w:rPr>
      </w:pPr>
      <w:r>
        <w:rPr>
          <w:rFonts w:ascii="Arial" w:hAnsi="Arial"/>
          <w:szCs w:val="20"/>
          <w:lang w:eastAsia="de-DE"/>
        </w:rPr>
        <w:separator/>
      </w:r>
    </w:p>
  </w:endnote>
  <w:endnote w:type="continuationSeparator" w:id="0">
    <w:p w14:paraId="01E89B33" w14:textId="77777777" w:rsidR="000F31B1" w:rsidRDefault="000F31B1">
      <w:pPr>
        <w:spacing w:after="0" w:line="360" w:lineRule="auto"/>
        <w:rPr>
          <w:rFonts w:ascii="Arial" w:hAnsi="Arial"/>
          <w:szCs w:val="20"/>
          <w:lang w:eastAsia="de-DE"/>
        </w:rPr>
      </w:pPr>
      <w:r>
        <w:rPr>
          <w:rFonts w:ascii="Arial" w:hAnsi="Arial"/>
          <w:szCs w:val="20"/>
          <w:lang w:eastAsia="de-DE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Helvetica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Georgia Ref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486F5" w14:textId="77777777" w:rsidR="000F31B1" w:rsidRDefault="000F31B1">
    <w:pPr>
      <w:tabs>
        <w:tab w:val="center" w:pos="4536"/>
        <w:tab w:val="right" w:pos="9072"/>
      </w:tabs>
      <w:spacing w:after="0" w:line="360" w:lineRule="auto"/>
      <w:jc w:val="center"/>
      <w:rPr>
        <w:rFonts w:ascii="Arial" w:hAnsi="Arial"/>
        <w:szCs w:val="20"/>
        <w:lang w:eastAsia="de-DE"/>
      </w:rPr>
    </w:pPr>
    <w:r>
      <w:rPr>
        <w:rFonts w:ascii="Arial" w:hAnsi="Arial"/>
        <w:szCs w:val="20"/>
        <w:lang w:eastAsia="de-DE"/>
      </w:rPr>
      <w:t>- 2 -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93D36" w14:textId="77777777" w:rsidR="000F31B1" w:rsidRDefault="000F31B1">
      <w:pPr>
        <w:spacing w:after="0" w:line="360" w:lineRule="auto"/>
        <w:rPr>
          <w:rFonts w:ascii="Arial" w:hAnsi="Arial"/>
          <w:szCs w:val="20"/>
          <w:lang w:eastAsia="de-DE"/>
        </w:rPr>
      </w:pPr>
      <w:r>
        <w:rPr>
          <w:rFonts w:ascii="Arial" w:hAnsi="Arial"/>
          <w:szCs w:val="20"/>
          <w:lang w:eastAsia="de-DE"/>
        </w:rPr>
        <w:separator/>
      </w:r>
    </w:p>
  </w:footnote>
  <w:footnote w:type="continuationSeparator" w:id="0">
    <w:p w14:paraId="2E84EA3D" w14:textId="77777777" w:rsidR="000F31B1" w:rsidRDefault="000F31B1">
      <w:pPr>
        <w:spacing w:after="0" w:line="360" w:lineRule="auto"/>
        <w:rPr>
          <w:rFonts w:ascii="Arial" w:hAnsi="Arial"/>
          <w:szCs w:val="20"/>
          <w:lang w:eastAsia="de-DE"/>
        </w:rPr>
      </w:pPr>
      <w:r>
        <w:rPr>
          <w:rFonts w:ascii="Arial" w:hAnsi="Arial"/>
          <w:szCs w:val="20"/>
          <w:lang w:eastAsia="de-DE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D2285" w14:textId="77777777" w:rsidR="000F31B1" w:rsidRDefault="000F31B1">
    <w:pPr>
      <w:tabs>
        <w:tab w:val="center" w:pos="4536"/>
        <w:tab w:val="right" w:pos="9072"/>
      </w:tabs>
      <w:spacing w:after="0" w:line="360" w:lineRule="auto"/>
      <w:jc w:val="center"/>
      <w:rPr>
        <w:rFonts w:ascii="Arial" w:hAnsi="Arial"/>
        <w:szCs w:val="20"/>
        <w:lang w:eastAsia="de-DE"/>
      </w:rPr>
    </w:pPr>
    <w:r>
      <w:rPr>
        <w:rFonts w:ascii="Arial" w:hAnsi="Arial"/>
        <w:szCs w:val="20"/>
        <w:lang w:eastAsia="de-DE"/>
      </w:rPr>
      <w:t>- 2 -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DFFBA" w14:textId="77777777" w:rsidR="000F31B1" w:rsidRDefault="000F31B1">
    <w:pPr>
      <w:tabs>
        <w:tab w:val="left" w:pos="8508"/>
      </w:tabs>
      <w:spacing w:after="0" w:line="360" w:lineRule="auto"/>
      <w:rPr>
        <w:rFonts w:ascii="Arial" w:hAnsi="Arial"/>
        <w:b/>
        <w:szCs w:val="20"/>
        <w:lang w:eastAsia="de-DE"/>
      </w:rPr>
    </w:pPr>
    <w:r>
      <w:rPr>
        <w:rFonts w:ascii="Arial" w:hAnsi="Arial"/>
        <w:b/>
        <w:szCs w:val="20"/>
        <w:lang w:eastAsia="de-DE"/>
      </w:rPr>
      <w:tab/>
    </w:r>
    <w:r>
      <w:rPr>
        <w:rFonts w:ascii="Arial" w:hAnsi="Arial"/>
        <w:szCs w:val="20"/>
        <w:lang w:eastAsia="de-DE"/>
      </w:rPr>
      <w:pict w14:anchorId="4CFA4B1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39pt;height:44.25pt">
          <v:imagedata r:id="rId1" o:title="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502BC"/>
    <w:multiLevelType w:val="hybridMultilevel"/>
    <w:tmpl w:val="FFFFFFFF"/>
    <w:lvl w:ilvl="0" w:tplc="4EC41120"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1C0FAC"/>
    <w:multiLevelType w:val="hybridMultilevel"/>
    <w:tmpl w:val="FFFFFFFF"/>
    <w:lvl w:ilvl="0" w:tplc="3EEC4504"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A75EE6"/>
    <w:multiLevelType w:val="hybridMultilevel"/>
    <w:tmpl w:val="FFFFFFFF"/>
    <w:lvl w:ilvl="0" w:tplc="D5665F42"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614C3D"/>
    <w:multiLevelType w:val="hybridMultilevel"/>
    <w:tmpl w:val="FFFFFFFF"/>
    <w:lvl w:ilvl="0" w:tplc="0E2C0104">
      <w:numFmt w:val="bullet"/>
      <w:lvlText w:val="-"/>
      <w:lvlJc w:val="left"/>
      <w:pPr>
        <w:ind w:left="720" w:hanging="360"/>
      </w:pPr>
      <w:rPr>
        <w:rFonts w:ascii="Arial" w:eastAsia="Times New Roman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3372110">
    <w:abstractNumId w:val="3"/>
  </w:num>
  <w:num w:numId="2" w16cid:durableId="645167641">
    <w:abstractNumId w:val="2"/>
  </w:num>
  <w:num w:numId="3" w16cid:durableId="1981568929">
    <w:abstractNumId w:val="0"/>
  </w:num>
  <w:num w:numId="4" w16cid:durableId="2478077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autoHyphenation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14F5B"/>
    <w:rsid w:val="000F31B1"/>
    <w:rsid w:val="00425390"/>
    <w:rsid w:val="00B14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8D3B04"/>
  <w14:defaultImageDpi w14:val="0"/>
  <w15:docId w15:val="{208A58BB-17A0-4775-B2D7-6BBE100EA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eastAsia="zh-CN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Alle\Textpool\vorlagen\Kopfb&#246;gen%20MJGI%20mit%20Landeswappen%20ab%2001.07.2010\Kopfbogen%20allgemein%20SW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Kopfbogen allgemein SW</Template>
  <TotalTime>0</TotalTime>
  <Pages>2</Pages>
  <Words>576</Words>
  <Characters>3436</Characters>
  <Application>Microsoft Office Word</Application>
  <DocSecurity>0</DocSecurity>
  <Lines>114</Lines>
  <Paragraphs>44</Paragraphs>
  <ScaleCrop>false</ScaleCrop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Mailkopfbogen</dc:title>
  <dc:subject/>
  <dc:creator>Manuela.Gola</dc:creator>
  <cp:keywords/>
  <dc:description/>
  <cp:lastModifiedBy>Andre Delor</cp:lastModifiedBy>
  <cp:revision>2</cp:revision>
  <cp:lastPrinted>2010-11-24T06:55:00Z</cp:lastPrinted>
  <dcterms:created xsi:type="dcterms:W3CDTF">2025-01-29T14:59:00Z</dcterms:created>
  <dcterms:modified xsi:type="dcterms:W3CDTF">2025-01-29T14:59:00Z</dcterms:modified>
</cp:coreProperties>
</file>