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66"/>
        <w:ind w:left="1229" w:right="1487"/>
        <w:jc w:val="center"/>
        <w:rPr>
          <w:rFonts w:ascii="Arial" w:hAnsi="Arial"/>
        </w:rPr>
      </w:pPr>
      <w:r>
        <w:rPr>
          <w:rFonts w:ascii="Arial" w:hAnsi="Arial"/>
        </w:rPr>
        <w:t>443 E 2 – 650 – SH 5</w:t>
      </w:r>
    </w:p>
    <w:p>
      <w:pPr>
        <w:pStyle w:val="BodyText"/>
        <w:ind w:left="0"/>
        <w:rPr>
          <w:rFonts w:ascii="Arial"/>
          <w:sz w:val="30"/>
        </w:rPr>
      </w:pPr>
    </w:p>
    <w:p>
      <w:pPr>
        <w:pStyle w:val="BodyText"/>
        <w:ind w:left="0"/>
        <w:rPr>
          <w:rFonts w:ascii="Arial"/>
          <w:sz w:val="30"/>
        </w:rPr>
      </w:pPr>
    </w:p>
    <w:p>
      <w:pPr>
        <w:pStyle w:val="BodyText"/>
        <w:ind w:left="0"/>
        <w:rPr>
          <w:rFonts w:ascii="Arial"/>
          <w:sz w:val="30"/>
        </w:rPr>
      </w:pPr>
    </w:p>
    <w:p>
      <w:pPr>
        <w:pStyle w:val="BodyText"/>
        <w:ind w:left="0"/>
        <w:rPr>
          <w:rFonts w:ascii="Arial"/>
          <w:sz w:val="30"/>
        </w:rPr>
      </w:pPr>
    </w:p>
    <w:p>
      <w:pPr>
        <w:pStyle w:val="BodyText"/>
        <w:ind w:left="0"/>
        <w:rPr>
          <w:rFonts w:ascii="Arial"/>
          <w:sz w:val="30"/>
        </w:rPr>
      </w:pPr>
    </w:p>
    <w:p>
      <w:pPr>
        <w:pStyle w:val="BodyText"/>
        <w:ind w:left="0"/>
        <w:rPr>
          <w:rFonts w:ascii="Arial"/>
          <w:sz w:val="30"/>
        </w:rPr>
      </w:pPr>
    </w:p>
    <w:p>
      <w:pPr>
        <w:pStyle w:val="BodyText"/>
        <w:spacing w:before="3"/>
        <w:ind w:left="0"/>
        <w:rPr>
          <w:rFonts w:ascii="Arial"/>
          <w:sz w:val="44"/>
        </w:rPr>
      </w:pPr>
    </w:p>
    <w:p>
      <w:pPr>
        <w:spacing w:before="0"/>
        <w:ind w:left="1672" w:right="1487" w:firstLine="0"/>
        <w:jc w:val="center"/>
        <w:rPr>
          <w:rFonts w:ascii="Arial"/>
          <w:b/>
          <w:sz w:val="48"/>
        </w:rPr>
      </w:pPr>
      <w:r>
        <w:rPr>
          <w:rFonts w:ascii="Arial"/>
          <w:b/>
          <w:w w:val="150"/>
          <w:sz w:val="48"/>
        </w:rPr>
        <w:t>Hausordnung</w:t>
      </w:r>
    </w:p>
    <w:p>
      <w:pPr>
        <w:pStyle w:val="BodyText"/>
        <w:spacing w:before="8"/>
        <w:ind w:left="0"/>
        <w:rPr>
          <w:rFonts w:ascii="Arial"/>
          <w:b/>
          <w:sz w:val="47"/>
        </w:rPr>
      </w:pPr>
    </w:p>
    <w:p>
      <w:pPr>
        <w:tabs>
          <w:tab w:pos="2913" w:val="left" w:leader="none"/>
          <w:tab w:pos="3033" w:val="left" w:leader="none"/>
          <w:tab w:pos="4434" w:val="left" w:leader="none"/>
          <w:tab w:pos="5637" w:val="left" w:leader="none"/>
        </w:tabs>
        <w:spacing w:line="480" w:lineRule="auto" w:before="0"/>
        <w:ind w:left="1673" w:right="1487" w:firstLine="0"/>
        <w:jc w:val="center"/>
        <w:rPr>
          <w:rFonts w:ascii="Arial" w:hAnsi="Arial"/>
          <w:sz w:val="48"/>
        </w:rPr>
      </w:pPr>
      <w:r>
        <w:rPr>
          <w:rFonts w:ascii="Arial" w:hAnsi="Arial"/>
          <w:w w:val="150"/>
          <w:sz w:val="48"/>
        </w:rPr>
        <w:t>des</w:t>
        <w:tab/>
        <w:tab/>
        <w:t>offenen</w:t>
        <w:tab/>
      </w:r>
      <w:r>
        <w:rPr>
          <w:rFonts w:ascii="Arial" w:hAnsi="Arial"/>
          <w:w w:val="145"/>
          <w:sz w:val="48"/>
        </w:rPr>
        <w:t>Vollzuges </w:t>
      </w:r>
      <w:r>
        <w:rPr>
          <w:rFonts w:ascii="Arial" w:hAnsi="Arial"/>
          <w:w w:val="150"/>
          <w:sz w:val="48"/>
        </w:rPr>
        <w:t>der</w:t>
        <w:tab/>
        <w:t>JVA</w:t>
        <w:tab/>
        <w:t>Lübeck</w:t>
      </w:r>
    </w:p>
    <w:p>
      <w:pPr>
        <w:pStyle w:val="BodyText"/>
        <w:ind w:left="0"/>
        <w:rPr>
          <w:rFonts w:ascii="Arial"/>
          <w:sz w:val="54"/>
        </w:rPr>
      </w:pPr>
    </w:p>
    <w:p>
      <w:pPr>
        <w:pStyle w:val="BodyText"/>
        <w:ind w:left="0"/>
        <w:rPr>
          <w:rFonts w:ascii="Arial"/>
          <w:sz w:val="54"/>
        </w:rPr>
      </w:pPr>
    </w:p>
    <w:p>
      <w:pPr>
        <w:pStyle w:val="BodyText"/>
        <w:ind w:left="0"/>
        <w:rPr>
          <w:rFonts w:ascii="Arial"/>
          <w:sz w:val="54"/>
        </w:rPr>
      </w:pPr>
    </w:p>
    <w:p>
      <w:pPr>
        <w:pStyle w:val="BodyText"/>
        <w:ind w:left="0"/>
        <w:rPr>
          <w:rFonts w:ascii="Arial"/>
          <w:sz w:val="54"/>
        </w:rPr>
      </w:pPr>
    </w:p>
    <w:p>
      <w:pPr>
        <w:pStyle w:val="BodyText"/>
        <w:ind w:left="0"/>
        <w:rPr>
          <w:rFonts w:ascii="Arial"/>
          <w:sz w:val="54"/>
        </w:rPr>
      </w:pPr>
    </w:p>
    <w:p>
      <w:pPr>
        <w:pStyle w:val="BodyText"/>
        <w:ind w:left="0"/>
        <w:rPr>
          <w:rFonts w:ascii="Arial"/>
          <w:sz w:val="54"/>
        </w:rPr>
      </w:pPr>
    </w:p>
    <w:p>
      <w:pPr>
        <w:pStyle w:val="BodyText"/>
        <w:ind w:left="0"/>
        <w:rPr>
          <w:rFonts w:ascii="Arial"/>
          <w:sz w:val="54"/>
        </w:rPr>
      </w:pPr>
    </w:p>
    <w:p>
      <w:pPr>
        <w:pStyle w:val="BodyText"/>
        <w:ind w:left="0"/>
        <w:rPr>
          <w:rFonts w:ascii="Arial"/>
          <w:sz w:val="54"/>
        </w:rPr>
      </w:pPr>
    </w:p>
    <w:p>
      <w:pPr>
        <w:pStyle w:val="BodyText"/>
        <w:ind w:left="0"/>
        <w:rPr>
          <w:rFonts w:ascii="Arial"/>
          <w:sz w:val="54"/>
        </w:rPr>
      </w:pPr>
    </w:p>
    <w:p>
      <w:pPr>
        <w:pStyle w:val="Heading1"/>
        <w:spacing w:before="359"/>
        <w:ind w:left="1673" w:right="1485" w:firstLine="0"/>
        <w:jc w:val="center"/>
        <w:rPr>
          <w:rFonts w:ascii="Arial"/>
        </w:rPr>
      </w:pPr>
      <w:r>
        <w:rPr>
          <w:rFonts w:ascii="Arial"/>
        </w:rPr>
        <w:t>Stand: 09.02.2023</w:t>
      </w:r>
    </w:p>
    <w:p>
      <w:pPr>
        <w:tabs>
          <w:tab w:pos="5077" w:val="left" w:leader="none"/>
        </w:tabs>
        <w:spacing w:line="400" w:lineRule="auto" w:before="278"/>
        <w:ind w:left="3461" w:right="3272" w:firstLine="0"/>
        <w:jc w:val="center"/>
        <w:rPr>
          <w:rFonts w:ascii="Arial" w:hAnsi="Arial"/>
          <w:b/>
          <w:sz w:val="24"/>
        </w:rPr>
      </w:pPr>
      <w:r>
        <w:rPr>
          <w:rFonts w:ascii="Arial" w:hAnsi="Arial"/>
          <w:b/>
          <w:sz w:val="24"/>
        </w:rPr>
        <w:t>JVA Lübeck - Offener Vollzug - Marliring</w:t>
      </w:r>
      <w:r>
        <w:rPr>
          <w:rFonts w:ascii="Arial" w:hAnsi="Arial"/>
          <w:b/>
          <w:spacing w:val="-1"/>
          <w:sz w:val="24"/>
        </w:rPr>
        <w:t> </w:t>
      </w:r>
      <w:r>
        <w:rPr>
          <w:rFonts w:ascii="Arial" w:hAnsi="Arial"/>
          <w:b/>
          <w:sz w:val="24"/>
        </w:rPr>
        <w:t>67</w:t>
        <w:tab/>
        <w:t>23566</w:t>
      </w:r>
      <w:r>
        <w:rPr>
          <w:rFonts w:ascii="Arial" w:hAnsi="Arial"/>
          <w:b/>
          <w:spacing w:val="-7"/>
          <w:sz w:val="24"/>
        </w:rPr>
        <w:t> </w:t>
      </w:r>
      <w:r>
        <w:rPr>
          <w:rFonts w:ascii="Arial" w:hAnsi="Arial"/>
          <w:b/>
          <w:sz w:val="24"/>
        </w:rPr>
        <w:t>Lübeck</w:t>
      </w:r>
    </w:p>
    <w:p>
      <w:pPr>
        <w:spacing w:before="5"/>
        <w:ind w:left="1673" w:right="1483" w:firstLine="0"/>
        <w:jc w:val="center"/>
        <w:rPr>
          <w:rFonts w:ascii="Arial" w:hAnsi="Arial"/>
          <w:b/>
          <w:sz w:val="24"/>
        </w:rPr>
      </w:pPr>
      <w:r>
        <w:rPr>
          <w:rFonts w:ascii="Arial" w:hAnsi="Arial"/>
          <w:b/>
          <w:sz w:val="24"/>
        </w:rPr>
        <w:t>Tel.: (0451) 6201 - 186 / - 187 (Büro/Pforte) - 188 (Fax)</w:t>
      </w:r>
    </w:p>
    <w:p>
      <w:pPr>
        <w:pStyle w:val="BodyText"/>
        <w:spacing w:before="11"/>
        <w:ind w:left="0"/>
        <w:rPr>
          <w:rFonts w:ascii="Arial"/>
          <w:b/>
          <w:sz w:val="23"/>
        </w:rPr>
      </w:pPr>
    </w:p>
    <w:p>
      <w:pPr>
        <w:spacing w:line="360" w:lineRule="auto" w:before="0"/>
        <w:ind w:left="113" w:right="97" w:firstLine="0"/>
        <w:jc w:val="left"/>
        <w:rPr>
          <w:rFonts w:ascii="Arial" w:hAnsi="Arial"/>
          <w:sz w:val="24"/>
        </w:rPr>
      </w:pPr>
      <w:r>
        <w:rPr>
          <w:rFonts w:ascii="Arial" w:hAnsi="Arial"/>
          <w:sz w:val="24"/>
        </w:rPr>
        <w:t>Sollte kein Bediensteter erreichbar sein, bitte in Notfällen die Hauptanstalt unter (0451) 6201-0 anrufen.</w:t>
      </w:r>
    </w:p>
    <w:p>
      <w:pPr>
        <w:spacing w:after="0" w:line="360" w:lineRule="auto"/>
        <w:jc w:val="left"/>
        <w:rPr>
          <w:rFonts w:ascii="Arial" w:hAnsi="Arial"/>
          <w:sz w:val="24"/>
        </w:rPr>
        <w:sectPr>
          <w:type w:val="continuous"/>
          <w:pgSz w:w="11910" w:h="16840"/>
          <w:pgMar w:top="800" w:bottom="280" w:left="1020" w:right="640"/>
        </w:sectPr>
      </w:pPr>
    </w:p>
    <w:p>
      <w:pPr>
        <w:pStyle w:val="Heading1"/>
        <w:spacing w:before="9"/>
        <w:ind w:left="113" w:firstLine="0"/>
      </w:pPr>
      <w:r>
        <w:rPr/>
        <w:t>Inhaltsverzeichnis</w:t>
      </w:r>
    </w:p>
    <w:p>
      <w:pPr>
        <w:pStyle w:val="BodyText"/>
        <w:ind w:left="0"/>
        <w:rPr>
          <w:b/>
          <w:sz w:val="20"/>
        </w:rPr>
      </w:pPr>
    </w:p>
    <w:p>
      <w:pPr>
        <w:pStyle w:val="BodyText"/>
        <w:ind w:left="0"/>
        <w:rPr>
          <w:b/>
          <w:sz w:val="20"/>
        </w:rPr>
      </w:pPr>
    </w:p>
    <w:p>
      <w:pPr>
        <w:pStyle w:val="BodyText"/>
        <w:spacing w:before="195"/>
        <w:ind w:left="0" w:right="1964"/>
        <w:jc w:val="right"/>
      </w:pPr>
      <w:r>
        <w:rPr/>
        <w:t>Seite</w:t>
      </w:r>
    </w:p>
    <w:sdt>
      <w:sdtPr>
        <w:docPartObj>
          <w:docPartGallery w:val="Table of Contents"/>
          <w:docPartUnique/>
        </w:docPartObj>
      </w:sdtPr>
      <w:sdtEndPr/>
      <w:sdtContent>
        <w:p>
          <w:pPr>
            <w:pStyle w:val="TOC2"/>
            <w:tabs>
              <w:tab w:pos="7477" w:val="right" w:leader="none"/>
            </w:tabs>
            <w:spacing w:before="341"/>
          </w:pPr>
          <w:hyperlink w:history="true" w:anchor="_TOC_250014">
            <w:r>
              <w:rPr/>
              <w:t>Vorwort</w:t>
              <w:tab/>
              <w:t>01</w:t>
            </w:r>
          </w:hyperlink>
        </w:p>
        <w:p>
          <w:pPr>
            <w:pStyle w:val="TOC1"/>
            <w:numPr>
              <w:ilvl w:val="0"/>
              <w:numId w:val="1"/>
            </w:numPr>
            <w:tabs>
              <w:tab w:pos="1529" w:val="left" w:leader="none"/>
              <w:tab w:pos="1530" w:val="left" w:leader="none"/>
              <w:tab w:pos="7477" w:val="right" w:leader="none"/>
            </w:tabs>
            <w:spacing w:line="379" w:lineRule="auto" w:before="344" w:after="0"/>
            <w:ind w:left="1529" w:right="1726" w:hanging="1056"/>
            <w:jc w:val="left"/>
          </w:pPr>
          <w:hyperlink w:history="true" w:anchor="_TOC_250013">
            <w:r>
              <w:rPr/>
              <w:t>Allgemeine Grundsätze </w:t>
            </w:r>
            <w:r>
              <w:rPr>
                <w:spacing w:val="-2"/>
              </w:rPr>
              <w:t>und </w:t>
            </w:r>
            <w:r>
              <w:rPr/>
              <w:t>Verhaltensanforderungen</w:t>
              <w:tab/>
              <w:t>01</w:t>
            </w:r>
          </w:hyperlink>
        </w:p>
        <w:p>
          <w:pPr>
            <w:pStyle w:val="TOC1"/>
            <w:numPr>
              <w:ilvl w:val="0"/>
              <w:numId w:val="1"/>
            </w:numPr>
            <w:tabs>
              <w:tab w:pos="1529" w:val="left" w:leader="none"/>
              <w:tab w:pos="1530" w:val="left" w:leader="none"/>
              <w:tab w:pos="7477" w:val="right" w:leader="none"/>
            </w:tabs>
            <w:spacing w:line="240" w:lineRule="auto" w:before="2" w:after="0"/>
            <w:ind w:left="1529" w:right="0" w:hanging="1056"/>
            <w:jc w:val="left"/>
          </w:pPr>
          <w:hyperlink w:history="true" w:anchor="_TOC_250012">
            <w:r>
              <w:rPr/>
              <w:t>Tagesablauf und Nutzung</w:t>
            </w:r>
            <w:r>
              <w:rPr>
                <w:spacing w:val="-20"/>
              </w:rPr>
              <w:t> </w:t>
            </w:r>
            <w:r>
              <w:rPr/>
              <w:t>der</w:t>
            </w:r>
            <w:r>
              <w:rPr>
                <w:spacing w:val="-4"/>
              </w:rPr>
              <w:t> </w:t>
            </w:r>
            <w:r>
              <w:rPr/>
              <w:t>Räumlichkeiten</w:t>
              <w:tab/>
              <w:t>05</w:t>
            </w:r>
          </w:hyperlink>
        </w:p>
        <w:p>
          <w:pPr>
            <w:pStyle w:val="TOC1"/>
            <w:numPr>
              <w:ilvl w:val="0"/>
              <w:numId w:val="1"/>
            </w:numPr>
            <w:tabs>
              <w:tab w:pos="1529" w:val="left" w:leader="none"/>
              <w:tab w:pos="1530" w:val="left" w:leader="none"/>
              <w:tab w:pos="7477" w:val="right" w:leader="none"/>
            </w:tabs>
            <w:spacing w:line="240" w:lineRule="auto" w:before="200" w:after="0"/>
            <w:ind w:left="1529" w:right="0" w:hanging="1056"/>
            <w:jc w:val="left"/>
          </w:pPr>
          <w:hyperlink w:history="true" w:anchor="_TOC_250011">
            <w:r>
              <w:rPr/>
              <w:t>Handy-, Laptop-</w:t>
            </w:r>
            <w:r>
              <w:rPr>
                <w:spacing w:val="-6"/>
              </w:rPr>
              <w:t> </w:t>
            </w:r>
            <w:r>
              <w:rPr/>
              <w:t>und Speichermediennutzung</w:t>
              <w:tab/>
              <w:t>07</w:t>
            </w:r>
          </w:hyperlink>
        </w:p>
        <w:p>
          <w:pPr>
            <w:pStyle w:val="TOC1"/>
            <w:numPr>
              <w:ilvl w:val="0"/>
              <w:numId w:val="1"/>
            </w:numPr>
            <w:tabs>
              <w:tab w:pos="1529" w:val="left" w:leader="none"/>
              <w:tab w:pos="1530" w:val="left" w:leader="none"/>
              <w:tab w:pos="7477" w:val="right" w:leader="none"/>
            </w:tabs>
            <w:spacing w:line="240" w:lineRule="auto" w:before="201" w:after="0"/>
            <w:ind w:left="1529" w:right="0" w:hanging="1056"/>
            <w:jc w:val="left"/>
          </w:pPr>
          <w:hyperlink w:history="true" w:anchor="_TOC_250010">
            <w:r>
              <w:rPr/>
              <w:t>Ordnung und</w:t>
            </w:r>
            <w:r>
              <w:rPr>
                <w:spacing w:val="-1"/>
              </w:rPr>
              <w:t> </w:t>
            </w:r>
            <w:r>
              <w:rPr/>
              <w:t>Sauberkeit</w:t>
              <w:tab/>
              <w:t>07</w:t>
            </w:r>
          </w:hyperlink>
        </w:p>
        <w:p>
          <w:pPr>
            <w:pStyle w:val="TOC1"/>
            <w:numPr>
              <w:ilvl w:val="0"/>
              <w:numId w:val="1"/>
            </w:numPr>
            <w:tabs>
              <w:tab w:pos="1529" w:val="left" w:leader="none"/>
              <w:tab w:pos="1530" w:val="left" w:leader="none"/>
              <w:tab w:pos="7477" w:val="right" w:leader="none"/>
            </w:tabs>
            <w:spacing w:line="240" w:lineRule="auto" w:before="198" w:after="0"/>
            <w:ind w:left="1529" w:right="0" w:hanging="1056"/>
            <w:jc w:val="left"/>
          </w:pPr>
          <w:hyperlink w:history="true" w:anchor="_TOC_250009">
            <w:r>
              <w:rPr/>
              <w:t>Wäscherei</w:t>
              <w:tab/>
              <w:t>08</w:t>
            </w:r>
          </w:hyperlink>
        </w:p>
        <w:p>
          <w:pPr>
            <w:pStyle w:val="TOC1"/>
            <w:numPr>
              <w:ilvl w:val="0"/>
              <w:numId w:val="1"/>
            </w:numPr>
            <w:tabs>
              <w:tab w:pos="1529" w:val="left" w:leader="none"/>
              <w:tab w:pos="1530" w:val="left" w:leader="none"/>
              <w:tab w:pos="7477" w:val="right" w:leader="none"/>
            </w:tabs>
            <w:spacing w:line="240" w:lineRule="auto" w:before="200" w:after="0"/>
            <w:ind w:left="1529" w:right="0" w:hanging="1056"/>
            <w:jc w:val="left"/>
          </w:pPr>
          <w:hyperlink w:history="true" w:anchor="_TOC_250008">
            <w:r>
              <w:rPr/>
              <w:t>Kontrollen</w:t>
            </w:r>
            <w:r>
              <w:rPr>
                <w:spacing w:val="-4"/>
              </w:rPr>
              <w:t> </w:t>
            </w:r>
            <w:r>
              <w:rPr/>
              <w:t>und</w:t>
            </w:r>
            <w:r>
              <w:rPr>
                <w:spacing w:val="-4"/>
              </w:rPr>
              <w:t> </w:t>
            </w:r>
            <w:r>
              <w:rPr/>
              <w:t>Durchsuchungen</w:t>
              <w:tab/>
              <w:t>09</w:t>
            </w:r>
          </w:hyperlink>
        </w:p>
        <w:p>
          <w:pPr>
            <w:pStyle w:val="TOC1"/>
            <w:numPr>
              <w:ilvl w:val="0"/>
              <w:numId w:val="1"/>
            </w:numPr>
            <w:tabs>
              <w:tab w:pos="1529" w:val="left" w:leader="none"/>
              <w:tab w:pos="1530" w:val="left" w:leader="none"/>
              <w:tab w:pos="7477" w:val="right" w:leader="none"/>
            </w:tabs>
            <w:spacing w:line="240" w:lineRule="auto" w:before="200" w:after="0"/>
            <w:ind w:left="1529" w:right="0" w:hanging="1056"/>
            <w:jc w:val="left"/>
          </w:pPr>
          <w:hyperlink w:history="true" w:anchor="_TOC_250007">
            <w:r>
              <w:rPr/>
              <w:t>Anträge</w:t>
            </w:r>
            <w:r>
              <w:rPr>
                <w:spacing w:val="-3"/>
              </w:rPr>
              <w:t> </w:t>
            </w:r>
            <w:r>
              <w:rPr/>
              <w:t>und</w:t>
            </w:r>
            <w:r>
              <w:rPr>
                <w:spacing w:val="-3"/>
              </w:rPr>
              <w:t> </w:t>
            </w:r>
            <w:r>
              <w:rPr/>
              <w:t>Gespräche</w:t>
              <w:tab/>
              <w:t>09</w:t>
            </w:r>
          </w:hyperlink>
        </w:p>
        <w:p>
          <w:pPr>
            <w:pStyle w:val="TOC1"/>
            <w:numPr>
              <w:ilvl w:val="0"/>
              <w:numId w:val="1"/>
            </w:numPr>
            <w:tabs>
              <w:tab w:pos="1529" w:val="left" w:leader="none"/>
              <w:tab w:pos="1530" w:val="left" w:leader="none"/>
              <w:tab w:pos="7477" w:val="right" w:leader="none"/>
            </w:tabs>
            <w:spacing w:line="240" w:lineRule="auto" w:before="200" w:after="0"/>
            <w:ind w:left="1529" w:right="0" w:hanging="1056"/>
            <w:jc w:val="left"/>
          </w:pPr>
          <w:hyperlink w:history="true" w:anchor="_TOC_250006">
            <w:r>
              <w:rPr/>
              <w:t>Besuchsregelung</w:t>
              <w:tab/>
              <w:t>09</w:t>
            </w:r>
          </w:hyperlink>
        </w:p>
        <w:p>
          <w:pPr>
            <w:pStyle w:val="TOC1"/>
            <w:numPr>
              <w:ilvl w:val="0"/>
              <w:numId w:val="1"/>
            </w:numPr>
            <w:tabs>
              <w:tab w:pos="1529" w:val="left" w:leader="none"/>
              <w:tab w:pos="1530" w:val="left" w:leader="none"/>
              <w:tab w:pos="7477" w:val="right" w:leader="none"/>
            </w:tabs>
            <w:spacing w:line="240" w:lineRule="auto" w:before="198" w:after="0"/>
            <w:ind w:left="1529" w:right="0" w:hanging="1056"/>
            <w:jc w:val="left"/>
          </w:pPr>
          <w:hyperlink w:history="true" w:anchor="_TOC_250005">
            <w:r>
              <w:rPr/>
              <w:t>Behördentermine</w:t>
              <w:tab/>
              <w:t>10</w:t>
            </w:r>
          </w:hyperlink>
        </w:p>
        <w:p>
          <w:pPr>
            <w:pStyle w:val="TOC1"/>
            <w:numPr>
              <w:ilvl w:val="0"/>
              <w:numId w:val="1"/>
            </w:numPr>
            <w:tabs>
              <w:tab w:pos="1529" w:val="left" w:leader="none"/>
              <w:tab w:pos="1530" w:val="left" w:leader="none"/>
              <w:tab w:pos="7477" w:val="right" w:leader="none"/>
            </w:tabs>
            <w:spacing w:line="240" w:lineRule="auto" w:before="201" w:after="0"/>
            <w:ind w:left="1529" w:right="0" w:hanging="1056"/>
            <w:jc w:val="left"/>
          </w:pPr>
          <w:hyperlink w:history="true" w:anchor="_TOC_250004">
            <w:r>
              <w:rPr/>
              <w:t>Freies</w:t>
            </w:r>
            <w:r>
              <w:rPr>
                <w:spacing w:val="-1"/>
              </w:rPr>
              <w:t> </w:t>
            </w:r>
            <w:r>
              <w:rPr/>
              <w:t>Beschäftigungsverhältnis</w:t>
              <w:tab/>
              <w:t>10</w:t>
            </w:r>
          </w:hyperlink>
        </w:p>
        <w:p>
          <w:pPr>
            <w:pStyle w:val="TOC1"/>
            <w:numPr>
              <w:ilvl w:val="0"/>
              <w:numId w:val="1"/>
            </w:numPr>
            <w:tabs>
              <w:tab w:pos="1529" w:val="left" w:leader="none"/>
              <w:tab w:pos="1530" w:val="left" w:leader="none"/>
              <w:tab w:pos="7477" w:val="right" w:leader="none"/>
            </w:tabs>
            <w:spacing w:line="240" w:lineRule="auto" w:before="200" w:after="0"/>
            <w:ind w:left="1529" w:right="0" w:hanging="1056"/>
            <w:jc w:val="left"/>
          </w:pPr>
          <w:r>
            <w:rPr/>
            <w:t>Kostenbeteiligung</w:t>
            <w:tab/>
            <w:t>11</w:t>
          </w:r>
        </w:p>
        <w:p>
          <w:pPr>
            <w:pStyle w:val="TOC1"/>
            <w:numPr>
              <w:ilvl w:val="0"/>
              <w:numId w:val="1"/>
            </w:numPr>
            <w:tabs>
              <w:tab w:pos="1529" w:val="left" w:leader="none"/>
              <w:tab w:pos="1530" w:val="left" w:leader="none"/>
              <w:tab w:pos="7477" w:val="right" w:leader="none"/>
            </w:tabs>
            <w:spacing w:line="240" w:lineRule="auto" w:before="200" w:after="0"/>
            <w:ind w:left="1529" w:right="0" w:hanging="1056"/>
            <w:jc w:val="left"/>
          </w:pPr>
          <w:hyperlink w:history="true" w:anchor="_TOC_250003">
            <w:r>
              <w:rPr/>
              <w:t>Benutzung eigener und</w:t>
            </w:r>
            <w:r>
              <w:rPr>
                <w:spacing w:val="-3"/>
              </w:rPr>
              <w:t> </w:t>
            </w:r>
            <w:r>
              <w:rPr/>
              <w:t>überlassener</w:t>
            </w:r>
            <w:r>
              <w:rPr>
                <w:spacing w:val="-3"/>
              </w:rPr>
              <w:t> </w:t>
            </w:r>
            <w:r>
              <w:rPr/>
              <w:t>Kfz</w:t>
              <w:tab/>
              <w:t>11</w:t>
            </w:r>
          </w:hyperlink>
        </w:p>
        <w:p>
          <w:pPr>
            <w:pStyle w:val="TOC1"/>
            <w:numPr>
              <w:ilvl w:val="0"/>
              <w:numId w:val="1"/>
            </w:numPr>
            <w:tabs>
              <w:tab w:pos="1529" w:val="left" w:leader="none"/>
              <w:tab w:pos="1530" w:val="left" w:leader="none"/>
            </w:tabs>
            <w:spacing w:line="240" w:lineRule="auto" w:before="198" w:after="0"/>
            <w:ind w:left="1529" w:right="0" w:hanging="1056"/>
            <w:jc w:val="left"/>
          </w:pPr>
          <w:r>
            <w:rPr/>
            <w:t>Ausgang gem. § 55 Abs. 1 Nr. 2 LStVollzG SH</w:t>
          </w:r>
          <w:r>
            <w:rPr>
              <w:spacing w:val="-11"/>
            </w:rPr>
            <w:t> </w:t>
          </w:r>
          <w:r>
            <w:rPr/>
            <w:t>/</w:t>
          </w:r>
        </w:p>
        <w:p>
          <w:pPr>
            <w:pStyle w:val="TOC2"/>
            <w:tabs>
              <w:tab w:pos="7477" w:val="right" w:leader="none"/>
            </w:tabs>
          </w:pPr>
          <w:hyperlink w:history="true" w:anchor="_TOC_250002">
            <w:r>
              <w:rPr/>
              <w:t>§ 41 Abs. 1 Nr. 2</w:t>
            </w:r>
            <w:r>
              <w:rPr>
                <w:spacing w:val="-10"/>
              </w:rPr>
              <w:t> </w:t>
            </w:r>
            <w:r>
              <w:rPr/>
              <w:t>SVVollzG SH</w:t>
              <w:tab/>
              <w:t>12</w:t>
            </w:r>
          </w:hyperlink>
        </w:p>
        <w:p>
          <w:pPr>
            <w:pStyle w:val="TOC1"/>
            <w:numPr>
              <w:ilvl w:val="0"/>
              <w:numId w:val="1"/>
            </w:numPr>
            <w:tabs>
              <w:tab w:pos="1529" w:val="left" w:leader="none"/>
              <w:tab w:pos="1530" w:val="left" w:leader="none"/>
            </w:tabs>
            <w:spacing w:line="240" w:lineRule="auto" w:before="200" w:after="0"/>
            <w:ind w:left="1529" w:right="0" w:hanging="1056"/>
            <w:jc w:val="left"/>
          </w:pPr>
          <w:r>
            <w:rPr/>
            <w:t>Ausgang gemäß § 55 Abs. 1 Nr. 3 LStVollzG SH</w:t>
          </w:r>
          <w:r>
            <w:rPr>
              <w:spacing w:val="-14"/>
            </w:rPr>
            <w:t> </w:t>
          </w:r>
          <w:r>
            <w:rPr/>
            <w:t>/</w:t>
          </w:r>
        </w:p>
        <w:p>
          <w:pPr>
            <w:pStyle w:val="TOC2"/>
            <w:tabs>
              <w:tab w:pos="7477" w:val="right" w:leader="none"/>
            </w:tabs>
          </w:pPr>
          <w:hyperlink w:history="true" w:anchor="_TOC_250001">
            <w:r>
              <w:rPr/>
              <w:t>§ 41 Abs. 1 Nr. 3</w:t>
            </w:r>
            <w:r>
              <w:rPr>
                <w:spacing w:val="-10"/>
              </w:rPr>
              <w:t> </w:t>
            </w:r>
            <w:r>
              <w:rPr/>
              <w:t>SVVollzG</w:t>
            </w:r>
            <w:r>
              <w:rPr>
                <w:spacing w:val="-2"/>
              </w:rPr>
              <w:t> </w:t>
            </w:r>
            <w:r>
              <w:rPr/>
              <w:t>SH</w:t>
              <w:tab/>
              <w:t>14</w:t>
            </w:r>
          </w:hyperlink>
        </w:p>
        <w:p>
          <w:pPr>
            <w:pStyle w:val="TOC1"/>
            <w:numPr>
              <w:ilvl w:val="0"/>
              <w:numId w:val="1"/>
            </w:numPr>
            <w:tabs>
              <w:tab w:pos="1529" w:val="left" w:leader="none"/>
              <w:tab w:pos="1530" w:val="left" w:leader="none"/>
              <w:tab w:pos="7477" w:val="right" w:leader="none"/>
            </w:tabs>
            <w:spacing w:line="240" w:lineRule="auto" w:before="198" w:after="0"/>
            <w:ind w:left="1529" w:right="0" w:hanging="1056"/>
            <w:jc w:val="left"/>
          </w:pPr>
          <w:hyperlink w:history="true" w:anchor="_TOC_250000">
            <w:r>
              <w:rPr/>
              <w:t>Beschwerden</w:t>
            </w:r>
            <w:r>
              <w:rPr>
                <w:spacing w:val="-4"/>
              </w:rPr>
              <w:t> </w:t>
            </w:r>
            <w:r>
              <w:rPr/>
              <w:t>und</w:t>
            </w:r>
            <w:r>
              <w:rPr>
                <w:spacing w:val="-4"/>
              </w:rPr>
              <w:t> </w:t>
            </w:r>
            <w:r>
              <w:rPr/>
              <w:t>Rechtsbehelfe</w:t>
              <w:tab/>
              <w:t>14</w:t>
            </w:r>
          </w:hyperlink>
        </w:p>
      </w:sdtContent>
    </w:sdt>
    <w:p>
      <w:pPr>
        <w:spacing w:after="0" w:line="240" w:lineRule="auto"/>
        <w:jc w:val="left"/>
        <w:sectPr>
          <w:footerReference w:type="default" r:id="rId5"/>
          <w:pgSz w:w="11910" w:h="16840"/>
          <w:pgMar w:footer="294" w:header="0" w:top="860" w:bottom="480" w:left="1020" w:right="1680"/>
          <w:pgNumType w:start="2"/>
        </w:sectPr>
      </w:pPr>
    </w:p>
    <w:p>
      <w:pPr>
        <w:pStyle w:val="Heading1"/>
        <w:spacing w:before="6"/>
        <w:ind w:left="113" w:firstLine="0"/>
      </w:pPr>
      <w:bookmarkStart w:name="_TOC_250014" w:id="1"/>
      <w:bookmarkEnd w:id="1"/>
      <w:r>
        <w:rPr>
          <w:u w:val="thick"/>
        </w:rPr>
        <w:t>Vorwort</w:t>
      </w:r>
    </w:p>
    <w:p>
      <w:pPr>
        <w:pStyle w:val="BodyText"/>
        <w:spacing w:before="199"/>
      </w:pPr>
      <w:r>
        <w:rPr/>
        <w:t>Wir begrüßen Sie im offenen Vollzug der JVA Lübeck.</w:t>
      </w:r>
    </w:p>
    <w:p>
      <w:pPr>
        <w:pStyle w:val="BodyText"/>
        <w:spacing w:line="360" w:lineRule="auto" w:before="169"/>
        <w:ind w:right="91"/>
      </w:pPr>
      <w:r>
        <w:rPr/>
        <w:t>Neben der Hausordnung gemäß § 140 LStVollzG SH, § 108 UVollzG SH und § 110 SVVollzG SH für die JVA Lübeck insgesamt, die als bekannt vorausgesetzt wird, gibt es im offenen Vollzug (OV) besondere Regelungen, die hier in einer eigenen Hausordnung für Gefan- gene und Sicherungsverwahrte ergänzend zusammengefasst werden. Die Anstalts-Haus- ordnung kann auf Wunsch selbstverständlich eingesehen werden. Die folgenden Regelun- gen erklären Ihnen die hier geltenden Grundsätze und Abläufe, deren Befolgung während des Aufenthaltes hier bis zu Ihrer Entlassung erforderlich ist.</w:t>
      </w:r>
    </w:p>
    <w:p>
      <w:pPr>
        <w:pStyle w:val="BodyText"/>
        <w:spacing w:before="9"/>
        <w:ind w:left="0"/>
        <w:rPr>
          <w:sz w:val="41"/>
        </w:rPr>
      </w:pPr>
    </w:p>
    <w:p>
      <w:pPr>
        <w:pStyle w:val="Heading1"/>
        <w:numPr>
          <w:ilvl w:val="0"/>
          <w:numId w:val="2"/>
        </w:numPr>
        <w:tabs>
          <w:tab w:pos="433" w:val="left" w:leader="none"/>
        </w:tabs>
        <w:spacing w:line="240" w:lineRule="auto" w:before="0" w:after="0"/>
        <w:ind w:left="432" w:right="0" w:hanging="319"/>
        <w:jc w:val="left"/>
      </w:pPr>
      <w:bookmarkStart w:name="_TOC_250013" w:id="2"/>
      <w:r>
        <w:rPr/>
        <w:t>Allgemeine Grundsätze und</w:t>
      </w:r>
      <w:r>
        <w:rPr>
          <w:spacing w:val="-21"/>
        </w:rPr>
        <w:t> </w:t>
      </w:r>
      <w:bookmarkEnd w:id="2"/>
      <w:r>
        <w:rPr/>
        <w:t>Verhaltensanforderungen</w:t>
      </w:r>
    </w:p>
    <w:p>
      <w:pPr>
        <w:pStyle w:val="BodyText"/>
        <w:spacing w:before="196"/>
      </w:pPr>
      <w:r>
        <w:rPr/>
        <w:t>Das Zusammenleben im offenen Vollzug setzt besondere Rücksichtnahme voraus.</w:t>
      </w:r>
    </w:p>
    <w:p>
      <w:pPr>
        <w:pStyle w:val="BodyText"/>
        <w:spacing w:line="360" w:lineRule="auto" w:before="171"/>
        <w:ind w:right="109"/>
      </w:pPr>
      <w:r>
        <w:rPr/>
        <w:t>Die nachstehenden Regelungen sind die Grundlage für ein geordnetes Zusammenleben in der Gemeinschaft und spiegeln die besonderen Gegebenheiten des offenen Vollzuges der JVA Lübeck wieder. Hierzu gehören u.a. die Fähigkeit zur korrekten Führung unter gerin- gerer Aufsicht als im geschlossenen Vollzug und die Bereitschaft und Fähigkeit zur Einord- nung in die Gemeinschaft und Rücksichtnahme auf die Mitbewohner. Es wird daher vo- rausgesetzt, dass alle Beteiligten diese Hausordnung im wohlverstandenen eigenen Inte- resse auch dann befolgen, wenn sie im Einzelfall als Belastung empfunden wird.</w:t>
      </w:r>
    </w:p>
    <w:p>
      <w:pPr>
        <w:pStyle w:val="BodyText"/>
        <w:spacing w:before="11"/>
        <w:ind w:left="0"/>
        <w:rPr>
          <w:sz w:val="41"/>
        </w:rPr>
      </w:pPr>
    </w:p>
    <w:p>
      <w:pPr>
        <w:pStyle w:val="BodyText"/>
      </w:pPr>
      <w:r>
        <w:rPr>
          <w:u w:val="single"/>
        </w:rPr>
        <w:t>Dazu gehört insbesondere:</w:t>
      </w:r>
    </w:p>
    <w:p>
      <w:pPr>
        <w:pStyle w:val="BodyText"/>
        <w:spacing w:line="360" w:lineRule="auto" w:before="172"/>
        <w:ind w:right="313"/>
        <w:jc w:val="both"/>
      </w:pPr>
      <w:r>
        <w:rPr>
          <w:i/>
        </w:rPr>
        <w:t>Unterschiedliche Arbeitszeiten </w:t>
      </w:r>
      <w:r>
        <w:rPr/>
        <w:t>bedingen unterschiedliche Ruhezeiten. Verhalten Sie sich während der Nachtruhe leise. Wenn Sie früh aufstehen müssen, nehmen Sie bitte Rück- sicht auf die noch Schlafenden.</w:t>
      </w:r>
    </w:p>
    <w:p>
      <w:pPr>
        <w:spacing w:line="360" w:lineRule="auto" w:before="219"/>
        <w:ind w:left="113" w:right="422" w:firstLine="0"/>
        <w:jc w:val="left"/>
        <w:rPr>
          <w:sz w:val="28"/>
        </w:rPr>
      </w:pPr>
      <w:r>
        <w:rPr>
          <w:i/>
          <w:sz w:val="28"/>
        </w:rPr>
        <w:t>Fernsehen in den Gemeinschaftsräumen. </w:t>
      </w:r>
      <w:r>
        <w:rPr>
          <w:sz w:val="28"/>
        </w:rPr>
        <w:t>Es gilt das Mehrheitsprinzip bei der Entschei- dung, was gesehen wird. Wenn Sie Filme/ DVDs sehen, bedenken Sie, dass es verboten</w:t>
      </w:r>
    </w:p>
    <w:p>
      <w:pPr>
        <w:spacing w:after="0" w:line="360" w:lineRule="auto"/>
        <w:jc w:val="left"/>
        <w:rPr>
          <w:sz w:val="28"/>
        </w:rPr>
        <w:sectPr>
          <w:pgSz w:w="11910" w:h="16840"/>
          <w:pgMar w:header="0" w:footer="294" w:top="1420" w:bottom="480" w:left="1020" w:right="460"/>
        </w:sectPr>
      </w:pPr>
    </w:p>
    <w:p>
      <w:pPr>
        <w:pStyle w:val="BodyText"/>
        <w:spacing w:line="360" w:lineRule="auto" w:before="30"/>
        <w:ind w:right="263"/>
        <w:jc w:val="both"/>
      </w:pPr>
      <w:r>
        <w:rPr/>
        <w:t>ist, Filme mit rechtsradikalem, verfassungsfeindlichem, pornographischem oder gewalt- verherrlichendem Inhalt in der JVA Lübeck in Besitz zu haben. Das Betreiben von TV-Ge- räten und Radios o.ä. ist generell nur mit Zimmerlautstärke zulässig.</w:t>
      </w:r>
    </w:p>
    <w:p>
      <w:pPr>
        <w:pStyle w:val="BodyText"/>
        <w:spacing w:line="360" w:lineRule="auto" w:before="221"/>
        <w:ind w:right="145"/>
      </w:pPr>
      <w:r>
        <w:rPr>
          <w:i/>
        </w:rPr>
        <w:t>Telefonieren </w:t>
      </w:r>
      <w:r>
        <w:rPr/>
        <w:t>können Sie mit dem eigenen Handy/ Smartphone oder mit dem von der An- stalt zur Verfügung gestellten Telefonapparat (Telio) im Erdgeschoss.</w:t>
      </w:r>
    </w:p>
    <w:p>
      <w:pPr>
        <w:pStyle w:val="BodyText"/>
        <w:spacing w:line="360" w:lineRule="auto" w:before="218"/>
        <w:ind w:right="96"/>
      </w:pPr>
      <w:r>
        <w:rPr>
          <w:i/>
        </w:rPr>
        <w:t>Anstaltsverpflegung. </w:t>
      </w:r>
      <w:r>
        <w:rPr/>
        <w:t>Diese können Sie nur einnehmen, wenn Sie auch dafür gemeldet sind. Gefangene / Sicherungsverwahrte, die Haftkosten bezahlen, weil sie in einem freien Beschäftigungsverhältnis oder im Rahmen der Selbstbeschäftigung arbeiten oder über andere Einkünfte (Rente pp.) verfügen, erhalten nur Verpflegung, wenn sie sich dafür rechtzeitig angemeldet haben. Diese ist dann kostenpflichtig. Alle anderen Gefangenen nehmen an der Anstaltsverpflegung teil. Diese ist für sie kostenlos.</w:t>
      </w:r>
    </w:p>
    <w:p>
      <w:pPr>
        <w:pStyle w:val="BodyText"/>
        <w:spacing w:line="360" w:lineRule="auto" w:before="218"/>
        <w:ind w:right="388"/>
      </w:pPr>
      <w:r>
        <w:rPr>
          <w:i/>
        </w:rPr>
        <w:t>Rauchen</w:t>
      </w:r>
      <w:r>
        <w:rPr/>
        <w:t>. Nur in den Hafträumen und auf dem Außengelände des offenen Vollzuges ist das Rauchen erlaubt. In allen anderen Räumen des offenen Vollzuges ist das Rauchen verboten.</w:t>
      </w:r>
    </w:p>
    <w:p>
      <w:pPr>
        <w:pStyle w:val="BodyText"/>
        <w:spacing w:before="218"/>
      </w:pPr>
      <w:r>
        <w:rPr>
          <w:i/>
        </w:rPr>
        <w:t>Haustiere </w:t>
      </w:r>
      <w:r>
        <w:rPr/>
        <w:t>sind im offenen Vollzug der JVA Lübeck nicht zugelassen.</w:t>
      </w:r>
    </w:p>
    <w:p>
      <w:pPr>
        <w:pStyle w:val="BodyText"/>
        <w:spacing w:before="11"/>
        <w:ind w:left="0"/>
        <w:rPr>
          <w:sz w:val="31"/>
        </w:rPr>
      </w:pPr>
    </w:p>
    <w:p>
      <w:pPr>
        <w:pStyle w:val="BodyText"/>
        <w:spacing w:line="360" w:lineRule="auto"/>
        <w:ind w:right="168"/>
      </w:pPr>
      <w:r>
        <w:rPr>
          <w:i/>
        </w:rPr>
        <w:t>Einkäufe. </w:t>
      </w:r>
      <w:r>
        <w:rPr/>
        <w:t>Sofern Sie Einkäufe ins I-Haus einbringen, ist auf Verlangen der Kassenbon vor- zuzeigen.</w:t>
      </w:r>
    </w:p>
    <w:p>
      <w:pPr>
        <w:pStyle w:val="BodyText"/>
        <w:spacing w:before="10"/>
        <w:ind w:left="0"/>
        <w:rPr>
          <w:sz w:val="20"/>
        </w:rPr>
      </w:pPr>
    </w:p>
    <w:p>
      <w:pPr>
        <w:pStyle w:val="BodyText"/>
        <w:spacing w:line="360" w:lineRule="auto"/>
        <w:ind w:right="130"/>
      </w:pPr>
      <w:r>
        <w:rPr>
          <w:i/>
        </w:rPr>
        <w:t>Lockerungen. </w:t>
      </w:r>
      <w:r>
        <w:rPr/>
        <w:t>Halten Sie sich an die auf Ihrem (Langzeit-) Ausgangsschein aufgeführten Weisungen und Anordnungen. Gehen oder fahren Sie nie an andere Orte, als Sie angege- ben bzw. mit den Bediensteten vereinbart haben.</w:t>
      </w:r>
    </w:p>
    <w:p>
      <w:pPr>
        <w:pStyle w:val="BodyText"/>
        <w:spacing w:before="11"/>
        <w:ind w:left="0"/>
        <w:rPr>
          <w:sz w:val="41"/>
        </w:rPr>
      </w:pPr>
    </w:p>
    <w:p>
      <w:pPr>
        <w:pStyle w:val="BodyText"/>
        <w:spacing w:line="360" w:lineRule="auto"/>
        <w:ind w:right="145"/>
      </w:pPr>
      <w:r>
        <w:rPr>
          <w:i/>
        </w:rPr>
        <w:t>Arbeit im Freigang. </w:t>
      </w:r>
      <w:r>
        <w:rPr/>
        <w:t>Sollten Sie vom Arbeitsplatz vorzeitig als „krank“ nach Hause gehen oder geschickt werden, begeben Sie sich direkt in die JVA Lübeck zurück oder suchen Ih- ren Arzt auf und legen anschließend sofort eine Bescheinigung der Behandlung oder ein ärztliches Attest vor.</w:t>
      </w:r>
    </w:p>
    <w:p>
      <w:pPr>
        <w:spacing w:after="0" w:line="360" w:lineRule="auto"/>
        <w:sectPr>
          <w:pgSz w:w="11910" w:h="16840"/>
          <w:pgMar w:header="0" w:footer="294" w:top="520" w:bottom="480" w:left="1020" w:right="520"/>
        </w:sectPr>
      </w:pPr>
    </w:p>
    <w:p>
      <w:pPr>
        <w:pStyle w:val="BodyText"/>
        <w:spacing w:line="360" w:lineRule="auto" w:before="30"/>
        <w:ind w:right="101"/>
      </w:pPr>
      <w:r>
        <w:rPr>
          <w:i/>
        </w:rPr>
        <w:t>Kreditgeschäfte. </w:t>
      </w:r>
      <w:r>
        <w:rPr/>
        <w:t>Schließen Sie keine Kreditgeschäfte oder andere Geschäfte ab, die Folge- kosten nach sich ziehen (z.B. Autokauf, Anmietung einer Wohnung), ohne diese vorher durch die Abteilungsleitung oder die Bediensteten genehmigen zu lassen.</w:t>
      </w:r>
    </w:p>
    <w:p>
      <w:pPr>
        <w:pStyle w:val="BodyText"/>
        <w:spacing w:line="360" w:lineRule="auto" w:before="221"/>
        <w:ind w:right="112"/>
      </w:pPr>
      <w:r>
        <w:rPr>
          <w:i/>
        </w:rPr>
        <w:t>Bekleidung innerhalb des offenen Vollzuges. </w:t>
      </w:r>
      <w:r>
        <w:rPr/>
        <w:t>Im offenen Vollzug wird private Kleidung ge- tragen, soweit diese zur Verfügung steht. Ihre Station dürfen Sie nur in angemessener Be- kleidung verlassen (nicht in Nacht- oder Unterwäsche).</w:t>
      </w:r>
    </w:p>
    <w:p>
      <w:pPr>
        <w:pStyle w:val="BodyText"/>
        <w:spacing w:line="360" w:lineRule="auto" w:before="218"/>
        <w:ind w:right="256"/>
      </w:pPr>
      <w:r>
        <w:rPr>
          <w:i/>
        </w:rPr>
        <w:t>Stromverbrauch. </w:t>
      </w:r>
      <w:r>
        <w:rPr/>
        <w:t>Beim Verlassen des Haftraumes haben Sie sämtliche Stromverbraucher abzuschalten sowie offene Lichter (Räucherstäbchen, etc.) zu löschen (Brandgefahr!).</w:t>
      </w:r>
    </w:p>
    <w:p>
      <w:pPr>
        <w:pStyle w:val="BodyText"/>
        <w:spacing w:before="11"/>
        <w:ind w:left="0"/>
        <w:rPr>
          <w:sz w:val="41"/>
        </w:rPr>
      </w:pPr>
    </w:p>
    <w:p>
      <w:pPr>
        <w:pStyle w:val="BodyText"/>
      </w:pPr>
      <w:r>
        <w:rPr>
          <w:u w:val="single"/>
        </w:rPr>
        <w:t>Im offenen Vollzug ist das Folgende ausdrücklich verboten:</w:t>
      </w:r>
    </w:p>
    <w:p>
      <w:pPr>
        <w:pStyle w:val="ListParagraph"/>
        <w:numPr>
          <w:ilvl w:val="0"/>
          <w:numId w:val="3"/>
        </w:numPr>
        <w:tabs>
          <w:tab w:pos="395" w:val="left" w:leader="none"/>
        </w:tabs>
        <w:spacing w:line="360" w:lineRule="auto" w:before="171" w:after="0"/>
        <w:ind w:left="113" w:right="225" w:firstLine="0"/>
        <w:jc w:val="left"/>
        <w:rPr>
          <w:sz w:val="28"/>
        </w:rPr>
      </w:pPr>
      <w:r>
        <w:rPr>
          <w:sz w:val="28"/>
        </w:rPr>
        <w:t>Das Einbringen, die Herstellung, der Besitz und der Gebrauch von Rauschmitteln aller Art (Drogen, Alkohol, etc.), außer Ihnen persönlich per Rezept verordnete</w:t>
      </w:r>
      <w:r>
        <w:rPr>
          <w:spacing w:val="-38"/>
          <w:sz w:val="28"/>
        </w:rPr>
        <w:t> </w:t>
      </w:r>
      <w:r>
        <w:rPr>
          <w:sz w:val="28"/>
        </w:rPr>
        <w:t>Medikamente.</w:t>
      </w:r>
    </w:p>
    <w:p>
      <w:pPr>
        <w:pStyle w:val="BodyText"/>
        <w:spacing w:before="11"/>
        <w:ind w:left="0"/>
        <w:rPr>
          <w:sz w:val="41"/>
        </w:rPr>
      </w:pPr>
    </w:p>
    <w:p>
      <w:pPr>
        <w:pStyle w:val="ListParagraph"/>
        <w:numPr>
          <w:ilvl w:val="0"/>
          <w:numId w:val="3"/>
        </w:numPr>
        <w:tabs>
          <w:tab w:pos="407" w:val="left" w:leader="none"/>
        </w:tabs>
        <w:spacing w:line="360" w:lineRule="auto" w:before="0" w:after="0"/>
        <w:ind w:left="113" w:right="129" w:firstLine="0"/>
        <w:jc w:val="left"/>
        <w:rPr>
          <w:sz w:val="28"/>
        </w:rPr>
      </w:pPr>
      <w:r>
        <w:rPr>
          <w:sz w:val="28"/>
        </w:rPr>
        <w:t>Der gemeinsame Aufenthalt von weiblichen und männlichen Gefangenen / Sicherungs- verwahrten in sämtlichen Hafträumen. Ehepaare sind davon</w:t>
      </w:r>
      <w:r>
        <w:rPr>
          <w:spacing w:val="-29"/>
          <w:sz w:val="28"/>
        </w:rPr>
        <w:t> </w:t>
      </w:r>
      <w:r>
        <w:rPr>
          <w:sz w:val="28"/>
        </w:rPr>
        <w:t>ausgenommen.</w:t>
      </w:r>
    </w:p>
    <w:p>
      <w:pPr>
        <w:pStyle w:val="BodyText"/>
        <w:spacing w:before="11"/>
        <w:ind w:left="0"/>
        <w:rPr>
          <w:sz w:val="41"/>
        </w:rPr>
      </w:pPr>
    </w:p>
    <w:p>
      <w:pPr>
        <w:pStyle w:val="ListParagraph"/>
        <w:numPr>
          <w:ilvl w:val="0"/>
          <w:numId w:val="3"/>
        </w:numPr>
        <w:tabs>
          <w:tab w:pos="378" w:val="left" w:leader="none"/>
        </w:tabs>
        <w:spacing w:line="360" w:lineRule="auto" w:before="0" w:after="0"/>
        <w:ind w:left="113" w:right="196" w:firstLine="0"/>
        <w:jc w:val="left"/>
        <w:rPr>
          <w:sz w:val="28"/>
        </w:rPr>
      </w:pPr>
      <w:r>
        <w:rPr>
          <w:sz w:val="28"/>
        </w:rPr>
        <w:t>Sexueller Kontakt unter den Gefangenen / Sicherungsverwahrten (auch Ehepaare oder eingetragene Partnerschaften) und / oder deren Besucherinnen / Besuchern ist im offe- nen Vollzug zur Aufrechterhaltung der Sicherheit und Ordnung verboten. Dies gilt aus- drücklich für alle Hafträume und gemeinschaftlichen Aufenthaltsbereiche drinnen und draußen.</w:t>
      </w:r>
    </w:p>
    <w:p>
      <w:pPr>
        <w:pStyle w:val="BodyText"/>
        <w:spacing w:before="11"/>
        <w:ind w:left="0"/>
        <w:rPr>
          <w:sz w:val="41"/>
        </w:rPr>
      </w:pPr>
    </w:p>
    <w:p>
      <w:pPr>
        <w:pStyle w:val="BodyText"/>
        <w:spacing w:line="360" w:lineRule="auto"/>
        <w:ind w:right="127"/>
      </w:pPr>
      <w:r>
        <w:rPr/>
        <w:t>Verstöße gegen diese allgemeinen Grundsätze und Verhaltensanforderungen können dis- ziplinarisch geahndet werden. Ein hiermit verbundenes Fehlverhalten führt in der Regel zur Rückverlegung in den geschlossenen Vollzug.</w:t>
      </w:r>
    </w:p>
    <w:p>
      <w:pPr>
        <w:pStyle w:val="BodyText"/>
        <w:spacing w:before="11"/>
        <w:ind w:left="0"/>
        <w:rPr>
          <w:sz w:val="41"/>
        </w:rPr>
      </w:pPr>
    </w:p>
    <w:p>
      <w:pPr>
        <w:pStyle w:val="Heading1"/>
        <w:numPr>
          <w:ilvl w:val="0"/>
          <w:numId w:val="2"/>
        </w:numPr>
        <w:tabs>
          <w:tab w:pos="433" w:val="left" w:leader="none"/>
        </w:tabs>
        <w:spacing w:line="240" w:lineRule="auto" w:before="0" w:after="0"/>
        <w:ind w:left="432" w:right="0" w:hanging="319"/>
        <w:jc w:val="left"/>
      </w:pPr>
      <w:bookmarkStart w:name="_TOC_250012" w:id="3"/>
      <w:r>
        <w:rPr/>
        <w:t>Tagesablauf und Nutzung der</w:t>
      </w:r>
      <w:r>
        <w:rPr>
          <w:spacing w:val="-21"/>
        </w:rPr>
        <w:t> </w:t>
      </w:r>
      <w:bookmarkEnd w:id="3"/>
      <w:r>
        <w:rPr/>
        <w:t>Räumlichkeiten</w:t>
      </w:r>
    </w:p>
    <w:p>
      <w:pPr>
        <w:pStyle w:val="BodyText"/>
        <w:spacing w:line="360" w:lineRule="auto" w:before="196"/>
        <w:ind w:right="211"/>
      </w:pPr>
      <w:r>
        <w:rPr/>
        <w:t>Der Tagesablauf richtet sich nach dem individuellen vollzuglichen Status und der Arbeits- situation der/des einzelnen Gefangenen / Sicherungsverwahrten.</w:t>
      </w:r>
    </w:p>
    <w:p>
      <w:pPr>
        <w:spacing w:after="0" w:line="360" w:lineRule="auto"/>
        <w:sectPr>
          <w:pgSz w:w="11910" w:h="16840"/>
          <w:pgMar w:header="0" w:footer="294" w:top="520" w:bottom="480" w:left="1020" w:right="460"/>
        </w:sectPr>
      </w:pPr>
    </w:p>
    <w:p>
      <w:pPr>
        <w:pStyle w:val="BodyText"/>
        <w:spacing w:before="30"/>
      </w:pPr>
      <w:r>
        <w:rPr>
          <w:u w:val="single"/>
        </w:rPr>
        <w:t>Sofern Sie an der Anstaltsverpflegung teilnehmen gilt:</w:t>
      </w:r>
    </w:p>
    <w:p>
      <w:pPr>
        <w:pStyle w:val="BodyText"/>
        <w:spacing w:line="360" w:lineRule="auto" w:before="171"/>
        <w:ind w:right="103"/>
      </w:pPr>
      <w:r>
        <w:rPr/>
        <w:t>Die Verpflegung wird einmal täglich ausgegeben. Um ca. 11.15 Uhr erhalten Sie Mittages- sen, Abendbrot und das Frühstück für den nächsten Tag. Um die Verpflegung zu kühlen, ist diese im Kühlschrank im Erdgeschoss der Station A gelagert. Auf den einzelnen Statio- nen besteht die Möglichkeit, Nahrungsmittel in Kühlschränken zu lagern. Zudem stehen Kühlfächer auf den einzelnen Stationen zur Verfügung. Die Schlüssel hierfür erhalten Sie beim Stationsdienst.</w:t>
      </w:r>
    </w:p>
    <w:p>
      <w:pPr>
        <w:pStyle w:val="BodyText"/>
        <w:spacing w:line="360" w:lineRule="auto" w:before="218"/>
        <w:ind w:right="180"/>
      </w:pPr>
      <w:r>
        <w:rPr>
          <w:u w:val="single"/>
        </w:rPr>
        <w:t>Der gemeinsame Aufenthalt von männlichen und weiblichen Gefangenen / Sicherungs- verwahrten in den Küchen und Gemeinschafträumen ist nur zu folgenden Zeiten erlaubt: </w:t>
      </w:r>
      <w:r>
        <w:rPr/>
        <w:t>Von Montag bis Freitag von 09.00 bis 09.30 Uhr, während der Mittagskosteinnahme von</w:t>
      </w:r>
    </w:p>
    <w:p>
      <w:pPr>
        <w:pStyle w:val="BodyText"/>
      </w:pPr>
      <w:r>
        <w:rPr/>
        <w:t>11.15 bis 12.15 Uhr und ab 16.00 Uhr bis 20.00 Uhr,</w:t>
      </w:r>
    </w:p>
    <w:p>
      <w:pPr>
        <w:pStyle w:val="BodyText"/>
        <w:spacing w:line="360" w:lineRule="auto" w:before="171"/>
        <w:ind w:right="166"/>
      </w:pPr>
      <w:r>
        <w:rPr/>
        <w:t>Freitags bereits ab 13.00 Uhr bis 20.00 Uhr, am Wochenende und an Feiertagen ab 07.00 Uhr bis 20.00 Uhr.</w:t>
      </w:r>
    </w:p>
    <w:p>
      <w:pPr>
        <w:pStyle w:val="BodyText"/>
        <w:ind w:left="0"/>
        <w:rPr>
          <w:sz w:val="36"/>
        </w:rPr>
      </w:pPr>
    </w:p>
    <w:p>
      <w:pPr>
        <w:pStyle w:val="BodyText"/>
      </w:pPr>
      <w:r>
        <w:rPr>
          <w:u w:val="single"/>
        </w:rPr>
        <w:t>Informationen zur Nachtruhe</w:t>
      </w:r>
      <w:r>
        <w:rPr/>
        <w:t>:</w:t>
      </w:r>
    </w:p>
    <w:p>
      <w:pPr>
        <w:pStyle w:val="BodyText"/>
        <w:spacing w:line="360" w:lineRule="auto" w:before="171"/>
        <w:ind w:right="109"/>
        <w:jc w:val="both"/>
      </w:pPr>
      <w:r>
        <w:rPr/>
        <w:t>Bei Eintritt der Nachtruhe ab 20.00 Uhr dürfen Sie sich nur noch auf der Ihnen zugewiese- nen Station aufhalten. Besuche in anderen Bereichen während der Nachtruhe sind unter- sagt.</w:t>
      </w:r>
    </w:p>
    <w:p>
      <w:pPr>
        <w:pStyle w:val="BodyText"/>
        <w:spacing w:before="10"/>
        <w:ind w:left="0"/>
        <w:rPr>
          <w:sz w:val="41"/>
        </w:rPr>
      </w:pPr>
    </w:p>
    <w:p>
      <w:pPr>
        <w:pStyle w:val="BodyText"/>
        <w:spacing w:before="1"/>
      </w:pPr>
      <w:r>
        <w:rPr>
          <w:u w:val="single"/>
        </w:rPr>
        <w:t>Benutzung des Sportraumes</w:t>
      </w:r>
      <w:r>
        <w:rPr/>
        <w:t>:</w:t>
      </w:r>
    </w:p>
    <w:p>
      <w:pPr>
        <w:pStyle w:val="BodyText"/>
        <w:spacing w:line="360" w:lineRule="auto" w:before="172"/>
        <w:ind w:right="185"/>
      </w:pPr>
      <w:r>
        <w:rPr/>
        <w:t>Der Sportraum steht Ihnen von Montag bis Freitag ab 16.00 Uhr zur Verfügung und an Wochenenden ganztägig ab 10 Uhr bis 20.00 Uhr. Den Schlüssel erhalten Sie von den Be- diensteten im Stationsbüro. Hinterlassen Sie den Sportraum sauber und aufgeräumt, die Dachfenster sind beim Verlassen des Raumes zu schließen. Das Rauchen ist untersagt.</w:t>
      </w:r>
    </w:p>
    <w:p>
      <w:pPr>
        <w:pStyle w:val="BodyText"/>
        <w:spacing w:before="11"/>
        <w:ind w:left="0"/>
        <w:rPr>
          <w:sz w:val="41"/>
        </w:rPr>
      </w:pPr>
    </w:p>
    <w:p>
      <w:pPr>
        <w:pStyle w:val="BodyText"/>
      </w:pPr>
      <w:r>
        <w:rPr>
          <w:u w:val="single"/>
        </w:rPr>
        <w:t>Aufenthalt im Freien, auf dem Gelände des offenen Vollzuges</w:t>
      </w:r>
      <w:r>
        <w:rPr/>
        <w:t>:</w:t>
      </w:r>
    </w:p>
    <w:p>
      <w:pPr>
        <w:pStyle w:val="BodyText"/>
        <w:spacing w:line="360" w:lineRule="auto" w:before="168"/>
        <w:ind w:right="144"/>
      </w:pPr>
      <w:r>
        <w:rPr/>
        <w:t>Der Aufenthalt im Freien ist auf das umzäunte Gelände des OV beschränkt. Dies kann im vorderen Bereich (Eingang) von Montag bis Donnerstag ab 16.00 Uhr, sowie am Freitag ab 13.00 Uhr und am Wochenende ganztägig ab 07.00 Uhr genutzt werden. Der rückwär- tige Bereich (Garten/ Terrasse) kann täglich ab 07.00 Uhr genutzt werden.</w:t>
      </w:r>
    </w:p>
    <w:p>
      <w:pPr>
        <w:spacing w:after="0" w:line="360" w:lineRule="auto"/>
        <w:sectPr>
          <w:pgSz w:w="11910" w:h="16840"/>
          <w:pgMar w:header="0" w:footer="294" w:top="520" w:bottom="480" w:left="1020" w:right="480"/>
        </w:sectPr>
      </w:pPr>
    </w:p>
    <w:p>
      <w:pPr>
        <w:pStyle w:val="BodyText"/>
        <w:spacing w:line="360" w:lineRule="auto" w:before="30"/>
        <w:ind w:right="290"/>
      </w:pPr>
      <w:r>
        <w:rPr/>
        <w:t>Bei Einbruch der Dunkelheit, im Sommer spätestens um 20.00 Uhr, haben Sie sich aus- schließlich im Haus aufzuhalten. Auch im Sommer ist auf angemessene Bekleidung beim Aufenthalt im Freien zu achten (keine Unterwäsche, Badebekleidung, o.ä.).</w:t>
      </w:r>
    </w:p>
    <w:p>
      <w:pPr>
        <w:pStyle w:val="BodyText"/>
        <w:ind w:left="0"/>
      </w:pPr>
    </w:p>
    <w:p>
      <w:pPr>
        <w:pStyle w:val="BodyText"/>
        <w:spacing w:before="172"/>
      </w:pPr>
      <w:r>
        <w:rPr>
          <w:u w:val="single"/>
        </w:rPr>
        <w:t>Nutzung der Grillecke</w:t>
      </w:r>
      <w:r>
        <w:rPr/>
        <w:t>:</w:t>
      </w:r>
    </w:p>
    <w:p>
      <w:pPr>
        <w:pStyle w:val="BodyText"/>
        <w:spacing w:line="360" w:lineRule="auto" w:before="169"/>
        <w:ind w:right="275"/>
      </w:pPr>
      <w:r>
        <w:rPr/>
        <w:t>Das Grillen ist nur im vorderen Bereich – Sitzecke - des I-Hauses gestattet. Auf angemes- sene Lautstärke ist zu achten.</w:t>
      </w:r>
    </w:p>
    <w:p>
      <w:pPr>
        <w:pStyle w:val="BodyText"/>
        <w:spacing w:before="10"/>
        <w:ind w:left="0"/>
        <w:rPr>
          <w:sz w:val="23"/>
        </w:rPr>
      </w:pPr>
    </w:p>
    <w:p>
      <w:pPr>
        <w:pStyle w:val="Heading1"/>
        <w:numPr>
          <w:ilvl w:val="0"/>
          <w:numId w:val="2"/>
        </w:numPr>
        <w:tabs>
          <w:tab w:pos="433" w:val="left" w:leader="none"/>
        </w:tabs>
        <w:spacing w:line="240" w:lineRule="auto" w:before="1" w:after="0"/>
        <w:ind w:left="432" w:right="0" w:hanging="319"/>
        <w:jc w:val="left"/>
      </w:pPr>
      <w:bookmarkStart w:name="_TOC_250011" w:id="4"/>
      <w:r>
        <w:rPr/>
        <w:t>Handy-, Laptop- und</w:t>
      </w:r>
      <w:r>
        <w:rPr>
          <w:spacing w:val="-15"/>
        </w:rPr>
        <w:t> </w:t>
      </w:r>
      <w:bookmarkEnd w:id="4"/>
      <w:r>
        <w:rPr/>
        <w:t>Speichermediennutzung</w:t>
      </w:r>
    </w:p>
    <w:p>
      <w:pPr>
        <w:pStyle w:val="BodyText"/>
        <w:spacing w:line="360" w:lineRule="auto" w:before="197"/>
        <w:ind w:right="257"/>
      </w:pPr>
      <w:r>
        <w:rPr/>
        <w:t>Sie dürfen Ihr Handy, Smartphone und/oder Laptop im Rahmen folgender Regelung nut- zen:</w:t>
      </w:r>
    </w:p>
    <w:p>
      <w:pPr>
        <w:pStyle w:val="ListParagraph"/>
        <w:numPr>
          <w:ilvl w:val="0"/>
          <w:numId w:val="4"/>
        </w:numPr>
        <w:tabs>
          <w:tab w:pos="395" w:val="left" w:leader="none"/>
        </w:tabs>
        <w:spacing w:line="360" w:lineRule="auto" w:before="1" w:after="0"/>
        <w:ind w:left="113" w:right="361" w:firstLine="0"/>
        <w:jc w:val="left"/>
        <w:rPr>
          <w:sz w:val="28"/>
        </w:rPr>
      </w:pPr>
      <w:r>
        <w:rPr>
          <w:sz w:val="28"/>
        </w:rPr>
        <w:t>Es ist verboten, Texte, Bilder, Fotos, Videos o.ä. von den Bediensteten oder inhaftier- ten oder sicherungsverwahrten Personen, Anlagen, Räumlichkeiten o.ä. der JVA Lübeck zu erstellen, zu veröffentlichen, zu speichern oder an Dritte weiterzugeben (z.B. per E- Mail, USB-Stick, Soziale Medien wie Facebook, Twitter,</w:t>
      </w:r>
      <w:r>
        <w:rPr>
          <w:spacing w:val="-24"/>
          <w:sz w:val="28"/>
        </w:rPr>
        <w:t> </w:t>
      </w:r>
      <w:r>
        <w:rPr>
          <w:sz w:val="28"/>
        </w:rPr>
        <w:t>WhatsApp).</w:t>
      </w:r>
    </w:p>
    <w:p>
      <w:pPr>
        <w:pStyle w:val="BodyText"/>
        <w:spacing w:before="11"/>
        <w:ind w:left="0"/>
        <w:rPr>
          <w:sz w:val="41"/>
        </w:rPr>
      </w:pPr>
    </w:p>
    <w:p>
      <w:pPr>
        <w:pStyle w:val="ListParagraph"/>
        <w:numPr>
          <w:ilvl w:val="0"/>
          <w:numId w:val="4"/>
        </w:numPr>
        <w:tabs>
          <w:tab w:pos="407" w:val="left" w:leader="none"/>
        </w:tabs>
        <w:spacing w:line="360" w:lineRule="auto" w:before="1" w:after="0"/>
        <w:ind w:left="113" w:right="250" w:firstLine="0"/>
        <w:jc w:val="left"/>
        <w:rPr>
          <w:sz w:val="28"/>
        </w:rPr>
      </w:pPr>
      <w:r>
        <w:rPr/>
        <w:pict>
          <v:line style="position:absolute;mso-position-horizontal-relative:page;mso-position-vertical-relative:paragraph;z-index:-8488" from="78.204002pt,25.640068pt" to="78.204002pt,42.800068pt" stroked="true" strokeweight="3.48pt" strokecolor="#ffff00">
            <v:stroke dashstyle="solid"/>
            <w10:wrap type="none"/>
          </v:line>
        </w:pict>
      </w:r>
      <w:r>
        <w:rPr>
          <w:sz w:val="28"/>
        </w:rPr>
        <w:t>Wenn Sie im Ausgang oder im Freigang sind, müssen Sie, sofern Sie ein Handy besit- zen, ständig per Handy erreichbar sein oder bei kurzzeitiger Nichterreichbarkeit, im Falle eines Anrufes durch die JVA, baldmöglichst</w:t>
      </w:r>
      <w:r>
        <w:rPr>
          <w:spacing w:val="-22"/>
          <w:sz w:val="28"/>
        </w:rPr>
        <w:t> </w:t>
      </w:r>
      <w:r>
        <w:rPr>
          <w:sz w:val="28"/>
        </w:rPr>
        <w:t>zurückrufen.</w:t>
      </w:r>
    </w:p>
    <w:p>
      <w:pPr>
        <w:pStyle w:val="BodyText"/>
        <w:ind w:left="0"/>
      </w:pPr>
    </w:p>
    <w:p>
      <w:pPr>
        <w:pStyle w:val="ListParagraph"/>
        <w:numPr>
          <w:ilvl w:val="0"/>
          <w:numId w:val="4"/>
        </w:numPr>
        <w:tabs>
          <w:tab w:pos="378" w:val="left" w:leader="none"/>
        </w:tabs>
        <w:spacing w:line="360" w:lineRule="auto" w:before="173" w:after="0"/>
        <w:ind w:left="113" w:right="196" w:firstLine="0"/>
        <w:jc w:val="left"/>
        <w:rPr>
          <w:sz w:val="28"/>
        </w:rPr>
      </w:pPr>
      <w:r>
        <w:rPr>
          <w:sz w:val="28"/>
        </w:rPr>
        <w:t>Sollte sich Ihre Handynummern ändern, haben Sie diese unmittelbar den Bediensteten mitzuteilen.</w:t>
      </w:r>
    </w:p>
    <w:p>
      <w:pPr>
        <w:pStyle w:val="BodyText"/>
        <w:ind w:left="0"/>
      </w:pPr>
    </w:p>
    <w:p>
      <w:pPr>
        <w:pStyle w:val="BodyText"/>
        <w:spacing w:line="360" w:lineRule="auto" w:before="173"/>
        <w:ind w:right="254"/>
      </w:pPr>
      <w:r>
        <w:rPr/>
        <w:t>Verstöße werden geahndet und können zur (Rück-)Verlegung in den geschlossenen Voll- zug führen.</w:t>
      </w:r>
    </w:p>
    <w:p>
      <w:pPr>
        <w:pStyle w:val="BodyText"/>
        <w:spacing w:before="10"/>
        <w:ind w:left="0"/>
        <w:rPr>
          <w:sz w:val="23"/>
        </w:rPr>
      </w:pPr>
    </w:p>
    <w:p>
      <w:pPr>
        <w:pStyle w:val="Heading1"/>
        <w:numPr>
          <w:ilvl w:val="0"/>
          <w:numId w:val="2"/>
        </w:numPr>
        <w:tabs>
          <w:tab w:pos="433" w:val="left" w:leader="none"/>
        </w:tabs>
        <w:spacing w:line="240" w:lineRule="auto" w:before="0" w:after="0"/>
        <w:ind w:left="432" w:right="0" w:hanging="319"/>
        <w:jc w:val="left"/>
      </w:pPr>
      <w:bookmarkStart w:name="_TOC_250010" w:id="5"/>
      <w:r>
        <w:rPr/>
        <w:t>Ordnung und</w:t>
      </w:r>
      <w:r>
        <w:rPr>
          <w:spacing w:val="-15"/>
        </w:rPr>
        <w:t> </w:t>
      </w:r>
      <w:bookmarkEnd w:id="5"/>
      <w:r>
        <w:rPr/>
        <w:t>Sauberkeit</w:t>
      </w:r>
    </w:p>
    <w:p>
      <w:pPr>
        <w:pStyle w:val="BodyText"/>
        <w:spacing w:line="360" w:lineRule="auto" w:before="196"/>
        <w:ind w:right="95"/>
      </w:pPr>
      <w:r>
        <w:rPr/>
        <w:t>Alle Gefangenen / Sicherungsverwahrten haben dafür zu sorgen, dass sich das I-Haus je- derzeit in einem ordentlichen und sauberen Zustand befindet. Alle Gemeinschaftseinrich- tungen draußen wie drinnen, wie z. B. Duschen, Toiletten, Küchen und Aufenthaltsräume, und die in ihnen untergebrachten bzw. aufgestellten Geräte und sonstige Gegenstände</w:t>
      </w:r>
    </w:p>
    <w:p>
      <w:pPr>
        <w:spacing w:after="0" w:line="360" w:lineRule="auto"/>
        <w:sectPr>
          <w:pgSz w:w="11910" w:h="16840"/>
          <w:pgMar w:header="0" w:footer="294" w:top="520" w:bottom="480" w:left="1020" w:right="460"/>
        </w:sectPr>
      </w:pPr>
    </w:p>
    <w:p>
      <w:pPr>
        <w:pStyle w:val="BodyText"/>
        <w:spacing w:line="360" w:lineRule="auto" w:before="30"/>
        <w:ind w:right="115"/>
      </w:pPr>
      <w:r>
        <w:rPr/>
        <w:t>wie z. B. Geschirrspülmaschinen, Herd, Kühlschränke usw. sind unmittelbar nach Ge- brauch durch den Benutzer / die Benutzerin zu reinigen. Es ist eine Selbstverständlichkeit, dass die Verursacherin / der Verursacher auch versehentlich angerichtete Verschmutzun- gen unverzüglich selbst beseitigt. Dies gilt unabhängig davon, dass es eine/n Hausarbei- ter/in gibt. Der Müll ist von Ihnen regelmäßig in die dafür vorgesehenen Behälter zu ent- sorgen. Achten Sie dabei aus Gründen des Umweltschutzes auf die hier übliche Trennung. Entsorgen Sie nie heiße Glut und Asche in die Müllbehälter (Brandgefahr). Ihr Haftraum ist regelmäßig gründlich von Ihnen zu reinigen. Bei Ausgang, Langzeitausgang oder bei der Entlassung haben Sie Ihren Haftraum in einem sauberen und aufgeräumten Zustand zu hinterlassen. Das Inventar und die Ihnen anstaltsseitig überlassenen Gebrauchsgegen- stände sind pfleglich zu behandeln. Für nachweisliche Beschädigungen können Sie haft- bar gemacht</w:t>
      </w:r>
      <w:r>
        <w:rPr>
          <w:spacing w:val="-9"/>
        </w:rPr>
        <w:t> </w:t>
      </w:r>
      <w:r>
        <w:rPr/>
        <w:t>werden.</w:t>
      </w:r>
    </w:p>
    <w:p>
      <w:pPr>
        <w:pStyle w:val="BodyText"/>
        <w:spacing w:line="360" w:lineRule="auto"/>
        <w:ind w:right="300"/>
      </w:pPr>
      <w:r>
        <w:rPr/>
        <w:t>Beim Verlassen des OV zur Arbeit, in Ausgang oder Langzeitausgang geben Sie den Haft- raumschlüssel bei den Bediensteten im Büro ab. Bei Verlust des Schlüssels wird die Er- satzbeschaffung Ihnen in Rechnung gestellt.</w:t>
      </w:r>
    </w:p>
    <w:p>
      <w:pPr>
        <w:pStyle w:val="BodyText"/>
        <w:spacing w:before="10"/>
        <w:ind w:left="0"/>
        <w:rPr>
          <w:sz w:val="23"/>
        </w:rPr>
      </w:pPr>
    </w:p>
    <w:p>
      <w:pPr>
        <w:pStyle w:val="Heading1"/>
        <w:numPr>
          <w:ilvl w:val="0"/>
          <w:numId w:val="2"/>
        </w:numPr>
        <w:tabs>
          <w:tab w:pos="433" w:val="left" w:leader="none"/>
        </w:tabs>
        <w:spacing w:line="240" w:lineRule="auto" w:before="0" w:after="0"/>
        <w:ind w:left="432" w:right="0" w:hanging="319"/>
        <w:jc w:val="left"/>
      </w:pPr>
      <w:bookmarkStart w:name="_TOC_250009" w:id="6"/>
      <w:bookmarkEnd w:id="6"/>
      <w:r>
        <w:rPr/>
        <w:t>Wäscherei</w:t>
      </w:r>
    </w:p>
    <w:p>
      <w:pPr>
        <w:pStyle w:val="BodyText"/>
        <w:spacing w:line="360" w:lineRule="auto" w:before="197"/>
        <w:ind w:right="213"/>
      </w:pPr>
      <w:r>
        <w:rPr/>
        <w:t>Dieses Angebot der JVA Lübeck richtet sich an alle </w:t>
      </w:r>
      <w:r>
        <w:rPr>
          <w:u w:val="single"/>
        </w:rPr>
        <w:t>nicht Freigangs berechtigten Gefange- nen </w:t>
      </w:r>
      <w:r>
        <w:rPr/>
        <w:t>und nicht Freigangs berechtigten Sicherungsverwahrten des OV:</w:t>
      </w:r>
    </w:p>
    <w:p>
      <w:pPr>
        <w:pStyle w:val="BodyText"/>
        <w:spacing w:line="360" w:lineRule="auto"/>
        <w:ind w:right="138"/>
      </w:pPr>
      <w:r>
        <w:rPr/>
        <w:t>Im Obergeschoss stehen Waschmaschinen und Trockner. Hier können Sie unentgeltlich Ihre Wäsche waschen lassen. Hierfür beantragen sie eine Wäschemarke beim Stations- dienst. Im Anschluss wenden Sie sich bitte an die/den für diese Arbeit eingesetzte einge- setzten Wäschekalfaktorin / Wäschekalfaktor. Die eigenständige Nutzung der Waschma- schinen und Trockner ist verboten. Die Abgabe der Wäsche hat montags und freitags bis spätestens 8 Uhr zu erfolgen. Den Zeitpunkt der Rückgabe der Wäsche erfahren Sie von der/dem für die Wäscherei eingesetzte / eingesetzter Wäschekalfaktorin / Wäschekalfak- tor. Freigänger / Freigängerinnen haben ihre Wäsche in Eigenverantwortung außerhalb der Anstalt zu reinigen (Waschcenter etc.).</w:t>
      </w:r>
    </w:p>
    <w:p>
      <w:pPr>
        <w:spacing w:after="0" w:line="360" w:lineRule="auto"/>
        <w:sectPr>
          <w:pgSz w:w="11910" w:h="16840"/>
          <w:pgMar w:header="0" w:footer="294" w:top="520" w:bottom="480" w:left="1020" w:right="460"/>
        </w:sectPr>
      </w:pPr>
    </w:p>
    <w:p>
      <w:pPr>
        <w:pStyle w:val="Heading1"/>
        <w:numPr>
          <w:ilvl w:val="0"/>
          <w:numId w:val="2"/>
        </w:numPr>
        <w:tabs>
          <w:tab w:pos="433" w:val="left" w:leader="none"/>
        </w:tabs>
        <w:spacing w:line="240" w:lineRule="auto" w:before="8" w:after="0"/>
        <w:ind w:left="432" w:right="0" w:hanging="319"/>
        <w:jc w:val="left"/>
      </w:pPr>
      <w:bookmarkStart w:name="_TOC_250008" w:id="7"/>
      <w:r>
        <w:rPr/>
        <w:t>Kontrollen und</w:t>
      </w:r>
      <w:r>
        <w:rPr>
          <w:spacing w:val="-15"/>
        </w:rPr>
        <w:t> </w:t>
      </w:r>
      <w:bookmarkEnd w:id="7"/>
      <w:r>
        <w:rPr/>
        <w:t>Durchsuchungen</w:t>
      </w:r>
    </w:p>
    <w:p>
      <w:pPr>
        <w:pStyle w:val="BodyText"/>
        <w:spacing w:line="360" w:lineRule="auto" w:before="197"/>
        <w:ind w:right="328"/>
        <w:jc w:val="both"/>
      </w:pPr>
      <w:r>
        <w:rPr/>
        <w:t>Die Bediensteten überzeugen sich durch Kontrollen von der Einhaltung der Regelungen im offenen Vollzug der JVA Lübeck. Dies beinhaltet insbesondere Taschenkontrollen, Al- kohol- und Drogentests sowie individuelle Kontrollen, wie z. B. Rückrufe beim Arbeitge- ber und Kontrollen der Hafträume.</w:t>
      </w:r>
    </w:p>
    <w:p>
      <w:pPr>
        <w:pStyle w:val="BodyText"/>
        <w:ind w:left="0"/>
      </w:pPr>
    </w:p>
    <w:p>
      <w:pPr>
        <w:pStyle w:val="BodyText"/>
        <w:spacing w:line="360" w:lineRule="auto" w:before="172"/>
        <w:ind w:right="100"/>
      </w:pPr>
      <w:r>
        <w:rPr/>
        <w:t>Hier soll nochmals darauf hingewiesen werden, dass die Eignung für den offenen Vollzug unter anderem auch daran gemessen wird, inwieweit Sie sich an die Regelungen des offe- nen Vollzuges halten.</w:t>
      </w:r>
    </w:p>
    <w:p>
      <w:pPr>
        <w:pStyle w:val="BodyText"/>
        <w:spacing w:line="360" w:lineRule="auto" w:before="219"/>
        <w:ind w:right="91"/>
      </w:pPr>
      <w:r>
        <w:rPr/>
        <w:t>Die tägliche Kontrolle der Anwesenheit (Zählung) erfolgt gegen ca. 07.00 Uhr. Dazu haben sich alle Gefangenen des I-Hauses, die nicht bereits das Haus zur Arbeit und Ausbildung verlassen haben, auf ihren Hafträumen einzufinden. Darüber hinaus kann es jederzeit weitere Kontrollen geben.</w:t>
      </w:r>
    </w:p>
    <w:p>
      <w:pPr>
        <w:pStyle w:val="BodyText"/>
        <w:spacing w:before="8"/>
        <w:ind w:left="0"/>
        <w:rPr>
          <w:sz w:val="23"/>
        </w:rPr>
      </w:pPr>
    </w:p>
    <w:p>
      <w:pPr>
        <w:pStyle w:val="Heading1"/>
        <w:numPr>
          <w:ilvl w:val="0"/>
          <w:numId w:val="2"/>
        </w:numPr>
        <w:tabs>
          <w:tab w:pos="433" w:val="left" w:leader="none"/>
        </w:tabs>
        <w:spacing w:line="240" w:lineRule="auto" w:before="0" w:after="0"/>
        <w:ind w:left="432" w:right="0" w:hanging="319"/>
        <w:jc w:val="left"/>
      </w:pPr>
      <w:bookmarkStart w:name="_TOC_250007" w:id="8"/>
      <w:r>
        <w:rPr/>
        <w:t>Anträge und</w:t>
      </w:r>
      <w:r>
        <w:rPr>
          <w:spacing w:val="-10"/>
        </w:rPr>
        <w:t> </w:t>
      </w:r>
      <w:bookmarkEnd w:id="8"/>
      <w:r>
        <w:rPr/>
        <w:t>Gespräche</w:t>
      </w:r>
    </w:p>
    <w:p>
      <w:pPr>
        <w:pStyle w:val="BodyText"/>
        <w:spacing w:line="360" w:lineRule="auto" w:before="199"/>
        <w:ind w:right="101"/>
      </w:pPr>
      <w:r>
        <w:rPr/>
        <w:t>Anträge sind von Montag bis Freitag bis spätestens 06.30 Uhr in den Briefkasten im Erd- geschoss einzuwerfen. Stellen Sie </w:t>
      </w:r>
      <w:r>
        <w:rPr>
          <w:u w:val="single"/>
        </w:rPr>
        <w:t>Anträge bitte rechtzeitig</w:t>
      </w:r>
      <w:r>
        <w:rPr/>
        <w:t>, da eine sorgfältige Prüfung und Bearbeitung Zeit erfordert. Bei auftretenden Problemen, aber auch mit Anregungen und Wünschen wenden Sie sich bitte direkt an die Bediensteten, bevor „das Kind in den Brunnen gefallen ist“. Mit der Vollzugsleitung, Vollzugabteilungsleitung und den Bediens- teten des Allgemeinen Vollzugsdienstes (AVD) können Sie je nach Problemlage Gespräche führen und Lösungen finden.</w:t>
      </w:r>
    </w:p>
    <w:p>
      <w:pPr>
        <w:pStyle w:val="BodyText"/>
        <w:spacing w:before="222"/>
      </w:pPr>
      <w:r>
        <w:rPr/>
        <w:t>Die Abteilungsleitung ist in der Regel von Montag bis Freitag in der Zeit von 07.30 Uhr bis</w:t>
      </w:r>
    </w:p>
    <w:p>
      <w:pPr>
        <w:pStyle w:val="BodyText"/>
        <w:spacing w:line="360" w:lineRule="auto" w:before="169"/>
        <w:ind w:right="154"/>
      </w:pPr>
      <w:r>
        <w:rPr/>
        <w:t>16.00 Uhr im Dienst. Wenn sie außerhalb dieser Zeiten dringend ein Gespräch benötigen, melden Sie sich bei den Bediensteten des AVD.</w:t>
      </w:r>
    </w:p>
    <w:p>
      <w:pPr>
        <w:pStyle w:val="BodyText"/>
        <w:spacing w:before="8"/>
        <w:ind w:left="0"/>
        <w:rPr>
          <w:sz w:val="23"/>
        </w:rPr>
      </w:pPr>
    </w:p>
    <w:p>
      <w:pPr>
        <w:pStyle w:val="Heading1"/>
        <w:numPr>
          <w:ilvl w:val="0"/>
          <w:numId w:val="2"/>
        </w:numPr>
        <w:tabs>
          <w:tab w:pos="433" w:val="left" w:leader="none"/>
        </w:tabs>
        <w:spacing w:line="240" w:lineRule="auto" w:before="0" w:after="0"/>
        <w:ind w:left="432" w:right="0" w:hanging="319"/>
        <w:jc w:val="left"/>
      </w:pPr>
      <w:bookmarkStart w:name="_TOC_250006" w:id="9"/>
      <w:bookmarkEnd w:id="9"/>
      <w:r>
        <w:rPr/>
        <w:t>Besuchsregelung</w:t>
      </w:r>
    </w:p>
    <w:p>
      <w:pPr>
        <w:pStyle w:val="BodyText"/>
        <w:spacing w:line="360" w:lineRule="auto" w:before="199"/>
        <w:ind w:right="123"/>
      </w:pPr>
      <w:r>
        <w:rPr/>
        <w:t>Wenn Sie sich </w:t>
      </w:r>
      <w:r>
        <w:rPr>
          <w:u w:val="single"/>
        </w:rPr>
        <w:t>nicht </w:t>
      </w:r>
      <w:r>
        <w:rPr/>
        <w:t>in der Ausgangs- und Langzeitausgangsregelung befinden, können Sie wöchentlich eine Stunde Besuch erhalten. Anträge auf Besuch müssen 3 Tage im Voraus gestellt werden. Auf dem Antrag sind alle Besucher/innen namentlich aufzuführen. Der</w:t>
      </w:r>
    </w:p>
    <w:p>
      <w:pPr>
        <w:spacing w:after="0" w:line="360" w:lineRule="auto"/>
        <w:sectPr>
          <w:pgSz w:w="11910" w:h="16840"/>
          <w:pgMar w:header="0" w:footer="294" w:top="540" w:bottom="480" w:left="1020" w:right="460"/>
        </w:sectPr>
      </w:pPr>
    </w:p>
    <w:p>
      <w:pPr>
        <w:pStyle w:val="BodyText"/>
        <w:spacing w:line="360" w:lineRule="auto" w:before="30"/>
        <w:ind w:right="234"/>
      </w:pPr>
      <w:r>
        <w:rPr/>
        <w:t>Besuch findet grundsätzlich samstags und sonntags von 13.00 – 16.00 Uhr statt (aber nicht an gesetzl. Feiertagen). Die Bediensteten teilen Ihnen die genaue Uhrzeit für Ihren Besuch mit. Es werden maximal 3 erwachsene Personen pro Besuch zugelassen. Minder- jährige, die das 14. Lebensjahr noch nicht vollendet haben, können zusätzlich zugelassen werden. Besuche werden nur durchgeführt, wenn ein gültiges Personaldokument vor- liegt, dies gilt auch für Kinder ab dem 1. Lebensjahr.</w:t>
      </w:r>
    </w:p>
    <w:p>
      <w:pPr>
        <w:pStyle w:val="BodyText"/>
        <w:spacing w:line="360" w:lineRule="auto"/>
        <w:ind w:right="295"/>
      </w:pPr>
      <w:r>
        <w:rPr/>
        <w:t>Kinder ohne Begleitung Erwachsener dürfen ab dem 14. Lebensjahr zu Besuch kommen, wenn eine schriftliche Einverständniserklärung des Erziehungsberechtigten und dessen Personaldokument vorliegen.</w:t>
      </w:r>
    </w:p>
    <w:p>
      <w:pPr>
        <w:pStyle w:val="BodyText"/>
        <w:spacing w:line="360" w:lineRule="auto"/>
        <w:ind w:right="171"/>
      </w:pPr>
      <w:r>
        <w:rPr/>
        <w:t>Das Einbringen von Lebensmitteln, Kosmetika und Tabak zum Besuch durch Ihre Angehö- rigen ist erlaubt. Die Menge darf 2 Standardeinkaufstaschen (38 x 45 cm) nicht überstei- gen. Getränkepacks werden nicht zu dieser Menge gerechnet.</w:t>
      </w:r>
    </w:p>
    <w:p>
      <w:pPr>
        <w:pStyle w:val="BodyText"/>
        <w:spacing w:line="360" w:lineRule="auto"/>
        <w:ind w:right="1359"/>
      </w:pPr>
      <w:r>
        <w:rPr/>
        <w:t>Das Mitbringen von Haustieren (Hunde, Katzen, etc.) zum Besuch ist verboten! </w:t>
      </w:r>
      <w:r>
        <w:rPr>
          <w:u w:val="single"/>
        </w:rPr>
        <w:t>Es dürfen weder Alkohol noch Drogen o.ä. eingebracht werden.</w:t>
      </w:r>
    </w:p>
    <w:p>
      <w:pPr>
        <w:pStyle w:val="BodyText"/>
        <w:ind w:left="0"/>
        <w:rPr>
          <w:sz w:val="21"/>
        </w:rPr>
      </w:pPr>
    </w:p>
    <w:p>
      <w:pPr>
        <w:pStyle w:val="Heading1"/>
        <w:numPr>
          <w:ilvl w:val="0"/>
          <w:numId w:val="2"/>
        </w:numPr>
        <w:tabs>
          <w:tab w:pos="433" w:val="left" w:leader="none"/>
        </w:tabs>
        <w:spacing w:line="240" w:lineRule="auto" w:before="35" w:after="0"/>
        <w:ind w:left="432" w:right="0" w:hanging="319"/>
        <w:jc w:val="left"/>
      </w:pPr>
      <w:bookmarkStart w:name="_TOC_250005" w:id="10"/>
      <w:bookmarkEnd w:id="10"/>
      <w:r>
        <w:rPr/>
        <w:t>Behördentermine</w:t>
      </w:r>
    </w:p>
    <w:p>
      <w:pPr>
        <w:pStyle w:val="BodyText"/>
        <w:spacing w:line="360" w:lineRule="auto" w:before="197"/>
        <w:ind w:right="101"/>
      </w:pPr>
      <w:r>
        <w:rPr/>
        <w:t>Sie können innerhalb ihres Dauerausganges (siehe Nr. 12) Behördentermine wahrneh- men. Von und in der Anstalt beschäftigte Gefangene / Sicherungsverwahrte sind gehal- ten, außerhalb der vorgesehenen Arbeitszeit die Behördentermine wahrzunehmen. Soll- ten Sie sich noch nicht in der Ausgangsregelung befinden, werden Sie zu wichtigen Behör- denterminen (z.B. Gericht) durch den Fahrdienst der JVA Lübeck vorgeführt.</w:t>
      </w:r>
    </w:p>
    <w:p>
      <w:pPr>
        <w:pStyle w:val="BodyText"/>
        <w:spacing w:before="8"/>
        <w:ind w:left="0"/>
        <w:rPr>
          <w:sz w:val="23"/>
        </w:rPr>
      </w:pPr>
    </w:p>
    <w:p>
      <w:pPr>
        <w:pStyle w:val="Heading1"/>
        <w:numPr>
          <w:ilvl w:val="0"/>
          <w:numId w:val="2"/>
        </w:numPr>
        <w:tabs>
          <w:tab w:pos="594" w:val="left" w:leader="none"/>
        </w:tabs>
        <w:spacing w:line="240" w:lineRule="auto" w:before="0" w:after="0"/>
        <w:ind w:left="593" w:right="0" w:hanging="480"/>
        <w:jc w:val="left"/>
      </w:pPr>
      <w:bookmarkStart w:name="_TOC_250004" w:id="11"/>
      <w:r>
        <w:rPr/>
        <w:t>Freies</w:t>
      </w:r>
      <w:r>
        <w:rPr>
          <w:spacing w:val="-14"/>
        </w:rPr>
        <w:t> </w:t>
      </w:r>
      <w:bookmarkEnd w:id="11"/>
      <w:r>
        <w:rPr/>
        <w:t>Beschäftigungsverhältnis</w:t>
      </w:r>
    </w:p>
    <w:p>
      <w:pPr>
        <w:pStyle w:val="BodyText"/>
        <w:spacing w:line="360" w:lineRule="auto" w:before="199"/>
        <w:ind w:right="98"/>
      </w:pPr>
      <w:r>
        <w:rPr/>
        <w:t>Wenn Sie durch die Abteilungsleitung die Genehmigung erhalten, sich einen Arbeits- oder Ausbildungsplatz zu suchen, sprechen Sie die Bedingungen hierzu vorher mit den Be- diensteten ab. Sie müssen auf einem hierfür vorgehaltenen Vordruck den Namen des Ar- beitgebers/ der Arbeitgeberin sowie den Namen eines möglichen Ansprechpartners/ ei- ner möglichen Ansprechpartnerin angeben. Die Genehmigung zur Arbeitsaufnahme wird erst erteilt, wenn der Arbeitsplatz durch Bedienstete geprüft wurde und keine Anhalts- punkte vorliegen, die gegen eine Arbeitsaufnahme sprechen.</w:t>
      </w:r>
    </w:p>
    <w:p>
      <w:pPr>
        <w:spacing w:after="0" w:line="360" w:lineRule="auto"/>
        <w:sectPr>
          <w:footerReference w:type="default" r:id="rId6"/>
          <w:pgSz w:w="11910" w:h="16840"/>
          <w:pgMar w:footer="294" w:header="0" w:top="520" w:bottom="480" w:left="1020" w:right="460"/>
        </w:sectPr>
      </w:pPr>
    </w:p>
    <w:p>
      <w:pPr>
        <w:pStyle w:val="BodyText"/>
        <w:spacing w:line="360" w:lineRule="auto" w:before="30"/>
        <w:ind w:right="107"/>
      </w:pPr>
      <w:r>
        <w:rPr/>
        <w:t>Sie dürfen erst einen Arbeits-/ Ausbildungsvertrag unterschreiben, wenn Sie die Geneh- migung zur Arbeits-/ Ausbildungsaufnahme haben. Klären Sie im Vorfeld ab, wie Sie Ihren Arbeits-/ Ausbildungsplatz erreichen werden. Änderungen bei Arbeitsort, Arbeitszeiten usw. haben Sie </w:t>
      </w:r>
      <w:r>
        <w:rPr>
          <w:u w:val="single"/>
        </w:rPr>
        <w:t>unverzüglich </w:t>
      </w:r>
      <w:r>
        <w:rPr/>
        <w:t>und </w:t>
      </w:r>
      <w:r>
        <w:rPr>
          <w:u w:val="single"/>
        </w:rPr>
        <w:t>unaufgefordert </w:t>
      </w:r>
      <w:r>
        <w:rPr/>
        <w:t>den Bediensteten mitzuteilen. Um Ihren Arbeits-/ Ausbildungsplatz zu erreichen und für die Rückkehr in die Anstalt stehen Ihnen pro Arbeitstag max. 3 Stunden zur Verfügung.</w:t>
      </w:r>
    </w:p>
    <w:p>
      <w:pPr>
        <w:pStyle w:val="BodyText"/>
        <w:spacing w:line="360" w:lineRule="auto"/>
        <w:ind w:right="240"/>
      </w:pPr>
      <w:r>
        <w:rPr/>
        <w:t>Der Arbeits-/ Ausbildungsplatz wird durch die Bediensteten ohne Vorankündigung unre- gelmäßig kontrolliert (Freigangskontrolle).</w:t>
      </w:r>
    </w:p>
    <w:p>
      <w:pPr>
        <w:pStyle w:val="BodyText"/>
        <w:spacing w:line="360" w:lineRule="auto"/>
        <w:ind w:right="297"/>
        <w:jc w:val="both"/>
      </w:pPr>
      <w:r>
        <w:rPr/>
        <w:t>Wenn Sie im Freigang sind, müssen Sie ständig per Handy erreichbar sein oder bei kurz- zeitiger Nichterreichbarkeit, im Falle eines Anrufes durch die JVA, baldmöglichst zurück- rufen.</w:t>
      </w:r>
    </w:p>
    <w:p>
      <w:pPr>
        <w:pStyle w:val="BodyText"/>
        <w:spacing w:line="360" w:lineRule="auto" w:before="3"/>
        <w:ind w:right="271"/>
      </w:pPr>
      <w:r>
        <w:rPr/>
        <w:t>Ein Arbeitsplatzwechsel muss vorher mit der Abteilungsleitung abgesprochen werden. Sofern Sie als Freigänger eine ärztliche Krankschreibung haben, ist eine Kopie davon un- verzüglich bei den Bediensteten des offenen Vollzugs vorzulegen.</w:t>
      </w:r>
    </w:p>
    <w:p>
      <w:pPr>
        <w:pStyle w:val="BodyText"/>
        <w:spacing w:line="360" w:lineRule="auto"/>
        <w:ind w:right="208"/>
        <w:jc w:val="both"/>
      </w:pPr>
      <w:r>
        <w:rPr/>
        <w:t>Sofern Sie aus einer Lockerung (Ausgang / Langzeitausgang) zur Arbeit oder nach der Ar- beit in eine Lockerung (Ausgang / Langzeitausgang) gehen, haben Sie sich telefonisch bei den Stationsbediensteten zu melden, damit diese Sie umbuchen können.</w:t>
      </w:r>
    </w:p>
    <w:p>
      <w:pPr>
        <w:pStyle w:val="BodyText"/>
        <w:spacing w:before="10"/>
        <w:ind w:left="0"/>
        <w:rPr>
          <w:sz w:val="23"/>
        </w:rPr>
      </w:pPr>
    </w:p>
    <w:p>
      <w:pPr>
        <w:pStyle w:val="Heading1"/>
        <w:numPr>
          <w:ilvl w:val="0"/>
          <w:numId w:val="2"/>
        </w:numPr>
        <w:tabs>
          <w:tab w:pos="594" w:val="left" w:leader="none"/>
        </w:tabs>
        <w:spacing w:line="240" w:lineRule="auto" w:before="0" w:after="0"/>
        <w:ind w:left="593" w:right="0" w:hanging="480"/>
        <w:jc w:val="left"/>
      </w:pPr>
      <w:r>
        <w:rPr/>
        <w:t>Kostenbeteiligungen</w:t>
      </w:r>
    </w:p>
    <w:p>
      <w:pPr>
        <w:pStyle w:val="BodyText"/>
        <w:spacing w:line="360" w:lineRule="auto" w:before="197"/>
        <w:ind w:right="184"/>
      </w:pPr>
      <w:r>
        <w:rPr/>
        <w:t>Wenn sie im freien Beschäftigungsverhältnis stehen, sich selbst beschäftigen oder über anderweitige regelmäßige Einkünfte verfügen, sind Strafgefangene zur Entrichtung eines Haftkostenbeitrages verpflichtet (§ 78 LStVollzG SH). Abhängig von der Verdiensthöhe bzw. Höhe der Versorgung erfolgt eine Staffelung des Haftkostenbeitrages.</w:t>
      </w:r>
    </w:p>
    <w:p>
      <w:pPr>
        <w:pStyle w:val="BodyText"/>
        <w:spacing w:before="11"/>
        <w:ind w:left="0"/>
        <w:rPr>
          <w:sz w:val="20"/>
        </w:rPr>
      </w:pPr>
    </w:p>
    <w:p>
      <w:pPr>
        <w:pStyle w:val="BodyText"/>
        <w:spacing w:line="360" w:lineRule="auto"/>
        <w:ind w:right="221"/>
      </w:pPr>
      <w:r>
        <w:rPr/>
        <w:t>Wenn Sie außerhalb des geregelten Grundbedarfes elektrische Geräte besitzen (DVD- Player, Handy, Laptop, Playstation etc.), werden Sie an den Stromkosten beteiligt. Nähe- res ist bei den Bediensteten zu erfragen oder den Aushängen zu entnehmen.</w:t>
      </w:r>
    </w:p>
    <w:p>
      <w:pPr>
        <w:pStyle w:val="BodyText"/>
        <w:spacing w:before="7"/>
        <w:ind w:left="0"/>
        <w:rPr>
          <w:sz w:val="23"/>
        </w:rPr>
      </w:pPr>
    </w:p>
    <w:p>
      <w:pPr>
        <w:pStyle w:val="Heading1"/>
        <w:numPr>
          <w:ilvl w:val="0"/>
          <w:numId w:val="2"/>
        </w:numPr>
        <w:tabs>
          <w:tab w:pos="594" w:val="left" w:leader="none"/>
        </w:tabs>
        <w:spacing w:line="240" w:lineRule="auto" w:before="0" w:after="0"/>
        <w:ind w:left="593" w:right="0" w:hanging="480"/>
        <w:jc w:val="left"/>
      </w:pPr>
      <w:bookmarkStart w:name="_TOC_250003" w:id="12"/>
      <w:r>
        <w:rPr/>
        <w:t>Benutzung eigener und überlassener</w:t>
      </w:r>
      <w:r>
        <w:rPr>
          <w:spacing w:val="-20"/>
        </w:rPr>
        <w:t> </w:t>
      </w:r>
      <w:bookmarkEnd w:id="12"/>
      <w:r>
        <w:rPr/>
        <w:t>Kfz</w:t>
      </w:r>
    </w:p>
    <w:p>
      <w:pPr>
        <w:pStyle w:val="BodyText"/>
        <w:spacing w:line="360" w:lineRule="auto" w:before="196"/>
        <w:ind w:right="177"/>
      </w:pPr>
      <w:r>
        <w:rPr/>
        <w:t>Sofern Sie beabsichtigen, ein eigenes bzw. ein Ihnen zur Verfügung gestelltes Kraftfahr- zeug jeglicher Art zu nutzen, ist </w:t>
      </w:r>
      <w:r>
        <w:rPr>
          <w:u w:val="single"/>
        </w:rPr>
        <w:t>vorher </w:t>
      </w:r>
      <w:r>
        <w:rPr/>
        <w:t>die Genehmigung durch den OV einzuholen. Dazu</w:t>
      </w:r>
    </w:p>
    <w:p>
      <w:pPr>
        <w:spacing w:after="0" w:line="360" w:lineRule="auto"/>
        <w:sectPr>
          <w:footerReference w:type="default" r:id="rId7"/>
          <w:pgSz w:w="11910" w:h="16840"/>
          <w:pgMar w:footer="294" w:header="0" w:top="520" w:bottom="480" w:left="1020" w:right="500"/>
          <w:pgNumType w:start="11"/>
        </w:sectPr>
      </w:pPr>
    </w:p>
    <w:p>
      <w:pPr>
        <w:pStyle w:val="BodyText"/>
        <w:spacing w:line="360" w:lineRule="auto" w:before="30"/>
        <w:ind w:right="144"/>
      </w:pPr>
      <w:r>
        <w:rPr/>
        <w:t>geben Sie in schriftlicher Form den Halter, das Fabrikat und die Farbe, das amtliche Kenn- zeichen sowie die Fahrzeugversicherung und den Einzahler für die Kfz-Steuer an. Eben- falls müssen Sie die Zulassungsbescheinigung Teil I (früher Fahrzeugschein), die Zulas- sungsbescheinigung Teil II (früher Fahrzeugbrief) und Ihren Führerschein vorlegen, diese werden in Kopie verwahrt. Alle Änderungen (z. B. anderes KFZ oder anderes Kennzei- chen) sind unaufgefordert und umgehend bekannt zu geben.</w:t>
      </w:r>
    </w:p>
    <w:p>
      <w:pPr>
        <w:pStyle w:val="BodyText"/>
      </w:pPr>
      <w:r>
        <w:rPr/>
        <w:t>Ihr Fahrzeug haben Sie generell auf dem Besucherparkplatz der JVA abzustellen.</w:t>
      </w:r>
    </w:p>
    <w:p>
      <w:pPr>
        <w:pStyle w:val="BodyText"/>
        <w:spacing w:before="10"/>
        <w:ind w:left="0"/>
        <w:rPr>
          <w:sz w:val="37"/>
        </w:rPr>
      </w:pPr>
    </w:p>
    <w:p>
      <w:pPr>
        <w:pStyle w:val="Heading1"/>
        <w:numPr>
          <w:ilvl w:val="0"/>
          <w:numId w:val="2"/>
        </w:numPr>
        <w:tabs>
          <w:tab w:pos="594" w:val="left" w:leader="none"/>
        </w:tabs>
        <w:spacing w:line="240" w:lineRule="auto" w:before="0" w:after="0"/>
        <w:ind w:left="593" w:right="0" w:hanging="480"/>
        <w:jc w:val="left"/>
      </w:pPr>
      <w:r>
        <w:rPr/>
        <w:t>Lockerungen in Form von Ausgang gemäß § 55 Abs. 1 Nr. 2 LStVollzG SH</w:t>
      </w:r>
      <w:r>
        <w:rPr>
          <w:spacing w:val="-20"/>
        </w:rPr>
        <w:t> </w:t>
      </w:r>
      <w:r>
        <w:rPr/>
        <w:t>/</w:t>
      </w:r>
    </w:p>
    <w:p>
      <w:pPr>
        <w:pStyle w:val="Heading1"/>
        <w:spacing w:before="195"/>
        <w:ind w:left="113" w:firstLine="0"/>
      </w:pPr>
      <w:bookmarkStart w:name="_TOC_250002" w:id="13"/>
      <w:bookmarkEnd w:id="13"/>
      <w:r>
        <w:rPr/>
        <w:t>§ 41 Abs. 1 Nr. 2 SVVollzG SH</w:t>
      </w:r>
    </w:p>
    <w:p>
      <w:pPr>
        <w:pStyle w:val="BodyText"/>
        <w:spacing w:line="360" w:lineRule="auto" w:before="198"/>
        <w:ind w:right="184"/>
      </w:pPr>
      <w:r>
        <w:rPr/>
        <w:t>Die Entscheidung, ab wann Sie Ausgang erhalten, erfolgt durch die Abteilungsleitung und die Vollzugsleitung.</w:t>
      </w:r>
    </w:p>
    <w:p>
      <w:pPr>
        <w:pStyle w:val="BodyText"/>
        <w:spacing w:before="11"/>
        <w:ind w:left="0"/>
        <w:rPr>
          <w:sz w:val="41"/>
        </w:rPr>
      </w:pPr>
    </w:p>
    <w:p>
      <w:pPr>
        <w:pStyle w:val="Heading2"/>
        <w:numPr>
          <w:ilvl w:val="1"/>
          <w:numId w:val="2"/>
        </w:numPr>
        <w:tabs>
          <w:tab w:pos="675" w:val="left" w:leader="none"/>
        </w:tabs>
        <w:spacing w:line="240" w:lineRule="auto" w:before="0" w:after="0"/>
        <w:ind w:left="674" w:right="0" w:hanging="561"/>
        <w:jc w:val="left"/>
      </w:pPr>
      <w:r>
        <w:rPr/>
        <w:t>– Ausgang ohne</w:t>
      </w:r>
      <w:r>
        <w:rPr>
          <w:spacing w:val="-6"/>
        </w:rPr>
        <w:t> </w:t>
      </w:r>
      <w:r>
        <w:rPr/>
        <w:t>Übernachtung</w:t>
      </w:r>
    </w:p>
    <w:p>
      <w:pPr>
        <w:pStyle w:val="BodyText"/>
        <w:spacing w:line="360" w:lineRule="auto" w:before="168"/>
        <w:ind w:right="275"/>
      </w:pPr>
      <w:r>
        <w:rPr/>
        <w:t>Wenn Sie ausgangsberechtigt sind, erhalten Sie von der Abteilungsleitung ein Monats- kontingent Ausgangsstunden zur freien Verfügung. Für einen Ausgang muss in diesem Fall anschließend kein schriftlicher Antrag mehr gestellt werden, da es sich um den sog. Dauerausgang handelt. Diese Art von Ausgang (Dauerausgang) ist auch aus organisatori- schen Gründen grundsätzlich auf einmal am Vormittag und einmal am Nachmittag be- schränkt.  Sie erhalten in der Regel</w:t>
      </w:r>
    </w:p>
    <w:p>
      <w:pPr>
        <w:pStyle w:val="BodyText"/>
        <w:spacing w:line="340" w:lineRule="exact"/>
      </w:pPr>
      <w:r>
        <w:rPr/>
        <w:t>im 1. Monat 40 Std.,</w:t>
      </w:r>
    </w:p>
    <w:p>
      <w:pPr>
        <w:pStyle w:val="BodyText"/>
        <w:spacing w:before="172"/>
      </w:pPr>
      <w:r>
        <w:rPr/>
        <w:t>im 2. Monat 60 Std.</w:t>
      </w:r>
    </w:p>
    <w:p>
      <w:pPr>
        <w:pStyle w:val="BodyText"/>
        <w:spacing w:before="169"/>
      </w:pPr>
      <w:r>
        <w:rPr/>
        <w:t>ab dem 3. Monat 80 Std. Ausgang monatlich.</w:t>
      </w:r>
    </w:p>
    <w:p>
      <w:pPr>
        <w:pStyle w:val="BodyText"/>
        <w:spacing w:line="360" w:lineRule="auto" w:before="172"/>
        <w:ind w:right="97"/>
      </w:pPr>
      <w:r>
        <w:rPr/>
        <w:t>Mit den Ihnen gewährten Ausgangsstunden müssen Sie alle geplanten Vorhaben erledi- gen (Behördengänge, Vorstellungsgespräche, Arzttermine, aber auch Gespräche mit der Resohilfe, Rechtsanwälten o. ä.). Wenn Sie Ihre Ausgangsstunden in Anspruch nehmen möchten, melden Sie sich kurz vor Ausgangsantritt im Stationsbüro. Dort geben Sie Ihre gewünschte Ausgangszeit an, diese wird dann auf dem Dauerausgangsschein und in der Abwesenheitsübersicht notiert. Der Dauerausgangsschein ist von Ihnen während des Ausganges stets mitzuführen. Ausgänge können ab 07.00 Uhr beginnen, müssen bis 20.00</w:t>
      </w:r>
    </w:p>
    <w:p>
      <w:pPr>
        <w:pStyle w:val="BodyText"/>
        <w:spacing w:line="341" w:lineRule="exact"/>
      </w:pPr>
      <w:r>
        <w:rPr/>
        <w:t>Uhr angetreten und um 22.00 Uhr beendet sein.</w:t>
      </w:r>
    </w:p>
    <w:p>
      <w:pPr>
        <w:spacing w:after="0" w:line="341" w:lineRule="exact"/>
        <w:sectPr>
          <w:pgSz w:w="11910" w:h="16840"/>
          <w:pgMar w:header="0" w:footer="294" w:top="520" w:bottom="480" w:left="1020" w:right="460"/>
        </w:sectPr>
      </w:pPr>
    </w:p>
    <w:p>
      <w:pPr>
        <w:pStyle w:val="BodyText"/>
        <w:spacing w:line="360" w:lineRule="auto" w:before="30"/>
        <w:ind w:right="225"/>
        <w:jc w:val="both"/>
      </w:pPr>
      <w:r>
        <w:rPr/>
        <w:t>Sollten Sie einem freien Beschäftigungsverhältnis (Freigang) nachgehen und nach der Ar- beit Ausgang planen, so müssen Sie den gewünschten Ausgang bereits vor Arbeitsantritt im Dauerausgangsschein eintragen lassen und diesen Schein zur Arbeit mitführen.</w:t>
      </w:r>
    </w:p>
    <w:p>
      <w:pPr>
        <w:pStyle w:val="BodyText"/>
        <w:spacing w:line="360" w:lineRule="auto"/>
        <w:ind w:right="201"/>
        <w:jc w:val="both"/>
      </w:pPr>
      <w:r>
        <w:rPr/>
        <w:t>Wenn Sie von der Anstalt beschäftigt werden (Gärtnerei oder Hausarbeiten), können Sie von Montag bis Donnerstag Ihre Ausgänge ab 16.00 Uhr und am Freitag ab 12.30 Uhr an- treten.</w:t>
      </w:r>
    </w:p>
    <w:p>
      <w:pPr>
        <w:pStyle w:val="BodyText"/>
        <w:spacing w:line="360" w:lineRule="auto"/>
        <w:ind w:right="381"/>
      </w:pPr>
      <w:r>
        <w:rPr/>
        <w:t>Der Dauerausgangsschein ist bei der Rückkehr in den OV den Bediensteten im Stations- büro </w:t>
      </w:r>
      <w:r>
        <w:rPr>
          <w:u w:val="single"/>
        </w:rPr>
        <w:t>unaufgefordert </w:t>
      </w:r>
      <w:r>
        <w:rPr/>
        <w:t>auszuhändigen.</w:t>
      </w:r>
    </w:p>
    <w:p>
      <w:pPr>
        <w:pStyle w:val="BodyText"/>
        <w:spacing w:line="360" w:lineRule="auto"/>
        <w:ind w:right="337"/>
        <w:jc w:val="both"/>
      </w:pPr>
      <w:r>
        <w:rPr/>
        <w:t>Wenn Sie im Ausgang sind, müssen Sie ständig per Handy erreichbar sein oder bei kurz- zeitiger Nichterreichbarkeit, im Falle eines Anrufes durch die JVA, baldmöglichst zurück- rufen.</w:t>
      </w:r>
    </w:p>
    <w:p>
      <w:pPr>
        <w:pStyle w:val="BodyText"/>
        <w:spacing w:line="360" w:lineRule="auto" w:before="2"/>
        <w:ind w:right="199"/>
      </w:pPr>
      <w:r>
        <w:rPr/>
        <w:t>Jegliche Verzögerung oder Verspätung bei Ausgangsrückkehr haben Sie unverzüglich den Bediensteten im OV per Telefon (0451/ 6201-186 oder -187) zu melden, diese entschei- den dann, wie Sie sich zu verhalten haben und wann Sie in den OV der JVA Lübeck zu- rückkehren müssen.</w:t>
      </w:r>
    </w:p>
    <w:p>
      <w:pPr>
        <w:pStyle w:val="BodyText"/>
        <w:ind w:left="0"/>
        <w:rPr>
          <w:sz w:val="24"/>
        </w:rPr>
      </w:pPr>
    </w:p>
    <w:p>
      <w:pPr>
        <w:pStyle w:val="Heading2"/>
        <w:numPr>
          <w:ilvl w:val="1"/>
          <w:numId w:val="2"/>
        </w:numPr>
        <w:tabs>
          <w:tab w:pos="675" w:val="left" w:leader="none"/>
        </w:tabs>
        <w:spacing w:line="240" w:lineRule="auto" w:before="0" w:after="0"/>
        <w:ind w:left="674" w:right="0" w:hanging="561"/>
        <w:jc w:val="left"/>
      </w:pPr>
      <w:r>
        <w:rPr/>
        <w:t>– Ausgang mit</w:t>
      </w:r>
      <w:r>
        <w:rPr>
          <w:spacing w:val="-4"/>
        </w:rPr>
        <w:t> </w:t>
      </w:r>
      <w:r>
        <w:rPr/>
        <w:t>Übernachtung</w:t>
      </w:r>
    </w:p>
    <w:p>
      <w:pPr>
        <w:pStyle w:val="BodyText"/>
        <w:spacing w:line="360" w:lineRule="auto" w:before="169"/>
        <w:ind w:right="105"/>
      </w:pPr>
      <w:r>
        <w:rPr/>
        <w:t>Bei entsprechender Eignung können Sie bis zu viermal pro Monat einen Ausgang bis zu 24 Stunden erhalten. Auch dafür erhalten Sie einen Ausgangsschein.</w:t>
      </w:r>
    </w:p>
    <w:p>
      <w:pPr>
        <w:pStyle w:val="BodyText"/>
        <w:spacing w:line="360" w:lineRule="auto"/>
        <w:ind w:right="134"/>
      </w:pPr>
      <w:r>
        <w:rPr/>
        <w:t>Erstanträge müssen Sie mindestens 3 Wochen im Voraus schriftlich abgeben. Folgeanträge müssen schriftlich spätestens 3 Tage vor Ausgangsantritt (bis 24 Std) vorlie- gen. Ausgänge mit Übernachtung können Sie in der Zeit zwischen 7.00 Uhr und 20.00 Uhr antreten, diese enden am nächsten Tag spätestens zum Zeitpunkt des Antritts.</w:t>
      </w:r>
    </w:p>
    <w:p>
      <w:pPr>
        <w:pStyle w:val="BodyText"/>
        <w:spacing w:line="360" w:lineRule="auto"/>
        <w:ind w:right="179"/>
      </w:pPr>
      <w:r>
        <w:rPr/>
        <w:t>Bei der ersten Antragstellung ist eine sog. „Zieladresse“ anzugeben. Sollte diese sich im Laufe der Zeit ändern, ist die neue Adresse unverzüglich an die Bediensteten mitzuteilen. Sofern Sie keine eigene Wohnung haben, ist außerdem der Vordruck „Erklärung des Un- terkunftgebers“ ausgefüllt bei den Bediensteten abzugeben. Dieser ist stets aktuell zu halten.</w:t>
      </w:r>
    </w:p>
    <w:p>
      <w:pPr>
        <w:pStyle w:val="BodyText"/>
        <w:spacing w:line="360" w:lineRule="auto"/>
        <w:ind w:right="394"/>
      </w:pPr>
      <w:r>
        <w:rPr>
          <w:u w:val="single"/>
        </w:rPr>
        <w:t>Achtung</w:t>
      </w:r>
      <w:r>
        <w:rPr/>
        <w:t>: Bei zeitlicher Überschreitung des 24 Stunden-Ausganges wird der Ausgang als Langzeitausgang (siehe unter 15.) gebucht und ggf. auch weitere Sanktionen geprüft.</w:t>
      </w:r>
    </w:p>
    <w:p>
      <w:pPr>
        <w:spacing w:after="0" w:line="360" w:lineRule="auto"/>
        <w:sectPr>
          <w:pgSz w:w="11910" w:h="16840"/>
          <w:pgMar w:header="0" w:footer="294" w:top="520" w:bottom="480" w:left="1020" w:right="460"/>
        </w:sectPr>
      </w:pPr>
    </w:p>
    <w:p>
      <w:pPr>
        <w:pStyle w:val="Heading1"/>
        <w:numPr>
          <w:ilvl w:val="0"/>
          <w:numId w:val="2"/>
        </w:numPr>
        <w:tabs>
          <w:tab w:pos="596" w:val="left" w:leader="none"/>
        </w:tabs>
        <w:spacing w:line="240" w:lineRule="auto" w:before="21" w:after="0"/>
        <w:ind w:left="595" w:right="0" w:hanging="480"/>
        <w:jc w:val="left"/>
      </w:pPr>
      <w:r>
        <w:rPr/>
        <w:t>Lockerungen in Form von Ausgang gemäß § 55 Abs. 1 Nr. 3 LStVollzG SH</w:t>
      </w:r>
      <w:r>
        <w:rPr>
          <w:spacing w:val="-20"/>
        </w:rPr>
        <w:t> </w:t>
      </w:r>
      <w:r>
        <w:rPr/>
        <w:t>/</w:t>
      </w:r>
    </w:p>
    <w:p>
      <w:pPr>
        <w:pStyle w:val="Heading1"/>
        <w:spacing w:before="195"/>
        <w:ind w:left="113" w:firstLine="0"/>
      </w:pPr>
      <w:bookmarkStart w:name="_TOC_250001" w:id="14"/>
      <w:bookmarkEnd w:id="14"/>
      <w:r>
        <w:rPr/>
        <w:t>§ 41 Abs. 1 Nr. 3 SVVollzG SH</w:t>
      </w:r>
    </w:p>
    <w:p>
      <w:pPr>
        <w:pStyle w:val="BodyText"/>
        <w:spacing w:line="360" w:lineRule="auto" w:before="199"/>
        <w:ind w:right="233"/>
      </w:pPr>
      <w:r>
        <w:rPr/>
        <w:t>Bitte wenden Sie sich rechtzeitig an die Bediensteten und erfragen Sie die Voraussetzun- gen für die Zulassung zum Langzeitausgang (LZA). Langzeitausgänge können in der Zeit zwischen 7.00 Uhr und 20.00 Uhr angetreten werden und enden am Tag der Rückkehr spätestens zum Zeitpunkt des Antritts. Der erhaltene Langzeitausgangsschein ist von Ihnen während des gesamten Langzeitausganges mitzuführen und bei Rückkehr in die JVA Lübeck </w:t>
      </w:r>
      <w:r>
        <w:rPr>
          <w:u w:val="single"/>
        </w:rPr>
        <w:t>unaufgefordert </w:t>
      </w:r>
      <w:r>
        <w:rPr/>
        <w:t>an die Bediensteten zurückzugeben.</w:t>
      </w:r>
    </w:p>
    <w:p>
      <w:pPr>
        <w:pStyle w:val="BodyText"/>
        <w:spacing w:line="360" w:lineRule="auto"/>
        <w:ind w:right="293"/>
      </w:pPr>
      <w:r>
        <w:rPr/>
        <w:t>In der Regel erhalten Sie pro Langzeitausgang maximal 5 Tage am Stück. Hintergrund ist die vom LStVollzG SH vorgesehene Anzahl von maximal 30 Tagen LZA im Vollstreckungs- jahr, d.h. durchschnittlich pro Monat 2,5 Tage. Für Sicherungsverwahrte gelten andere Regelungen.</w:t>
      </w:r>
    </w:p>
    <w:p>
      <w:pPr>
        <w:pStyle w:val="BodyText"/>
        <w:spacing w:line="360" w:lineRule="auto" w:before="2"/>
        <w:ind w:right="222"/>
      </w:pPr>
      <w:r>
        <w:rPr/>
        <w:t>Wenn Sie mehr Langzeitausgang am Stück benötigen, wenden Sie sich bitte an die Abtei- lungsleitung. Dort müssen Sie darlegen, dass dies zur Vorbereitung Ihrer Wiedereinglie- derung zwingend erforderlich ist.</w:t>
      </w:r>
    </w:p>
    <w:p>
      <w:pPr>
        <w:pStyle w:val="BodyText"/>
        <w:spacing w:line="360" w:lineRule="auto"/>
        <w:ind w:right="336"/>
      </w:pPr>
      <w:r>
        <w:rPr/>
        <w:t>Auch für den Langzeitausgang müssen sie eine Unterkunft nachweisen. Sofern sie eine eigene Wohnung haben, reicht eine Kopie des Mietvertrages. Sofern sie keine eigene Wohnung haben, muss die sie beherbergende Person die „sogenannte“ Unterkunftser- klärung abgeben. Sollte sich Ihre Langzeitausgangsanschrift ändern, haben Sie diese un- mittelbar den Bediensteten mitzuteilen. Der Vordruck „Erklärung des Unterkunftsge- bers“ ist dann umgehend zu aktualisieren und abzugeben. Folgeanträge müssen schrift- lich spätestens 3 Tage vor Antritt des Langzeitausgangs vorliegen.</w:t>
      </w:r>
    </w:p>
    <w:p>
      <w:pPr>
        <w:pStyle w:val="BodyText"/>
        <w:spacing w:before="10"/>
        <w:ind w:left="0"/>
        <w:rPr>
          <w:sz w:val="23"/>
        </w:rPr>
      </w:pPr>
    </w:p>
    <w:p>
      <w:pPr>
        <w:pStyle w:val="Heading1"/>
        <w:numPr>
          <w:ilvl w:val="0"/>
          <w:numId w:val="2"/>
        </w:numPr>
        <w:tabs>
          <w:tab w:pos="594" w:val="left" w:leader="none"/>
        </w:tabs>
        <w:spacing w:line="240" w:lineRule="auto" w:before="0" w:after="0"/>
        <w:ind w:left="593" w:right="0" w:hanging="480"/>
        <w:jc w:val="left"/>
      </w:pPr>
      <w:bookmarkStart w:name="_TOC_250000" w:id="15"/>
      <w:r>
        <w:rPr/>
        <w:t>Beschwerden und</w:t>
      </w:r>
      <w:r>
        <w:rPr>
          <w:spacing w:val="-11"/>
        </w:rPr>
        <w:t> </w:t>
      </w:r>
      <w:bookmarkEnd w:id="15"/>
      <w:r>
        <w:rPr/>
        <w:t>Rechtsbehelfe</w:t>
      </w:r>
    </w:p>
    <w:p>
      <w:pPr>
        <w:pStyle w:val="BodyText"/>
        <w:spacing w:line="360" w:lineRule="auto" w:before="196"/>
        <w:ind w:right="321"/>
      </w:pPr>
      <w:r>
        <w:rPr/>
        <w:t>An dieser Stelle wird, um Wiederholungen zu vermeiden, auf den Ihnen bereits bekann- ten Inhalt der Hausordnung der JVA Lübeck und dort Nr. 26 verwiesen.</w:t>
      </w:r>
    </w:p>
    <w:p>
      <w:pPr>
        <w:pStyle w:val="BodyText"/>
        <w:ind w:left="0"/>
      </w:pPr>
    </w:p>
    <w:p>
      <w:pPr>
        <w:pStyle w:val="BodyText"/>
        <w:ind w:left="0"/>
      </w:pPr>
    </w:p>
    <w:p>
      <w:pPr>
        <w:pStyle w:val="BodyText"/>
        <w:spacing w:before="195"/>
      </w:pPr>
      <w:r>
        <w:rPr/>
        <w:t>gez. Börn, Vollzugsleiterin -OV-</w:t>
      </w:r>
    </w:p>
    <w:sectPr>
      <w:pgSz w:w="11910" w:h="16840"/>
      <w:pgMar w:header="0" w:footer="294" w:top="820" w:bottom="480" w:left="1020" w:right="4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type id="_x0000_t202" o:spt="202" coordsize="21600,21600" path="m,l,21600r21600,l21600,xe">
          <v:stroke joinstyle="miter"/>
          <v:path gradientshapeok="t" o:connecttype="rect"/>
        </v:shapetype>
        <v:shape style="position:absolute;margin-left:306.829987pt;margin-top:816.200012pt;width:10.1pt;height:14pt;mso-position-horizontal-relative:page;mso-position-vertical-relative:page;z-index:-8488" type="#_x0000_t202" filled="false" stroked="false">
          <v:textbox inset="0,0,0,0">
            <w:txbxContent>
              <w:p>
                <w:pPr>
                  <w:spacing w:line="264" w:lineRule="exact" w:before="0"/>
                  <w:ind w:left="40" w:right="0" w:firstLine="0"/>
                  <w:jc w:val="left"/>
                  <w:rPr>
                    <w:sz w:val="24"/>
                  </w:rPr>
                </w:pPr>
                <w:r>
                  <w:rPr/>
                  <w:fldChar w:fldCharType="begin"/>
                </w:r>
                <w:r>
                  <w:rPr>
                    <w:sz w:val="24"/>
                  </w:rPr>
                  <w:instrText> PAGE </w:instrText>
                </w:r>
                <w:r>
                  <w:rPr/>
                  <w:fldChar w:fldCharType="separate"/>
                </w:r>
                <w:r>
                  <w:rPr/>
                  <w:t>2</w:t>
                </w:r>
                <w:r>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304.829987pt;margin-top:816.200012pt;width:14.25pt;height:14pt;mso-position-horizontal-relative:page;mso-position-vertical-relative:page;z-index:-8464" type="#_x0000_t202" filled="false" stroked="false">
          <v:textbox inset="0,0,0,0">
            <w:txbxContent>
              <w:p>
                <w:pPr>
                  <w:spacing w:line="264" w:lineRule="exact" w:before="0"/>
                  <w:ind w:left="20" w:right="0" w:firstLine="0"/>
                  <w:jc w:val="left"/>
                  <w:rPr>
                    <w:sz w:val="24"/>
                  </w:rPr>
                </w:pPr>
                <w:r>
                  <w:rPr>
                    <w:sz w:val="24"/>
                  </w:rPr>
                  <w:t>10</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303.829987pt;margin-top:816.200012pt;width:16.25pt;height:14pt;mso-position-horizontal-relative:page;mso-position-vertical-relative:page;z-index:-8440" type="#_x0000_t202" filled="false" stroked="false">
          <v:textbox inset="0,0,0,0">
            <w:txbxContent>
              <w:p>
                <w:pPr>
                  <w:spacing w:line="264" w:lineRule="exact" w:before="0"/>
                  <w:ind w:left="40" w:right="0" w:firstLine="0"/>
                  <w:jc w:val="left"/>
                  <w:rPr>
                    <w:sz w:val="24"/>
                  </w:rPr>
                </w:pPr>
                <w:r>
                  <w:rPr/>
                  <w:fldChar w:fldCharType="begin"/>
                </w:r>
                <w:r>
                  <w:rPr>
                    <w:sz w:val="24"/>
                  </w:rPr>
                  <w:instrText> PAGE </w:instrText>
                </w:r>
                <w:r>
                  <w:rPr/>
                  <w:fldChar w:fldCharType="separate"/>
                </w:r>
                <w:r>
                  <w:rPr/>
                  <w:t>11</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lowerLetter"/>
      <w:lvlText w:val="%1)"/>
      <w:lvlJc w:val="left"/>
      <w:pPr>
        <w:ind w:left="113" w:hanging="281"/>
        <w:jc w:val="left"/>
      </w:pPr>
      <w:rPr>
        <w:rFonts w:hint="default" w:ascii="Calibri" w:hAnsi="Calibri" w:eastAsia="Calibri" w:cs="Calibri"/>
        <w:w w:val="100"/>
        <w:sz w:val="28"/>
        <w:szCs w:val="28"/>
      </w:rPr>
    </w:lvl>
    <w:lvl w:ilvl="1">
      <w:start w:val="0"/>
      <w:numFmt w:val="bullet"/>
      <w:lvlText w:val="•"/>
      <w:lvlJc w:val="left"/>
      <w:pPr>
        <w:ind w:left="1150" w:hanging="281"/>
      </w:pPr>
      <w:rPr>
        <w:rFonts w:hint="default"/>
      </w:rPr>
    </w:lvl>
    <w:lvl w:ilvl="2">
      <w:start w:val="0"/>
      <w:numFmt w:val="bullet"/>
      <w:lvlText w:val="•"/>
      <w:lvlJc w:val="left"/>
      <w:pPr>
        <w:ind w:left="2181" w:hanging="281"/>
      </w:pPr>
      <w:rPr>
        <w:rFonts w:hint="default"/>
      </w:rPr>
    </w:lvl>
    <w:lvl w:ilvl="3">
      <w:start w:val="0"/>
      <w:numFmt w:val="bullet"/>
      <w:lvlText w:val="•"/>
      <w:lvlJc w:val="left"/>
      <w:pPr>
        <w:ind w:left="3211" w:hanging="281"/>
      </w:pPr>
      <w:rPr>
        <w:rFonts w:hint="default"/>
      </w:rPr>
    </w:lvl>
    <w:lvl w:ilvl="4">
      <w:start w:val="0"/>
      <w:numFmt w:val="bullet"/>
      <w:lvlText w:val="•"/>
      <w:lvlJc w:val="left"/>
      <w:pPr>
        <w:ind w:left="4242" w:hanging="281"/>
      </w:pPr>
      <w:rPr>
        <w:rFonts w:hint="default"/>
      </w:rPr>
    </w:lvl>
    <w:lvl w:ilvl="5">
      <w:start w:val="0"/>
      <w:numFmt w:val="bullet"/>
      <w:lvlText w:val="•"/>
      <w:lvlJc w:val="left"/>
      <w:pPr>
        <w:ind w:left="5273" w:hanging="281"/>
      </w:pPr>
      <w:rPr>
        <w:rFonts w:hint="default"/>
      </w:rPr>
    </w:lvl>
    <w:lvl w:ilvl="6">
      <w:start w:val="0"/>
      <w:numFmt w:val="bullet"/>
      <w:lvlText w:val="•"/>
      <w:lvlJc w:val="left"/>
      <w:pPr>
        <w:ind w:left="6303" w:hanging="281"/>
      </w:pPr>
      <w:rPr>
        <w:rFonts w:hint="default"/>
      </w:rPr>
    </w:lvl>
    <w:lvl w:ilvl="7">
      <w:start w:val="0"/>
      <w:numFmt w:val="bullet"/>
      <w:lvlText w:val="•"/>
      <w:lvlJc w:val="left"/>
      <w:pPr>
        <w:ind w:left="7334" w:hanging="281"/>
      </w:pPr>
      <w:rPr>
        <w:rFonts w:hint="default"/>
      </w:rPr>
    </w:lvl>
    <w:lvl w:ilvl="8">
      <w:start w:val="0"/>
      <w:numFmt w:val="bullet"/>
      <w:lvlText w:val="•"/>
      <w:lvlJc w:val="left"/>
      <w:pPr>
        <w:ind w:left="8365" w:hanging="281"/>
      </w:pPr>
      <w:rPr>
        <w:rFonts w:hint="default"/>
      </w:rPr>
    </w:lvl>
  </w:abstractNum>
  <w:abstractNum w:abstractNumId="2">
    <w:multiLevelType w:val="hybridMultilevel"/>
    <w:lvl w:ilvl="0">
      <w:start w:val="1"/>
      <w:numFmt w:val="lowerLetter"/>
      <w:lvlText w:val="%1)"/>
      <w:lvlJc w:val="left"/>
      <w:pPr>
        <w:ind w:left="113" w:hanging="281"/>
        <w:jc w:val="left"/>
      </w:pPr>
      <w:rPr>
        <w:rFonts w:hint="default" w:ascii="Calibri" w:hAnsi="Calibri" w:eastAsia="Calibri" w:cs="Calibri"/>
        <w:w w:val="100"/>
        <w:sz w:val="28"/>
        <w:szCs w:val="28"/>
      </w:rPr>
    </w:lvl>
    <w:lvl w:ilvl="1">
      <w:start w:val="0"/>
      <w:numFmt w:val="bullet"/>
      <w:lvlText w:val="•"/>
      <w:lvlJc w:val="left"/>
      <w:pPr>
        <w:ind w:left="1150" w:hanging="281"/>
      </w:pPr>
      <w:rPr>
        <w:rFonts w:hint="default"/>
      </w:rPr>
    </w:lvl>
    <w:lvl w:ilvl="2">
      <w:start w:val="0"/>
      <w:numFmt w:val="bullet"/>
      <w:lvlText w:val="•"/>
      <w:lvlJc w:val="left"/>
      <w:pPr>
        <w:ind w:left="2181" w:hanging="281"/>
      </w:pPr>
      <w:rPr>
        <w:rFonts w:hint="default"/>
      </w:rPr>
    </w:lvl>
    <w:lvl w:ilvl="3">
      <w:start w:val="0"/>
      <w:numFmt w:val="bullet"/>
      <w:lvlText w:val="•"/>
      <w:lvlJc w:val="left"/>
      <w:pPr>
        <w:ind w:left="3211" w:hanging="281"/>
      </w:pPr>
      <w:rPr>
        <w:rFonts w:hint="default"/>
      </w:rPr>
    </w:lvl>
    <w:lvl w:ilvl="4">
      <w:start w:val="0"/>
      <w:numFmt w:val="bullet"/>
      <w:lvlText w:val="•"/>
      <w:lvlJc w:val="left"/>
      <w:pPr>
        <w:ind w:left="4242" w:hanging="281"/>
      </w:pPr>
      <w:rPr>
        <w:rFonts w:hint="default"/>
      </w:rPr>
    </w:lvl>
    <w:lvl w:ilvl="5">
      <w:start w:val="0"/>
      <w:numFmt w:val="bullet"/>
      <w:lvlText w:val="•"/>
      <w:lvlJc w:val="left"/>
      <w:pPr>
        <w:ind w:left="5273" w:hanging="281"/>
      </w:pPr>
      <w:rPr>
        <w:rFonts w:hint="default"/>
      </w:rPr>
    </w:lvl>
    <w:lvl w:ilvl="6">
      <w:start w:val="0"/>
      <w:numFmt w:val="bullet"/>
      <w:lvlText w:val="•"/>
      <w:lvlJc w:val="left"/>
      <w:pPr>
        <w:ind w:left="6303" w:hanging="281"/>
      </w:pPr>
      <w:rPr>
        <w:rFonts w:hint="default"/>
      </w:rPr>
    </w:lvl>
    <w:lvl w:ilvl="7">
      <w:start w:val="0"/>
      <w:numFmt w:val="bullet"/>
      <w:lvlText w:val="•"/>
      <w:lvlJc w:val="left"/>
      <w:pPr>
        <w:ind w:left="7334" w:hanging="281"/>
      </w:pPr>
      <w:rPr>
        <w:rFonts w:hint="default"/>
      </w:rPr>
    </w:lvl>
    <w:lvl w:ilvl="8">
      <w:start w:val="0"/>
      <w:numFmt w:val="bullet"/>
      <w:lvlText w:val="•"/>
      <w:lvlJc w:val="left"/>
      <w:pPr>
        <w:ind w:left="8365" w:hanging="281"/>
      </w:pPr>
      <w:rPr>
        <w:rFonts w:hint="default"/>
      </w:rPr>
    </w:lvl>
  </w:abstractNum>
  <w:abstractNum w:abstractNumId="1">
    <w:multiLevelType w:val="hybridMultilevel"/>
    <w:lvl w:ilvl="0">
      <w:start w:val="1"/>
      <w:numFmt w:val="decimal"/>
      <w:lvlText w:val="%1."/>
      <w:lvlJc w:val="left"/>
      <w:pPr>
        <w:ind w:left="432" w:hanging="320"/>
        <w:jc w:val="left"/>
      </w:pPr>
      <w:rPr>
        <w:rFonts w:hint="default" w:ascii="Calibri" w:hAnsi="Calibri" w:eastAsia="Calibri" w:cs="Calibri"/>
        <w:b/>
        <w:bCs/>
        <w:spacing w:val="-1"/>
        <w:w w:val="99"/>
        <w:sz w:val="32"/>
        <w:szCs w:val="32"/>
      </w:rPr>
    </w:lvl>
    <w:lvl w:ilvl="1">
      <w:start w:val="1"/>
      <w:numFmt w:val="decimal"/>
      <w:lvlText w:val="%1.%2"/>
      <w:lvlJc w:val="left"/>
      <w:pPr>
        <w:ind w:left="674" w:hanging="562"/>
        <w:jc w:val="left"/>
      </w:pPr>
      <w:rPr>
        <w:rFonts w:hint="default" w:ascii="Calibri" w:hAnsi="Calibri" w:eastAsia="Calibri" w:cs="Calibri"/>
        <w:b/>
        <w:bCs/>
        <w:spacing w:val="-1"/>
        <w:w w:val="100"/>
        <w:sz w:val="28"/>
        <w:szCs w:val="28"/>
      </w:rPr>
    </w:lvl>
    <w:lvl w:ilvl="2">
      <w:start w:val="0"/>
      <w:numFmt w:val="bullet"/>
      <w:lvlText w:val="•"/>
      <w:lvlJc w:val="left"/>
      <w:pPr>
        <w:ind w:left="1762" w:hanging="562"/>
      </w:pPr>
      <w:rPr>
        <w:rFonts w:hint="default"/>
      </w:rPr>
    </w:lvl>
    <w:lvl w:ilvl="3">
      <w:start w:val="0"/>
      <w:numFmt w:val="bullet"/>
      <w:lvlText w:val="•"/>
      <w:lvlJc w:val="left"/>
      <w:pPr>
        <w:ind w:left="2845" w:hanging="562"/>
      </w:pPr>
      <w:rPr>
        <w:rFonts w:hint="default"/>
      </w:rPr>
    </w:lvl>
    <w:lvl w:ilvl="4">
      <w:start w:val="0"/>
      <w:numFmt w:val="bullet"/>
      <w:lvlText w:val="•"/>
      <w:lvlJc w:val="left"/>
      <w:pPr>
        <w:ind w:left="3928" w:hanging="562"/>
      </w:pPr>
      <w:rPr>
        <w:rFonts w:hint="default"/>
      </w:rPr>
    </w:lvl>
    <w:lvl w:ilvl="5">
      <w:start w:val="0"/>
      <w:numFmt w:val="bullet"/>
      <w:lvlText w:val="•"/>
      <w:lvlJc w:val="left"/>
      <w:pPr>
        <w:ind w:left="5011" w:hanging="562"/>
      </w:pPr>
      <w:rPr>
        <w:rFonts w:hint="default"/>
      </w:rPr>
    </w:lvl>
    <w:lvl w:ilvl="6">
      <w:start w:val="0"/>
      <w:numFmt w:val="bullet"/>
      <w:lvlText w:val="•"/>
      <w:lvlJc w:val="left"/>
      <w:pPr>
        <w:ind w:left="6094" w:hanging="562"/>
      </w:pPr>
      <w:rPr>
        <w:rFonts w:hint="default"/>
      </w:rPr>
    </w:lvl>
    <w:lvl w:ilvl="7">
      <w:start w:val="0"/>
      <w:numFmt w:val="bullet"/>
      <w:lvlText w:val="•"/>
      <w:lvlJc w:val="left"/>
      <w:pPr>
        <w:ind w:left="7177" w:hanging="562"/>
      </w:pPr>
      <w:rPr>
        <w:rFonts w:hint="default"/>
      </w:rPr>
    </w:lvl>
    <w:lvl w:ilvl="8">
      <w:start w:val="0"/>
      <w:numFmt w:val="bullet"/>
      <w:lvlText w:val="•"/>
      <w:lvlJc w:val="left"/>
      <w:pPr>
        <w:ind w:left="8260" w:hanging="562"/>
      </w:pPr>
      <w:rPr>
        <w:rFonts w:hint="default"/>
      </w:rPr>
    </w:lvl>
  </w:abstractNum>
  <w:abstractNum w:abstractNumId="0">
    <w:multiLevelType w:val="hybridMultilevel"/>
    <w:lvl w:ilvl="0">
      <w:start w:val="1"/>
      <w:numFmt w:val="decimal"/>
      <w:lvlText w:val="%1."/>
      <w:lvlJc w:val="left"/>
      <w:pPr>
        <w:ind w:left="1529" w:hanging="1056"/>
        <w:jc w:val="left"/>
      </w:pPr>
      <w:rPr>
        <w:rFonts w:hint="default" w:ascii="Calibri" w:hAnsi="Calibri" w:eastAsia="Calibri" w:cs="Calibri"/>
        <w:spacing w:val="-1"/>
        <w:w w:val="100"/>
        <w:sz w:val="28"/>
        <w:szCs w:val="28"/>
      </w:rPr>
    </w:lvl>
    <w:lvl w:ilvl="1">
      <w:start w:val="0"/>
      <w:numFmt w:val="bullet"/>
      <w:lvlText w:val="•"/>
      <w:lvlJc w:val="left"/>
      <w:pPr>
        <w:ind w:left="2288" w:hanging="1056"/>
      </w:pPr>
      <w:rPr>
        <w:rFonts w:hint="default"/>
      </w:rPr>
    </w:lvl>
    <w:lvl w:ilvl="2">
      <w:start w:val="0"/>
      <w:numFmt w:val="bullet"/>
      <w:lvlText w:val="•"/>
      <w:lvlJc w:val="left"/>
      <w:pPr>
        <w:ind w:left="3057" w:hanging="1056"/>
      </w:pPr>
      <w:rPr>
        <w:rFonts w:hint="default"/>
      </w:rPr>
    </w:lvl>
    <w:lvl w:ilvl="3">
      <w:start w:val="0"/>
      <w:numFmt w:val="bullet"/>
      <w:lvlText w:val="•"/>
      <w:lvlJc w:val="left"/>
      <w:pPr>
        <w:ind w:left="3825" w:hanging="1056"/>
      </w:pPr>
      <w:rPr>
        <w:rFonts w:hint="default"/>
      </w:rPr>
    </w:lvl>
    <w:lvl w:ilvl="4">
      <w:start w:val="0"/>
      <w:numFmt w:val="bullet"/>
      <w:lvlText w:val="•"/>
      <w:lvlJc w:val="left"/>
      <w:pPr>
        <w:ind w:left="4594" w:hanging="1056"/>
      </w:pPr>
      <w:rPr>
        <w:rFonts w:hint="default"/>
      </w:rPr>
    </w:lvl>
    <w:lvl w:ilvl="5">
      <w:start w:val="0"/>
      <w:numFmt w:val="bullet"/>
      <w:lvlText w:val="•"/>
      <w:lvlJc w:val="left"/>
      <w:pPr>
        <w:ind w:left="5363" w:hanging="1056"/>
      </w:pPr>
      <w:rPr>
        <w:rFonts w:hint="default"/>
      </w:rPr>
    </w:lvl>
    <w:lvl w:ilvl="6">
      <w:start w:val="0"/>
      <w:numFmt w:val="bullet"/>
      <w:lvlText w:val="•"/>
      <w:lvlJc w:val="left"/>
      <w:pPr>
        <w:ind w:left="6131" w:hanging="1056"/>
      </w:pPr>
      <w:rPr>
        <w:rFonts w:hint="default"/>
      </w:rPr>
    </w:lvl>
    <w:lvl w:ilvl="7">
      <w:start w:val="0"/>
      <w:numFmt w:val="bullet"/>
      <w:lvlText w:val="•"/>
      <w:lvlJc w:val="left"/>
      <w:pPr>
        <w:ind w:left="6900" w:hanging="1056"/>
      </w:pPr>
      <w:rPr>
        <w:rFonts w:hint="default"/>
      </w:rPr>
    </w:lvl>
    <w:lvl w:ilvl="8">
      <w:start w:val="0"/>
      <w:numFmt w:val="bullet"/>
      <w:lvlText w:val="•"/>
      <w:lvlJc w:val="left"/>
      <w:pPr>
        <w:ind w:left="7669" w:hanging="1056"/>
      </w:pPr>
      <w:rPr>
        <w:rFonts w:hint="default"/>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rPr>
  </w:style>
  <w:style w:styleId="TOC1" w:type="paragraph">
    <w:name w:val="TOC 1"/>
    <w:basedOn w:val="Normal"/>
    <w:uiPriority w:val="1"/>
    <w:qFormat/>
    <w:pPr>
      <w:spacing w:before="200"/>
      <w:ind w:left="1529" w:hanging="1056"/>
    </w:pPr>
    <w:rPr>
      <w:rFonts w:ascii="Calibri" w:hAnsi="Calibri" w:eastAsia="Calibri" w:cs="Calibri"/>
      <w:sz w:val="28"/>
      <w:szCs w:val="28"/>
    </w:rPr>
  </w:style>
  <w:style w:styleId="TOC2" w:type="paragraph">
    <w:name w:val="TOC 2"/>
    <w:basedOn w:val="Normal"/>
    <w:uiPriority w:val="1"/>
    <w:qFormat/>
    <w:pPr>
      <w:spacing w:before="200"/>
      <w:ind w:left="1529"/>
    </w:pPr>
    <w:rPr>
      <w:rFonts w:ascii="Calibri" w:hAnsi="Calibri" w:eastAsia="Calibri" w:cs="Calibri"/>
      <w:sz w:val="28"/>
      <w:szCs w:val="28"/>
    </w:rPr>
  </w:style>
  <w:style w:styleId="BodyText" w:type="paragraph">
    <w:name w:val="Body Text"/>
    <w:basedOn w:val="Normal"/>
    <w:uiPriority w:val="1"/>
    <w:qFormat/>
    <w:pPr>
      <w:ind w:left="113"/>
    </w:pPr>
    <w:rPr>
      <w:rFonts w:ascii="Calibri" w:hAnsi="Calibri" w:eastAsia="Calibri" w:cs="Calibri"/>
      <w:sz w:val="28"/>
      <w:szCs w:val="28"/>
    </w:rPr>
  </w:style>
  <w:style w:styleId="Heading1" w:type="paragraph">
    <w:name w:val="Heading 1"/>
    <w:basedOn w:val="Normal"/>
    <w:uiPriority w:val="1"/>
    <w:qFormat/>
    <w:pPr>
      <w:ind w:left="432" w:hanging="319"/>
      <w:outlineLvl w:val="1"/>
    </w:pPr>
    <w:rPr>
      <w:rFonts w:ascii="Calibri" w:hAnsi="Calibri" w:eastAsia="Calibri" w:cs="Calibri"/>
      <w:b/>
      <w:bCs/>
      <w:sz w:val="32"/>
      <w:szCs w:val="32"/>
    </w:rPr>
  </w:style>
  <w:style w:styleId="Heading2" w:type="paragraph">
    <w:name w:val="Heading 2"/>
    <w:basedOn w:val="Normal"/>
    <w:uiPriority w:val="1"/>
    <w:qFormat/>
    <w:pPr>
      <w:ind w:left="674" w:hanging="561"/>
      <w:outlineLvl w:val="2"/>
    </w:pPr>
    <w:rPr>
      <w:rFonts w:ascii="Calibri" w:hAnsi="Calibri" w:eastAsia="Calibri" w:cs="Calibri"/>
      <w:b/>
      <w:bCs/>
      <w:sz w:val="28"/>
      <w:szCs w:val="28"/>
    </w:rPr>
  </w:style>
  <w:style w:styleId="ListParagraph" w:type="paragraph">
    <w:name w:val="List Paragraph"/>
    <w:basedOn w:val="Normal"/>
    <w:uiPriority w:val="1"/>
    <w:qFormat/>
    <w:pPr>
      <w:ind w:left="1529" w:hanging="1056"/>
    </w:pPr>
    <w:rPr>
      <w:rFonts w:ascii="Calibri" w:hAnsi="Calibri" w:eastAsia="Calibri" w:cs="Calibri"/>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 Füllner, JAI , 132c, JVA Lübeck I-Hs</dc:creator>
  <dcterms:created xsi:type="dcterms:W3CDTF">2025-01-10T17:13:38Z</dcterms:created>
  <dcterms:modified xsi:type="dcterms:W3CDTF">2025-01-10T17:13:38Z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2023-03-13T00:00:00Z</vt:filetime>
  </property>
  <property fmtid="{D5CDD505-2E9C-101B-9397-08002B2CF9AE}" pid="3" name="Creator">
    <vt:lpwstr>Microsoft® Word 2016</vt:lpwstr>
  </property>
  <property fmtid="{D5CDD505-2E9C-101B-9397-08002B2CF9AE}" pid="4" name="LastSaved">
    <vt:filetime>2025-01-10T00:00:00Z</vt:filetime>
  </property>
</Properties>
</file>