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9849" w14:textId="3A379123" w:rsidR="00654E1A" w:rsidRDefault="00654E1A">
      <w:pP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The basic idea is that I define an intersubject discrimination index, IDI. There's a multivariate version of the IDI, and a univariate version.</w:t>
      </w:r>
      <w:r w:rsidR="00C50769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 I did this for each task separately.</w:t>
      </w:r>
      <w:r w:rsidR="00B15614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 I also did this on GLMs that were fit separately per run. So for each task I had 2 sets of HiLo contrasts per person (one per run).</w:t>
      </w:r>
      <w:r>
        <w:rPr>
          <w:rFonts w:ascii="Helvetica" w:hAnsi="Helvetica" w:cs="Helvetica"/>
          <w:color w:val="283C46"/>
          <w:sz w:val="21"/>
          <w:szCs w:val="21"/>
        </w:rPr>
        <w:br/>
      </w:r>
      <w:r>
        <w:rPr>
          <w:rFonts w:ascii="Helvetica" w:hAnsi="Helvetica" w:cs="Helvetica"/>
          <w:color w:val="283C46"/>
          <w:sz w:val="21"/>
          <w:szCs w:val="21"/>
        </w:rPr>
        <w:br/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Focusing now just on the multivariate version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. F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irst, I calculate the</w:t>
      </w:r>
      <w:r w:rsidR="00C50769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 Euclidean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 distances between each subject's HiLo contrast vector in run 1, to their vector in run 2. 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Thus, these are </w:t>
      </w:r>
      <w:r w:rsidRPr="00C50769">
        <w:rPr>
          <w:rFonts w:ascii="Helvetica" w:hAnsi="Helvetica" w:cs="Helvetica"/>
          <w:i/>
          <w:iCs/>
          <w:color w:val="283C46"/>
          <w:sz w:val="21"/>
          <w:szCs w:val="21"/>
          <w:shd w:val="clear" w:color="auto" w:fill="FFFFFF"/>
        </w:rPr>
        <w:t>within-subject distances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 (that are also </w:t>
      </w:r>
      <w:r w:rsidRPr="00C50769">
        <w:rPr>
          <w:rFonts w:ascii="Helvetica" w:hAnsi="Helvetica" w:cs="Helvetica"/>
          <w:i/>
          <w:iCs/>
          <w:color w:val="283C46"/>
          <w:sz w:val="21"/>
          <w:szCs w:val="21"/>
          <w:shd w:val="clear" w:color="auto" w:fill="FFFFFF"/>
        </w:rPr>
        <w:t>between-run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 distances). For example, for subject i: </w:t>
      </w:r>
    </w:p>
    <w:p w14:paraId="37EF870B" w14:textId="57ECA68D" w:rsidR="00654E1A" w:rsidRDefault="00654E1A">
      <w:pP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Cs/>
                  <w:color w:val="283C46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i1, i2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dist</m:t>
          </m:r>
          <m:d>
            <m:dPr>
              <m:ctrlPr>
                <w:rPr>
                  <w:rFonts w:ascii="Cambria Math" w:hAnsi="Cambria Math" w:cs="Helvetica"/>
                  <w:i/>
                  <w:color w:val="283C46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subj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i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run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1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subj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i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run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2</m:t>
              </m:r>
            </m:e>
          </m:d>
        </m:oMath>
      </m:oMathPara>
    </w:p>
    <w:p w14:paraId="796C8B1D" w14:textId="0A742FF4" w:rsidR="00654E1A" w:rsidRDefault="00654E1A">
      <w:pP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For 55 subjs, there are 55 within-subject distances. </w:t>
      </w:r>
      <w:r>
        <w:rPr>
          <w:rFonts w:ascii="Helvetica" w:hAnsi="Helvetica" w:cs="Helvetica"/>
          <w:color w:val="283C46"/>
          <w:sz w:val="21"/>
          <w:szCs w:val="21"/>
        </w:rPr>
        <w:br/>
      </w:r>
      <w:r>
        <w:rPr>
          <w:rFonts w:ascii="Helvetica" w:hAnsi="Helvetica" w:cs="Helvetica"/>
          <w:color w:val="283C46"/>
          <w:sz w:val="21"/>
          <w:szCs w:val="21"/>
        </w:rPr>
        <w:br/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Then I calculate all the </w:t>
      </w:r>
      <w:r w:rsidRPr="00B15614">
        <w:rPr>
          <w:rFonts w:ascii="Helvetica" w:hAnsi="Helvetica" w:cs="Helvetica"/>
          <w:i/>
          <w:iCs/>
          <w:color w:val="283C46"/>
          <w:sz w:val="21"/>
          <w:szCs w:val="21"/>
          <w:shd w:val="clear" w:color="auto" w:fill="FFFFFF"/>
        </w:rPr>
        <w:t>between-subject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 distances </w:t>
      </w:r>
      <w:r w:rsidRPr="00B15614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between runs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. For example, </w:t>
      </w:r>
    </w:p>
    <w:p w14:paraId="51F754CE" w14:textId="4D8B1FD6" w:rsidR="00654E1A" w:rsidRPr="00654E1A" w:rsidRDefault="00654E1A" w:rsidP="00654E1A">
      <w:pPr>
        <w:rPr>
          <w:rFonts w:ascii="Helvetica" w:eastAsiaTheme="minorEastAsia" w:hAnsi="Helvetica" w:cs="Helvetica"/>
          <w:color w:val="283C46"/>
          <w:sz w:val="21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Cs/>
                  <w:color w:val="283C46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i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1, 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j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dist</m:t>
          </m:r>
          <m:d>
            <m:dPr>
              <m:ctrlPr>
                <w:rPr>
                  <w:rFonts w:ascii="Cambria Math" w:hAnsi="Cambria Math" w:cs="Helvetica"/>
                  <w:i/>
                  <w:color w:val="283C46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subj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i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run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1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subj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j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run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2</m:t>
              </m:r>
            </m:e>
          </m:d>
        </m:oMath>
      </m:oMathPara>
    </w:p>
    <w:p w14:paraId="1BE65A56" w14:textId="7786F340" w:rsidR="00654E1A" w:rsidRDefault="00654E1A" w:rsidP="00654E1A">
      <w:pPr>
        <w:rPr>
          <w:rFonts w:ascii="Helvetica" w:eastAsiaTheme="minorEastAsia" w:hAnsi="Helvetica" w:cs="Helvetica"/>
          <w:color w:val="283C46"/>
          <w:sz w:val="21"/>
          <w:szCs w:val="21"/>
          <w:shd w:val="clear" w:color="auto" w:fill="FFFFFF"/>
        </w:rPr>
      </w:pPr>
      <w:r>
        <w:rPr>
          <w:rFonts w:ascii="Helvetica" w:eastAsiaTheme="minorEastAsia" w:hAnsi="Helvetica" w:cs="Helvetica"/>
          <w:color w:val="283C46"/>
          <w:sz w:val="21"/>
          <w:szCs w:val="21"/>
          <w:shd w:val="clear" w:color="auto" w:fill="FFFFFF"/>
        </w:rPr>
        <w:t xml:space="preserve">and also </w:t>
      </w:r>
    </w:p>
    <w:p w14:paraId="0F2EE247" w14:textId="1910593B" w:rsidR="00654E1A" w:rsidRDefault="00654E1A" w:rsidP="00654E1A">
      <w:pP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Cs/>
                  <w:color w:val="283C46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i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2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, 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j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dist</m:t>
          </m:r>
          <m:d>
            <m:dPr>
              <m:ctrlPr>
                <w:rPr>
                  <w:rFonts w:ascii="Cambria Math" w:hAnsi="Cambria Math" w:cs="Helvetica"/>
                  <w:i/>
                  <w:color w:val="283C46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subj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i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run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2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subj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j</m:t>
              </m:r>
              <m: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run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Helvetica"/>
                  <w:color w:val="283C46"/>
                  <w:sz w:val="21"/>
                  <w:szCs w:val="21"/>
                  <w:shd w:val="clear" w:color="auto" w:fill="FFFFFF"/>
                </w:rPr>
                <m:t>1</m:t>
              </m:r>
            </m:e>
          </m:d>
        </m:oMath>
      </m:oMathPara>
    </w:p>
    <w:p w14:paraId="2FC611C6" w14:textId="77777777" w:rsidR="00654E1A" w:rsidRDefault="00654E1A">
      <w:pP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</w:pPr>
    </w:p>
    <w:p w14:paraId="15E807C1" w14:textId="6B2EE0F0" w:rsidR="00654E1A" w:rsidRDefault="00654E1A">
      <w:pP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For 55 subjs, there are 55</w:t>
      </w:r>
      <w:r w:rsidRPr="00956CA3">
        <w:rPr>
          <w:rFonts w:ascii="Helvetica" w:hAnsi="Helvetica" w:cs="Helvetica"/>
          <w:color w:val="283C46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 - 55 distances. </w:t>
      </w:r>
    </w:p>
    <w:p w14:paraId="0E69723B" w14:textId="4531781C" w:rsidR="00654E1A" w:rsidRDefault="00956CA3">
      <w:pP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Thus, all of t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hese within-subject and between subject distances can be formed into a 55 x 55 matrix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.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 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A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n example is displayed on slide 29. Each row/column is a subject. Rows are run 1, columns are run 2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. T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hus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, 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all cells are 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between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-run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, and the matrix is asymmetric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. The diagonal (orange) shows within-subject distances, the off-diagonals (blue) show between-subject distances.</w:t>
      </w:r>
      <w:r w:rsidR="00654E1A">
        <w:rPr>
          <w:rFonts w:ascii="Helvetica" w:hAnsi="Helvetica" w:cs="Helvetica"/>
          <w:color w:val="283C46"/>
          <w:sz w:val="21"/>
          <w:szCs w:val="21"/>
        </w:rPr>
        <w:br/>
      </w:r>
      <w:r w:rsidR="00654E1A">
        <w:rPr>
          <w:rFonts w:ascii="Helvetica" w:hAnsi="Helvetica" w:cs="Helvetica"/>
          <w:color w:val="283C46"/>
          <w:sz w:val="21"/>
          <w:szCs w:val="21"/>
        </w:rPr>
        <w:br/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If patterns carry some individual-specific information, the between</w:t>
      </w:r>
      <w:r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>-</w:t>
      </w:r>
      <w:r w:rsidR="00654E1A">
        <w:rPr>
          <w:rFonts w:ascii="Helvetica" w:hAnsi="Helvetica" w:cs="Helvetica"/>
          <w:color w:val="283C46"/>
          <w:sz w:val="21"/>
          <w:szCs w:val="21"/>
          <w:shd w:val="clear" w:color="auto" w:fill="FFFFFF"/>
        </w:rPr>
        <w:t xml:space="preserve">subject distances (off-diagonals) should be larger than the within-subject distances (diagonal). So the IDI is a contrast: </w:t>
      </w:r>
    </w:p>
    <w:p w14:paraId="20DAF59D" w14:textId="7FD4EB00" w:rsidR="0037423A" w:rsidRPr="00654E1A" w:rsidRDefault="00654E1A">
      <w:pPr>
        <w:rPr>
          <w:rFonts w:ascii="Helvetica" w:eastAsiaTheme="minorEastAsia" w:hAnsi="Helvetica" w:cs="Helvetica"/>
          <w:color w:val="283C46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 xml:space="preserve">IDI = 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mean</m:t>
          </m:r>
          <m: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btwn subj distances</m:t>
          </m:r>
          <m: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 xml:space="preserve">) - 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mean</m:t>
          </m:r>
          <m: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wthn subj dist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ances</m:t>
          </m:r>
          <m: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)</m:t>
          </m:r>
        </m:oMath>
      </m:oMathPara>
    </w:p>
    <w:p w14:paraId="26486E31" w14:textId="77BEE432" w:rsidR="00654E1A" w:rsidRPr="00654E1A" w:rsidRDefault="00654E1A">
      <w:pPr>
        <w:rPr>
          <w:rFonts w:ascii="Helvetica" w:hAnsi="Helvetica" w:cs="Helvetica"/>
          <w:color w:val="283C46"/>
          <w:sz w:val="21"/>
          <w:szCs w:val="21"/>
        </w:rPr>
      </w:pPr>
      <w:r>
        <w:rPr>
          <w:rFonts w:ascii="Helvetica" w:hAnsi="Helvetica" w:cs="Helvetica"/>
          <w:color w:val="283C46"/>
          <w:sz w:val="21"/>
          <w:szCs w:val="21"/>
        </w:rPr>
        <w:t xml:space="preserve">which is also </w:t>
      </w:r>
    </w:p>
    <w:p w14:paraId="09B8CA10" w14:textId="74844D45" w:rsidR="00654E1A" w:rsidRPr="00654E1A" w:rsidRDefault="00654E1A" w:rsidP="00654E1A">
      <w:pPr>
        <w:rPr>
          <w:rFonts w:ascii="Helvetica" w:eastAsiaTheme="minorEastAsia" w:hAnsi="Helvetica" w:cs="Helvetica"/>
          <w:color w:val="283C46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 xml:space="preserve">IDI = 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mean</m:t>
          </m:r>
          <m: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off diagonal</m:t>
          </m:r>
          <m: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 xml:space="preserve">) - 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mean</m:t>
          </m:r>
          <m: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diagonal</m:t>
          </m:r>
          <m:r>
            <w:rPr>
              <w:rFonts w:ascii="Cambria Math" w:hAnsi="Cambria Math" w:cs="Helvetica"/>
              <w:color w:val="283C46"/>
              <w:sz w:val="21"/>
              <w:szCs w:val="21"/>
              <w:shd w:val="clear" w:color="auto" w:fill="FFFFFF"/>
            </w:rPr>
            <m:t>)</m:t>
          </m:r>
        </m:oMath>
      </m:oMathPara>
    </w:p>
    <w:p w14:paraId="4FD37FA6" w14:textId="339890EE" w:rsidR="00654E1A" w:rsidRDefault="00654E1A">
      <w:r>
        <w:t xml:space="preserve">That’s the multivariate IDI. The univariate IDI is calculated the same way (a contrast on distances). </w:t>
      </w:r>
      <w:r w:rsidR="009F4ED2">
        <w:t>But the distances that go into the contrast are slightly different. I</w:t>
      </w:r>
      <w:r>
        <w:t xml:space="preserve">nstead of calculating </w:t>
      </w:r>
      <w:r w:rsidR="009F4ED2">
        <w:t xml:space="preserve">Euclidean </w:t>
      </w:r>
      <w:r>
        <w:t xml:space="preserve">distances between </w:t>
      </w:r>
      <w:r w:rsidRPr="00956CA3">
        <w:rPr>
          <w:i/>
          <w:iCs/>
        </w:rPr>
        <w:t>patterns</w:t>
      </w:r>
      <w:r>
        <w:t xml:space="preserve">, </w:t>
      </w:r>
      <w:r w:rsidR="009F4ED2">
        <w:t xml:space="preserve">the distances are calculated between </w:t>
      </w:r>
      <w:r w:rsidR="009F4ED2" w:rsidRPr="009F4ED2">
        <w:rPr>
          <w:i/>
          <w:iCs/>
        </w:rPr>
        <w:t>means</w:t>
      </w:r>
      <w:r w:rsidR="009F4ED2">
        <w:t xml:space="preserve">. The PDF </w:t>
      </w:r>
      <w:r w:rsidR="00956CA3">
        <w:t xml:space="preserve">I sent </w:t>
      </w:r>
      <w:r w:rsidR="009F4ED2">
        <w:t>shows that the distance between two means (two scalars) boils down to the absolute value of the difference, d = |mean(a) – mean(b)|. In other words, to compute univariate IDI, a “univariate distance matrix” is formed, similar to</w:t>
      </w:r>
      <w:r w:rsidR="009F4ED2" w:rsidRPr="00956CA3">
        <w:t xml:space="preserve"> the matrix in slide 29 --- but instead of Euclidean distances between patterns, each cell of the matrix shows the absolute difference between means.</w:t>
      </w:r>
    </w:p>
    <w:p w14:paraId="5CE978EA" w14:textId="1D52917A" w:rsidR="009F4ED2" w:rsidRDefault="009F4ED2">
      <w:r>
        <w:t>There</w:t>
      </w:r>
      <w:r w:rsidR="00D04EDD">
        <w:t xml:space="preserve"> is also</w:t>
      </w:r>
      <w:r>
        <w:t xml:space="preserve"> a scaling operation that additionally needs to be done to the multivariate distances, so that they are </w:t>
      </w:r>
      <w:r w:rsidR="00D04EDD">
        <w:t xml:space="preserve">directly </w:t>
      </w:r>
      <w:r>
        <w:t>comparable to the univariate distances (the multivariate distances need to be divided by the sqrt of the number of voxels).</w:t>
      </w:r>
    </w:p>
    <w:p w14:paraId="35E60AAF" w14:textId="5534A72D" w:rsidR="009F4ED2" w:rsidRDefault="009F4ED2">
      <w:r>
        <w:t xml:space="preserve">Once all this is done, the two IDIs can be contrasted: </w:t>
      </w:r>
      <w:r w:rsidRPr="009F4ED2">
        <w:rPr>
          <w:i/>
          <w:iCs/>
        </w:rPr>
        <w:t>multivariate IDI – univariate IDI</w:t>
      </w:r>
      <w:r>
        <w:t>.</w:t>
      </w:r>
    </w:p>
    <w:p w14:paraId="23538B49" w14:textId="7D96FD74" w:rsidR="009F4ED2" w:rsidRDefault="009F4ED2">
      <w:r>
        <w:lastRenderedPageBreak/>
        <w:t xml:space="preserve">The script </w:t>
      </w:r>
      <w:hyperlink r:id="rId4" w:history="1">
        <w:r w:rsidRPr="00F27668">
          <w:rPr>
            <w:rStyle w:val="Hyperlink"/>
          </w:rPr>
          <w:t>https://github.com/mcfreund/ub55/blob/master/code/fprint/est_dists.R</w:t>
        </w:r>
      </w:hyperlink>
      <w:r>
        <w:t xml:space="preserve"> estimates and saves these two distance matrices per parcel*subj (the univariate and multivariate distance matrices). </w:t>
      </w:r>
    </w:p>
    <w:p w14:paraId="2BA4CA48" w14:textId="37B8DD02" w:rsidR="000B1B28" w:rsidRDefault="000B1B28">
      <w:r>
        <w:t xml:space="preserve">The main function that calculates the cross-run distance matrices is called </w:t>
      </w:r>
      <w:r w:rsidRPr="000B1B28">
        <w:rPr>
          <w:i/>
          <w:iCs/>
        </w:rPr>
        <w:t>pdist2</w:t>
      </w:r>
      <w:r>
        <w:rPr>
          <w:i/>
          <w:iCs/>
        </w:rPr>
        <w:t xml:space="preserve">() </w:t>
      </w:r>
      <w:r>
        <w:t xml:space="preserve">and is in this script: </w:t>
      </w:r>
      <w:hyperlink r:id="rId5" w:history="1">
        <w:r w:rsidRPr="00F27668">
          <w:rPr>
            <w:rStyle w:val="Hyperlink"/>
          </w:rPr>
          <w:t>https://github.com/mcfreund/ub55/blob/master/code/_funs.R</w:t>
        </w:r>
      </w:hyperlink>
    </w:p>
    <w:p w14:paraId="1C1616BF" w14:textId="082C6ED6" w:rsidR="009F4ED2" w:rsidRDefault="009F4ED2">
      <w:r>
        <w:t xml:space="preserve">The script </w:t>
      </w:r>
      <w:hyperlink r:id="rId6" w:history="1">
        <w:r w:rsidRPr="00F27668">
          <w:rPr>
            <w:rStyle w:val="Hyperlink"/>
          </w:rPr>
          <w:t>https://github.com/mcfreund/ub55/blob/master/code/fprint/boot_contrasts.R</w:t>
        </w:r>
      </w:hyperlink>
      <w:r>
        <w:t xml:space="preserve"> performs the IDI contrast, and also does a bootstrap test to test the contrasts for significance.</w:t>
      </w:r>
    </w:p>
    <w:p w14:paraId="47DFA348" w14:textId="3AA4613D" w:rsidR="009F4ED2" w:rsidRDefault="009F4ED2" w:rsidP="009F4ED2">
      <w:r>
        <w:t xml:space="preserve">The rmd </w:t>
      </w:r>
      <w:hyperlink r:id="rId7" w:history="1">
        <w:r w:rsidRPr="00F27668">
          <w:rPr>
            <w:rStyle w:val="Hyperlink"/>
          </w:rPr>
          <w:t>https://github.com/mcfreund/ub55/blob/master/code/fprint/multi-svd_hilo_target_schaefer400-07.rmd</w:t>
        </w:r>
      </w:hyperlink>
      <w:r>
        <w:t xml:space="preserve"> compiles the results into the html report. </w:t>
      </w:r>
    </w:p>
    <w:sectPr w:rsidR="009F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1A"/>
    <w:rsid w:val="000B1B28"/>
    <w:rsid w:val="0037423A"/>
    <w:rsid w:val="00654E1A"/>
    <w:rsid w:val="00956CA3"/>
    <w:rsid w:val="009F4ED2"/>
    <w:rsid w:val="00B15614"/>
    <w:rsid w:val="00C50769"/>
    <w:rsid w:val="00D0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6811"/>
  <w15:chartTrackingRefBased/>
  <w15:docId w15:val="{4092EF04-25F9-422E-9BDD-FF191A69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E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4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cfreund/ub55/blob/master/code/fprint/multi-svd_hilo_target_schaefer400-07.r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cfreund/ub55/blob/master/code/fprint/boot_contrasts.R" TargetMode="External"/><Relationship Id="rId5" Type="http://schemas.openxmlformats.org/officeDocument/2006/relationships/hyperlink" Target="https://github.com/mcfreund/ub55/blob/master/code/_funs.R" TargetMode="External"/><Relationship Id="rId4" Type="http://schemas.openxmlformats.org/officeDocument/2006/relationships/hyperlink" Target="https://github.com/mcfreund/ub55/blob/master/code/fprint/est_dists.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M F</cp:lastModifiedBy>
  <cp:revision>5</cp:revision>
  <dcterms:created xsi:type="dcterms:W3CDTF">2021-06-09T20:20:00Z</dcterms:created>
  <dcterms:modified xsi:type="dcterms:W3CDTF">2021-06-09T20:45:00Z</dcterms:modified>
</cp:coreProperties>
</file>