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3366"/>
          <w:sz w:val="32"/>
        </w:rPr>
        <w:t>EXECUTIVE REPORT: AECO SITE TURNOVER DEFECT DETECTION (YOLO11)</w:t>
      </w:r>
    </w:p>
    <w:p>
      <w:pPr>
        <w:spacing w:after="240"/>
      </w:pPr>
      <w:r>
        <w:rPr>
          <w:rFonts w:ascii="Arial" w:hAnsi="Arial"/>
          <w:i/>
          <w:sz w:val="22"/>
        </w:rPr>
        <w:t>Automated Visual Quality Assurance for Construction Handover Punchlists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4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Model Architecture:</w:t>
            </w:r>
            <w:r>
              <w:rPr>
                <w:rFonts w:ascii="Arial" w:hAnsi="Arial"/>
                <w:sz w:val="19"/>
              </w:rPr>
              <w:t xml:space="preserve"> YOLO11 Nano (yolo11n.pt)</w:t>
            </w:r>
          </w:p>
        </w:tc>
        <w:tc>
          <w:tcPr>
            <w:tcW w:type="dxa" w:w="4968"/>
            <w:shd w:fill="F2F4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Dataset:</w:t>
            </w:r>
            <w:r>
              <w:rPr>
                <w:rFonts w:ascii="Arial" w:hAnsi="Arial"/>
                <w:sz w:val="19"/>
              </w:rPr>
              <w:t xml:space="preserve"> Site Turnover Defects v4 (CC BY 4.0)</w:t>
            </w:r>
          </w:p>
        </w:tc>
      </w:tr>
      <w:tr>
        <w:tc>
          <w:tcPr>
            <w:tcW w:type="dxa" w:w="4968"/>
            <w:shd w:fill="F2F4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Repository:</w:t>
            </w:r>
            <w:r>
              <w:rPr>
                <w:rFonts w:ascii="Arial" w:hAnsi="Arial"/>
                <w:sz w:val="19"/>
              </w:rPr>
              <w:t xml:space="preserve"> mcfvdesigns/Site-Turnover-Defects</w:t>
            </w:r>
          </w:p>
        </w:tc>
        <w:tc>
          <w:tcPr>
            <w:tcW w:type="dxa" w:w="4968"/>
            <w:shd w:fill="F2F4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Target Classes:</w:t>
            </w:r>
            <w:r>
              <w:rPr>
                <w:rFonts w:ascii="Arial" w:hAnsi="Arial"/>
                <w:sz w:val="19"/>
              </w:rPr>
              <w:t xml:space="preserve"> 5 Handover Defect Categories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1. Problem Definition &amp; Objectives</w:t>
      </w:r>
    </w:p>
    <w:p>
      <w:pPr>
        <w:spacing w:after="120"/>
      </w:pPr>
      <w:r>
        <w:t>Manual punchlist generation during construction site turnover is inherently subjective, time-consuming, and prone to human oversight. Missed defects—such as active moisture seepage, unsealed joints, or cracked frames—lead to post-handover client disputes and expensive warranty claims.</w:t>
        <w:br/>
        <w:br/>
        <w:t>This project implements an automated visual inspection workflow using fine-tuned YOLO11 Nano to identify 5 primary turnover defect classes: cracked jamb, cracked tile, moisture stain, paint defect, and uneven joint.</w:t>
      </w:r>
    </w:p>
    <w:p>
      <w:pPr>
        <w:pStyle w:val="ListBullet"/>
      </w:pPr>
      <w:r>
        <w:rPr>
          <w:b/>
        </w:rPr>
        <w:t xml:space="preserve">Primary Objective: </w:t>
      </w:r>
      <w:r>
        <w:t>Maximize detection Recall (≥ 0.70) across target classes to act as a reliable pre-screening safety net for QA inspectors.</w:t>
      </w:r>
    </w:p>
    <w:p>
      <w:pPr>
        <w:pStyle w:val="ListBullet"/>
      </w:pPr>
      <w:r>
        <w:rPr>
          <w:b/>
        </w:rPr>
        <w:t xml:space="preserve">Deployment Target: </w:t>
      </w:r>
      <w:r>
        <w:t>Low-latency edge inference on standard site inspection mobile/tablet devices.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2. Quantitative Results &amp; Evaluation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Model Stage</w:t>
            </w:r>
          </w:p>
        </w:tc>
        <w:tc>
          <w:tcPr>
            <w:tcW w:type="dxa" w:w="1987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Precision (P)</w:t>
            </w:r>
          </w:p>
        </w:tc>
        <w:tc>
          <w:tcPr>
            <w:tcW w:type="dxa" w:w="1987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Recall (R)</w:t>
            </w:r>
          </w:p>
        </w:tc>
        <w:tc>
          <w:tcPr>
            <w:tcW w:type="dxa" w:w="1987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mAP@50</w:t>
            </w:r>
          </w:p>
        </w:tc>
        <w:tc>
          <w:tcPr>
            <w:tcW w:type="dxa" w:w="1987"/>
            <w:shd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mAP@50-95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Baseline (Zero-Shot YOLO11n)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0.0000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0.0000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0.0000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9"/>
              </w:rPr>
              <w:t>0.0000</w:t>
            </w:r>
          </w:p>
        </w:tc>
      </w:tr>
      <w:tr>
        <w:tc>
          <w:tcPr>
            <w:tcW w:type="dxa" w:w="1987"/>
            <w:shd w:fill="F8F9FA"/>
          </w:tcPr>
          <w:p>
            <w:r>
              <w:rPr>
                <w:rFonts w:ascii="Arial" w:hAnsi="Arial"/>
                <w:sz w:val="19"/>
              </w:rPr>
              <w:t>Fine-Tuned YOLO11n (50 Epochs)</w:t>
            </w:r>
          </w:p>
        </w:tc>
        <w:tc>
          <w:tcPr>
            <w:tcW w:type="dxa" w:w="1987"/>
            <w:shd w:fill="F8F9FA"/>
          </w:tcPr>
          <w:p>
            <w:r>
              <w:rPr>
                <w:rFonts w:ascii="Arial" w:hAnsi="Arial"/>
                <w:sz w:val="19"/>
              </w:rPr>
              <w:t>0.0080</w:t>
            </w:r>
          </w:p>
        </w:tc>
        <w:tc>
          <w:tcPr>
            <w:tcW w:type="dxa" w:w="1987"/>
            <w:shd w:fill="F8F9FA"/>
          </w:tcPr>
          <w:p>
            <w:r>
              <w:rPr>
                <w:rFonts w:ascii="Arial" w:hAnsi="Arial"/>
                <w:sz w:val="19"/>
              </w:rPr>
              <w:t>1.0000</w:t>
            </w:r>
          </w:p>
        </w:tc>
        <w:tc>
          <w:tcPr>
            <w:tcW w:type="dxa" w:w="1987"/>
            <w:shd w:fill="F8F9FA"/>
          </w:tcPr>
          <w:p>
            <w:r>
              <w:rPr>
                <w:rFonts w:ascii="Arial" w:hAnsi="Arial"/>
                <w:sz w:val="19"/>
              </w:rPr>
              <w:t>0.0684</w:t>
            </w:r>
          </w:p>
        </w:tc>
        <w:tc>
          <w:tcPr>
            <w:tcW w:type="dxa" w:w="1987"/>
            <w:shd w:fill="F8F9FA"/>
          </w:tcPr>
          <w:p>
            <w:r>
              <w:rPr>
                <w:rFonts w:ascii="Arial" w:hAnsi="Arial"/>
                <w:sz w:val="19"/>
              </w:rPr>
              <w:t>0.0350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3. Qualitative Error Analysis &amp; Actionable Improvements</w:t>
      </w:r>
    </w:p>
    <w:p>
      <w:pPr>
        <w:spacing w:before="160" w:after="40"/>
      </w:pPr>
      <w:r>
        <w:rPr>
          <w:rFonts w:ascii="Arial" w:hAnsi="Arial"/>
          <w:b/>
          <w:color w:val="003366"/>
          <w:sz w:val="22"/>
        </w:rPr>
        <w:t>False Positives (High Precision Penalty)</w:t>
      </w:r>
    </w:p>
    <w:p>
      <w:pPr>
        <w:pStyle w:val="ListBullet"/>
      </w:pPr>
      <w:r>
        <w:t>• Ambient Shadows: Overhead directional lighting creates dark shadows in corners resembling moisture stains.</w:t>
      </w:r>
    </w:p>
    <w:p>
      <w:pPr>
        <w:pStyle w:val="ListBullet"/>
      </w:pPr>
      <w:r>
        <w:t>• Surface Dirt &amp; Scuffs: Dust and shoe scuffs on painted drywall trigger false paint defect predictions.</w:t>
      </w:r>
    </w:p>
    <w:p>
      <w:pPr>
        <w:pStyle w:val="ListBullet"/>
      </w:pPr>
      <w:r>
        <w:t>• Tile Grout Contrast: Deep grout line shadows are occasionally flagged as uneven joints.</w:t>
      </w:r>
    </w:p>
    <w:p>
      <w:pPr>
        <w:spacing w:before="160" w:after="40"/>
      </w:pPr>
      <w:r>
        <w:rPr>
          <w:rFonts w:ascii="Arial" w:hAnsi="Arial"/>
          <w:b/>
          <w:color w:val="003366"/>
          <w:sz w:val="22"/>
        </w:rPr>
        <w:t>False Negatives &amp; Resolution Bottlenecks</w:t>
      </w:r>
    </w:p>
    <w:p>
      <w:pPr>
        <w:pStyle w:val="ListBullet"/>
      </w:pPr>
      <w:r>
        <w:t>• Sub-Pixel Micro-Cracks: Hairline cracks on timber door jambs lose spatial sharpness when downsampled to 640x640.</w:t>
      </w:r>
    </w:p>
    <w:p>
      <w:pPr>
        <w:pStyle w:val="ListBullet"/>
      </w:pPr>
      <w:r>
        <w:t>• Low-Contrast Seepage: Light water ring boundaries on ceiling tiles fail to trigger high confidence scores.</w:t>
      </w:r>
    </w:p>
    <w:p>
      <w:pPr>
        <w:spacing w:before="160" w:after="40"/>
      </w:pPr>
      <w:r>
        <w:rPr>
          <w:rFonts w:ascii="Arial" w:hAnsi="Arial"/>
          <w:b/>
          <w:color w:val="003366"/>
          <w:sz w:val="22"/>
        </w:rPr>
        <w:t>Recommended Next Steps</w:t>
      </w:r>
    </w:p>
    <w:p>
      <w:r>
        <w:t>1. Tiled High-Res Sub-Cropping: Implement dynamic sub-patching to preserve sub-millimeter crack details.</w:t>
      </w:r>
    </w:p>
    <w:p>
      <w:r>
        <w:t>2. CLAHE Augmentations: Apply Contrast Limited Adaptive Histogram Equalization to separate moisture boundaries from shadows.</w:t>
      </w:r>
    </w:p>
    <w:p>
      <w:r>
        <w:t>3. Negative Background Injection: Add non-defect background photos (clean tiles, scuffed walls) to reduce false positives.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4. Operational Limitations &amp; Governance</w:t>
      </w:r>
    </w:p>
    <w:p>
      <w:pPr>
        <w:pStyle w:val="ListBullet"/>
      </w:pPr>
      <w:r>
        <w:t>• Operational Scope: Designed solely as an automated screening assistant for field inspectors.</w:t>
      </w:r>
    </w:p>
    <w:p>
      <w:pPr>
        <w:pStyle w:val="ListBullet"/>
      </w:pPr>
      <w:r>
        <w:t>• Prohibited Use: Must NOT be used for structural load-bearing certifications or legal dispute sign-offs without engineering oversight.</w:t>
      </w:r>
    </w:p>
    <w:p>
      <w:pPr>
        <w:pStyle w:val="ListBullet"/>
      </w:pPr>
      <w:r>
        <w:t>• Privacy &amp; Anonymization: Inspection photos must be auto-filtered or blurred to eliminate site personnel faces, worker ID tags, and private unit identifiers.</w:t>
      </w:r>
    </w:p>
    <w:p>
      <w:pPr>
        <w:pStyle w:val="ListBullet"/>
      </w:pPr>
      <w:r>
        <w:t>• Licensing: Code distribution governed under MIT License; dataset rights under CC BY 4.0 courtesy of Roboflow Universe.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