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1B29B1" w:rsidP="001B29B1">
      <w:pPr>
        <w:rPr>
          <w:b/>
          <w:szCs w:val="22"/>
        </w:rPr>
      </w:pPr>
      <w:hyperlink r:id="rId11">
        <w:r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E79A264" w14:textId="769B4840" w:rsidR="00D110BE" w:rsidRDefault="00D110BE" w:rsidP="00D110BE">
      <w:pPr>
        <w:pStyle w:val="Heading2"/>
        <w:rPr>
          <w:b w:val="0"/>
          <w:bCs w:val="0"/>
          <w:szCs w:val="22"/>
        </w:rPr>
      </w:pPr>
      <w:r>
        <w:rPr>
          <w:b w:val="0"/>
          <w:bCs w:val="0"/>
          <w:szCs w:val="22"/>
        </w:rPr>
        <w:t xml:space="preserve">In addition, I have posted a Git and GitHub reference book on Canvas: </w:t>
      </w:r>
      <w:hyperlink r:id="rId14" w:tgtFrame="_blank" w:tooltip="Link" w:history="1">
        <w:r w:rsidRPr="00D110BE">
          <w:rPr>
            <w:rStyle w:val="Hyperlink"/>
            <w:b w:val="0"/>
            <w:bCs w:val="0"/>
            <w:szCs w:val="22"/>
          </w:rPr>
          <w:t>Pro Git 2nd Edition.pdf</w:t>
        </w:r>
      </w:hyperlink>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5" w:history="1">
        <w:r w:rsidR="00933248" w:rsidRPr="00933248">
          <w:rPr>
            <w:rStyle w:val="Hyperlink"/>
            <w:b w:val="0"/>
            <w:bCs w:val="0"/>
            <w:szCs w:val="22"/>
          </w:rPr>
          <w:t>INFO350</w:t>
        </w:r>
      </w:hyperlink>
      <w:r w:rsidRPr="00330293">
        <w:rPr>
          <w:b w:val="0"/>
          <w:bCs w:val="0"/>
          <w:szCs w:val="22"/>
        </w:rPr>
        <w:t>,  </w:t>
      </w:r>
      <w:hyperlink r:id="rId16"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7"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77777777"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using Git, enables developers to manage code repositories and track changes. It offers features such as pull requests, issue tracking, and project boards for streamlined collaboration. </w:t>
      </w:r>
    </w:p>
    <w:p w14:paraId="3E109A45" w14:textId="250DEDAB"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3DCBE011"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6A5EE7">
        <w:rPr>
          <w:rFonts w:eastAsia="Times New Roman"/>
          <w:szCs w:val="22"/>
          <w:lang w:eastAsia="en-US"/>
        </w:rPr>
        <w:t>/</w:t>
      </w:r>
      <w:r w:rsidR="00530F88">
        <w:rPr>
          <w:rFonts w:eastAsia="Times New Roman"/>
          <w:szCs w:val="22"/>
          <w:lang w:eastAsia="en-US"/>
        </w:rPr>
        <w:t>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1EA25421" w14:textId="319473E3" w:rsidR="003F6DCB" w:rsidRDefault="003F6DCB" w:rsidP="00B401FA">
      <w:pPr>
        <w:pStyle w:val="ListParagraph"/>
        <w:numPr>
          <w:ilvl w:val="1"/>
          <w:numId w:val="17"/>
        </w:numPr>
        <w:rPr>
          <w:rFonts w:eastAsia="Times New Roman"/>
          <w:szCs w:val="22"/>
          <w:lang w:eastAsia="en-US"/>
        </w:rPr>
      </w:pPr>
      <w:r>
        <w:rPr>
          <w:rFonts w:eastAsia="Times New Roman"/>
          <w:szCs w:val="22"/>
          <w:lang w:eastAsia="en-US"/>
        </w:rPr>
        <w:t xml:space="preserve">UI/UX design: </w:t>
      </w:r>
      <w:r w:rsidRPr="003F6DCB">
        <w:rPr>
          <w:rFonts w:eastAsia="Times New Roman"/>
          <w:szCs w:val="22"/>
          <w:lang w:eastAsia="en-US"/>
        </w:rPr>
        <w:t xml:space="preserve">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64403DB"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cloud service provider </w:t>
      </w:r>
    </w:p>
    <w:p w14:paraId="2FE47EDA" w14:textId="64883A16"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 xml:space="preserve">and APIs.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11344E04" w:rsidR="00170BC5" w:rsidRDefault="00170BC5" w:rsidP="00170BC5">
      <w:pPr>
        <w:pStyle w:val="ListParagraph"/>
        <w:numPr>
          <w:ilvl w:val="1"/>
          <w:numId w:val="17"/>
        </w:numPr>
        <w:rPr>
          <w:rFonts w:eastAsia="Times New Roman"/>
          <w:szCs w:val="22"/>
          <w:lang w:eastAsia="en-US"/>
        </w:rPr>
      </w:pPr>
      <w:r>
        <w:rPr>
          <w:rFonts w:eastAsia="Times New Roman"/>
          <w:szCs w:val="22"/>
          <w:lang w:eastAsia="en-US"/>
        </w:rPr>
        <w:t xml:space="preserve">Infrastructure build project: Teams will prove that their infrastructure is ready for use by building the AWS environment as specified in the architecture document.  </w:t>
      </w:r>
    </w:p>
    <w:p w14:paraId="780ECCD6" w14:textId="25D1D714" w:rsidR="00CA5E6E" w:rsidRPr="00B401FA" w:rsidRDefault="00CA5E6E" w:rsidP="00170BC5">
      <w:pPr>
        <w:pStyle w:val="ListParagraph"/>
        <w:numPr>
          <w:ilvl w:val="1"/>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lastRenderedPageBreak/>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6371030D" w14:textId="77777777" w:rsidR="00772657" w:rsidRPr="007D4D99" w:rsidRDefault="00772657" w:rsidP="00772657">
      <w:pPr>
        <w:pStyle w:val="ListParagraph"/>
        <w:numPr>
          <w:ilvl w:val="1"/>
          <w:numId w:val="22"/>
        </w:numPr>
        <w:rPr>
          <w:rFonts w:eastAsia="Times New Roman"/>
          <w:b/>
          <w:bCs/>
          <w:szCs w:val="22"/>
          <w:lang w:eastAsia="en-US"/>
        </w:rPr>
      </w:pPr>
      <w:r>
        <w:rPr>
          <w:rFonts w:eastAsia="Times New Roman"/>
          <w:szCs w:val="22"/>
          <w:lang w:eastAsia="en-US"/>
        </w:rPr>
        <w:t>UI/UX build: 5%</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572E5679" w:rsidR="003C653D" w:rsidRPr="00772657" w:rsidRDefault="007D4D99" w:rsidP="00DA35B6">
      <w:pPr>
        <w:pStyle w:val="ListParagraph"/>
        <w:numPr>
          <w:ilvl w:val="1"/>
          <w:numId w:val="22"/>
        </w:numPr>
        <w:rPr>
          <w:rFonts w:eastAsia="Times New Roman"/>
          <w:b/>
          <w:bCs/>
          <w:szCs w:val="22"/>
          <w:lang w:eastAsia="en-US"/>
        </w:rPr>
      </w:pPr>
      <w:r>
        <w:rPr>
          <w:rFonts w:eastAsia="Times New Roman"/>
          <w:szCs w:val="22"/>
          <w:lang w:eastAsia="en-US"/>
        </w:rPr>
        <w:t xml:space="preserve">Infrastructure build: </w:t>
      </w:r>
      <w:r w:rsidR="00772657">
        <w:rPr>
          <w:rFonts w:eastAsia="Times New Roman"/>
          <w:szCs w:val="22"/>
          <w:lang w:eastAsia="en-US"/>
        </w:rPr>
        <w:t>5</w:t>
      </w:r>
      <w:r>
        <w:rPr>
          <w:rFonts w:eastAsia="Times New Roman"/>
          <w:szCs w:val="22"/>
          <w:lang w:eastAsia="en-US"/>
        </w:rPr>
        <w:t>%</w:t>
      </w:r>
    </w:p>
    <w:p w14:paraId="67265EA6" w14:textId="74D19415" w:rsidR="00772657" w:rsidRPr="00C45EAE" w:rsidRDefault="00772657" w:rsidP="00DA35B6">
      <w:pPr>
        <w:pStyle w:val="ListParagraph"/>
        <w:numPr>
          <w:ilvl w:val="1"/>
          <w:numId w:val="22"/>
        </w:numPr>
        <w:rPr>
          <w:rFonts w:eastAsia="Times New Roman"/>
          <w:b/>
          <w:bCs/>
          <w:szCs w:val="22"/>
          <w:lang w:eastAsia="en-US"/>
        </w:rPr>
      </w:pPr>
      <w:r>
        <w:rPr>
          <w:rFonts w:eastAsia="Times New Roman"/>
          <w:szCs w:val="22"/>
          <w:lang w:eastAsia="en-US"/>
        </w:rPr>
        <w:t>Database project: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31005D60" w14:textId="086808BC" w:rsidR="00A87F5E"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20CD04CF" w14:textId="785FA5C9" w:rsidR="00A87F5E" w:rsidRDefault="00A87F5E" w:rsidP="00E13707">
            <w:pPr>
              <w:rPr>
                <w:rFonts w:ascii="Arial" w:hAnsi="Arial" w:cs="Arial"/>
                <w:sz w:val="18"/>
                <w:szCs w:val="18"/>
              </w:rPr>
            </w:pPr>
            <w:r>
              <w:rPr>
                <w:rFonts w:ascii="Arial" w:hAnsi="Arial" w:cs="Arial"/>
                <w:sz w:val="18"/>
                <w:szCs w:val="18"/>
              </w:rPr>
              <w:t>Introduction</w:t>
            </w: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6D307E06" w14:textId="77777777" w:rsidR="003C544D" w:rsidRDefault="00A87F5E" w:rsidP="003C544D">
            <w:pPr>
              <w:rPr>
                <w:rFonts w:ascii="Arial" w:hAnsi="Arial" w:cs="Arial"/>
                <w:spacing w:val="-2"/>
                <w:sz w:val="18"/>
                <w:szCs w:val="18"/>
              </w:rPr>
            </w:pPr>
            <w:r>
              <w:rPr>
                <w:rFonts w:ascii="Arial" w:hAnsi="Arial" w:cs="Arial"/>
                <w:spacing w:val="-2"/>
                <w:sz w:val="18"/>
                <w:szCs w:val="18"/>
              </w:rPr>
              <w:t xml:space="preserve">Business proposal </w:t>
            </w:r>
          </w:p>
          <w:p w14:paraId="7B8AA76C" w14:textId="7E50649B" w:rsidR="009F4066" w:rsidRPr="00E13707" w:rsidRDefault="00A53F9B" w:rsidP="003C544D">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0D45F629" w:rsidR="009A1E95" w:rsidRPr="00E13707" w:rsidRDefault="00ED7B7B" w:rsidP="00E90E7A">
            <w:pPr>
              <w:pStyle w:val="TableParagraph"/>
              <w:spacing w:before="4"/>
              <w:rPr>
                <w:sz w:val="18"/>
                <w:szCs w:val="18"/>
              </w:rPr>
            </w:pPr>
            <w:r>
              <w:rPr>
                <w:sz w:val="18"/>
                <w:szCs w:val="18"/>
              </w:rPr>
              <w:t xml:space="preserve">Sprint </w:t>
            </w:r>
            <w:r w:rsidR="00797B70">
              <w:rPr>
                <w:sz w:val="18"/>
                <w:szCs w:val="18"/>
              </w:rPr>
              <w:t>planning</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0F55AC3A" w:rsidR="00A53F9B" w:rsidRPr="00E13707" w:rsidRDefault="00A53F9B" w:rsidP="007D78E9">
            <w:pPr>
              <w:rPr>
                <w:rFonts w:ascii="Arial" w:hAnsi="Arial" w:cs="Arial"/>
                <w:sz w:val="18"/>
                <w:szCs w:val="18"/>
              </w:rPr>
            </w:pP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113DE496" w:rsidR="00E90E7A" w:rsidRDefault="00797B70" w:rsidP="00ED7B7B">
            <w:pPr>
              <w:rPr>
                <w:rFonts w:ascii="Arial" w:hAnsi="Arial" w:cs="Arial"/>
                <w:sz w:val="18"/>
                <w:szCs w:val="18"/>
              </w:rPr>
            </w:pPr>
            <w:r>
              <w:rPr>
                <w:rFonts w:ascii="Arial" w:hAnsi="Arial" w:cs="Arial"/>
                <w:sz w:val="18"/>
                <w:szCs w:val="18"/>
              </w:rPr>
              <w:t>Sprint ceremonies</w:t>
            </w:r>
          </w:p>
          <w:p w14:paraId="28EC0848" w14:textId="7DD1B443" w:rsidR="009A1E95" w:rsidRPr="00E13707" w:rsidRDefault="00797B70" w:rsidP="00ED7B7B">
            <w:pPr>
              <w:rPr>
                <w:rFonts w:ascii="Arial" w:hAnsi="Arial" w:cs="Arial"/>
                <w:sz w:val="18"/>
                <w:szCs w:val="18"/>
              </w:rPr>
            </w:pPr>
            <w:r>
              <w:rPr>
                <w:rFonts w:ascii="Arial" w:hAnsi="Arial" w:cs="Arial"/>
                <w:sz w:val="18"/>
                <w:szCs w:val="18"/>
              </w:rPr>
              <w:t>Requirements analysis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4D3E3918" w:rsidR="00C864F6" w:rsidRPr="00E13707" w:rsidRDefault="00E01A27" w:rsidP="007D78E9">
            <w:pPr>
              <w:rPr>
                <w:rFonts w:ascii="Arial" w:hAnsi="Arial" w:cs="Arial"/>
                <w:sz w:val="18"/>
                <w:szCs w:val="18"/>
              </w:rPr>
            </w:pPr>
            <w:r>
              <w:rPr>
                <w:rFonts w:ascii="Arial" w:hAnsi="Arial" w:cs="Arial"/>
                <w:sz w:val="18"/>
                <w:szCs w:val="18"/>
              </w:rPr>
              <w:t>Project backlog</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09E3411D" w:rsidR="00797B70" w:rsidRDefault="002176E5" w:rsidP="00E13707">
            <w:pPr>
              <w:rPr>
                <w:rFonts w:ascii="Arial" w:hAnsi="Arial" w:cs="Arial"/>
                <w:sz w:val="18"/>
                <w:szCs w:val="18"/>
              </w:rPr>
            </w:pPr>
            <w:r>
              <w:rPr>
                <w:rFonts w:ascii="Arial" w:hAnsi="Arial" w:cs="Arial"/>
                <w:sz w:val="18"/>
                <w:szCs w:val="18"/>
              </w:rPr>
              <w:t>Database build</w:t>
            </w: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7B281" w14:textId="77777777" w:rsidR="00301DCA" w:rsidRDefault="00301DCA" w:rsidP="0072174B">
      <w:r>
        <w:separator/>
      </w:r>
    </w:p>
  </w:endnote>
  <w:endnote w:type="continuationSeparator" w:id="0">
    <w:p w14:paraId="6CFCD93F" w14:textId="77777777" w:rsidR="00301DCA" w:rsidRDefault="00301DCA"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9E274" w14:textId="77777777" w:rsidR="00301DCA" w:rsidRDefault="00301DCA" w:rsidP="0072174B">
      <w:r>
        <w:separator/>
      </w:r>
    </w:p>
  </w:footnote>
  <w:footnote w:type="continuationSeparator" w:id="0">
    <w:p w14:paraId="291D532B" w14:textId="77777777" w:rsidR="00301DCA" w:rsidRDefault="00301DCA"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347C"/>
    <w:rsid w:val="0021525F"/>
    <w:rsid w:val="002176E5"/>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1DCA"/>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544D"/>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4F3383"/>
    <w:rsid w:val="00501979"/>
    <w:rsid w:val="005050C6"/>
    <w:rsid w:val="00507473"/>
    <w:rsid w:val="005138E0"/>
    <w:rsid w:val="00524A6A"/>
    <w:rsid w:val="00526049"/>
    <w:rsid w:val="00530F88"/>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A5EE7"/>
    <w:rsid w:val="006B144B"/>
    <w:rsid w:val="006C7ADD"/>
    <w:rsid w:val="006D0D9F"/>
    <w:rsid w:val="006D1D1A"/>
    <w:rsid w:val="007023E7"/>
    <w:rsid w:val="00705649"/>
    <w:rsid w:val="0072174B"/>
    <w:rsid w:val="0072317F"/>
    <w:rsid w:val="00746912"/>
    <w:rsid w:val="00763727"/>
    <w:rsid w:val="00764901"/>
    <w:rsid w:val="00765B0E"/>
    <w:rsid w:val="00772657"/>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8FA"/>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47E52"/>
    <w:rsid w:val="00C50108"/>
    <w:rsid w:val="00C5254F"/>
    <w:rsid w:val="00C64EBA"/>
    <w:rsid w:val="00C70125"/>
    <w:rsid w:val="00C7282E"/>
    <w:rsid w:val="00C7393B"/>
    <w:rsid w:val="00C864F6"/>
    <w:rsid w:val="00CA2C1E"/>
    <w:rsid w:val="00CA3EE5"/>
    <w:rsid w:val="00CA5E6E"/>
    <w:rsid w:val="00CB229F"/>
    <w:rsid w:val="00CB3D48"/>
    <w:rsid w:val="00CC448B"/>
    <w:rsid w:val="00CC6365"/>
    <w:rsid w:val="00CD7B04"/>
    <w:rsid w:val="00CE58F9"/>
    <w:rsid w:val="00CE678C"/>
    <w:rsid w:val="00D110BE"/>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hyperlink" Target="https://bulletin.vcu.edu/search/?search=INFO+370" TargetMode="External"/><Relationship Id="rId2" Type="http://schemas.openxmlformats.org/officeDocument/2006/relationships/styles" Target="styles.xml"/><Relationship Id="rId16" Type="http://schemas.openxmlformats.org/officeDocument/2006/relationships/hyperlink" Target="https://bulletin.vcu.edu/search/?search=INFO+3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50" TargetMode="External"/><Relationship Id="rId10" Type="http://schemas.openxmlformats.org/officeDocument/2006/relationships/hyperlink" Target="http://go.vcu.edu/syllab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virginiacommonwealth.instructure.com/courses/113521/files/1341240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Microsoft Office User</cp:lastModifiedBy>
  <cp:revision>74</cp:revision>
  <cp:lastPrinted>2024-12-02T14:55:00Z</cp:lastPrinted>
  <dcterms:created xsi:type="dcterms:W3CDTF">2024-10-07T16:40:00Z</dcterms:created>
  <dcterms:modified xsi:type="dcterms:W3CDTF">2024-12-02T19:17:00Z</dcterms:modified>
</cp:coreProperties>
</file>