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B46" w:rsidRPr="006C7B46" w:rsidRDefault="006C7B46" w:rsidP="006C7B46">
      <w:pPr>
        <w:spacing w:after="0" w:line="240" w:lineRule="auto"/>
        <w:outlineLvl w:val="0"/>
        <w:rPr>
          <w:rFonts w:ascii="Helvetica" w:eastAsia="Times New Roman" w:hAnsi="Helvetica" w:cs="Helvetica"/>
          <w:color w:val="333333"/>
          <w:kern w:val="36"/>
          <w:sz w:val="48"/>
          <w:szCs w:val="48"/>
        </w:rPr>
      </w:pPr>
      <w:r w:rsidRPr="006C7B46">
        <w:rPr>
          <w:rFonts w:ascii="Helvetica" w:eastAsia="Times New Roman" w:hAnsi="Helvetica" w:cs="Helvetica"/>
          <w:color w:val="333333"/>
          <w:kern w:val="36"/>
          <w:sz w:val="48"/>
          <w:szCs w:val="48"/>
        </w:rPr>
        <w:t>Quick Table Calculations</w:t>
      </w:r>
    </w:p>
    <w:p w:rsidR="006C7B46" w:rsidRPr="006C7B46" w:rsidRDefault="006C7B46" w:rsidP="006C7B46">
      <w:pPr>
        <w:spacing w:after="0" w:line="240" w:lineRule="auto"/>
        <w:rPr>
          <w:rFonts w:ascii="Georgia" w:eastAsia="Times New Roman" w:hAnsi="Georgia" w:cs="Times New Roman"/>
          <w:i/>
          <w:iCs/>
          <w:color w:val="787878"/>
          <w:sz w:val="24"/>
          <w:szCs w:val="24"/>
        </w:rPr>
      </w:pPr>
      <w:r w:rsidRPr="006C7B46">
        <w:rPr>
          <w:rFonts w:ascii="Georgia" w:eastAsia="Times New Roman" w:hAnsi="Georgia" w:cs="Times New Roman"/>
          <w:i/>
          <w:iCs/>
          <w:color w:val="787878"/>
          <w:sz w:val="24"/>
          <w:szCs w:val="24"/>
        </w:rPr>
        <w:t>Version: 2019.4 Applies to: Tableau Desktop, Tableau Online, Tableau Public, Tableau Server</w:t>
      </w:r>
    </w:p>
    <w:p w:rsidR="006C7B46" w:rsidRPr="006C7B46" w:rsidRDefault="006C7B46" w:rsidP="006C7B46">
      <w:p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 xml:space="preserve">Quick table calculations allow you to quickly apply a common table calculation to your </w:t>
      </w:r>
      <w:proofErr w:type="spellStart"/>
      <w:r w:rsidRPr="006C7B46">
        <w:rPr>
          <w:rFonts w:ascii="Georgia" w:eastAsia="Times New Roman" w:hAnsi="Georgia" w:cs="Times New Roman"/>
          <w:color w:val="333333"/>
          <w:sz w:val="27"/>
          <w:szCs w:val="27"/>
        </w:rPr>
        <w:t>visualisation</w:t>
      </w:r>
      <w:proofErr w:type="spellEnd"/>
      <w:r w:rsidRPr="006C7B46">
        <w:rPr>
          <w:rFonts w:ascii="Georgia" w:eastAsia="Times New Roman" w:hAnsi="Georgia" w:cs="Times New Roman"/>
          <w:color w:val="333333"/>
          <w:sz w:val="27"/>
          <w:szCs w:val="27"/>
        </w:rPr>
        <w:t xml:space="preserve"> using the most typical settings for that calculation type. This article demonstrates how to apply a quick table calculation to a </w:t>
      </w:r>
      <w:proofErr w:type="spellStart"/>
      <w:r w:rsidRPr="006C7B46">
        <w:rPr>
          <w:rFonts w:ascii="Georgia" w:eastAsia="Times New Roman" w:hAnsi="Georgia" w:cs="Times New Roman"/>
          <w:color w:val="333333"/>
          <w:sz w:val="27"/>
          <w:szCs w:val="27"/>
        </w:rPr>
        <w:t>visualisation</w:t>
      </w:r>
      <w:proofErr w:type="spellEnd"/>
      <w:r w:rsidRPr="006C7B46">
        <w:rPr>
          <w:rFonts w:ascii="Georgia" w:eastAsia="Times New Roman" w:hAnsi="Georgia" w:cs="Times New Roman"/>
          <w:color w:val="333333"/>
          <w:sz w:val="27"/>
          <w:szCs w:val="27"/>
        </w:rPr>
        <w:t xml:space="preserve"> using an example.</w:t>
      </w:r>
    </w:p>
    <w:p w:rsidR="006C7B46" w:rsidRPr="006C7B46" w:rsidRDefault="006C7B46" w:rsidP="006C7B46">
      <w:p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The following quick table calculations are available in Tableau for you to use:</w:t>
      </w:r>
    </w:p>
    <w:p w:rsidR="006C7B46" w:rsidRPr="006C7B46" w:rsidRDefault="006C7B46" w:rsidP="006C7B46">
      <w:pPr>
        <w:numPr>
          <w:ilvl w:val="0"/>
          <w:numId w:val="1"/>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Running total</w:t>
      </w:r>
    </w:p>
    <w:p w:rsidR="006C7B46" w:rsidRPr="006C7B46" w:rsidRDefault="006C7B46" w:rsidP="006C7B46">
      <w:pPr>
        <w:numPr>
          <w:ilvl w:val="0"/>
          <w:numId w:val="2"/>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Difference</w:t>
      </w:r>
    </w:p>
    <w:p w:rsidR="006C7B46" w:rsidRPr="006C7B46" w:rsidRDefault="006C7B46" w:rsidP="006C7B46">
      <w:pPr>
        <w:numPr>
          <w:ilvl w:val="0"/>
          <w:numId w:val="3"/>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Percent difference</w:t>
      </w:r>
    </w:p>
    <w:p w:rsidR="006C7B46" w:rsidRPr="006C7B46" w:rsidRDefault="006C7B46" w:rsidP="006C7B46">
      <w:pPr>
        <w:numPr>
          <w:ilvl w:val="0"/>
          <w:numId w:val="4"/>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Percent of total</w:t>
      </w:r>
    </w:p>
    <w:p w:rsidR="006C7B46" w:rsidRPr="006C7B46" w:rsidRDefault="006C7B46" w:rsidP="006C7B46">
      <w:pPr>
        <w:numPr>
          <w:ilvl w:val="0"/>
          <w:numId w:val="5"/>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Rank</w:t>
      </w:r>
    </w:p>
    <w:p w:rsidR="006C7B46" w:rsidRPr="006C7B46" w:rsidRDefault="006C7B46" w:rsidP="006C7B46">
      <w:pPr>
        <w:numPr>
          <w:ilvl w:val="0"/>
          <w:numId w:val="6"/>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Percentile</w:t>
      </w:r>
    </w:p>
    <w:p w:rsidR="006C7B46" w:rsidRPr="006C7B46" w:rsidRDefault="006C7B46" w:rsidP="006C7B46">
      <w:pPr>
        <w:numPr>
          <w:ilvl w:val="0"/>
          <w:numId w:val="7"/>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Moving average</w:t>
      </w:r>
    </w:p>
    <w:p w:rsidR="006C7B46" w:rsidRPr="006C7B46" w:rsidRDefault="006C7B46" w:rsidP="006C7B46">
      <w:pPr>
        <w:numPr>
          <w:ilvl w:val="0"/>
          <w:numId w:val="8"/>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YTD total</w:t>
      </w:r>
    </w:p>
    <w:p w:rsidR="006C7B46" w:rsidRPr="006C7B46" w:rsidRDefault="006C7B46" w:rsidP="006C7B46">
      <w:pPr>
        <w:numPr>
          <w:ilvl w:val="0"/>
          <w:numId w:val="9"/>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Compound growth rate</w:t>
      </w:r>
    </w:p>
    <w:p w:rsidR="006C7B46" w:rsidRPr="006C7B46" w:rsidRDefault="006C7B46" w:rsidP="006C7B46">
      <w:pPr>
        <w:numPr>
          <w:ilvl w:val="0"/>
          <w:numId w:val="10"/>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Year of year growth</w:t>
      </w:r>
    </w:p>
    <w:p w:rsidR="006C7B46" w:rsidRPr="006C7B46" w:rsidRDefault="006C7B46" w:rsidP="006C7B46">
      <w:pPr>
        <w:numPr>
          <w:ilvl w:val="0"/>
          <w:numId w:val="11"/>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YTD growth</w:t>
      </w:r>
    </w:p>
    <w:p w:rsidR="006C7B46" w:rsidRPr="006C7B46" w:rsidRDefault="006C7B46" w:rsidP="006C7B46">
      <w:p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For more information about some of these, see </w:t>
      </w:r>
      <w:hyperlink r:id="rId5" w:history="1">
        <w:r w:rsidRPr="006C7B46">
          <w:rPr>
            <w:rFonts w:ascii="Georgia" w:eastAsia="Times New Roman" w:hAnsi="Georgia" w:cs="Times New Roman"/>
            <w:color w:val="FF6D02"/>
            <w:sz w:val="27"/>
            <w:szCs w:val="27"/>
            <w:u w:val="single"/>
          </w:rPr>
          <w:t>Table Calculation Types</w:t>
        </w:r>
      </w:hyperlink>
      <w:r w:rsidRPr="006C7B46">
        <w:rPr>
          <w:rFonts w:ascii="Georgia" w:eastAsia="Times New Roman" w:hAnsi="Georgia" w:cs="Times New Roman"/>
          <w:color w:val="333333"/>
          <w:sz w:val="27"/>
          <w:szCs w:val="27"/>
        </w:rPr>
        <w:t>.</w:t>
      </w:r>
    </w:p>
    <w:p w:rsidR="006C7B46" w:rsidRPr="006C7B46" w:rsidRDefault="006C7B46" w:rsidP="006C7B46">
      <w:pPr>
        <w:spacing w:before="100" w:beforeAutospacing="1" w:after="100" w:afterAutospacing="1" w:line="240" w:lineRule="auto"/>
        <w:outlineLvl w:val="1"/>
        <w:rPr>
          <w:rFonts w:ascii="Helvetica" w:eastAsia="Times New Roman" w:hAnsi="Helvetica" w:cs="Helvetica"/>
          <w:color w:val="333333"/>
          <w:sz w:val="36"/>
          <w:szCs w:val="36"/>
        </w:rPr>
      </w:pPr>
      <w:r w:rsidRPr="006C7B46">
        <w:rPr>
          <w:rFonts w:ascii="Helvetica" w:eastAsia="Times New Roman" w:hAnsi="Helvetica" w:cs="Helvetica"/>
          <w:color w:val="333333"/>
          <w:sz w:val="36"/>
          <w:szCs w:val="36"/>
        </w:rPr>
        <w:t>How does a quick table calculation differ from a table calculation?</w:t>
      </w:r>
    </w:p>
    <w:p w:rsidR="006C7B46" w:rsidRPr="006C7B46" w:rsidRDefault="006C7B46" w:rsidP="006C7B46">
      <w:p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 xml:space="preserve">Quick table calculations are table calculations that you can apply quickly to your </w:t>
      </w:r>
      <w:proofErr w:type="spellStart"/>
      <w:r w:rsidRPr="006C7B46">
        <w:rPr>
          <w:rFonts w:ascii="Georgia" w:eastAsia="Times New Roman" w:hAnsi="Georgia" w:cs="Times New Roman"/>
          <w:color w:val="333333"/>
          <w:sz w:val="27"/>
          <w:szCs w:val="27"/>
        </w:rPr>
        <w:t>visualisation</w:t>
      </w:r>
      <w:proofErr w:type="spellEnd"/>
      <w:r w:rsidRPr="006C7B46">
        <w:rPr>
          <w:rFonts w:ascii="Georgia" w:eastAsia="Times New Roman" w:hAnsi="Georgia" w:cs="Times New Roman"/>
          <w:color w:val="333333"/>
          <w:sz w:val="27"/>
          <w:szCs w:val="27"/>
        </w:rPr>
        <w:t xml:space="preserve"> in Tableau. They are applied to the </w:t>
      </w:r>
      <w:proofErr w:type="spellStart"/>
      <w:r w:rsidRPr="006C7B46">
        <w:rPr>
          <w:rFonts w:ascii="Georgia" w:eastAsia="Times New Roman" w:hAnsi="Georgia" w:cs="Times New Roman"/>
          <w:color w:val="333333"/>
          <w:sz w:val="27"/>
          <w:szCs w:val="27"/>
        </w:rPr>
        <w:t>visualisation</w:t>
      </w:r>
      <w:proofErr w:type="spellEnd"/>
      <w:r w:rsidRPr="006C7B46">
        <w:rPr>
          <w:rFonts w:ascii="Georgia" w:eastAsia="Times New Roman" w:hAnsi="Georgia" w:cs="Times New Roman"/>
          <w:color w:val="333333"/>
          <w:sz w:val="27"/>
          <w:szCs w:val="27"/>
        </w:rPr>
        <w:t xml:space="preserve"> with the most typical settings for the calculation type you choose so that you can </w:t>
      </w:r>
      <w:proofErr w:type="gramStart"/>
      <w:r w:rsidRPr="006C7B46">
        <w:rPr>
          <w:rFonts w:ascii="Georgia" w:eastAsia="Times New Roman" w:hAnsi="Georgia" w:cs="Times New Roman"/>
          <w:color w:val="333333"/>
          <w:sz w:val="27"/>
          <w:szCs w:val="27"/>
        </w:rPr>
        <w:lastRenderedPageBreak/>
        <w:t>continue on</w:t>
      </w:r>
      <w:proofErr w:type="gramEnd"/>
      <w:r w:rsidRPr="006C7B46">
        <w:rPr>
          <w:rFonts w:ascii="Georgia" w:eastAsia="Times New Roman" w:hAnsi="Georgia" w:cs="Times New Roman"/>
          <w:color w:val="333333"/>
          <w:sz w:val="27"/>
          <w:szCs w:val="27"/>
        </w:rPr>
        <w:t xml:space="preserve"> with your analysis. With traditional table calculations, you can apply the same settings, but you must apply them manually.</w:t>
      </w:r>
    </w:p>
    <w:p w:rsidR="006C7B46" w:rsidRPr="006C7B46" w:rsidRDefault="006C7B46" w:rsidP="006C7B46">
      <w:pPr>
        <w:spacing w:before="100" w:beforeAutospacing="1" w:after="100" w:afterAutospacing="1" w:line="240" w:lineRule="auto"/>
        <w:outlineLvl w:val="1"/>
        <w:rPr>
          <w:rFonts w:ascii="Helvetica" w:eastAsia="Times New Roman" w:hAnsi="Helvetica" w:cs="Helvetica"/>
          <w:color w:val="333333"/>
          <w:sz w:val="36"/>
          <w:szCs w:val="36"/>
        </w:rPr>
      </w:pPr>
      <w:r w:rsidRPr="006C7B46">
        <w:rPr>
          <w:rFonts w:ascii="Helvetica" w:eastAsia="Times New Roman" w:hAnsi="Helvetica" w:cs="Helvetica"/>
          <w:color w:val="333333"/>
          <w:sz w:val="36"/>
          <w:szCs w:val="36"/>
        </w:rPr>
        <w:t xml:space="preserve">Apply a quick table calculation to the </w:t>
      </w:r>
      <w:proofErr w:type="spellStart"/>
      <w:r w:rsidRPr="006C7B46">
        <w:rPr>
          <w:rFonts w:ascii="Helvetica" w:eastAsia="Times New Roman" w:hAnsi="Helvetica" w:cs="Helvetica"/>
          <w:color w:val="333333"/>
          <w:sz w:val="36"/>
          <w:szCs w:val="36"/>
        </w:rPr>
        <w:t>visualisation</w:t>
      </w:r>
      <w:proofErr w:type="spellEnd"/>
    </w:p>
    <w:p w:rsidR="006C7B46" w:rsidRPr="006C7B46" w:rsidRDefault="006C7B46" w:rsidP="006C7B46">
      <w:p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 xml:space="preserve">Follow along with the steps below to learn how to apply a quick table calculation to a </w:t>
      </w:r>
      <w:proofErr w:type="spellStart"/>
      <w:r w:rsidRPr="006C7B46">
        <w:rPr>
          <w:rFonts w:ascii="Georgia" w:eastAsia="Times New Roman" w:hAnsi="Georgia" w:cs="Times New Roman"/>
          <w:color w:val="333333"/>
          <w:sz w:val="27"/>
          <w:szCs w:val="27"/>
        </w:rPr>
        <w:t>visualisation</w:t>
      </w:r>
      <w:proofErr w:type="spellEnd"/>
      <w:r w:rsidRPr="006C7B46">
        <w:rPr>
          <w:rFonts w:ascii="Georgia" w:eastAsia="Times New Roman" w:hAnsi="Georgia" w:cs="Times New Roman"/>
          <w:color w:val="333333"/>
          <w:sz w:val="27"/>
          <w:szCs w:val="27"/>
        </w:rPr>
        <w:t>.</w:t>
      </w:r>
    </w:p>
    <w:p w:rsidR="006C7B46" w:rsidRPr="006C7B46" w:rsidRDefault="006C7B46" w:rsidP="006C7B46">
      <w:pPr>
        <w:spacing w:before="100" w:beforeAutospacing="1" w:after="100" w:afterAutospacing="1" w:line="240" w:lineRule="auto"/>
        <w:outlineLvl w:val="2"/>
        <w:rPr>
          <w:rFonts w:ascii="Helvetica" w:eastAsia="Times New Roman" w:hAnsi="Helvetica" w:cs="Helvetica"/>
          <w:color w:val="333333"/>
          <w:sz w:val="27"/>
          <w:szCs w:val="27"/>
        </w:rPr>
      </w:pPr>
      <w:r w:rsidRPr="006C7B46">
        <w:rPr>
          <w:rFonts w:ascii="Helvetica" w:eastAsia="Times New Roman" w:hAnsi="Helvetica" w:cs="Helvetica"/>
          <w:color w:val="333333"/>
          <w:sz w:val="27"/>
          <w:szCs w:val="27"/>
        </w:rPr>
        <w:t xml:space="preserve">Set up the </w:t>
      </w:r>
      <w:proofErr w:type="spellStart"/>
      <w:r w:rsidRPr="006C7B46">
        <w:rPr>
          <w:rFonts w:ascii="Helvetica" w:eastAsia="Times New Roman" w:hAnsi="Helvetica" w:cs="Helvetica"/>
          <w:color w:val="333333"/>
          <w:sz w:val="27"/>
          <w:szCs w:val="27"/>
        </w:rPr>
        <w:t>visualisation</w:t>
      </w:r>
      <w:proofErr w:type="spellEnd"/>
    </w:p>
    <w:p w:rsidR="006C7B46" w:rsidRPr="006C7B46" w:rsidRDefault="006C7B46" w:rsidP="006C7B46">
      <w:pPr>
        <w:numPr>
          <w:ilvl w:val="0"/>
          <w:numId w:val="12"/>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Open Tableau Desktop and connect to the </w:t>
      </w:r>
      <w:r w:rsidRPr="006C7B46">
        <w:rPr>
          <w:rFonts w:ascii="Georgia" w:eastAsia="Times New Roman" w:hAnsi="Georgia" w:cs="Times New Roman"/>
          <w:b/>
          <w:bCs/>
          <w:color w:val="333333"/>
          <w:sz w:val="27"/>
          <w:szCs w:val="27"/>
        </w:rPr>
        <w:t>Sample-Superstore</w:t>
      </w:r>
      <w:r w:rsidRPr="006C7B46">
        <w:rPr>
          <w:rFonts w:ascii="Georgia" w:eastAsia="Times New Roman" w:hAnsi="Georgia" w:cs="Times New Roman"/>
          <w:color w:val="333333"/>
          <w:sz w:val="27"/>
          <w:szCs w:val="27"/>
        </w:rPr>
        <w:t> data source, which comes with Tableau.</w:t>
      </w:r>
    </w:p>
    <w:p w:rsidR="006C7B46" w:rsidRPr="006C7B46" w:rsidRDefault="006C7B46" w:rsidP="006C7B46">
      <w:pPr>
        <w:numPr>
          <w:ilvl w:val="0"/>
          <w:numId w:val="13"/>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Navigate to a new worksheet.</w:t>
      </w:r>
    </w:p>
    <w:p w:rsidR="006C7B46" w:rsidRPr="006C7B46" w:rsidRDefault="006C7B46" w:rsidP="006C7B46">
      <w:pPr>
        <w:numPr>
          <w:ilvl w:val="0"/>
          <w:numId w:val="14"/>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From the </w:t>
      </w:r>
      <w:r w:rsidRPr="006C7B46">
        <w:rPr>
          <w:rFonts w:ascii="Georgia" w:eastAsia="Times New Roman" w:hAnsi="Georgia" w:cs="Times New Roman"/>
          <w:b/>
          <w:bCs/>
          <w:color w:val="333333"/>
          <w:sz w:val="27"/>
          <w:szCs w:val="27"/>
        </w:rPr>
        <w:t>Data</w:t>
      </w:r>
      <w:r w:rsidRPr="006C7B46">
        <w:rPr>
          <w:rFonts w:ascii="Georgia" w:eastAsia="Times New Roman" w:hAnsi="Georgia" w:cs="Times New Roman"/>
          <w:color w:val="333333"/>
          <w:sz w:val="27"/>
          <w:szCs w:val="27"/>
        </w:rPr>
        <w:t> pane, under Dimensions, drag </w:t>
      </w:r>
      <w:r w:rsidRPr="006C7B46">
        <w:rPr>
          <w:rFonts w:ascii="Georgia" w:eastAsia="Times New Roman" w:hAnsi="Georgia" w:cs="Times New Roman"/>
          <w:b/>
          <w:bCs/>
          <w:color w:val="333333"/>
          <w:sz w:val="27"/>
          <w:szCs w:val="27"/>
        </w:rPr>
        <w:t>Order Date</w:t>
      </w:r>
      <w:r w:rsidRPr="006C7B46">
        <w:rPr>
          <w:rFonts w:ascii="Georgia" w:eastAsia="Times New Roman" w:hAnsi="Georgia" w:cs="Times New Roman"/>
          <w:color w:val="333333"/>
          <w:sz w:val="27"/>
          <w:szCs w:val="27"/>
        </w:rPr>
        <w:t> to the </w:t>
      </w:r>
      <w:r w:rsidRPr="006C7B46">
        <w:rPr>
          <w:rFonts w:ascii="Georgia" w:eastAsia="Times New Roman" w:hAnsi="Georgia" w:cs="Times New Roman"/>
          <w:b/>
          <w:bCs/>
          <w:color w:val="333333"/>
          <w:sz w:val="27"/>
          <w:szCs w:val="27"/>
        </w:rPr>
        <w:t>Columns </w:t>
      </w:r>
      <w:r w:rsidRPr="006C7B46">
        <w:rPr>
          <w:rFonts w:ascii="Georgia" w:eastAsia="Times New Roman" w:hAnsi="Georgia" w:cs="Times New Roman"/>
          <w:color w:val="333333"/>
          <w:sz w:val="27"/>
          <w:szCs w:val="27"/>
        </w:rPr>
        <w:t>shelf.</w:t>
      </w:r>
    </w:p>
    <w:p w:rsidR="006C7B46" w:rsidRPr="006C7B46" w:rsidRDefault="006C7B46" w:rsidP="006C7B46">
      <w:pPr>
        <w:numPr>
          <w:ilvl w:val="0"/>
          <w:numId w:val="15"/>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From the </w:t>
      </w:r>
      <w:r w:rsidRPr="006C7B46">
        <w:rPr>
          <w:rFonts w:ascii="Georgia" w:eastAsia="Times New Roman" w:hAnsi="Georgia" w:cs="Times New Roman"/>
          <w:b/>
          <w:bCs/>
          <w:color w:val="333333"/>
          <w:sz w:val="27"/>
          <w:szCs w:val="27"/>
        </w:rPr>
        <w:t>Data</w:t>
      </w:r>
      <w:r w:rsidRPr="006C7B46">
        <w:rPr>
          <w:rFonts w:ascii="Georgia" w:eastAsia="Times New Roman" w:hAnsi="Georgia" w:cs="Times New Roman"/>
          <w:color w:val="333333"/>
          <w:sz w:val="27"/>
          <w:szCs w:val="27"/>
        </w:rPr>
        <w:t> pane, under Dimensions, drag </w:t>
      </w:r>
      <w:r w:rsidRPr="006C7B46">
        <w:rPr>
          <w:rFonts w:ascii="Georgia" w:eastAsia="Times New Roman" w:hAnsi="Georgia" w:cs="Times New Roman"/>
          <w:b/>
          <w:bCs/>
          <w:color w:val="333333"/>
          <w:sz w:val="27"/>
          <w:szCs w:val="27"/>
        </w:rPr>
        <w:t>State </w:t>
      </w:r>
      <w:r w:rsidRPr="006C7B46">
        <w:rPr>
          <w:rFonts w:ascii="Georgia" w:eastAsia="Times New Roman" w:hAnsi="Georgia" w:cs="Times New Roman"/>
          <w:color w:val="333333"/>
          <w:sz w:val="27"/>
          <w:szCs w:val="27"/>
        </w:rPr>
        <w:t>to the </w:t>
      </w:r>
      <w:r w:rsidRPr="006C7B46">
        <w:rPr>
          <w:rFonts w:ascii="Georgia" w:eastAsia="Times New Roman" w:hAnsi="Georgia" w:cs="Times New Roman"/>
          <w:b/>
          <w:bCs/>
          <w:color w:val="333333"/>
          <w:sz w:val="27"/>
          <w:szCs w:val="27"/>
        </w:rPr>
        <w:t>Rows </w:t>
      </w:r>
      <w:r w:rsidRPr="006C7B46">
        <w:rPr>
          <w:rFonts w:ascii="Georgia" w:eastAsia="Times New Roman" w:hAnsi="Georgia" w:cs="Times New Roman"/>
          <w:color w:val="333333"/>
          <w:sz w:val="27"/>
          <w:szCs w:val="27"/>
        </w:rPr>
        <w:t>shelf.</w:t>
      </w:r>
    </w:p>
    <w:p w:rsidR="006C7B46" w:rsidRPr="006C7B46" w:rsidRDefault="006C7B46" w:rsidP="006C7B46">
      <w:pPr>
        <w:numPr>
          <w:ilvl w:val="0"/>
          <w:numId w:val="16"/>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From the </w:t>
      </w:r>
      <w:r w:rsidRPr="006C7B46">
        <w:rPr>
          <w:rFonts w:ascii="Georgia" w:eastAsia="Times New Roman" w:hAnsi="Georgia" w:cs="Times New Roman"/>
          <w:b/>
          <w:bCs/>
          <w:color w:val="333333"/>
          <w:sz w:val="27"/>
          <w:szCs w:val="27"/>
        </w:rPr>
        <w:t>Data</w:t>
      </w:r>
      <w:r w:rsidRPr="006C7B46">
        <w:rPr>
          <w:rFonts w:ascii="Georgia" w:eastAsia="Times New Roman" w:hAnsi="Georgia" w:cs="Times New Roman"/>
          <w:color w:val="333333"/>
          <w:sz w:val="27"/>
          <w:szCs w:val="27"/>
        </w:rPr>
        <w:t> pane, under Measures, drag </w:t>
      </w:r>
      <w:r w:rsidRPr="006C7B46">
        <w:rPr>
          <w:rFonts w:ascii="Georgia" w:eastAsia="Times New Roman" w:hAnsi="Georgia" w:cs="Times New Roman"/>
          <w:b/>
          <w:bCs/>
          <w:color w:val="333333"/>
          <w:sz w:val="27"/>
          <w:szCs w:val="27"/>
        </w:rPr>
        <w:t>Sales </w:t>
      </w:r>
      <w:r w:rsidRPr="006C7B46">
        <w:rPr>
          <w:rFonts w:ascii="Georgia" w:eastAsia="Times New Roman" w:hAnsi="Georgia" w:cs="Times New Roman"/>
          <w:color w:val="333333"/>
          <w:sz w:val="27"/>
          <w:szCs w:val="27"/>
        </w:rPr>
        <w:t>to </w:t>
      </w:r>
      <w:r w:rsidRPr="006C7B46">
        <w:rPr>
          <w:rFonts w:ascii="Georgia" w:eastAsia="Times New Roman" w:hAnsi="Georgia" w:cs="Times New Roman"/>
          <w:b/>
          <w:bCs/>
          <w:color w:val="333333"/>
          <w:sz w:val="27"/>
          <w:szCs w:val="27"/>
        </w:rPr>
        <w:t>Text </w:t>
      </w:r>
      <w:r w:rsidRPr="006C7B46">
        <w:rPr>
          <w:rFonts w:ascii="Georgia" w:eastAsia="Times New Roman" w:hAnsi="Georgia" w:cs="Times New Roman"/>
          <w:color w:val="333333"/>
          <w:sz w:val="27"/>
          <w:szCs w:val="27"/>
        </w:rPr>
        <w:t>on the Marks Card.</w:t>
      </w:r>
    </w:p>
    <w:p w:rsidR="006C7B46" w:rsidRPr="006C7B46" w:rsidRDefault="006C7B46" w:rsidP="006C7B46">
      <w:pPr>
        <w:numPr>
          <w:ilvl w:val="0"/>
          <w:numId w:val="17"/>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From the </w:t>
      </w:r>
      <w:r w:rsidRPr="006C7B46">
        <w:rPr>
          <w:rFonts w:ascii="Georgia" w:eastAsia="Times New Roman" w:hAnsi="Georgia" w:cs="Times New Roman"/>
          <w:b/>
          <w:bCs/>
          <w:color w:val="333333"/>
          <w:sz w:val="27"/>
          <w:szCs w:val="27"/>
        </w:rPr>
        <w:t>Data</w:t>
      </w:r>
      <w:r w:rsidRPr="006C7B46">
        <w:rPr>
          <w:rFonts w:ascii="Georgia" w:eastAsia="Times New Roman" w:hAnsi="Georgia" w:cs="Times New Roman"/>
          <w:color w:val="333333"/>
          <w:sz w:val="27"/>
          <w:szCs w:val="27"/>
        </w:rPr>
        <w:t> pane, under Measures, drag </w:t>
      </w:r>
      <w:r w:rsidRPr="006C7B46">
        <w:rPr>
          <w:rFonts w:ascii="Georgia" w:eastAsia="Times New Roman" w:hAnsi="Georgia" w:cs="Times New Roman"/>
          <w:b/>
          <w:bCs/>
          <w:color w:val="333333"/>
          <w:sz w:val="27"/>
          <w:szCs w:val="27"/>
        </w:rPr>
        <w:t>Profit </w:t>
      </w:r>
      <w:r w:rsidRPr="006C7B46">
        <w:rPr>
          <w:rFonts w:ascii="Georgia" w:eastAsia="Times New Roman" w:hAnsi="Georgia" w:cs="Times New Roman"/>
          <w:color w:val="333333"/>
          <w:sz w:val="27"/>
          <w:szCs w:val="27"/>
        </w:rPr>
        <w:t>to </w:t>
      </w:r>
      <w:proofErr w:type="spellStart"/>
      <w:r w:rsidRPr="006C7B46">
        <w:rPr>
          <w:rFonts w:ascii="Georgia" w:eastAsia="Times New Roman" w:hAnsi="Georgia" w:cs="Times New Roman"/>
          <w:b/>
          <w:bCs/>
          <w:color w:val="333333"/>
          <w:sz w:val="27"/>
          <w:szCs w:val="27"/>
        </w:rPr>
        <w:t>Colour</w:t>
      </w:r>
      <w:proofErr w:type="spellEnd"/>
      <w:r w:rsidRPr="006C7B46">
        <w:rPr>
          <w:rFonts w:ascii="Georgia" w:eastAsia="Times New Roman" w:hAnsi="Georgia" w:cs="Times New Roman"/>
          <w:b/>
          <w:bCs/>
          <w:color w:val="333333"/>
          <w:sz w:val="27"/>
          <w:szCs w:val="27"/>
        </w:rPr>
        <w:t> </w:t>
      </w:r>
      <w:r w:rsidRPr="006C7B46">
        <w:rPr>
          <w:rFonts w:ascii="Georgia" w:eastAsia="Times New Roman" w:hAnsi="Georgia" w:cs="Times New Roman"/>
          <w:color w:val="333333"/>
          <w:sz w:val="27"/>
          <w:szCs w:val="27"/>
        </w:rPr>
        <w:t>on the Marks Card.</w:t>
      </w:r>
    </w:p>
    <w:p w:rsidR="006C7B46" w:rsidRPr="006C7B46" w:rsidRDefault="006C7B46" w:rsidP="006C7B46">
      <w:pPr>
        <w:numPr>
          <w:ilvl w:val="0"/>
          <w:numId w:val="18"/>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On the Marks card, click the Mark Type drop-down and select </w:t>
      </w:r>
      <w:r w:rsidRPr="006C7B46">
        <w:rPr>
          <w:rFonts w:ascii="Georgia" w:eastAsia="Times New Roman" w:hAnsi="Georgia" w:cs="Times New Roman"/>
          <w:b/>
          <w:bCs/>
          <w:color w:val="333333"/>
          <w:sz w:val="27"/>
          <w:szCs w:val="27"/>
        </w:rPr>
        <w:t>Square</w:t>
      </w:r>
      <w:r w:rsidRPr="006C7B46">
        <w:rPr>
          <w:rFonts w:ascii="Georgia" w:eastAsia="Times New Roman" w:hAnsi="Georgia" w:cs="Times New Roman"/>
          <w:color w:val="333333"/>
          <w:sz w:val="27"/>
          <w:szCs w:val="27"/>
        </w:rPr>
        <w:t>.</w:t>
      </w:r>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r w:rsidRPr="006C7B46">
        <w:rPr>
          <w:rFonts w:ascii="Georgia" w:eastAsia="Times New Roman" w:hAnsi="Georgia" w:cs="Times New Roman"/>
          <w:noProof/>
          <w:color w:val="333333"/>
          <w:sz w:val="27"/>
          <w:szCs w:val="27"/>
        </w:rPr>
        <w:lastRenderedPageBreak/>
        <w:drawing>
          <wp:inline distT="0" distB="0" distL="0" distR="0">
            <wp:extent cx="1571625" cy="3067050"/>
            <wp:effectExtent l="0" t="0" r="9525" b="0"/>
            <wp:docPr id="5" name="Picture 5" descr="https://help.tableau.com/current/pro/desktop/en-gb/Img/quicktableca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tableau.com/current/pro/desktop/en-gb/Img/quicktablecal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3067050"/>
                    </a:xfrm>
                    <a:prstGeom prst="rect">
                      <a:avLst/>
                    </a:prstGeom>
                    <a:noFill/>
                    <a:ln>
                      <a:noFill/>
                    </a:ln>
                  </pic:spPr>
                </pic:pic>
              </a:graphicData>
            </a:graphic>
          </wp:inline>
        </w:drawing>
      </w:r>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 xml:space="preserve">The </w:t>
      </w:r>
      <w:proofErr w:type="spellStart"/>
      <w:r w:rsidRPr="006C7B46">
        <w:rPr>
          <w:rFonts w:ascii="Georgia" w:eastAsia="Times New Roman" w:hAnsi="Georgia" w:cs="Times New Roman"/>
          <w:color w:val="333333"/>
          <w:sz w:val="27"/>
          <w:szCs w:val="27"/>
        </w:rPr>
        <w:t>visualisation</w:t>
      </w:r>
      <w:proofErr w:type="spellEnd"/>
      <w:r w:rsidRPr="006C7B46">
        <w:rPr>
          <w:rFonts w:ascii="Georgia" w:eastAsia="Times New Roman" w:hAnsi="Georgia" w:cs="Times New Roman"/>
          <w:color w:val="333333"/>
          <w:sz w:val="27"/>
          <w:szCs w:val="27"/>
        </w:rPr>
        <w:t xml:space="preserve"> updates to look like this:</w:t>
      </w:r>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r w:rsidRPr="006C7B46">
        <w:rPr>
          <w:rFonts w:ascii="Georgia" w:eastAsia="Times New Roman" w:hAnsi="Georgia" w:cs="Times New Roman"/>
          <w:noProof/>
          <w:color w:val="333333"/>
          <w:sz w:val="27"/>
          <w:szCs w:val="27"/>
        </w:rPr>
        <w:drawing>
          <wp:inline distT="0" distB="0" distL="0" distR="0">
            <wp:extent cx="5943600" cy="4403090"/>
            <wp:effectExtent l="0" t="0" r="0" b="0"/>
            <wp:docPr id="4" name="Picture 4" descr="https://help.tableau.com/current/pro/desktop/en-gb/Img/quicktablecal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tableau.com/current/pro/desktop/en-gb/Img/quicktablecal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03090"/>
                    </a:xfrm>
                    <a:prstGeom prst="rect">
                      <a:avLst/>
                    </a:prstGeom>
                    <a:noFill/>
                    <a:ln>
                      <a:noFill/>
                    </a:ln>
                  </pic:spPr>
                </pic:pic>
              </a:graphicData>
            </a:graphic>
          </wp:inline>
        </w:drawing>
      </w:r>
    </w:p>
    <w:p w:rsidR="006C7B46" w:rsidRPr="006C7B46" w:rsidRDefault="006C7B46" w:rsidP="006C7B46">
      <w:pPr>
        <w:spacing w:before="100" w:beforeAutospacing="1" w:after="100" w:afterAutospacing="1" w:line="240" w:lineRule="auto"/>
        <w:outlineLvl w:val="2"/>
        <w:rPr>
          <w:rFonts w:ascii="Helvetica" w:eastAsia="Times New Roman" w:hAnsi="Helvetica" w:cs="Helvetica"/>
          <w:color w:val="333333"/>
          <w:sz w:val="27"/>
          <w:szCs w:val="27"/>
        </w:rPr>
      </w:pPr>
      <w:r w:rsidRPr="006C7B46">
        <w:rPr>
          <w:rFonts w:ascii="Helvetica" w:eastAsia="Times New Roman" w:hAnsi="Helvetica" w:cs="Helvetica"/>
          <w:color w:val="333333"/>
          <w:sz w:val="27"/>
          <w:szCs w:val="27"/>
        </w:rPr>
        <w:lastRenderedPageBreak/>
        <w:t>Apply the quick table calculation</w:t>
      </w:r>
    </w:p>
    <w:p w:rsidR="006C7B46" w:rsidRPr="006C7B46" w:rsidRDefault="006C7B46" w:rsidP="006C7B46">
      <w:pPr>
        <w:numPr>
          <w:ilvl w:val="0"/>
          <w:numId w:val="19"/>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On the Marks card, right-click </w:t>
      </w:r>
      <w:r w:rsidRPr="006C7B46">
        <w:rPr>
          <w:rFonts w:ascii="Georgia" w:eastAsia="Times New Roman" w:hAnsi="Georgia" w:cs="Times New Roman"/>
          <w:b/>
          <w:bCs/>
          <w:color w:val="333333"/>
          <w:sz w:val="27"/>
          <w:szCs w:val="27"/>
        </w:rPr>
        <w:t>SUM(Profit)</w:t>
      </w:r>
      <w:r w:rsidRPr="006C7B46">
        <w:rPr>
          <w:rFonts w:ascii="Georgia" w:eastAsia="Times New Roman" w:hAnsi="Georgia" w:cs="Times New Roman"/>
          <w:color w:val="333333"/>
          <w:sz w:val="27"/>
          <w:szCs w:val="27"/>
        </w:rPr>
        <w:t> and select </w:t>
      </w:r>
      <w:r w:rsidRPr="006C7B46">
        <w:rPr>
          <w:rFonts w:ascii="Georgia" w:eastAsia="Times New Roman" w:hAnsi="Georgia" w:cs="Times New Roman"/>
          <w:b/>
          <w:bCs/>
          <w:color w:val="333333"/>
          <w:sz w:val="27"/>
          <w:szCs w:val="27"/>
        </w:rPr>
        <w:t>Quick Table Calculation</w:t>
      </w:r>
      <w:r w:rsidRPr="006C7B46">
        <w:rPr>
          <w:rFonts w:ascii="Georgia" w:eastAsia="Times New Roman" w:hAnsi="Georgia" w:cs="Times New Roman"/>
          <w:color w:val="333333"/>
          <w:sz w:val="27"/>
          <w:szCs w:val="27"/>
        </w:rPr>
        <w:t> &gt; </w:t>
      </w:r>
      <w:r w:rsidRPr="006C7B46">
        <w:rPr>
          <w:rFonts w:ascii="Georgia" w:eastAsia="Times New Roman" w:hAnsi="Georgia" w:cs="Times New Roman"/>
          <w:b/>
          <w:bCs/>
          <w:color w:val="333333"/>
          <w:sz w:val="27"/>
          <w:szCs w:val="27"/>
        </w:rPr>
        <w:t>Moving Average</w:t>
      </w:r>
      <w:r w:rsidRPr="006C7B46">
        <w:rPr>
          <w:rFonts w:ascii="Georgia" w:eastAsia="Times New Roman" w:hAnsi="Georgia" w:cs="Times New Roman"/>
          <w:color w:val="333333"/>
          <w:sz w:val="27"/>
          <w:szCs w:val="27"/>
        </w:rPr>
        <w:t>.</w:t>
      </w:r>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r w:rsidRPr="006C7B46">
        <w:rPr>
          <w:rFonts w:ascii="Georgia" w:eastAsia="Times New Roman" w:hAnsi="Georgia" w:cs="Times New Roman"/>
          <w:b/>
          <w:bCs/>
          <w:color w:val="333333"/>
          <w:sz w:val="27"/>
          <w:szCs w:val="27"/>
        </w:rPr>
        <w:t>Note</w:t>
      </w:r>
      <w:r w:rsidRPr="006C7B46">
        <w:rPr>
          <w:rFonts w:ascii="Georgia" w:eastAsia="Times New Roman" w:hAnsi="Georgia" w:cs="Times New Roman"/>
          <w:color w:val="333333"/>
          <w:sz w:val="27"/>
          <w:szCs w:val="27"/>
        </w:rPr>
        <w:t>: You can only perform quick table calculations on measures in the view.</w:t>
      </w:r>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 xml:space="preserve">A delta symbol appears on the field to indicate that a quick table calculation is being applied to the field. The </w:t>
      </w:r>
      <w:proofErr w:type="spellStart"/>
      <w:r w:rsidRPr="006C7B46">
        <w:rPr>
          <w:rFonts w:ascii="Georgia" w:eastAsia="Times New Roman" w:hAnsi="Georgia" w:cs="Times New Roman"/>
          <w:color w:val="333333"/>
          <w:sz w:val="27"/>
          <w:szCs w:val="27"/>
        </w:rPr>
        <w:t>colours</w:t>
      </w:r>
      <w:proofErr w:type="spellEnd"/>
      <w:r w:rsidRPr="006C7B46">
        <w:rPr>
          <w:rFonts w:ascii="Georgia" w:eastAsia="Times New Roman" w:hAnsi="Georgia" w:cs="Times New Roman"/>
          <w:color w:val="333333"/>
          <w:sz w:val="27"/>
          <w:szCs w:val="27"/>
        </w:rPr>
        <w:t xml:space="preserve"> in the </w:t>
      </w:r>
      <w:proofErr w:type="spellStart"/>
      <w:r w:rsidRPr="006C7B46">
        <w:rPr>
          <w:rFonts w:ascii="Georgia" w:eastAsia="Times New Roman" w:hAnsi="Georgia" w:cs="Times New Roman"/>
          <w:color w:val="333333"/>
          <w:sz w:val="27"/>
          <w:szCs w:val="27"/>
        </w:rPr>
        <w:t>visualisation</w:t>
      </w:r>
      <w:proofErr w:type="spellEnd"/>
      <w:r w:rsidRPr="006C7B46">
        <w:rPr>
          <w:rFonts w:ascii="Georgia" w:eastAsia="Times New Roman" w:hAnsi="Georgia" w:cs="Times New Roman"/>
          <w:color w:val="333333"/>
          <w:sz w:val="27"/>
          <w:szCs w:val="27"/>
        </w:rPr>
        <w:t xml:space="preserve"> update to show the moving average of profit across the years.</w:t>
      </w:r>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r w:rsidRPr="006C7B46">
        <w:rPr>
          <w:rFonts w:ascii="Georgia" w:eastAsia="Times New Roman" w:hAnsi="Georgia" w:cs="Times New Roman"/>
          <w:noProof/>
          <w:color w:val="333333"/>
          <w:sz w:val="27"/>
          <w:szCs w:val="27"/>
        </w:rPr>
        <w:lastRenderedPageBreak/>
        <w:drawing>
          <wp:inline distT="0" distB="0" distL="0" distR="0">
            <wp:extent cx="5943600" cy="6937375"/>
            <wp:effectExtent l="0" t="0" r="0" b="0"/>
            <wp:docPr id="3" name="Picture 3" descr="https://help.tableau.com/current/pro/desktop/en-gb/Img/quicktablecal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tableau.com/current/pro/desktop/en-gb/Img/quicktablecalc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37375"/>
                    </a:xfrm>
                    <a:prstGeom prst="rect">
                      <a:avLst/>
                    </a:prstGeom>
                    <a:noFill/>
                    <a:ln>
                      <a:noFill/>
                    </a:ln>
                  </pic:spPr>
                </pic:pic>
              </a:graphicData>
            </a:graphic>
          </wp:inline>
        </w:drawing>
      </w:r>
    </w:p>
    <w:p w:rsidR="006C7B46" w:rsidRPr="006C7B46" w:rsidRDefault="006C7B46" w:rsidP="006C7B46">
      <w:pPr>
        <w:spacing w:before="100" w:beforeAutospacing="1" w:after="100" w:afterAutospacing="1" w:line="240" w:lineRule="auto"/>
        <w:outlineLvl w:val="2"/>
        <w:rPr>
          <w:rFonts w:ascii="Helvetica" w:eastAsia="Times New Roman" w:hAnsi="Helvetica" w:cs="Helvetica"/>
          <w:color w:val="333333"/>
          <w:sz w:val="27"/>
          <w:szCs w:val="27"/>
        </w:rPr>
      </w:pPr>
      <w:r w:rsidRPr="006C7B46">
        <w:rPr>
          <w:rFonts w:ascii="Helvetica" w:eastAsia="Times New Roman" w:hAnsi="Helvetica" w:cs="Helvetica"/>
          <w:color w:val="333333"/>
          <w:sz w:val="27"/>
          <w:szCs w:val="27"/>
        </w:rPr>
        <w:t xml:space="preserve">(Optional) </w:t>
      </w:r>
      <w:proofErr w:type="spellStart"/>
      <w:r w:rsidRPr="006C7B46">
        <w:rPr>
          <w:rFonts w:ascii="Helvetica" w:eastAsia="Times New Roman" w:hAnsi="Helvetica" w:cs="Helvetica"/>
          <w:color w:val="333333"/>
          <w:sz w:val="27"/>
          <w:szCs w:val="27"/>
        </w:rPr>
        <w:t>Customise</w:t>
      </w:r>
      <w:proofErr w:type="spellEnd"/>
      <w:r w:rsidRPr="006C7B46">
        <w:rPr>
          <w:rFonts w:ascii="Helvetica" w:eastAsia="Times New Roman" w:hAnsi="Helvetica" w:cs="Helvetica"/>
          <w:color w:val="333333"/>
          <w:sz w:val="27"/>
          <w:szCs w:val="27"/>
        </w:rPr>
        <w:t xml:space="preserve"> the quick table calculation</w:t>
      </w:r>
    </w:p>
    <w:p w:rsidR="006C7B46" w:rsidRPr="006C7B46" w:rsidRDefault="006C7B46" w:rsidP="006C7B46">
      <w:pPr>
        <w:numPr>
          <w:ilvl w:val="0"/>
          <w:numId w:val="20"/>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On the Marks card, right-click </w:t>
      </w:r>
      <w:r w:rsidRPr="006C7B46">
        <w:rPr>
          <w:rFonts w:ascii="Georgia" w:eastAsia="Times New Roman" w:hAnsi="Georgia" w:cs="Times New Roman"/>
          <w:b/>
          <w:bCs/>
          <w:color w:val="333333"/>
          <w:sz w:val="27"/>
          <w:szCs w:val="27"/>
        </w:rPr>
        <w:t>Sum(Profit)</w:t>
      </w:r>
      <w:r w:rsidRPr="006C7B46">
        <w:rPr>
          <w:rFonts w:ascii="Georgia" w:eastAsia="Times New Roman" w:hAnsi="Georgia" w:cs="Times New Roman"/>
          <w:color w:val="333333"/>
          <w:sz w:val="27"/>
          <w:szCs w:val="27"/>
        </w:rPr>
        <w:t> and select </w:t>
      </w:r>
      <w:r w:rsidRPr="006C7B46">
        <w:rPr>
          <w:rFonts w:ascii="Georgia" w:eastAsia="Times New Roman" w:hAnsi="Georgia" w:cs="Times New Roman"/>
          <w:b/>
          <w:bCs/>
          <w:color w:val="333333"/>
          <w:sz w:val="27"/>
          <w:szCs w:val="27"/>
        </w:rPr>
        <w:t>Edit Table Calculation</w:t>
      </w:r>
      <w:r w:rsidRPr="006C7B46">
        <w:rPr>
          <w:rFonts w:ascii="Georgia" w:eastAsia="Times New Roman" w:hAnsi="Georgia" w:cs="Times New Roman"/>
          <w:color w:val="333333"/>
          <w:sz w:val="27"/>
          <w:szCs w:val="27"/>
        </w:rPr>
        <w:t>.</w:t>
      </w:r>
    </w:p>
    <w:p w:rsidR="006C7B46" w:rsidRPr="006C7B46" w:rsidRDefault="006C7B46" w:rsidP="006C7B46">
      <w:pPr>
        <w:numPr>
          <w:ilvl w:val="0"/>
          <w:numId w:val="21"/>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lastRenderedPageBreak/>
        <w:t>In the dialog box that opens, you can configure the following options:</w:t>
      </w:r>
    </w:p>
    <w:p w:rsidR="006C7B46" w:rsidRPr="006C7B46" w:rsidRDefault="006C7B46" w:rsidP="006C7B46">
      <w:pPr>
        <w:numPr>
          <w:ilvl w:val="1"/>
          <w:numId w:val="22"/>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 xml:space="preserve">The calculation </w:t>
      </w:r>
      <w:proofErr w:type="gramStart"/>
      <w:r w:rsidRPr="006C7B46">
        <w:rPr>
          <w:rFonts w:ascii="Georgia" w:eastAsia="Times New Roman" w:hAnsi="Georgia" w:cs="Times New Roman"/>
          <w:color w:val="333333"/>
          <w:sz w:val="27"/>
          <w:szCs w:val="27"/>
        </w:rPr>
        <w:t>type</w:t>
      </w:r>
      <w:proofErr w:type="gramEnd"/>
    </w:p>
    <w:p w:rsidR="006C7B46" w:rsidRPr="006C7B46" w:rsidRDefault="006C7B46" w:rsidP="006C7B46">
      <w:pPr>
        <w:numPr>
          <w:ilvl w:val="1"/>
          <w:numId w:val="23"/>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How to aggregate the values</w:t>
      </w:r>
    </w:p>
    <w:p w:rsidR="006C7B46" w:rsidRPr="006C7B46" w:rsidRDefault="006C7B46" w:rsidP="006C7B46">
      <w:pPr>
        <w:numPr>
          <w:ilvl w:val="1"/>
          <w:numId w:val="24"/>
        </w:numPr>
        <w:spacing w:before="100" w:beforeAutospacing="1" w:after="100" w:afterAutospacing="1" w:line="240" w:lineRule="auto"/>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How to compute the calculation (how to address and partition the calculation)</w:t>
      </w:r>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For more information about these options, see </w:t>
      </w:r>
      <w:hyperlink r:id="rId9" w:history="1">
        <w:r w:rsidRPr="006C7B46">
          <w:rPr>
            <w:rFonts w:ascii="Georgia" w:eastAsia="Times New Roman" w:hAnsi="Georgia" w:cs="Times New Roman"/>
            <w:color w:val="FF6D02"/>
            <w:sz w:val="27"/>
            <w:szCs w:val="27"/>
            <w:u w:val="single"/>
          </w:rPr>
          <w:t>Table Calculation Types</w:t>
        </w:r>
      </w:hyperlink>
      <w:r w:rsidRPr="006C7B46">
        <w:rPr>
          <w:rFonts w:ascii="Georgia" w:eastAsia="Times New Roman" w:hAnsi="Georgia" w:cs="Times New Roman"/>
          <w:color w:val="333333"/>
          <w:sz w:val="27"/>
          <w:szCs w:val="27"/>
        </w:rPr>
        <w:t> and </w:t>
      </w:r>
      <w:hyperlink r:id="rId10" w:anchor="Basics" w:history="1">
        <w:r w:rsidRPr="006C7B46">
          <w:rPr>
            <w:rFonts w:ascii="Georgia" w:eastAsia="Times New Roman" w:hAnsi="Georgia" w:cs="Times New Roman"/>
            <w:color w:val="FF6D02"/>
            <w:sz w:val="27"/>
            <w:szCs w:val="27"/>
            <w:u w:val="single"/>
          </w:rPr>
          <w:t>The basics: addressing and partitioning</w:t>
        </w:r>
      </w:hyperlink>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 xml:space="preserve">The </w:t>
      </w:r>
      <w:proofErr w:type="spellStart"/>
      <w:r w:rsidRPr="006C7B46">
        <w:rPr>
          <w:rFonts w:ascii="Georgia" w:eastAsia="Times New Roman" w:hAnsi="Georgia" w:cs="Times New Roman"/>
          <w:color w:val="333333"/>
          <w:sz w:val="27"/>
          <w:szCs w:val="27"/>
        </w:rPr>
        <w:t>visualisation</w:t>
      </w:r>
      <w:proofErr w:type="spellEnd"/>
      <w:r w:rsidRPr="006C7B46">
        <w:rPr>
          <w:rFonts w:ascii="Georgia" w:eastAsia="Times New Roman" w:hAnsi="Georgia" w:cs="Times New Roman"/>
          <w:color w:val="333333"/>
          <w:sz w:val="27"/>
          <w:szCs w:val="27"/>
        </w:rPr>
        <w:t xml:space="preserve"> updates as you make changes to the calculation. Highlighting and numbering are used to demonstrate how the calculation is being computed. For example, in the following image, the calculation is being computed across the table, for each State.</w:t>
      </w:r>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r w:rsidRPr="006C7B46">
        <w:rPr>
          <w:rFonts w:ascii="Georgia" w:eastAsia="Times New Roman" w:hAnsi="Georgia" w:cs="Times New Roman"/>
          <w:noProof/>
          <w:color w:val="333333"/>
          <w:sz w:val="27"/>
          <w:szCs w:val="27"/>
        </w:rPr>
        <w:drawing>
          <wp:inline distT="0" distB="0" distL="0" distR="0">
            <wp:extent cx="5943600" cy="3837940"/>
            <wp:effectExtent l="0" t="0" r="0" b="0"/>
            <wp:docPr id="2" name="Picture 2" descr="https://help.tableau.com/current/pro/desktop/en-gb/Img/quicktablecal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tableau.com/current/pro/desktop/en-gb/Img/quicktablecalc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7940"/>
                    </a:xfrm>
                    <a:prstGeom prst="rect">
                      <a:avLst/>
                    </a:prstGeom>
                    <a:noFill/>
                    <a:ln>
                      <a:noFill/>
                    </a:ln>
                  </pic:spPr>
                </pic:pic>
              </a:graphicData>
            </a:graphic>
          </wp:inline>
        </w:drawing>
      </w:r>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r w:rsidRPr="006C7B46">
        <w:rPr>
          <w:rFonts w:ascii="Georgia" w:eastAsia="Times New Roman" w:hAnsi="Georgia" w:cs="Times New Roman"/>
          <w:color w:val="333333"/>
          <w:sz w:val="27"/>
          <w:szCs w:val="27"/>
        </w:rPr>
        <w:t xml:space="preserve">If this setting is changed, the </w:t>
      </w:r>
      <w:proofErr w:type="spellStart"/>
      <w:r w:rsidRPr="006C7B46">
        <w:rPr>
          <w:rFonts w:ascii="Georgia" w:eastAsia="Times New Roman" w:hAnsi="Georgia" w:cs="Times New Roman"/>
          <w:color w:val="333333"/>
          <w:sz w:val="27"/>
          <w:szCs w:val="27"/>
        </w:rPr>
        <w:t>visualisation</w:t>
      </w:r>
      <w:proofErr w:type="spellEnd"/>
      <w:r w:rsidRPr="006C7B46">
        <w:rPr>
          <w:rFonts w:ascii="Georgia" w:eastAsia="Times New Roman" w:hAnsi="Georgia" w:cs="Times New Roman"/>
          <w:color w:val="333333"/>
          <w:sz w:val="27"/>
          <w:szCs w:val="27"/>
        </w:rPr>
        <w:t xml:space="preserve"> and highlighting update to indicate the change.</w:t>
      </w:r>
    </w:p>
    <w:p w:rsidR="006C7B46" w:rsidRPr="006C7B46" w:rsidRDefault="006C7B46" w:rsidP="006C7B46">
      <w:pPr>
        <w:spacing w:before="100" w:beforeAutospacing="1" w:after="100" w:afterAutospacing="1" w:line="240" w:lineRule="auto"/>
        <w:ind w:left="720"/>
        <w:rPr>
          <w:rFonts w:ascii="Georgia" w:eastAsia="Times New Roman" w:hAnsi="Georgia" w:cs="Times New Roman"/>
          <w:color w:val="333333"/>
          <w:sz w:val="27"/>
          <w:szCs w:val="27"/>
        </w:rPr>
      </w:pPr>
      <w:bookmarkStart w:id="0" w:name="_GoBack"/>
      <w:r w:rsidRPr="006C7B46">
        <w:rPr>
          <w:rFonts w:ascii="Georgia" w:eastAsia="Times New Roman" w:hAnsi="Georgia" w:cs="Times New Roman"/>
          <w:noProof/>
          <w:color w:val="333333"/>
          <w:sz w:val="27"/>
          <w:szCs w:val="27"/>
        </w:rPr>
        <w:lastRenderedPageBreak/>
        <w:drawing>
          <wp:inline distT="0" distB="0" distL="0" distR="0">
            <wp:extent cx="5943600" cy="3778250"/>
            <wp:effectExtent l="0" t="0" r="0" b="0"/>
            <wp:docPr id="1" name="Picture 1" descr="https://help.tableau.com/current/pro/desktop/en-gb/Img/quicktablecal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tableau.com/current/pro/desktop/en-gb/Img/quicktablecalc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bookmarkEnd w:id="0"/>
    </w:p>
    <w:p w:rsidR="00781580" w:rsidRDefault="00781580"/>
    <w:sectPr w:rsidR="00781580" w:rsidSect="00E1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6DDB"/>
    <w:multiLevelType w:val="multilevel"/>
    <w:tmpl w:val="764A6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972CF"/>
    <w:multiLevelType w:val="multilevel"/>
    <w:tmpl w:val="A3BC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61B66"/>
    <w:multiLevelType w:val="multilevel"/>
    <w:tmpl w:val="8070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825056"/>
    <w:multiLevelType w:val="multilevel"/>
    <w:tmpl w:val="707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3"/>
    <w:lvlOverride w:ilvl="0">
      <w:startOverride w:val="7"/>
    </w:lvlOverride>
  </w:num>
  <w:num w:numId="8">
    <w:abstractNumId w:val="3"/>
    <w:lvlOverride w:ilvl="0">
      <w:startOverride w:val="8"/>
    </w:lvlOverride>
  </w:num>
  <w:num w:numId="9">
    <w:abstractNumId w:val="3"/>
    <w:lvlOverride w:ilvl="0">
      <w:startOverride w:val="9"/>
    </w:lvlOverride>
  </w:num>
  <w:num w:numId="10">
    <w:abstractNumId w:val="3"/>
    <w:lvlOverride w:ilvl="0">
      <w:startOverride w:val="10"/>
    </w:lvlOverride>
  </w:num>
  <w:num w:numId="11">
    <w:abstractNumId w:val="3"/>
    <w:lvlOverride w:ilvl="0">
      <w:startOverride w:val="11"/>
    </w:lvlOverride>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
    <w:lvlOverride w:ilvl="0">
      <w:startOverride w:val="4"/>
    </w:lvlOverride>
  </w:num>
  <w:num w:numId="16">
    <w:abstractNumId w:val="2"/>
    <w:lvlOverride w:ilvl="0">
      <w:startOverride w:val="5"/>
    </w:lvlOverride>
  </w:num>
  <w:num w:numId="17">
    <w:abstractNumId w:val="2"/>
    <w:lvlOverride w:ilvl="0">
      <w:startOverride w:val="6"/>
    </w:lvlOverride>
  </w:num>
  <w:num w:numId="18">
    <w:abstractNumId w:val="2"/>
    <w:lvlOverride w:ilvl="0">
      <w:startOverride w:val="7"/>
    </w:lvlOverride>
  </w:num>
  <w:num w:numId="19">
    <w:abstractNumId w:val="1"/>
    <w:lvlOverride w:ilvl="0">
      <w:startOverride w:val="1"/>
    </w:lvlOverride>
  </w:num>
  <w:num w:numId="20">
    <w:abstractNumId w:val="0"/>
    <w:lvlOverride w:ilvl="0">
      <w:startOverride w:val="1"/>
    </w:lvlOverride>
  </w:num>
  <w:num w:numId="21">
    <w:abstractNumId w:val="0"/>
    <w:lvlOverride w:ilvl="0">
      <w:startOverride w:val="2"/>
    </w:lvlOverride>
  </w:num>
  <w:num w:numId="22">
    <w:abstractNumId w:val="0"/>
    <w:lvlOverride w:ilvl="0"/>
    <w:lvlOverride w:ilvl="1">
      <w:startOverride w:val="1"/>
    </w:lvlOverride>
  </w:num>
  <w:num w:numId="23">
    <w:abstractNumId w:val="0"/>
    <w:lvlOverride w:ilvl="0"/>
    <w:lvlOverride w:ilvl="1">
      <w:startOverride w:val="2"/>
    </w:lvlOverride>
  </w:num>
  <w:num w:numId="24">
    <w:abstractNumId w:val="0"/>
    <w:lvlOverride w:ilvl="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7B46"/>
    <w:rsid w:val="00137E22"/>
    <w:rsid w:val="00186ADD"/>
    <w:rsid w:val="00317AEA"/>
    <w:rsid w:val="00511ED1"/>
    <w:rsid w:val="006C7B46"/>
    <w:rsid w:val="00781580"/>
    <w:rsid w:val="007D189A"/>
    <w:rsid w:val="00995CCE"/>
    <w:rsid w:val="00E12F8E"/>
    <w:rsid w:val="00F4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3E47E-75F6-459A-85C3-56BBCD73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7B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7B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7B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7B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7B46"/>
    <w:rPr>
      <w:rFonts w:ascii="Times New Roman" w:eastAsia="Times New Roman" w:hAnsi="Times New Roman" w:cs="Times New Roman"/>
      <w:b/>
      <w:bCs/>
      <w:sz w:val="27"/>
      <w:szCs w:val="27"/>
    </w:rPr>
  </w:style>
  <w:style w:type="character" w:customStyle="1" w:styleId="articletags--version">
    <w:name w:val="article__tags--version"/>
    <w:basedOn w:val="DefaultParagraphFont"/>
    <w:rsid w:val="006C7B46"/>
  </w:style>
  <w:style w:type="character" w:customStyle="1" w:styleId="articletags--applies-to">
    <w:name w:val="article__tags--applies-to"/>
    <w:basedOn w:val="DefaultParagraphFont"/>
    <w:rsid w:val="006C7B46"/>
  </w:style>
  <w:style w:type="paragraph" w:styleId="NormalWeb">
    <w:name w:val="Normal (Web)"/>
    <w:basedOn w:val="Normal"/>
    <w:uiPriority w:val="99"/>
    <w:semiHidden/>
    <w:unhideWhenUsed/>
    <w:rsid w:val="006C7B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7B46"/>
    <w:rPr>
      <w:color w:val="0000FF"/>
      <w:u w:val="single"/>
    </w:rPr>
  </w:style>
  <w:style w:type="character" w:customStyle="1" w:styleId="uicontrol">
    <w:name w:val="uicontrol"/>
    <w:basedOn w:val="DefaultParagraphFont"/>
    <w:rsid w:val="006C7B46"/>
  </w:style>
  <w:style w:type="paragraph" w:styleId="BalloonText">
    <w:name w:val="Balloon Text"/>
    <w:basedOn w:val="Normal"/>
    <w:link w:val="BalloonTextChar"/>
    <w:uiPriority w:val="99"/>
    <w:semiHidden/>
    <w:unhideWhenUsed/>
    <w:rsid w:val="006C7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B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03780">
      <w:bodyDiv w:val="1"/>
      <w:marLeft w:val="0"/>
      <w:marRight w:val="0"/>
      <w:marTop w:val="0"/>
      <w:marBottom w:val="0"/>
      <w:divBdr>
        <w:top w:val="none" w:sz="0" w:space="0" w:color="auto"/>
        <w:left w:val="none" w:sz="0" w:space="0" w:color="auto"/>
        <w:bottom w:val="none" w:sz="0" w:space="0" w:color="auto"/>
        <w:right w:val="none" w:sz="0" w:space="0" w:color="auto"/>
      </w:divBdr>
      <w:divsChild>
        <w:div w:id="763458207">
          <w:marLeft w:val="0"/>
          <w:marRight w:val="0"/>
          <w:marTop w:val="0"/>
          <w:marBottom w:val="0"/>
          <w:divBdr>
            <w:top w:val="none" w:sz="0" w:space="0" w:color="auto"/>
            <w:left w:val="none" w:sz="0" w:space="0" w:color="auto"/>
            <w:bottom w:val="none" w:sz="0" w:space="0" w:color="auto"/>
            <w:right w:val="none" w:sz="0" w:space="0" w:color="auto"/>
          </w:divBdr>
        </w:div>
        <w:div w:id="1689135199">
          <w:marLeft w:val="0"/>
          <w:marRight w:val="0"/>
          <w:marTop w:val="0"/>
          <w:marBottom w:val="0"/>
          <w:divBdr>
            <w:top w:val="none" w:sz="0" w:space="0" w:color="auto"/>
            <w:left w:val="none" w:sz="0" w:space="0" w:color="auto"/>
            <w:bottom w:val="none" w:sz="0" w:space="0" w:color="auto"/>
            <w:right w:val="none" w:sz="0" w:space="0" w:color="auto"/>
          </w:divBdr>
          <w:divsChild>
            <w:div w:id="953438768">
              <w:marLeft w:val="0"/>
              <w:marRight w:val="0"/>
              <w:marTop w:val="0"/>
              <w:marBottom w:val="0"/>
              <w:divBdr>
                <w:top w:val="none" w:sz="0" w:space="0" w:color="auto"/>
                <w:left w:val="none" w:sz="0" w:space="0" w:color="auto"/>
                <w:bottom w:val="none" w:sz="0" w:space="0" w:color="auto"/>
                <w:right w:val="none" w:sz="0" w:space="0" w:color="auto"/>
              </w:divBdr>
            </w:div>
            <w:div w:id="756899674">
              <w:marLeft w:val="0"/>
              <w:marRight w:val="0"/>
              <w:marTop w:val="0"/>
              <w:marBottom w:val="0"/>
              <w:divBdr>
                <w:top w:val="none" w:sz="0" w:space="0" w:color="auto"/>
                <w:left w:val="none" w:sz="0" w:space="0" w:color="auto"/>
                <w:bottom w:val="none" w:sz="0" w:space="0" w:color="auto"/>
                <w:right w:val="none" w:sz="0" w:space="0" w:color="auto"/>
              </w:divBdr>
            </w:div>
            <w:div w:id="805011214">
              <w:marLeft w:val="0"/>
              <w:marRight w:val="0"/>
              <w:marTop w:val="0"/>
              <w:marBottom w:val="0"/>
              <w:divBdr>
                <w:top w:val="none" w:sz="0" w:space="0" w:color="auto"/>
                <w:left w:val="none" w:sz="0" w:space="0" w:color="auto"/>
                <w:bottom w:val="none" w:sz="0" w:space="0" w:color="auto"/>
                <w:right w:val="none" w:sz="0" w:space="0" w:color="auto"/>
              </w:divBdr>
            </w:div>
            <w:div w:id="739718667">
              <w:marLeft w:val="0"/>
              <w:marRight w:val="0"/>
              <w:marTop w:val="0"/>
              <w:marBottom w:val="0"/>
              <w:divBdr>
                <w:top w:val="none" w:sz="0" w:space="0" w:color="auto"/>
                <w:left w:val="none" w:sz="0" w:space="0" w:color="auto"/>
                <w:bottom w:val="none" w:sz="0" w:space="0" w:color="auto"/>
                <w:right w:val="none" w:sz="0" w:space="0" w:color="auto"/>
              </w:divBdr>
            </w:div>
            <w:div w:id="8502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help.tableau.com/current/pro/desktop/en-gb/calculations_tablecalculations_definebasic_runningtotal.htm" TargetMode="External"/><Relationship Id="rId10" Type="http://schemas.openxmlformats.org/officeDocument/2006/relationships/hyperlink" Target="https://help.tableau.com/current/pro/desktop/en-gb/calculations_tablecalculations.htm" TargetMode="External"/><Relationship Id="rId4" Type="http://schemas.openxmlformats.org/officeDocument/2006/relationships/webSettings" Target="webSettings.xml"/><Relationship Id="rId9" Type="http://schemas.openxmlformats.org/officeDocument/2006/relationships/hyperlink" Target="https://help.tableau.com/current/pro/desktop/en-gb/calculations_tablecalculations_definebasic_runningtotal.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McGee</dc:creator>
  <cp:keywords/>
  <dc:description/>
  <cp:lastModifiedBy>Kristy McGee</cp:lastModifiedBy>
  <cp:revision>1</cp:revision>
  <dcterms:created xsi:type="dcterms:W3CDTF">2020-01-14T10:56:00Z</dcterms:created>
  <dcterms:modified xsi:type="dcterms:W3CDTF">2020-01-14T10:56:00Z</dcterms:modified>
</cp:coreProperties>
</file>