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1F30"/>
        </w:rPr>
        <w:t>Charte graphique — blog McGivrer</w:t>
      </w:r>
    </w:p>
    <w:p>
      <w:r>
        <w:rPr>
          <w:b/>
          <w:sz w:val="21"/>
        </w:rPr>
        <w:t>Version 1.0 — 2026-08-31</w:t>
      </w:r>
    </w:p>
    <w:p>
      <w:r>
        <w:rPr>
          <w:i/>
          <w:color w:val="4A5A78"/>
          <w:sz w:val="20"/>
        </w:rPr>
        <w:t>Périmètre : index.html et les futures pages de contenu du blog (articles, archive, recherche)</w:t>
      </w:r>
    </w:p>
    <w:p>
      <w:pPr>
        <w:pStyle w:val="Heading1"/>
      </w:pPr>
      <w:r>
        <w:rPr>
          <w:color w:val="161F30"/>
        </w:rPr>
        <w:t>1. Objectif de ce document</w:t>
      </w:r>
    </w:p>
    <w:p>
      <w:pPr>
        <w:spacing w:after="160"/>
      </w:pPr>
      <w:r>
        <w:rPr>
          <w:color w:val="4A5A78"/>
          <w:sz w:val="21"/>
        </w:rPr>
        <w:t>index.html a été conçu comme une page unique, riche en effets (bandeau d'actualités, overlay CRT, réseau de neurones animé, globe 3D, oscilloscope). Ce document extrait de cette page l'identité visuelle réutilisable — couleurs, typographie, composants — et propose trois gabarits de page standard (article, archive, recherche) qui la reprennent, afin que les futures pages du blog restent visuellement cohérentes avec la page d'accueil sans dupliquer son code à chaque fois.</w:t>
      </w:r>
    </w:p>
    <w:p>
      <w:pPr>
        <w:spacing w:after="160"/>
      </w:pPr>
      <w:r>
        <w:rPr>
          <w:color w:val="4A5A78"/>
          <w:sz w:val="21"/>
        </w:rPr>
        <w:t>Trois livrables accompagnent ce document :</w:t>
      </w:r>
    </w:p>
    <w:p>
      <w:pPr>
        <w:pStyle w:val="ListBullet"/>
      </w:pPr>
      <w:r>
        <w:rPr>
          <w:color w:val="4A5A78"/>
          <w:sz w:val="21"/>
        </w:rPr>
        <w:t>docs/templates/article.html — gabarit de page d'article</w:t>
      </w:r>
    </w:p>
    <w:p>
      <w:pPr>
        <w:pStyle w:val="ListBullet"/>
      </w:pPr>
      <w:r>
        <w:rPr>
          <w:color w:val="4A5A78"/>
          <w:sz w:val="21"/>
        </w:rPr>
        <w:t>docs/templates/archive.html — gabarit de page d'archive / liste d'articles</w:t>
      </w:r>
    </w:p>
    <w:p>
      <w:pPr>
        <w:pStyle w:val="ListBullet"/>
      </w:pPr>
      <w:r>
        <w:rPr>
          <w:color w:val="4A5A78"/>
          <w:sz w:val="21"/>
        </w:rPr>
        <w:t>docs/templates/recherche.html — gabarit de page de résultats de recherche</w:t>
      </w:r>
    </w:p>
    <w:p>
      <w:pPr>
        <w:pStyle w:val="ListBullet"/>
      </w:pPr>
      <w:r>
        <w:rPr>
          <w:color w:val="4A5A78"/>
          <w:sz w:val="21"/>
        </w:rPr>
        <w:t>docs/style-guide.html — planche de référence vivante (couleurs, typographie, composants)</w:t>
      </w:r>
    </w:p>
    <w:p>
      <w:pPr>
        <w:spacing w:after="160"/>
      </w:pPr>
      <w:r>
        <w:rPr>
          <w:color w:val="4A5A78"/>
          <w:sz w:val="21"/>
        </w:rPr>
        <w:t>Chaque gabarit est une page HTML autonome (pas de build, pas de dépendance locale), dans la continuité du reste du projet (index.html, demos/*.html).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254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4A5A78"/>
          <w:sz w:val="18"/>
        </w:rPr>
        <w:t>Page d'accueil actuelle (index.html), référence de tout ce document</w:t>
      </w:r>
    </w:p>
    <w:p>
      <w:pPr>
        <w:pStyle w:val="Heading1"/>
      </w:pPr>
      <w:r>
        <w:rPr>
          <w:color w:val="161F30"/>
        </w:rPr>
        <w:t>2. Principes d’identité visuelle</w:t>
      </w:r>
    </w:p>
    <w:p>
      <w:pPr>
        <w:spacing w:after="160"/>
      </w:pPr>
      <w:r>
        <w:rPr>
          <w:color w:val="4A5A78"/>
          <w:sz w:val="21"/>
        </w:rPr>
        <w:t>Le site adopte l'esthétique d'un terminal / poste de contrôle technique :</w:t>
      </w:r>
    </w:p>
    <w:p>
      <w:pPr>
        <w:pStyle w:val="ListBullet"/>
      </w:pPr>
      <w:r>
        <w:rPr>
          <w:color w:val="4A5A78"/>
          <w:sz w:val="21"/>
        </w:rPr>
        <w:t>fond très sombre avec une trame de grille discrète, qui rappelle un oscilloscope ou un schéma d'ingénierie ;</w:t>
      </w:r>
    </w:p>
    <w:p>
      <w:pPr>
        <w:pStyle w:val="ListBullet"/>
      </w:pPr>
      <w:r>
        <w:rPr>
          <w:color w:val="4A5A78"/>
          <w:sz w:val="21"/>
        </w:rPr>
        <w:t>typographie monospace (JetBrains Mono) pour tout ce qui est label, donnée, date, code ou UI ; Inter (sans-serif) réservée au texte de lecture longue ;</w:t>
      </w:r>
    </w:p>
    <w:p>
      <w:pPr>
        <w:pStyle w:val="ListBullet"/>
      </w:pPr>
      <w:r>
        <w:rPr>
          <w:color w:val="4A5A78"/>
          <w:sz w:val="21"/>
        </w:rPr>
        <w:t>deux couleurs d'accent avec un rôle distinct : ambre pour l'accent principal / les actions et cyan pour les données et les liens ;</w:t>
      </w:r>
    </w:p>
    <w:p>
      <w:pPr>
        <w:pStyle w:val="ListBullet"/>
      </w:pPr>
      <w:r>
        <w:rPr>
          <w:color w:val="4A5A78"/>
          <w:sz w:val="21"/>
        </w:rPr>
        <w:t>décor discret de coins en équerre (façon écran de diagnostic) sur les blocs d'en-tête ;</w:t>
      </w:r>
    </w:p>
    <w:p>
      <w:pPr>
        <w:pStyle w:val="ListBullet"/>
      </w:pPr>
      <w:r>
        <w:rPr>
          <w:color w:val="4A5A78"/>
          <w:sz w:val="21"/>
        </w:rPr>
        <w:t>une seule signature animée par page : le bandeau d'actualités et l'overlay CRT sont partagés par toutes les pages, mais les animations lourdes restent réservées à la page d'accueil.</w:t>
      </w:r>
    </w:p>
    <w:p>
      <w:pPr>
        <w:pStyle w:val="Heading1"/>
      </w:pPr>
      <w:r>
        <w:rPr>
          <w:color w:val="161F30"/>
        </w:rPr>
        <w:t>3. Palette de couleurs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Aperçu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Jeton CSS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  <w:shd w:val="clear" w:color="auto" w:fill="0B122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--bg</w:t>
            </w:r>
          </w:p>
        </w:tc>
        <w:tc>
          <w:tcPr>
            <w:tcW w:type="dxa" w:w="2160"/>
          </w:tcPr>
          <w:p>
            <w:r>
              <w:t>#0b1220</w:t>
            </w:r>
          </w:p>
        </w:tc>
        <w:tc>
          <w:tcPr>
            <w:tcW w:type="dxa" w:w="2160"/>
          </w:tcPr>
          <w:p>
            <w:r>
              <w:t>Fond de page</w:t>
            </w:r>
          </w:p>
        </w:tc>
      </w:tr>
      <w:tr>
        <w:tc>
          <w:tcPr>
            <w:tcW w:type="dxa" w:w="2160"/>
            <w:shd w:val="clear" w:color="auto" w:fill="0E1729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--bg-2</w:t>
            </w:r>
          </w:p>
        </w:tc>
        <w:tc>
          <w:tcPr>
            <w:tcW w:type="dxa" w:w="2160"/>
          </w:tcPr>
          <w:p>
            <w:r>
              <w:t>#0e1729</w:t>
            </w:r>
          </w:p>
        </w:tc>
        <w:tc>
          <w:tcPr>
            <w:tcW w:type="dxa" w:w="2160"/>
          </w:tcPr>
          <w:p>
            <w:r>
              <w:t>Lignes de la trame de fond</w:t>
            </w:r>
          </w:p>
        </w:tc>
      </w:tr>
      <w:tr>
        <w:tc>
          <w:tcPr>
            <w:tcW w:type="dxa" w:w="2160"/>
            <w:shd w:val="clear" w:color="auto" w:fill="0F1A3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--panel</w:t>
            </w:r>
          </w:p>
        </w:tc>
        <w:tc>
          <w:tcPr>
            <w:tcW w:type="dxa" w:w="2160"/>
          </w:tcPr>
          <w:p>
            <w:r>
              <w:t>#0f1a30</w:t>
            </w:r>
          </w:p>
        </w:tc>
        <w:tc>
          <w:tcPr>
            <w:tcW w:type="dxa" w:w="2160"/>
          </w:tcPr>
          <w:p>
            <w:r>
              <w:t>Fond des blocs (cartes, en-têtes, tableaux)</w:t>
            </w:r>
          </w:p>
        </w:tc>
      </w:tr>
      <w:tr>
        <w:tc>
          <w:tcPr>
            <w:tcW w:type="dxa" w:w="2160"/>
            <w:shd w:val="clear" w:color="auto" w:fill="25375C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--line</w:t>
            </w:r>
          </w:p>
        </w:tc>
        <w:tc>
          <w:tcPr>
            <w:tcW w:type="dxa" w:w="2160"/>
          </w:tcPr>
          <w:p>
            <w:r>
              <w:t>#25375c</w:t>
            </w:r>
          </w:p>
        </w:tc>
        <w:tc>
          <w:tcPr>
            <w:tcW w:type="dxa" w:w="2160"/>
          </w:tcPr>
          <w:p>
            <w:r>
              <w:t>Bordures, séparateurs</w:t>
            </w:r>
          </w:p>
        </w:tc>
      </w:tr>
      <w:tr>
        <w:tc>
          <w:tcPr>
            <w:tcW w:type="dxa" w:w="2160"/>
            <w:shd w:val="clear" w:color="auto" w:fill="E8EDF5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--ink</w:t>
            </w:r>
          </w:p>
        </w:tc>
        <w:tc>
          <w:tcPr>
            <w:tcW w:type="dxa" w:w="2160"/>
          </w:tcPr>
          <w:p>
            <w:r>
              <w:t>#e8edf5</w:t>
            </w:r>
          </w:p>
        </w:tc>
        <w:tc>
          <w:tcPr>
            <w:tcW w:type="dxa" w:w="2160"/>
          </w:tcPr>
          <w:p>
            <w:r>
              <w:t>Texte principal, titres</w:t>
            </w:r>
          </w:p>
        </w:tc>
      </w:tr>
      <w:tr>
        <w:tc>
          <w:tcPr>
            <w:tcW w:type="dxa" w:w="2160"/>
            <w:shd w:val="clear" w:color="auto" w:fill="8EA0C4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--muted</w:t>
            </w:r>
          </w:p>
        </w:tc>
        <w:tc>
          <w:tcPr>
            <w:tcW w:type="dxa" w:w="2160"/>
          </w:tcPr>
          <w:p>
            <w:r>
              <w:t>#8ea0c4</w:t>
            </w:r>
          </w:p>
        </w:tc>
        <w:tc>
          <w:tcPr>
            <w:tcW w:type="dxa" w:w="2160"/>
          </w:tcPr>
          <w:p>
            <w:r>
              <w:t>Texte de paragraphe</w:t>
            </w:r>
          </w:p>
        </w:tc>
      </w:tr>
      <w:tr>
        <w:tc>
          <w:tcPr>
            <w:tcW w:type="dxa" w:w="2160"/>
            <w:shd w:val="clear" w:color="auto" w:fill="5D6F92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--muted-2</w:t>
            </w:r>
          </w:p>
        </w:tc>
        <w:tc>
          <w:tcPr>
            <w:tcW w:type="dxa" w:w="2160"/>
          </w:tcPr>
          <w:p>
            <w:r>
              <w:t>#5d6f92</w:t>
            </w:r>
          </w:p>
        </w:tc>
        <w:tc>
          <w:tcPr>
            <w:tcW w:type="dxa" w:w="2160"/>
          </w:tcPr>
          <w:p>
            <w:r>
              <w:t>Texte secondaire, labels, métadonnées</w:t>
            </w:r>
          </w:p>
        </w:tc>
      </w:tr>
      <w:tr>
        <w:tc>
          <w:tcPr>
            <w:tcW w:type="dxa" w:w="2160"/>
            <w:shd w:val="clear" w:color="auto" w:fill="FFB454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--amber</w:t>
            </w:r>
          </w:p>
        </w:tc>
        <w:tc>
          <w:tcPr>
            <w:tcW w:type="dxa" w:w="2160"/>
          </w:tcPr>
          <w:p>
            <w:r>
              <w:t>#ffb454</w:t>
            </w:r>
          </w:p>
        </w:tc>
        <w:tc>
          <w:tcPr>
            <w:tcW w:type="dxa" w:w="2160"/>
          </w:tcPr>
          <w:p>
            <w:r>
              <w:t>Accent principal : marque, CTA, focus, état actif</w:t>
            </w:r>
          </w:p>
        </w:tc>
      </w:tr>
      <w:tr>
        <w:tc>
          <w:tcPr>
            <w:tcW w:type="dxa" w:w="2160"/>
            <w:shd w:val="clear" w:color="auto" w:fill="A97A3D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--amber-dim</w:t>
            </w:r>
          </w:p>
        </w:tc>
        <w:tc>
          <w:tcPr>
            <w:tcW w:type="dxa" w:w="2160"/>
          </w:tcPr>
          <w:p>
            <w:r>
              <w:t>#a97a3d</w:t>
            </w:r>
          </w:p>
        </w:tc>
        <w:tc>
          <w:tcPr>
            <w:tcW w:type="dxa" w:w="2160"/>
          </w:tcPr>
          <w:p>
            <w:r>
              <w:t>Accent atténué : numéros de section, séparateurs du ticker</w:t>
            </w:r>
          </w:p>
        </w:tc>
      </w:tr>
      <w:tr>
        <w:tc>
          <w:tcPr>
            <w:tcW w:type="dxa" w:w="2160"/>
            <w:shd w:val="clear" w:color="auto" w:fill="5EEAD4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--cyan</w:t>
            </w:r>
          </w:p>
        </w:tc>
        <w:tc>
          <w:tcPr>
            <w:tcW w:type="dxa" w:w="2160"/>
          </w:tcPr>
          <w:p>
            <w:r>
              <w:t>#5eead4</w:t>
            </w:r>
          </w:p>
        </w:tc>
        <w:tc>
          <w:tcPr>
            <w:tcW w:type="dxa" w:w="2160"/>
          </w:tcPr>
          <w:p>
            <w:r>
              <w:t>Données, dates, liens, tags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852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guid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5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4A5A78"/>
          <w:sz w:val="18"/>
        </w:rPr>
        <w:t>Planche de couleurs, typographie et composants (docs/style-guide.html)</w:t>
      </w:r>
    </w:p>
    <w:p>
      <w:pPr>
        <w:spacing w:after="160"/>
      </w:pPr>
      <w:r>
        <w:rPr>
          <w:color w:val="4A5A78"/>
          <w:sz w:val="21"/>
        </w:rPr>
        <w:t>Règle de contraste : le texte de lecture (--muted sur --bg/--panel) reste au-dessus de 4.5:1 ; les libellés --muted-2 ne sont utilisés que pour du texte non essentiel (métadonnées, décor).</w:t>
      </w:r>
    </w:p>
    <w:p>
      <w:pPr>
        <w:pStyle w:val="Heading1"/>
      </w:pPr>
      <w:r>
        <w:rPr>
          <w:color w:val="161F30"/>
        </w:rPr>
        <w:t>4. Typographie</w:t>
      </w:r>
    </w:p>
    <w:p>
      <w:pPr>
        <w:spacing w:after="160"/>
      </w:pPr>
      <w:r>
        <w:rPr>
          <w:color w:val="4A5A78"/>
          <w:sz w:val="21"/>
        </w:rPr>
        <w:t>Deux polices Google Fonts, déjà chargées dans index.html :</w:t>
      </w:r>
    </w:p>
    <w:p>
      <w:pPr>
        <w:spacing w:after="200"/>
        <w:shd w:val="clear" w:color="auto" w:fill="F2F5F9"/>
      </w:pPr>
      <w:r>
        <w:rPr>
          <w:rFonts w:ascii="Consolas" w:hAnsi="Consolas"/>
          <w:color w:val="0F7A68"/>
          <w:sz w:val="18"/>
        </w:rPr>
        <w:t>&lt;link href="https://fonts.googleapis.com/css2?family=JetBrains+Mono:wght@400;500;700;800&amp;family=Inter:wght@400;500;600;700&amp;display=swap" rel="stylesheet"&gt;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Police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Taille</w:t>
            </w:r>
          </w:p>
        </w:tc>
      </w:tr>
      <w:tr>
        <w:tc>
          <w:tcPr>
            <w:tcW w:type="dxa" w:w="2160"/>
          </w:tcPr>
          <w:p>
            <w:r>
              <w:t>Titre H1 (hero, article)</w:t>
            </w:r>
          </w:p>
        </w:tc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clamp(26px,4.4vw,40px) à clamp(32px,6vw,54px)</w:t>
            </w:r>
          </w:p>
        </w:tc>
      </w:tr>
      <w:tr>
        <w:tc>
          <w:tcPr>
            <w:tcW w:type="dxa" w:w="2160"/>
          </w:tcPr>
          <w:p>
            <w:r>
              <w:t>Titre de section (H2)</w:t>
            </w:r>
          </w:p>
        </w:tc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20–22px</w:t>
            </w:r>
          </w:p>
        </w:tc>
      </w:tr>
      <w:tr>
        <w:tc>
          <w:tcPr>
            <w:tcW w:type="dxa" w:w="2160"/>
          </w:tcPr>
          <w:p>
            <w:r>
              <w:t>Eyebrow / catégorie</w:t>
            </w:r>
          </w:p>
        </w:tc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13px, letter-spacing 0.08em</w:t>
            </w:r>
          </w:p>
        </w:tc>
      </w:tr>
      <w:tr>
        <w:tc>
          <w:tcPr>
            <w:tcW w:type="dxa" w:w="2160"/>
          </w:tcPr>
          <w:p>
            <w:r>
              <w:t>Corps de texte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15.5–16px, interligne 1.75–1.8</w:t>
            </w:r>
          </w:p>
        </w:tc>
      </w:tr>
      <w:tr>
        <w:tc>
          <w:tcPr>
            <w:tcW w:type="dxa" w:w="2160"/>
          </w:tcPr>
          <w:p>
            <w:r>
              <w:t>Libellés / données / code</w:t>
            </w:r>
          </w:p>
        </w:tc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400–700</w:t>
            </w:r>
          </w:p>
        </w:tc>
        <w:tc>
          <w:tcPr>
            <w:tcW w:type="dxa" w:w="2160"/>
          </w:tcPr>
          <w:p>
            <w:r>
              <w:t>10.5–13px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4A5A78"/>
          <w:sz w:val="21"/>
        </w:rPr>
        <w:t>Le corps de texte longue lecture (article) est plafonné à 72 caractères de large (max-width:72ch) pour rester confortable à lire.</w:t>
      </w:r>
    </w:p>
    <w:p>
      <w:pPr>
        <w:pStyle w:val="Heading1"/>
      </w:pPr>
      <w:r>
        <w:rPr>
          <w:color w:val="161F30"/>
        </w:rPr>
        <w:t>5. Grille et espacement</w:t>
      </w:r>
    </w:p>
    <w:p>
      <w:pPr>
        <w:pStyle w:val="ListBullet"/>
      </w:pPr>
      <w:r>
        <w:rPr>
          <w:color w:val="4A5A78"/>
          <w:sz w:val="21"/>
        </w:rPr>
        <w:t>Conteneur de page : max-width 960px (accueil) ou 820–900px (article, archive, recherche), centré, padding horizontal 24px.</w:t>
      </w:r>
    </w:p>
    <w:p>
      <w:pPr>
        <w:pStyle w:val="ListBullet"/>
      </w:pPr>
      <w:r>
        <w:rPr>
          <w:color w:val="4A5A78"/>
          <w:sz w:val="21"/>
        </w:rPr>
        <w:t>Rupture responsive principale à 680px (les grilles à deux colonnes repassent en une colonne).</w:t>
      </w:r>
    </w:p>
    <w:p>
      <w:pPr>
        <w:pStyle w:val="ListBullet"/>
      </w:pPr>
      <w:r>
        <w:rPr>
          <w:color w:val="4A5A78"/>
          <w:sz w:val="21"/>
        </w:rPr>
        <w:t>Échelle d'espacement observée : 8 · 14 · 20 · 28 · 40 · 56px.</w:t>
      </w:r>
    </w:p>
    <w:p>
      <w:pPr>
        <w:pStyle w:val="ListBullet"/>
      </w:pPr>
      <w:r>
        <w:rPr>
          <w:color w:val="4A5A78"/>
          <w:sz w:val="21"/>
        </w:rPr>
        <w:t>border-radius volontairement nul ou quasi nul (--radius:2px) : le style est anguleux, pas arrondi.</w:t>
      </w:r>
    </w:p>
    <w:p>
      <w:pPr>
        <w:pStyle w:val="Heading1"/>
      </w:pPr>
      <w:r>
        <w:rPr>
          <w:color w:val="161F30"/>
        </w:rPr>
        <w:t>6. Composants réutilisables</w:t>
      </w:r>
    </w:p>
    <w:p>
      <w:pPr>
        <w:spacing w:after="160"/>
      </w:pPr>
      <w:r>
        <w:rPr>
          <w:color w:val="4A5A78"/>
          <w:sz w:val="21"/>
        </w:rPr>
        <w:t>Ces classes existent déjà dans index.html et sont reprises telles quelles dans les trois gabarits :</w:t>
      </w:r>
    </w:p>
    <w:p>
      <w:pPr>
        <w:pStyle w:val="ListBullet"/>
      </w:pPr>
      <w:r>
        <w:rPr>
          <w:color w:val="4A5A78"/>
          <w:sz w:val="21"/>
        </w:rPr>
        <w:t>.tag / .tags — étiquette de sujet (bordure fine, fond cyan à 4% d'opacité).</w:t>
      </w:r>
    </w:p>
    <w:p>
      <w:pPr>
        <w:pStyle w:val="ListBullet"/>
      </w:pPr>
      <w:r>
        <w:rPr>
          <w:color w:val="4A5A78"/>
          <w:sz w:val="21"/>
        </w:rPr>
        <w:t>.section-head / .section-num / .section-title / .section-rule — en-tête de section numéroté avec filet dégradé.</w:t>
      </w:r>
    </w:p>
    <w:p>
      <w:pPr>
        <w:pStyle w:val="ListBullet"/>
      </w:pPr>
      <w:r>
        <w:rPr>
          <w:color w:val="4A5A78"/>
          <w:sz w:val="21"/>
        </w:rPr>
        <w:t>.log-row (accueil) → .archive-card (archive) — même patron de ligne date/contenu, réutilisé pour la liste d'articles.</w:t>
      </w:r>
    </w:p>
    <w:p>
      <w:pPr>
        <w:pStyle w:val="ListBullet"/>
      </w:pPr>
      <w:r>
        <w:rPr>
          <w:color w:val="4A5A78"/>
          <w:sz w:val="21"/>
        </w:rPr>
        <w:t>Bandeau .ticker — bandeau défilant sticky en haut de toutes les pages.</w:t>
      </w:r>
    </w:p>
    <w:p>
      <w:pPr>
        <w:pStyle w:val="ListBullet"/>
      </w:pPr>
      <w:r>
        <w:rPr>
          <w:color w:val="4A5A78"/>
          <w:sz w:val="21"/>
        </w:rPr>
        <w:t>Overlay #crt — grain/vignettage WebGL en superposition, partagé par toutes les pages.</w:t>
      </w:r>
    </w:p>
    <w:p>
      <w:pPr>
        <w:pStyle w:val="ListBullet"/>
      </w:pPr>
      <w:r>
        <w:rPr>
          <w:color w:val="4A5A78"/>
          <w:sz w:val="21"/>
        </w:rPr>
        <w:t>footer — pied de page identique sur toutes les pages.</w:t>
      </w:r>
    </w:p>
    <w:p>
      <w:pPr>
        <w:spacing w:after="160"/>
      </w:pPr>
      <w:r>
        <w:rPr>
          <w:color w:val="4A5A78"/>
          <w:sz w:val="21"/>
        </w:rPr>
        <w:t>Nouveaux composants introduits pour les gabarits secondaires :</w:t>
      </w:r>
    </w:p>
    <w:p>
      <w:pPr>
        <w:pStyle w:val="ListBullet"/>
      </w:pPr>
      <w:r>
        <w:rPr>
          <w:color w:val="4A5A78"/>
          <w:sz w:val="21"/>
        </w:rPr>
        <w:t>.site-header — en-tête compact (nom + navigation) qui remplace le grand bloc hero de l'accueil.</w:t>
      </w:r>
    </w:p>
    <w:p>
      <w:pPr>
        <w:pStyle w:val="ListBullet"/>
      </w:pPr>
      <w:r>
        <w:rPr>
          <w:color w:val="4A5A78"/>
          <w:sz w:val="21"/>
        </w:rPr>
        <w:t>.breadcrumb — fil d'ariane (page article).</w:t>
      </w:r>
    </w:p>
    <w:p>
      <w:pPr>
        <w:pStyle w:val="ListBullet"/>
      </w:pPr>
      <w:r>
        <w:rPr>
          <w:color w:val="4A5A78"/>
          <w:sz w:val="21"/>
        </w:rPr>
        <w:t>.post-* — habillage d'article long (métadonnées, prose, citation, code, pager).</w:t>
      </w:r>
    </w:p>
    <w:p>
      <w:pPr>
        <w:pStyle w:val="ListBullet"/>
      </w:pPr>
      <w:r>
        <w:rPr>
          <w:color w:val="4A5A78"/>
          <w:sz w:val="21"/>
        </w:rPr>
        <w:t>.archive-filters / .filter-chip / .pagination — filtrage et pagination de l'archive.</w:t>
      </w:r>
    </w:p>
    <w:p>
      <w:pPr>
        <w:pStyle w:val="ListBullet"/>
      </w:pPr>
      <w:r>
        <w:rPr>
          <w:color w:val="4A5A78"/>
          <w:sz w:val="21"/>
        </w:rPr>
        <w:t>.search-form / .result-row / .search-empty — formulaire et résultats de recherche.</w:t>
      </w:r>
    </w:p>
    <w:p>
      <w:pPr>
        <w:pStyle w:val="Heading1"/>
      </w:pPr>
      <w:r>
        <w:rPr>
          <w:color w:val="161F30"/>
        </w:rPr>
        <w:t>7. Accessibilité et mouvement</w:t>
      </w:r>
    </w:p>
    <w:p>
      <w:pPr>
        <w:pStyle w:val="ListBullet"/>
      </w:pPr>
      <w:r>
        <w:rPr>
          <w:color w:val="4A5A78"/>
          <w:sz w:val="21"/>
        </w:rPr>
        <w:t>Toutes les animations sont neutralisées sous @media (prefers-reduced-motion: reduce).</w:t>
      </w:r>
    </w:p>
    <w:p>
      <w:pPr>
        <w:pStyle w:val="ListBullet"/>
      </w:pPr>
      <w:r>
        <w:rPr>
          <w:color w:val="4A5A78"/>
          <w:sz w:val="21"/>
        </w:rPr>
        <w:t>Le bandeau .ticker s'arrête au survol et bascule en défilement horizontal natif sous reduced motion.</w:t>
      </w:r>
    </w:p>
    <w:p>
      <w:pPr>
        <w:pStyle w:val="ListBullet"/>
      </w:pPr>
      <w:r>
        <w:rPr>
          <w:color w:val="4A5A78"/>
          <w:sz w:val="21"/>
        </w:rPr>
        <w:t>Tous les éléments interactifs ont un état :focus-visible visible (outline ambre).</w:t>
      </w:r>
    </w:p>
    <w:p>
      <w:pPr>
        <w:pStyle w:val="ListBullet"/>
      </w:pPr>
      <w:r>
        <w:rPr>
          <w:color w:val="4A5A78"/>
          <w:sz w:val="21"/>
        </w:rPr>
        <w:t>Les couleurs de statut ne sont jamais le seul vecteur d'information : le texte reste toujours présent à côté.</w:t>
      </w:r>
    </w:p>
    <w:p>
      <w:pPr>
        <w:pStyle w:val="Heading1"/>
      </w:pPr>
      <w:r>
        <w:rPr>
          <w:color w:val="161F30"/>
        </w:rPr>
        <w:t>8. Éléments réservés à la page d’accueil</w:t>
      </w:r>
    </w:p>
    <w:p>
      <w:pPr>
        <w:spacing w:after="160"/>
      </w:pPr>
      <w:r>
        <w:rPr>
          <w:color w:val="4A5A78"/>
          <w:sz w:val="21"/>
        </w:rPr>
        <w:t>Trois animations sont volontairement spécifiques à index.html et ne doivent pas être copiées sur les pages de contenu (poids de rendu, et redondance de la « signature » visuelle) :</w:t>
      </w:r>
    </w:p>
    <w:p>
      <w:pPr>
        <w:pStyle w:val="ListBullet"/>
      </w:pPr>
      <w:r>
        <w:rPr>
          <w:color w:val="4A5A78"/>
          <w:sz w:val="21"/>
        </w:rPr>
        <w:t>le réseau de neurones WebGL (#neuralNet) et l'oscilloscope associé (#scopeCanvas) ;</w:t>
      </w:r>
    </w:p>
    <w:p>
      <w:pPr>
        <w:pStyle w:val="ListBullet"/>
      </w:pPr>
      <w:r>
        <w:rPr>
          <w:color w:val="4A5A78"/>
          <w:sz w:val="21"/>
        </w:rPr>
        <w:t>le petit globe 3D interactif (#mini-globe, Three.js).</w:t>
      </w:r>
    </w:p>
    <w:p>
      <w:pPr>
        <w:spacing w:after="160"/>
      </w:pPr>
      <w:r>
        <w:rPr>
          <w:color w:val="4A5A78"/>
          <w:sz w:val="21"/>
        </w:rPr>
        <w:t>Les pages de contenu gardent en commun avec l'accueil : la trame de fond, le bandeau d'actualités, l'overlay CRT et le pied de page — c'est ce socle commun qui assure la cohérence de marque, pas la répétition des animations lourdes.</w:t>
      </w:r>
    </w:p>
    <w:p>
      <w:pPr>
        <w:pStyle w:val="Heading1"/>
      </w:pPr>
      <w:r>
        <w:rPr>
          <w:color w:val="161F30"/>
        </w:rPr>
        <w:t>9. Règle « source unique » pour le bandeau d’actualités</w:t>
      </w:r>
    </w:p>
    <w:p>
      <w:pPr>
        <w:spacing w:after="160"/>
      </w:pPr>
      <w:r>
        <w:rPr>
          <w:color w:val="4A5A78"/>
          <w:sz w:val="21"/>
        </w:rPr>
        <w:t>Le bandeau .ticker ne doit jamais être rempli à la main avec une liste d'actualités recopiée : sur index.html, il est généré en JavaScript à partir des lignes de la section Latest updates (#log .log-row). Deux variantes de ce même principe sont utilisées dans les gabarits :</w:t>
      </w:r>
    </w:p>
    <w:p>
      <w:pPr>
        <w:pStyle w:val="ListBullet"/>
      </w:pPr>
      <w:r>
        <w:rPr>
          <w:color w:val="4A5A78"/>
          <w:sz w:val="21"/>
        </w:rPr>
        <w:t>La page contient déjà la liste canonique (ex. archive.html) : le ticker lit directement le DOM de cette liste.</w:t>
      </w:r>
    </w:p>
    <w:p>
      <w:pPr>
        <w:pStyle w:val="ListBullet"/>
      </w:pPr>
      <w:r>
        <w:rPr>
          <w:color w:val="4A5A78"/>
          <w:sz w:val="21"/>
        </w:rPr>
        <w:t>La page n'a pas de liste sur place (ex. article.html, recherche.html) : un îlot de données JSON (#site-latest) porte la liste, lu par le ticker au chargement.</w:t>
      </w:r>
    </w:p>
    <w:p>
      <w:pPr>
        <w:spacing w:after="160"/>
      </w:pPr>
      <w:r>
        <w:rPr>
          <w:color w:val="4A5A78"/>
          <w:sz w:val="21"/>
        </w:rPr>
        <w:t>Dans un générateur de site statique (Bloggy ou équivalent), cet îlot JSON devrait être injecté automatiquement à la construction à partir de la même source que la page d'archive — jamais recopié article par article.</w:t>
      </w:r>
    </w:p>
    <w:p>
      <w:pPr>
        <w:pStyle w:val="Heading1"/>
      </w:pPr>
      <w:r>
        <w:rPr>
          <w:color w:val="161F30"/>
        </w:rPr>
        <w:t>10. Gabarit — Page d’article</w:t>
      </w:r>
    </w:p>
    <w:p>
      <w:pPr>
        <w:spacing w:after="160"/>
      </w:pPr>
      <w:r>
        <w:rPr>
          <w:color w:val="4A5A78"/>
          <w:sz w:val="21"/>
        </w:rPr>
        <w:t>Fichier : docs/templates/article.html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9775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775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4A5A78"/>
          <w:sz w:val="18"/>
        </w:rPr>
        <w:t>Gabarit de page d'article</w:t>
      </w:r>
    </w:p>
    <w:p>
      <w:pPr>
        <w:spacing w:after="160"/>
      </w:pPr>
      <w:r>
        <w:rPr>
          <w:color w:val="4A5A78"/>
          <w:sz w:val="21"/>
        </w:rPr>
        <w:t>Structure de la page, de haut en bas :</w:t>
      </w:r>
    </w:p>
    <w:p>
      <w:pPr>
        <w:pStyle w:val="ListBullet"/>
      </w:pPr>
      <w:r>
        <w:rPr>
          <w:color w:val="4A5A78"/>
          <w:sz w:val="21"/>
        </w:rPr>
        <w:t>Bandeau d'actualités (.ticker) — identique à l'accueil.</w:t>
      </w:r>
    </w:p>
    <w:p>
      <w:pPr>
        <w:pStyle w:val="ListBullet"/>
      </w:pPr>
      <w:r>
        <w:rPr>
          <w:color w:val="4A5A78"/>
          <w:sz w:val="21"/>
        </w:rPr>
        <w:t>En-tête de site compact (.site-header) — nom du site + navigation, remplace le grand hero de l'accueil.</w:t>
      </w:r>
    </w:p>
    <w:p>
      <w:pPr>
        <w:pStyle w:val="ListBullet"/>
      </w:pPr>
      <w:r>
        <w:rPr>
          <w:color w:val="4A5A78"/>
          <w:sz w:val="21"/>
        </w:rPr>
        <w:t>Fil d'ariane (.breadcrumb) — Accueil / Archive / Titre de l'article.</w:t>
      </w:r>
    </w:p>
    <w:p>
      <w:pPr>
        <w:pStyle w:val="ListBullet"/>
      </w:pPr>
      <w:r>
        <w:rPr>
          <w:color w:val="4A5A78"/>
          <w:sz w:val="21"/>
        </w:rPr>
        <w:t>En-tête d'article (.post-head) — catégorie, titre H1, métadonnées, tags.</w:t>
      </w:r>
    </w:p>
    <w:p>
      <w:pPr>
        <w:pStyle w:val="ListBullet"/>
      </w:pPr>
      <w:r>
        <w:rPr>
          <w:color w:val="4A5A78"/>
          <w:sz w:val="21"/>
        </w:rPr>
        <w:t>Corps de l'article (.post-body) — prose limitée à 72ch, citation, bloc de code, figure avec légende.</w:t>
      </w:r>
    </w:p>
    <w:p>
      <w:pPr>
        <w:pStyle w:val="ListBullet"/>
      </w:pPr>
      <w:r>
        <w:rPr>
          <w:color w:val="4A5A78"/>
          <w:sz w:val="21"/>
        </w:rPr>
        <w:t>Tags de fin d'article (.post-tags).</w:t>
      </w:r>
    </w:p>
    <w:p>
      <w:pPr>
        <w:pStyle w:val="ListBullet"/>
      </w:pPr>
      <w:r>
        <w:rPr>
          <w:color w:val="4A5A78"/>
          <w:sz w:val="21"/>
        </w:rPr>
        <w:t>Navigation article précédent / suivant (.post-pager).</w:t>
      </w:r>
    </w:p>
    <w:p>
      <w:pPr>
        <w:pStyle w:val="ListBullet"/>
      </w:pPr>
      <w:r>
        <w:rPr>
          <w:color w:val="4A5A78"/>
          <w:sz w:val="21"/>
        </w:rPr>
        <w:t>Pied de page commun.</w:t>
      </w:r>
    </w:p>
    <w:p>
      <w:pPr>
        <w:pStyle w:val="Heading1"/>
      </w:pPr>
      <w:r>
        <w:rPr>
          <w:color w:val="161F30"/>
        </w:rPr>
        <w:t>11. Gabarit — Page d’archive</w:t>
      </w:r>
    </w:p>
    <w:p>
      <w:pPr>
        <w:spacing w:after="160"/>
      </w:pPr>
      <w:r>
        <w:rPr>
          <w:color w:val="4A5A78"/>
          <w:sz w:val="21"/>
        </w:rPr>
        <w:t>Fichier : docs/templates/archive.html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5644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64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4A5A78"/>
          <w:sz w:val="18"/>
        </w:rPr>
        <w:t>Gabarit de page d'archive</w:t>
      </w:r>
    </w:p>
    <w:p>
      <w:pPr>
        <w:pStyle w:val="ListBullet"/>
      </w:pPr>
      <w:r>
        <w:rPr>
          <w:color w:val="4A5A78"/>
          <w:sz w:val="21"/>
        </w:rPr>
        <w:t>Bandeau d'actualités — généré à partir de la liste de la page (voir §9).</w:t>
      </w:r>
    </w:p>
    <w:p>
      <w:pPr>
        <w:pStyle w:val="ListBullet"/>
      </w:pPr>
      <w:r>
        <w:rPr>
          <w:color w:val="4A5A78"/>
          <w:sz w:val="21"/>
        </w:rPr>
        <w:t>En-tête de site compact, onglet Archive actif.</w:t>
      </w:r>
    </w:p>
    <w:p>
      <w:pPr>
        <w:pStyle w:val="ListBullet"/>
      </w:pPr>
      <w:r>
        <w:rPr>
          <w:color w:val="4A5A78"/>
          <w:sz w:val="21"/>
        </w:rPr>
        <w:t>En-tête de section (.archive-head) — titre, description, filtres par tag.</w:t>
      </w:r>
    </w:p>
    <w:p>
      <w:pPr>
        <w:pStyle w:val="ListBullet"/>
      </w:pPr>
      <w:r>
        <w:rPr>
          <w:color w:val="4A5A78"/>
          <w:sz w:val="21"/>
        </w:rPr>
        <w:t>Liste d'articles (.archive-list &gt; .archive-card) — même patron que Latest updates de l'accueil.</w:t>
      </w:r>
    </w:p>
    <w:p>
      <w:pPr>
        <w:pStyle w:val="ListBullet"/>
      </w:pPr>
      <w:r>
        <w:rPr>
          <w:color w:val="4A5A78"/>
          <w:sz w:val="21"/>
        </w:rPr>
        <w:t>Pagination (.pagination).</w:t>
      </w:r>
    </w:p>
    <w:p>
      <w:pPr>
        <w:pStyle w:val="ListBullet"/>
      </w:pPr>
      <w:r>
        <w:rPr>
          <w:color w:val="4A5A78"/>
          <w:sz w:val="21"/>
        </w:rPr>
        <w:t>Pied de page commun.</w:t>
      </w:r>
    </w:p>
    <w:p>
      <w:pPr>
        <w:pStyle w:val="Heading1"/>
      </w:pPr>
      <w:r>
        <w:rPr>
          <w:color w:val="161F30"/>
        </w:rPr>
        <w:t>12. Gabarit — Page de recherche</w:t>
      </w:r>
    </w:p>
    <w:p>
      <w:pPr>
        <w:spacing w:after="160"/>
      </w:pPr>
      <w:r>
        <w:rPr>
          <w:color w:val="4A5A78"/>
          <w:sz w:val="21"/>
        </w:rPr>
        <w:t>Fichier : docs/templates/recherche.html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5300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herch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0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4A5A78"/>
          <w:sz w:val="18"/>
        </w:rPr>
        <w:t>Gabarit de page de recherche</w:t>
      </w:r>
    </w:p>
    <w:p>
      <w:pPr>
        <w:pStyle w:val="ListBullet"/>
      </w:pPr>
      <w:r>
        <w:rPr>
          <w:color w:val="4A5A78"/>
          <w:sz w:val="21"/>
        </w:rPr>
        <w:t>Bandeau d'actualités — alimenté par l'îlot JSON #site-latest.</w:t>
      </w:r>
    </w:p>
    <w:p>
      <w:pPr>
        <w:pStyle w:val="ListBullet"/>
      </w:pPr>
      <w:r>
        <w:rPr>
          <w:color w:val="4A5A78"/>
          <w:sz w:val="21"/>
        </w:rPr>
        <w:t>En-tête de site compact, onglet Search actif.</w:t>
      </w:r>
    </w:p>
    <w:p>
      <w:pPr>
        <w:pStyle w:val="ListBullet"/>
      </w:pPr>
      <w:r>
        <w:rPr>
          <w:color w:val="4A5A78"/>
          <w:sz w:val="21"/>
        </w:rPr>
        <w:t>En-tête de recherche (.search-head) — champ + bouton, compteur de résultats avec terme surligné.</w:t>
      </w:r>
    </w:p>
    <w:p>
      <w:pPr>
        <w:pStyle w:val="ListBullet"/>
      </w:pPr>
      <w:r>
        <w:rPr>
          <w:color w:val="4A5A78"/>
          <w:sz w:val="21"/>
        </w:rPr>
        <w:t>Liste de résultats (.search-results &gt; .result-row) — occurrences surlignées dans l'extrait.</w:t>
      </w:r>
    </w:p>
    <w:p>
      <w:pPr>
        <w:pStyle w:val="ListBullet"/>
      </w:pPr>
      <w:r>
        <w:rPr>
          <w:color w:val="4A5A78"/>
          <w:sz w:val="21"/>
        </w:rPr>
        <w:t>État vide (.search-empty, masqué par défaut) — message + lien vers l'archive complète.</w:t>
      </w:r>
    </w:p>
    <w:p>
      <w:pPr>
        <w:pStyle w:val="ListBullet"/>
      </w:pPr>
      <w:r>
        <w:rPr>
          <w:color w:val="4A5A78"/>
          <w:sz w:val="21"/>
        </w:rPr>
        <w:t>Pied de page commun.</w:t>
      </w:r>
    </w:p>
    <w:p>
      <w:pPr>
        <w:pStyle w:val="Heading1"/>
      </w:pPr>
      <w:r>
        <w:rPr>
          <w:color w:val="161F30"/>
        </w:rPr>
        <w:t>13. Page de référence — Style guide</w:t>
      </w:r>
    </w:p>
    <w:p>
      <w:pPr>
        <w:spacing w:after="160"/>
      </w:pPr>
      <w:r>
        <w:rPr>
          <w:color w:val="4A5A78"/>
          <w:sz w:val="21"/>
        </w:rPr>
        <w:t>Fichier : docs/style-guide.html — planche vivante (couleurs, typographie, composants, échelle d'espacement) servant de mémo visuel rapide, à ouvrir directement dans un navigateur pour vérifier qu'une nouvelle page respecte bien les jetons définis dans ce document.</w:t>
      </w:r>
    </w:p>
    <w:p>
      <w:pPr>
        <w:pStyle w:val="Heading1"/>
      </w:pPr>
      <w:r>
        <w:rPr>
          <w:color w:val="161F30"/>
        </w:rPr>
        <w:t>14. Arborescence des livrables</w:t>
      </w:r>
    </w:p>
    <w:p>
      <w:pPr>
        <w:spacing w:after="200"/>
        <w:shd w:val="clear" w:color="auto" w:fill="F2F5F9"/>
      </w:pPr>
      <w:r>
        <w:rPr>
          <w:rFonts w:ascii="Consolas" w:hAnsi="Consolas"/>
          <w:color w:val="0F7A68"/>
          <w:sz w:val="18"/>
        </w:rPr>
        <w:t>docs/</w:t>
        <w:br/>
        <w:t xml:space="preserve">  charte-graphique.md / .docx / .pdf</w:t>
        <w:br/>
        <w:t xml:space="preserve">  style-guide.html</w:t>
        <w:br/>
        <w:t xml:space="preserve">  assets/ (home.png, article.png, archive.png, recherche.png, style-guide.png)</w:t>
        <w:br/>
        <w:t xml:space="preserve">  templates/ (article.html, archive.html, recherche.html)</w:t>
      </w:r>
    </w:p>
    <w:p>
      <w:pPr>
        <w:pStyle w:val="Heading1"/>
      </w:pPr>
      <w:r>
        <w:rPr>
          <w:color w:val="161F30"/>
        </w:rPr>
        <w:t>15. Recommandations pour la suite</w:t>
      </w:r>
    </w:p>
    <w:p>
      <w:pPr>
        <w:pStyle w:val="ListBullet"/>
      </w:pPr>
      <w:r>
        <w:rPr>
          <w:color w:val="4A5A78"/>
          <w:sz w:val="21"/>
        </w:rPr>
        <w:t>Brancher les trois gabarits sur un générateur de contenu réel (Bloggy ou équivalent) plutôt que de dupliquer le HTML à la main pour chaque article.</w:t>
      </w:r>
    </w:p>
    <w:p>
      <w:pPr>
        <w:pStyle w:val="ListBullet"/>
      </w:pPr>
      <w:r>
        <w:rPr>
          <w:color w:val="4A5A78"/>
          <w:sz w:val="21"/>
        </w:rPr>
        <w:t>Faire de l'îlot #site-latest et de la liste d'archive une seule source de données (front-matter des articles), générée une fois à la construction du site.</w:t>
      </w:r>
    </w:p>
    <w:p>
      <w:pPr>
        <w:pStyle w:val="ListBullet"/>
      </w:pPr>
      <w:r>
        <w:rPr>
          <w:color w:val="4A5A78"/>
          <w:sz w:val="21"/>
        </w:rPr>
        <w:t>Ajouter une page 404 reprenant le même .site-header / pied de page, pour fermer la boucle de navigation.</w:t>
      </w:r>
    </w:p>
    <w:p>
      <w:pPr>
        <w:pStyle w:val="ListBullet"/>
      </w:pPr>
      <w:r>
        <w:rPr>
          <w:color w:val="4A5A78"/>
          <w:sz w:val="21"/>
        </w:rPr>
        <w:t>Le champ de recherche des gabarits est statique (démonstrateur) : à brancher sur un index côté client (ex. Lunr.js) ou un service externe selon le volume d'articles.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