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国内金融市场要闻_2026-04-28</w:t>
      </w:r>
    </w:p>
    <w:p>
      <w:r>
        <w:rPr>
          <w:b/>
          <w:sz w:val="28"/>
        </w:rPr>
        <w:t>1. 宏观政策与央行动态</w:t>
      </w:r>
    </w:p>
    <w:p>
      <w:pPr>
        <w:pStyle w:val="ListBullet"/>
      </w:pPr>
      <w:r>
        <w:t>央行公开市场操作：4月28日开展435亿元7天期逆回购操作，中标利率1.40%。同时预告今日将开展4000亿元MLF（中期借贷便利）操作，旨在维护月末流动性稳定。</w:t>
      </w:r>
    </w:p>
    <w:p>
      <w:pPr>
        <w:pStyle w:val="ListBullet"/>
      </w:pPr>
      <w:r>
        <w:t>能源政策：国家能源局发文促进“算电协同”，预计2026年全社会用电量将保持稳健增长，助力数字基础设施建设。</w:t>
      </w:r>
    </w:p>
    <w:p>
      <w:pPr>
        <w:pStyle w:val="ListBullet"/>
      </w:pPr>
      <w:r>
        <w:t>影响判断：利好。央行流动性投放精准，MLF增量续作预期稳定市场信心。</w:t>
      </w:r>
    </w:p>
    <w:p>
      <w:r>
        <w:rPr>
          <w:b/>
          <w:sz w:val="28"/>
        </w:rPr>
        <w:t>2. A股市场整体行情</w:t>
      </w:r>
    </w:p>
    <w:p>
      <w:pPr>
        <w:pStyle w:val="ListBullet"/>
      </w:pPr>
      <w:r>
        <w:t>盘面表现：早盘A股震荡分化。受政策利好刺激，半导体、AI算力板块逆势走强；白马消费股受节前避险情绪影响表现疲软。</w:t>
      </w:r>
    </w:p>
    <w:p>
      <w:pPr>
        <w:pStyle w:val="ListBullet"/>
      </w:pPr>
      <w:r>
        <w:t>资金流向：北向资金小幅流出，但科技主题ETF仍获逆势申购。两市成交额约8500亿元，交投热度有所回落。</w:t>
      </w:r>
    </w:p>
    <w:p>
      <w:pPr>
        <w:pStyle w:val="ListBullet"/>
      </w:pPr>
      <w:r>
        <w:t>影响判断：中性。节前效应明显，市场呈现结构性行情。</w:t>
      </w:r>
    </w:p>
    <w:p>
      <w:r>
        <w:rPr>
          <w:b/>
          <w:sz w:val="28"/>
        </w:rPr>
        <w:t>3. 债市与资金流动性</w:t>
      </w:r>
    </w:p>
    <w:p>
      <w:pPr>
        <w:pStyle w:val="ListBullet"/>
      </w:pPr>
      <w:r>
        <w:t>债市波动：国债期货全线收跌，30年期主力合约跌0.52%，反映市场对后续基本面复苏及供给压力的担忧。</w:t>
      </w:r>
    </w:p>
    <w:p>
      <w:pPr>
        <w:pStyle w:val="ListBullet"/>
      </w:pPr>
      <w:r>
        <w:t>资金利率：DR007加权利率小幅上行至1.85%附近，显示月末资金面边际趋紧，但整体风险可控。</w:t>
      </w:r>
    </w:p>
    <w:p>
      <w:pPr>
        <w:pStyle w:val="ListBullet"/>
      </w:pPr>
      <w:r>
        <w:t>影响判断：利空（短期）。资金面边际收敛对债市形成压制。</w:t>
      </w:r>
    </w:p>
    <w:p>
      <w:r>
        <w:rPr>
          <w:b/>
          <w:sz w:val="28"/>
        </w:rPr>
        <w:t>4. 人民币汇率走势</w:t>
      </w:r>
    </w:p>
    <w:p>
      <w:pPr>
        <w:pStyle w:val="ListBullet"/>
      </w:pPr>
      <w:r>
        <w:t>汇率行情：美元/人民币报7.226，整体持平。人民币兑美元中间价调贬4个基点，保持在合理均衡水平双向波动。</w:t>
      </w:r>
    </w:p>
    <w:p>
      <w:pPr>
        <w:pStyle w:val="ListBullet"/>
      </w:pPr>
      <w:r>
        <w:t>市场情绪：尽管美元指数走强，但人民币资产韧性凸显，外汇市场预期稳定。</w:t>
      </w:r>
    </w:p>
    <w:p>
      <w:pPr>
        <w:pStyle w:val="ListBullet"/>
      </w:pPr>
      <w:r>
        <w:t>影响判断：中性。汇率保持基本稳定，有利于稳定跨境资金流动。</w:t>
      </w:r>
    </w:p>
    <w:p>
      <w:r>
        <w:rPr>
          <w:b/>
          <w:sz w:val="28"/>
        </w:rPr>
        <w:t>5. 重点行业重要动态</w:t>
      </w:r>
    </w:p>
    <w:p>
      <w:pPr>
        <w:pStyle w:val="ListBullet"/>
      </w:pPr>
      <w:r>
        <w:t>科技安全：发改委强化AI领域外资安全审查，自主可控逻辑进一步强化，国产半导体设备厂商受关注。</w:t>
      </w:r>
    </w:p>
    <w:p>
      <w:pPr>
        <w:pStyle w:val="ListBullet"/>
      </w:pPr>
      <w:r>
        <w:t>期货行业：南华期货、永安期货等一季报净利大增，反映在波动加剧的市场环境下，套期保值与风险管理需求提升。</w:t>
      </w:r>
    </w:p>
    <w:p>
      <w:pPr>
        <w:pStyle w:val="ListBullet"/>
      </w:pPr>
      <w:r>
        <w:t>影响判断：利好（国产替代/金融服务）。</w:t>
      </w:r>
    </w:p>
    <w:p>
      <w:r>
        <w:rPr>
          <w:b/>
          <w:sz w:val="28"/>
        </w:rPr>
        <w:t>6. 金融监管与制度更新</w:t>
      </w:r>
    </w:p>
    <w:p>
      <w:pPr>
        <w:pStyle w:val="ListBullet"/>
      </w:pPr>
      <w:r>
        <w:t>合规治理：网信办开展专项行动，严厉打击“非法荐股”、诱导跟风等违法违规行为，规范网络投资信息环境。</w:t>
      </w:r>
    </w:p>
    <w:p>
      <w:pPr>
        <w:pStyle w:val="ListBullet"/>
      </w:pPr>
      <w:r>
        <w:t>市场规范：监管层强调保护中小投资者合法权益，严打操纵市场行为。</w:t>
      </w:r>
    </w:p>
    <w:p>
      <w:pPr>
        <w:pStyle w:val="ListBullet"/>
      </w:pPr>
      <w:r>
        <w:t>影响判断：中性偏利好。长远看有助于净化市场环境，提升投资者信心。</w:t>
      </w:r>
    </w:p>
    <w:p>
      <w:r>
        <w:rPr>
          <w:b/>
          <w:sz w:val="28"/>
        </w:rPr>
        <w:t>7. 当日核心经济数据</w:t>
      </w:r>
    </w:p>
    <w:p>
      <w:pPr>
        <w:pStyle w:val="ListBullet"/>
      </w:pPr>
      <w:r>
        <w:t>GDP回顾：一季度GDP同比增长5.0%，工业增加值表现亮眼，经济复苏动能依然强劲。</w:t>
      </w:r>
    </w:p>
    <w:p>
      <w:pPr>
        <w:pStyle w:val="ListBullet"/>
      </w:pPr>
      <w:r>
        <w:t>电力负荷：预计2026年夏季高峰时段全国电力供需形势总体平衡，部分地区可能偏紧。</w:t>
      </w:r>
    </w:p>
    <w:p>
      <w:pPr>
        <w:pStyle w:val="ListBullet"/>
      </w:pPr>
      <w:r>
        <w:t>影响判断：利好。宏观经济基本面稳健，为资本市场提供底部支撑。</w:t>
      </w:r>
    </w:p>
    <w:p>
      <w:pPr/>
      <w:r>
        <w:rPr>
          <w:b/>
        </w:rPr>
        <w:br/>
        <w:t>免责声明：</w:t>
      </w:r>
    </w:p>
    <w:p>
      <w:pPr/>
      <w:r>
        <w:t>本报告内容基于权威财经媒体及监管机构公开资讯整理，仅供参考，不构成任何投资建议。投资者据此操作，风险自担。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