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5A89B" w14:textId="77777777" w:rsidR="00A7298C" w:rsidRPr="00665CF4" w:rsidRDefault="00A7298C" w:rsidP="00A7298C">
      <w:pPr>
        <w:pStyle w:val="Title"/>
        <w:rPr>
          <w:rFonts w:ascii="Tahoma" w:hAnsi="Tahoma" w:cs="Tahoma"/>
          <w:sz w:val="18"/>
          <w:szCs w:val="18"/>
        </w:rPr>
      </w:pPr>
      <w:r w:rsidRPr="00665CF4">
        <w:rPr>
          <w:rFonts w:ascii="Tahoma" w:hAnsi="Tahoma" w:cs="Tahoma"/>
          <w:sz w:val="18"/>
          <w:szCs w:val="18"/>
        </w:rPr>
        <w:t>ISAC APPLICATION FORM</w:t>
      </w:r>
    </w:p>
    <w:p w14:paraId="0AA1ED19" w14:textId="77777777" w:rsidR="00A7298C" w:rsidRPr="00665CF4" w:rsidRDefault="00A7298C" w:rsidP="00A7298C">
      <w:pPr>
        <w:pStyle w:val="Title"/>
        <w:rPr>
          <w:rFonts w:ascii="Tahoma" w:hAnsi="Tahoma" w:cs="Tahoma"/>
          <w:sz w:val="18"/>
          <w:szCs w:val="18"/>
        </w:rPr>
      </w:pPr>
      <w:r w:rsidRPr="00665CF4">
        <w:rPr>
          <w:rFonts w:ascii="Tahoma" w:hAnsi="Tahoma" w:cs="Tahoma"/>
          <w:sz w:val="18"/>
          <w:szCs w:val="18"/>
        </w:rPr>
        <w:t>PROTOCOLS FOR RESEARCH USING THE CLINICAL PRACTICE RESEARCH DATALINK (CPRD)</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842"/>
        <w:gridCol w:w="6237"/>
      </w:tblGrid>
      <w:tr w:rsidR="00A7298C" w:rsidRPr="00665CF4" w14:paraId="0A2AB8CF" w14:textId="77777777" w:rsidTr="00154BA9">
        <w:tc>
          <w:tcPr>
            <w:tcW w:w="1668" w:type="dxa"/>
            <w:vAlign w:val="center"/>
          </w:tcPr>
          <w:p w14:paraId="011180B3" w14:textId="77777777" w:rsidR="00A7298C" w:rsidRPr="00665CF4" w:rsidRDefault="00A7298C" w:rsidP="00154BA9">
            <w:pPr>
              <w:rPr>
                <w:rFonts w:ascii="Tahoma" w:hAnsi="Tahoma" w:cs="Tahoma"/>
                <w:sz w:val="18"/>
                <w:szCs w:val="18"/>
              </w:rPr>
            </w:pPr>
            <w:r w:rsidRPr="00665CF4">
              <w:rPr>
                <w:rFonts w:ascii="Tahoma" w:hAnsi="Tahoma" w:cs="Tahoma"/>
                <w:sz w:val="18"/>
                <w:szCs w:val="18"/>
              </w:rPr>
              <w:t>ISAC use only:</w:t>
            </w:r>
          </w:p>
          <w:p w14:paraId="1782F160" w14:textId="77777777" w:rsidR="00A7298C" w:rsidRPr="00665CF4" w:rsidRDefault="00A7298C" w:rsidP="00154BA9">
            <w:pPr>
              <w:rPr>
                <w:rFonts w:ascii="Tahoma" w:hAnsi="Tahoma" w:cs="Tahoma"/>
                <w:sz w:val="18"/>
                <w:szCs w:val="18"/>
              </w:rPr>
            </w:pPr>
            <w:r w:rsidRPr="00665CF4">
              <w:rPr>
                <w:rFonts w:ascii="Tahoma" w:hAnsi="Tahoma" w:cs="Tahoma"/>
                <w:sz w:val="18"/>
                <w:szCs w:val="18"/>
              </w:rPr>
              <w:t>Protocol Number</w:t>
            </w:r>
          </w:p>
          <w:p w14:paraId="1572B902" w14:textId="77777777" w:rsidR="00A7298C" w:rsidRPr="00665CF4" w:rsidRDefault="00A7298C" w:rsidP="00154BA9">
            <w:pPr>
              <w:rPr>
                <w:rFonts w:ascii="Tahoma" w:hAnsi="Tahoma" w:cs="Tahoma"/>
                <w:sz w:val="18"/>
                <w:szCs w:val="18"/>
              </w:rPr>
            </w:pPr>
            <w:r w:rsidRPr="00665CF4">
              <w:rPr>
                <w:rFonts w:ascii="Tahoma" w:hAnsi="Tahoma" w:cs="Tahoma"/>
                <w:sz w:val="18"/>
                <w:szCs w:val="18"/>
              </w:rPr>
              <w:t>Date submitted</w:t>
            </w:r>
          </w:p>
        </w:tc>
        <w:tc>
          <w:tcPr>
            <w:tcW w:w="1842" w:type="dxa"/>
            <w:vAlign w:val="center"/>
          </w:tcPr>
          <w:p w14:paraId="6D304B7E" w14:textId="77777777" w:rsidR="00A7298C" w:rsidRPr="00665CF4" w:rsidRDefault="00A7298C" w:rsidP="00154BA9">
            <w:pPr>
              <w:rPr>
                <w:rFonts w:ascii="Tahoma" w:hAnsi="Tahoma" w:cs="Tahoma"/>
                <w:sz w:val="18"/>
                <w:szCs w:val="18"/>
              </w:rPr>
            </w:pPr>
          </w:p>
          <w:p w14:paraId="70CD0716" w14:textId="77777777" w:rsidR="00A7298C" w:rsidRPr="00665CF4" w:rsidRDefault="00A7298C" w:rsidP="00154BA9">
            <w:pPr>
              <w:rPr>
                <w:rFonts w:ascii="Tahoma" w:hAnsi="Tahoma" w:cs="Tahoma"/>
                <w:sz w:val="18"/>
                <w:szCs w:val="18"/>
              </w:rPr>
            </w:pPr>
            <w:r w:rsidRPr="00665CF4">
              <w:rPr>
                <w:rFonts w:ascii="Tahoma" w:hAnsi="Tahoma" w:cs="Tahoma"/>
                <w:sz w:val="18"/>
                <w:szCs w:val="18"/>
              </w:rPr>
              <w:t>.............................</w:t>
            </w:r>
          </w:p>
          <w:p w14:paraId="0495C537" w14:textId="77777777" w:rsidR="00A7298C" w:rsidRPr="00665CF4" w:rsidRDefault="00A7298C" w:rsidP="00154BA9">
            <w:pPr>
              <w:rPr>
                <w:rFonts w:ascii="Tahoma" w:hAnsi="Tahoma" w:cs="Tahoma"/>
                <w:sz w:val="18"/>
                <w:szCs w:val="18"/>
              </w:rPr>
            </w:pPr>
            <w:r w:rsidRPr="00665CF4">
              <w:rPr>
                <w:rFonts w:ascii="Tahoma" w:hAnsi="Tahoma" w:cs="Tahoma"/>
                <w:sz w:val="18"/>
                <w:szCs w:val="18"/>
              </w:rPr>
              <w:t>.............................</w:t>
            </w:r>
          </w:p>
        </w:tc>
        <w:tc>
          <w:tcPr>
            <w:tcW w:w="6237" w:type="dxa"/>
            <w:tcBorders>
              <w:bottom w:val="single" w:sz="4" w:space="0" w:color="auto"/>
            </w:tcBorders>
            <w:vAlign w:val="center"/>
          </w:tcPr>
          <w:p w14:paraId="00BB89F4" w14:textId="77777777" w:rsidR="00A7298C" w:rsidRPr="00665CF4" w:rsidRDefault="00A7298C" w:rsidP="00154BA9">
            <w:pPr>
              <w:rPr>
                <w:rFonts w:ascii="Tahoma" w:hAnsi="Tahoma" w:cs="Tahoma"/>
                <w:b/>
                <w:sz w:val="18"/>
                <w:szCs w:val="18"/>
              </w:rPr>
            </w:pPr>
            <w:r w:rsidRPr="00665CF4">
              <w:rPr>
                <w:rFonts w:ascii="Tahoma" w:hAnsi="Tahoma" w:cs="Tahoma"/>
                <w:b/>
                <w:sz w:val="18"/>
                <w:szCs w:val="18"/>
              </w:rPr>
              <w:t>IMPORTANT</w:t>
            </w:r>
          </w:p>
          <w:p w14:paraId="35A8073E" w14:textId="77777777" w:rsidR="00A7298C" w:rsidRPr="00665CF4" w:rsidRDefault="00A7298C" w:rsidP="00154BA9">
            <w:pPr>
              <w:rPr>
                <w:rFonts w:ascii="Tahoma" w:hAnsi="Tahoma" w:cs="Tahoma"/>
                <w:sz w:val="18"/>
                <w:szCs w:val="18"/>
              </w:rPr>
            </w:pPr>
            <w:r w:rsidRPr="00665CF4">
              <w:rPr>
                <w:rFonts w:ascii="Tahoma" w:hAnsi="Tahoma" w:cs="Tahoma"/>
                <w:b/>
                <w:sz w:val="18"/>
                <w:szCs w:val="18"/>
              </w:rPr>
              <w:t xml:space="preserve">If you have any queries, please contact ISAC Secretariat: </w:t>
            </w:r>
            <w:r w:rsidRPr="00665CF4">
              <w:rPr>
                <w:rFonts w:ascii="Tahoma" w:hAnsi="Tahoma" w:cs="Tahoma"/>
                <w:color w:val="0000FF"/>
                <w:sz w:val="18"/>
                <w:szCs w:val="18"/>
                <w:u w:val="single"/>
              </w:rPr>
              <w:t>ISAC</w:t>
            </w:r>
            <w:hyperlink r:id="rId8" w:history="1">
              <w:r w:rsidRPr="00665CF4">
                <w:rPr>
                  <w:rStyle w:val="Hyperlink"/>
                  <w:rFonts w:ascii="Tahoma" w:hAnsi="Tahoma" w:cs="Tahoma"/>
                  <w:sz w:val="18"/>
                  <w:szCs w:val="18"/>
                </w:rPr>
                <w:t>@cprd.com</w:t>
              </w:r>
            </w:hyperlink>
          </w:p>
        </w:tc>
      </w:tr>
    </w:tbl>
    <w:p w14:paraId="24008FA1" w14:textId="77777777" w:rsidR="00A7298C" w:rsidRPr="00665CF4" w:rsidRDefault="00A7298C" w:rsidP="00A7298C">
      <w:pPr>
        <w:spacing w:line="120" w:lineRule="exact"/>
        <w:rPr>
          <w:rFonts w:ascii="Tahoma" w:hAnsi="Tahoma" w:cs="Tahoma"/>
          <w:sz w:val="18"/>
          <w:szCs w:val="18"/>
        </w:rPr>
      </w:pPr>
    </w:p>
    <w:p w14:paraId="4492D055" w14:textId="77777777" w:rsidR="00A7298C" w:rsidRPr="00665CF4" w:rsidRDefault="00A7298C" w:rsidP="00A7298C">
      <w:pPr>
        <w:spacing w:line="120" w:lineRule="exact"/>
        <w:rPr>
          <w:rFonts w:ascii="Tahoma" w:hAnsi="Tahoma" w:cs="Tahoma"/>
          <w:sz w:val="18"/>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7"/>
      </w:tblGrid>
      <w:tr w:rsidR="00A7298C" w:rsidRPr="00665CF4" w14:paraId="27A1D424" w14:textId="77777777" w:rsidTr="00154BA9">
        <w:trPr>
          <w:trHeight w:val="206"/>
        </w:trPr>
        <w:tc>
          <w:tcPr>
            <w:tcW w:w="9747" w:type="dxa"/>
            <w:vAlign w:val="center"/>
          </w:tcPr>
          <w:p w14:paraId="4F4F133C" w14:textId="77777777" w:rsidR="00A7298C" w:rsidRPr="00665CF4" w:rsidRDefault="00A7298C" w:rsidP="00154BA9">
            <w:pPr>
              <w:rPr>
                <w:rFonts w:ascii="Tahoma" w:hAnsi="Tahoma" w:cs="Tahoma"/>
                <w:b/>
                <w:sz w:val="18"/>
                <w:szCs w:val="18"/>
              </w:rPr>
            </w:pPr>
            <w:r w:rsidRPr="00665CF4">
              <w:rPr>
                <w:rFonts w:ascii="Tahoma" w:hAnsi="Tahoma" w:cs="Tahoma"/>
                <w:b/>
                <w:sz w:val="18"/>
                <w:szCs w:val="18"/>
              </w:rPr>
              <w:t>Section A: The study</w:t>
            </w:r>
          </w:p>
        </w:tc>
      </w:tr>
      <w:tr w:rsidR="00A7298C" w:rsidRPr="00665CF4" w14:paraId="702C36FA" w14:textId="77777777" w:rsidTr="00154BA9">
        <w:trPr>
          <w:trHeight w:val="407"/>
        </w:trPr>
        <w:tc>
          <w:tcPr>
            <w:tcW w:w="9747" w:type="dxa"/>
            <w:vAlign w:val="center"/>
          </w:tcPr>
          <w:p w14:paraId="06543FC6" w14:textId="77777777" w:rsidR="00A7298C" w:rsidRPr="00665CF4" w:rsidRDefault="00A7298C" w:rsidP="00154BA9">
            <w:pPr>
              <w:numPr>
                <w:ilvl w:val="0"/>
                <w:numId w:val="1"/>
              </w:numPr>
              <w:rPr>
                <w:rFonts w:ascii="Tahoma" w:hAnsi="Tahoma" w:cs="Tahoma"/>
                <w:sz w:val="18"/>
                <w:szCs w:val="18"/>
              </w:rPr>
            </w:pPr>
            <w:r w:rsidRPr="00665CF4">
              <w:rPr>
                <w:rFonts w:ascii="Tahoma" w:hAnsi="Tahoma" w:cs="Tahoma"/>
                <w:b/>
                <w:sz w:val="18"/>
                <w:szCs w:val="18"/>
              </w:rPr>
              <w:t xml:space="preserve">Study Title </w:t>
            </w:r>
          </w:p>
          <w:p w14:paraId="691F4879" w14:textId="77777777" w:rsidR="00A7298C" w:rsidRPr="008376C4" w:rsidRDefault="008376C4" w:rsidP="008376C4">
            <w:pPr>
              <w:rPr>
                <w:rFonts w:ascii="Tahoma" w:hAnsi="Tahoma" w:cs="Tahoma"/>
                <w:sz w:val="20"/>
                <w:szCs w:val="20"/>
              </w:rPr>
            </w:pPr>
            <w:r w:rsidRPr="008376C4">
              <w:rPr>
                <w:rFonts w:ascii="Tahoma" w:hAnsi="Tahoma" w:cs="Tahoma"/>
                <w:sz w:val="18"/>
              </w:rPr>
              <w:t>Investigating the effects of commonly prescribed drugs on the prevention and treatment of Alzheimer’s and other neurodegenerative diseases: are there drugs already available that can be repurposed?</w:t>
            </w:r>
          </w:p>
        </w:tc>
      </w:tr>
      <w:tr w:rsidR="00A7298C" w:rsidRPr="00665CF4" w14:paraId="1C4FBB15" w14:textId="77777777" w:rsidTr="00154BA9">
        <w:trPr>
          <w:trHeight w:val="385"/>
        </w:trPr>
        <w:tc>
          <w:tcPr>
            <w:tcW w:w="9747" w:type="dxa"/>
            <w:vAlign w:val="center"/>
          </w:tcPr>
          <w:p w14:paraId="6B45F9AC" w14:textId="77777777" w:rsidR="00A7298C" w:rsidRPr="00665CF4" w:rsidRDefault="00A7298C" w:rsidP="00154BA9">
            <w:pPr>
              <w:numPr>
                <w:ilvl w:val="0"/>
                <w:numId w:val="1"/>
              </w:numPr>
              <w:rPr>
                <w:rFonts w:ascii="Tahoma" w:hAnsi="Tahoma" w:cs="Tahoma"/>
                <w:b/>
                <w:sz w:val="18"/>
                <w:szCs w:val="18"/>
              </w:rPr>
            </w:pPr>
            <w:r w:rsidRPr="00665CF4">
              <w:rPr>
                <w:rFonts w:ascii="Tahoma" w:hAnsi="Tahoma" w:cs="Tahoma"/>
                <w:b/>
                <w:sz w:val="18"/>
                <w:szCs w:val="18"/>
              </w:rPr>
              <w:t xml:space="preserve">Has any part of this research proposal or a related proposal been previously submitted to ISAC? </w:t>
            </w:r>
          </w:p>
          <w:p w14:paraId="76882834" w14:textId="77777777" w:rsidR="00A7298C" w:rsidRPr="00665CF4" w:rsidRDefault="00A7298C" w:rsidP="00154BA9">
            <w:pPr>
              <w:tabs>
                <w:tab w:val="num" w:pos="360"/>
              </w:tabs>
              <w:ind w:left="360"/>
              <w:rPr>
                <w:rFonts w:ascii="Tahoma" w:hAnsi="Tahoma" w:cs="Tahoma"/>
                <w:sz w:val="18"/>
                <w:szCs w:val="18"/>
              </w:rPr>
            </w:pPr>
            <w:r w:rsidRPr="00665CF4">
              <w:rPr>
                <w:rFonts w:ascii="Tahoma" w:hAnsi="Tahoma" w:cs="Tahoma"/>
                <w:sz w:val="18"/>
                <w:szCs w:val="18"/>
              </w:rPr>
              <w:t>Yes</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b/>
                <w:sz w:val="18"/>
                <w:szCs w:val="18"/>
              </w:rPr>
              <w:fldChar w:fldCharType="begin">
                <w:ffData>
                  <w:name w:val="Check1"/>
                  <w:enabled/>
                  <w:calcOnExit w:val="0"/>
                  <w:checkBox>
                    <w:sizeAuto/>
                    <w:default w:val="1"/>
                  </w:checkBox>
                </w:ffData>
              </w:fldChar>
            </w:r>
            <w:bookmarkStart w:id="0" w:name="Check1"/>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bookmarkEnd w:id="0"/>
            <w:r w:rsidRPr="00665CF4">
              <w:rPr>
                <w:rFonts w:ascii="Tahoma" w:hAnsi="Tahoma" w:cs="Tahoma"/>
                <w:b/>
                <w:sz w:val="18"/>
                <w:szCs w:val="18"/>
              </w:rPr>
              <w:tab/>
            </w:r>
            <w:r w:rsidRPr="00665CF4">
              <w:rPr>
                <w:rFonts w:ascii="Tahoma" w:hAnsi="Tahoma" w:cs="Tahoma"/>
                <w:b/>
                <w:sz w:val="18"/>
                <w:szCs w:val="18"/>
              </w:rPr>
              <w:tab/>
            </w:r>
            <w:r w:rsidRPr="00665CF4">
              <w:rPr>
                <w:rFonts w:ascii="Tahoma" w:hAnsi="Tahoma" w:cs="Tahoma"/>
                <w:sz w:val="18"/>
                <w:szCs w:val="18"/>
              </w:rPr>
              <w:t>No</w:t>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sz w:val="18"/>
                <w:szCs w:val="18"/>
              </w:rPr>
              <w:fldChar w:fldCharType="begin">
                <w:ffData>
                  <w:name w:val="Check1"/>
                  <w:enabled/>
                  <w:calcOnExit w:val="0"/>
                  <w:checkBox>
                    <w:sizeAuto/>
                    <w:default w:val="0"/>
                    <w:checked w:val="0"/>
                  </w:checkBox>
                </w:ffData>
              </w:fldChar>
            </w:r>
            <w:r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665CF4">
              <w:rPr>
                <w:rFonts w:ascii="Tahoma" w:hAnsi="Tahoma" w:cs="Tahoma"/>
                <w:sz w:val="18"/>
                <w:szCs w:val="18"/>
              </w:rPr>
              <w:fldChar w:fldCharType="end"/>
            </w:r>
          </w:p>
          <w:p w14:paraId="607B424F" w14:textId="77777777" w:rsidR="00A7298C" w:rsidRPr="00665CF4" w:rsidRDefault="00A7298C" w:rsidP="00154BA9">
            <w:pPr>
              <w:rPr>
                <w:rFonts w:ascii="Tahoma" w:hAnsi="Tahoma" w:cs="Tahoma"/>
                <w:sz w:val="18"/>
                <w:szCs w:val="18"/>
              </w:rPr>
            </w:pPr>
            <w:r w:rsidRPr="00665CF4">
              <w:rPr>
                <w:rFonts w:ascii="Tahoma" w:hAnsi="Tahoma" w:cs="Tahoma"/>
                <w:i/>
                <w:sz w:val="18"/>
                <w:szCs w:val="18"/>
              </w:rPr>
              <w:t>If Yes, please provide previous protocol numbers</w:t>
            </w:r>
            <w:r w:rsidRPr="00665CF4">
              <w:rPr>
                <w:rFonts w:ascii="Tahoma" w:hAnsi="Tahoma" w:cs="Tahoma"/>
                <w:sz w:val="18"/>
                <w:szCs w:val="18"/>
              </w:rPr>
              <w:t xml:space="preserve">: </w:t>
            </w:r>
            <w:r>
              <w:rPr>
                <w:color w:val="000000"/>
                <w:sz w:val="22"/>
                <w:szCs w:val="22"/>
              </w:rPr>
              <w:t>08_101 and 08_101A</w:t>
            </w:r>
          </w:p>
          <w:p w14:paraId="73ABAE6F" w14:textId="77777777" w:rsidR="00A7298C" w:rsidRPr="00665CF4" w:rsidRDefault="00A7298C" w:rsidP="00154BA9">
            <w:pPr>
              <w:rPr>
                <w:rFonts w:ascii="Tahoma" w:hAnsi="Tahoma" w:cs="Tahoma"/>
                <w:sz w:val="18"/>
                <w:szCs w:val="18"/>
              </w:rPr>
            </w:pPr>
          </w:p>
        </w:tc>
      </w:tr>
      <w:tr w:rsidR="00A7298C" w:rsidRPr="00665CF4" w14:paraId="1151867F" w14:textId="77777777" w:rsidTr="00154BA9">
        <w:trPr>
          <w:trHeight w:val="567"/>
        </w:trPr>
        <w:tc>
          <w:tcPr>
            <w:tcW w:w="9747" w:type="dxa"/>
            <w:vAlign w:val="center"/>
          </w:tcPr>
          <w:p w14:paraId="39C8D7B1" w14:textId="77777777" w:rsidR="00A7298C" w:rsidRPr="00665CF4" w:rsidRDefault="00A7298C" w:rsidP="00154BA9">
            <w:pPr>
              <w:numPr>
                <w:ilvl w:val="0"/>
                <w:numId w:val="1"/>
              </w:numPr>
              <w:rPr>
                <w:rFonts w:ascii="Tahoma" w:hAnsi="Tahoma" w:cs="Tahoma"/>
                <w:b/>
                <w:sz w:val="18"/>
                <w:szCs w:val="18"/>
              </w:rPr>
            </w:pPr>
            <w:r w:rsidRPr="00665CF4">
              <w:rPr>
                <w:rFonts w:ascii="Tahoma" w:hAnsi="Tahoma" w:cs="Tahoma"/>
                <w:b/>
                <w:sz w:val="18"/>
                <w:szCs w:val="18"/>
              </w:rPr>
              <w:t>Has this protocol been peer reviewed by another Committee? (e.g. grant award or ethics committee)</w:t>
            </w:r>
          </w:p>
          <w:p w14:paraId="69076A94" w14:textId="77777777" w:rsidR="00A7298C" w:rsidRPr="00665CF4" w:rsidRDefault="00A7298C" w:rsidP="00154BA9">
            <w:pPr>
              <w:tabs>
                <w:tab w:val="num" w:pos="360"/>
              </w:tabs>
              <w:ind w:left="360"/>
              <w:rPr>
                <w:rFonts w:ascii="Tahoma" w:hAnsi="Tahoma" w:cs="Tahoma"/>
                <w:sz w:val="18"/>
                <w:szCs w:val="18"/>
              </w:rPr>
            </w:pPr>
            <w:r w:rsidRPr="00665CF4">
              <w:rPr>
                <w:rFonts w:ascii="Tahoma" w:hAnsi="Tahoma" w:cs="Tahoma"/>
                <w:sz w:val="18"/>
                <w:szCs w:val="18"/>
              </w:rPr>
              <w:t>Yes</w:t>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b/>
                <w:sz w:val="18"/>
                <w:szCs w:val="18"/>
              </w:rPr>
              <w:tab/>
            </w:r>
            <w:r w:rsidRPr="00665CF4">
              <w:rPr>
                <w:rFonts w:ascii="Tahoma" w:hAnsi="Tahoma" w:cs="Tahoma"/>
                <w:b/>
                <w:sz w:val="18"/>
                <w:szCs w:val="18"/>
              </w:rPr>
              <w:tab/>
            </w:r>
            <w:r w:rsidRPr="00665CF4">
              <w:rPr>
                <w:rFonts w:ascii="Tahoma" w:hAnsi="Tahoma" w:cs="Tahoma"/>
                <w:sz w:val="18"/>
                <w:szCs w:val="18"/>
              </w:rPr>
              <w:t>No</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sz w:val="18"/>
                <w:szCs w:val="18"/>
              </w:rPr>
              <w:fldChar w:fldCharType="begin">
                <w:ffData>
                  <w:name w:val=""/>
                  <w:enabled/>
                  <w:calcOnExit w:val="0"/>
                  <w:checkBox>
                    <w:sizeAuto/>
                    <w:default w:val="1"/>
                  </w:checkBox>
                </w:ffData>
              </w:fldChar>
            </w:r>
            <w:r>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Pr>
                <w:rFonts w:ascii="Tahoma" w:hAnsi="Tahoma" w:cs="Tahoma"/>
                <w:sz w:val="18"/>
                <w:szCs w:val="18"/>
              </w:rPr>
              <w:fldChar w:fldCharType="end"/>
            </w:r>
          </w:p>
          <w:p w14:paraId="5C90A254" w14:textId="77777777" w:rsidR="00A7298C" w:rsidRPr="00665CF4" w:rsidRDefault="00A7298C" w:rsidP="00154BA9">
            <w:pPr>
              <w:rPr>
                <w:rFonts w:ascii="Tahoma" w:hAnsi="Tahoma" w:cs="Tahoma"/>
                <w:sz w:val="18"/>
                <w:szCs w:val="18"/>
              </w:rPr>
            </w:pPr>
            <w:r w:rsidRPr="00665CF4">
              <w:rPr>
                <w:rFonts w:ascii="Tahoma" w:hAnsi="Tahoma" w:cs="Tahoma"/>
                <w:i/>
                <w:sz w:val="18"/>
                <w:szCs w:val="18"/>
              </w:rPr>
              <w:t xml:space="preserve">If Yes, please state the name of the reviewing Committee(s) and provide an outline of the review process and outcome: </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p>
          <w:p w14:paraId="33B0664E" w14:textId="77777777" w:rsidR="00A7298C" w:rsidRPr="00665CF4" w:rsidRDefault="00A7298C" w:rsidP="00154BA9">
            <w:pPr>
              <w:rPr>
                <w:rFonts w:ascii="Tahoma" w:hAnsi="Tahoma" w:cs="Tahoma"/>
                <w:sz w:val="18"/>
                <w:szCs w:val="18"/>
              </w:rPr>
            </w:pPr>
          </w:p>
        </w:tc>
      </w:tr>
      <w:tr w:rsidR="00A7298C" w:rsidRPr="00665CF4" w14:paraId="169149D2" w14:textId="77777777" w:rsidTr="00154BA9">
        <w:trPr>
          <w:trHeight w:val="567"/>
        </w:trPr>
        <w:tc>
          <w:tcPr>
            <w:tcW w:w="9747" w:type="dxa"/>
            <w:vAlign w:val="center"/>
          </w:tcPr>
          <w:p w14:paraId="7FA16689" w14:textId="77777777" w:rsidR="00A7298C" w:rsidRPr="00665CF4" w:rsidRDefault="00A7298C" w:rsidP="00154BA9">
            <w:pPr>
              <w:numPr>
                <w:ilvl w:val="0"/>
                <w:numId w:val="1"/>
              </w:numPr>
              <w:rPr>
                <w:rFonts w:ascii="Tahoma" w:hAnsi="Tahoma" w:cs="Tahoma"/>
                <w:i/>
                <w:sz w:val="18"/>
                <w:szCs w:val="18"/>
              </w:rPr>
            </w:pPr>
            <w:r w:rsidRPr="004B0E54">
              <w:rPr>
                <w:rFonts w:ascii="Tahoma" w:hAnsi="Tahoma" w:cs="Tahoma"/>
                <w:b/>
                <w:sz w:val="18"/>
                <w:szCs w:val="18"/>
              </w:rPr>
              <w:t>Type of Study</w:t>
            </w:r>
            <w:r w:rsidRPr="00665CF4">
              <w:rPr>
                <w:rFonts w:ascii="Tahoma" w:hAnsi="Tahoma" w:cs="Tahoma"/>
                <w:sz w:val="18"/>
                <w:szCs w:val="18"/>
              </w:rPr>
              <w:t xml:space="preserve"> (please tick all the relevant boxes which apply)</w:t>
            </w:r>
          </w:p>
          <w:p w14:paraId="6DE7A302" w14:textId="77777777" w:rsidR="00A7298C" w:rsidRPr="00665CF4" w:rsidRDefault="00A7298C" w:rsidP="00154BA9">
            <w:pPr>
              <w:rPr>
                <w:rFonts w:ascii="Tahoma" w:hAnsi="Tahoma" w:cs="Tahoma"/>
                <w:sz w:val="18"/>
                <w:szCs w:val="18"/>
              </w:rPr>
            </w:pPr>
          </w:p>
          <w:p w14:paraId="6A656CB3" w14:textId="77777777" w:rsidR="00A7298C" w:rsidRPr="00665CF4" w:rsidRDefault="00A7298C" w:rsidP="00154BA9">
            <w:pPr>
              <w:rPr>
                <w:rFonts w:ascii="Tahoma" w:hAnsi="Tahoma" w:cs="Tahoma"/>
                <w:b/>
                <w:sz w:val="18"/>
                <w:szCs w:val="18"/>
              </w:rPr>
            </w:pPr>
            <w:r w:rsidRPr="00665CF4">
              <w:rPr>
                <w:rFonts w:ascii="Tahoma" w:hAnsi="Tahoma" w:cs="Tahoma"/>
                <w:sz w:val="18"/>
                <w:szCs w:val="18"/>
              </w:rPr>
              <w:t xml:space="preserve">Adverse Drug Reaction/Drug Safety </w:t>
            </w:r>
            <w:r w:rsidR="00154BA9">
              <w:rPr>
                <w:rFonts w:ascii="Tahoma" w:hAnsi="Tahoma" w:cs="Tahoma"/>
                <w:b/>
                <w:sz w:val="18"/>
                <w:szCs w:val="18"/>
              </w:rPr>
              <w:fldChar w:fldCharType="begin">
                <w:ffData>
                  <w:name w:val=""/>
                  <w:enabled/>
                  <w:calcOnExit w:val="0"/>
                  <w:checkBox>
                    <w:sizeAuto/>
                    <w:default w:val="1"/>
                  </w:checkBox>
                </w:ffData>
              </w:fldChar>
            </w:r>
            <w:r w:rsidR="00154BA9">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154BA9">
              <w:rPr>
                <w:rFonts w:ascii="Tahoma" w:hAnsi="Tahoma" w:cs="Tahoma"/>
                <w:b/>
                <w:sz w:val="18"/>
                <w:szCs w:val="18"/>
              </w:rPr>
              <w:fldChar w:fldCharType="end"/>
            </w:r>
            <w:r w:rsidRPr="00665CF4">
              <w:rPr>
                <w:rFonts w:ascii="Tahoma" w:hAnsi="Tahoma" w:cs="Tahoma"/>
                <w:b/>
                <w:sz w:val="18"/>
                <w:szCs w:val="18"/>
              </w:rPr>
              <w:tab/>
            </w:r>
            <w:r w:rsidRPr="00665CF4">
              <w:rPr>
                <w:rFonts w:ascii="Tahoma" w:hAnsi="Tahoma" w:cs="Tahoma"/>
                <w:sz w:val="18"/>
                <w:szCs w:val="18"/>
              </w:rPr>
              <w:t>Drug Utilisation</w:t>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3"/>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ab/>
              <w:t>Disease Epidemiology</w:t>
            </w:r>
            <w:r w:rsidRPr="00665CF4">
              <w:rPr>
                <w:rFonts w:ascii="Tahoma" w:hAnsi="Tahoma" w:cs="Tahoma"/>
                <w:sz w:val="18"/>
                <w:szCs w:val="18"/>
              </w:rPr>
              <w:tab/>
            </w:r>
            <w:r w:rsidR="006F2D01">
              <w:rPr>
                <w:rFonts w:ascii="Tahoma" w:hAnsi="Tahoma" w:cs="Tahoma"/>
                <w:b/>
                <w:sz w:val="18"/>
                <w:szCs w:val="18"/>
              </w:rPr>
              <w:fldChar w:fldCharType="begin">
                <w:ffData>
                  <w:name w:val=""/>
                  <w:enabled/>
                  <w:calcOnExit w:val="0"/>
                  <w:checkBox>
                    <w:sizeAuto/>
                    <w:default w:val="1"/>
                  </w:checkBox>
                </w:ffData>
              </w:fldChar>
            </w:r>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p>
          <w:p w14:paraId="5007FB4C" w14:textId="77777777" w:rsidR="00A7298C" w:rsidRPr="00665CF4" w:rsidRDefault="00A7298C" w:rsidP="00154BA9">
            <w:pPr>
              <w:rPr>
                <w:rFonts w:ascii="Tahoma" w:hAnsi="Tahoma" w:cs="Tahoma"/>
                <w:sz w:val="18"/>
                <w:szCs w:val="18"/>
              </w:rPr>
            </w:pPr>
            <w:r w:rsidRPr="00665CF4">
              <w:rPr>
                <w:rFonts w:ascii="Tahoma" w:hAnsi="Tahoma" w:cs="Tahoma"/>
                <w:sz w:val="18"/>
                <w:szCs w:val="18"/>
              </w:rPr>
              <w:t>Drug Effectiveness</w:t>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sz w:val="18"/>
                <w:szCs w:val="18"/>
              </w:rPr>
              <w:fldChar w:fldCharType="begin">
                <w:ffData>
                  <w:name w:val="Check48"/>
                  <w:enabled/>
                  <w:calcOnExit w:val="0"/>
                  <w:checkBox>
                    <w:sizeAuto/>
                    <w:default w:val="0"/>
                  </w:checkBox>
                </w:ffData>
              </w:fldChar>
            </w:r>
            <w:r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665CF4">
              <w:rPr>
                <w:rFonts w:ascii="Tahoma" w:hAnsi="Tahoma" w:cs="Tahoma"/>
                <w:sz w:val="18"/>
                <w:szCs w:val="18"/>
              </w:rPr>
              <w:fldChar w:fldCharType="end"/>
            </w:r>
            <w:r w:rsidRPr="00665CF4">
              <w:rPr>
                <w:rFonts w:ascii="Tahoma" w:hAnsi="Tahoma" w:cs="Tahoma"/>
                <w:sz w:val="18"/>
                <w:szCs w:val="18"/>
              </w:rPr>
              <w:tab/>
              <w:t>Pharmacoeconomics</w:t>
            </w:r>
            <w:r w:rsidRPr="00665CF4">
              <w:rPr>
                <w:rFonts w:ascii="Tahoma" w:hAnsi="Tahoma" w:cs="Tahoma"/>
                <w:sz w:val="18"/>
                <w:szCs w:val="18"/>
              </w:rPr>
              <w:tab/>
            </w:r>
            <w:r w:rsidR="00154BA9">
              <w:rPr>
                <w:rFonts w:ascii="Tahoma" w:hAnsi="Tahoma" w:cs="Tahoma"/>
                <w:b/>
                <w:sz w:val="18"/>
                <w:szCs w:val="18"/>
              </w:rPr>
              <w:fldChar w:fldCharType="begin">
                <w:ffData>
                  <w:name w:val="Check4"/>
                  <w:enabled/>
                  <w:calcOnExit w:val="0"/>
                  <w:checkBox>
                    <w:sizeAuto/>
                    <w:default w:val="1"/>
                  </w:checkBox>
                </w:ffData>
              </w:fldChar>
            </w:r>
            <w:bookmarkStart w:id="1" w:name="Check4"/>
            <w:r w:rsidR="00154BA9">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154BA9">
              <w:rPr>
                <w:rFonts w:ascii="Tahoma" w:hAnsi="Tahoma" w:cs="Tahoma"/>
                <w:b/>
                <w:sz w:val="18"/>
                <w:szCs w:val="18"/>
              </w:rPr>
              <w:fldChar w:fldCharType="end"/>
            </w:r>
            <w:bookmarkEnd w:id="1"/>
            <w:r w:rsidRPr="00665CF4">
              <w:rPr>
                <w:rFonts w:ascii="Tahoma" w:hAnsi="Tahoma" w:cs="Tahoma"/>
                <w:sz w:val="18"/>
                <w:szCs w:val="18"/>
              </w:rPr>
              <w:tab/>
              <w:t xml:space="preserve">Methodological </w:t>
            </w:r>
            <w:r w:rsidRPr="00665CF4">
              <w:rPr>
                <w:rFonts w:ascii="Tahoma" w:hAnsi="Tahoma" w:cs="Tahoma"/>
                <w:sz w:val="18"/>
                <w:szCs w:val="18"/>
              </w:rPr>
              <w:tab/>
            </w:r>
            <w:r w:rsidRPr="00665CF4">
              <w:rPr>
                <w:rFonts w:ascii="Tahoma" w:hAnsi="Tahoma" w:cs="Tahoma"/>
                <w:sz w:val="18"/>
                <w:szCs w:val="18"/>
              </w:rPr>
              <w:tab/>
            </w:r>
            <w:r w:rsidR="00154BA9">
              <w:rPr>
                <w:rFonts w:ascii="Tahoma" w:hAnsi="Tahoma" w:cs="Tahoma"/>
                <w:b/>
                <w:sz w:val="18"/>
                <w:szCs w:val="18"/>
              </w:rPr>
              <w:fldChar w:fldCharType="begin">
                <w:ffData>
                  <w:name w:val="Check2"/>
                  <w:enabled/>
                  <w:calcOnExit w:val="0"/>
                  <w:checkBox>
                    <w:sizeAuto/>
                    <w:default w:val="1"/>
                  </w:checkBox>
                </w:ffData>
              </w:fldChar>
            </w:r>
            <w:bookmarkStart w:id="2" w:name="Check2"/>
            <w:r w:rsidR="00154BA9">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154BA9">
              <w:rPr>
                <w:rFonts w:ascii="Tahoma" w:hAnsi="Tahoma" w:cs="Tahoma"/>
                <w:b/>
                <w:sz w:val="18"/>
                <w:szCs w:val="18"/>
              </w:rPr>
              <w:fldChar w:fldCharType="end"/>
            </w:r>
            <w:bookmarkEnd w:id="2"/>
            <w:r w:rsidRPr="00665CF4">
              <w:rPr>
                <w:rFonts w:ascii="Tahoma" w:hAnsi="Tahoma" w:cs="Tahoma"/>
                <w:sz w:val="18"/>
                <w:szCs w:val="18"/>
              </w:rPr>
              <w:t xml:space="preserve"> </w:t>
            </w:r>
          </w:p>
          <w:p w14:paraId="5D407E81" w14:textId="77777777" w:rsidR="00A7298C" w:rsidRPr="00665CF4" w:rsidRDefault="00A7298C" w:rsidP="00154BA9">
            <w:pPr>
              <w:tabs>
                <w:tab w:val="left" w:pos="6481"/>
              </w:tabs>
              <w:rPr>
                <w:rFonts w:ascii="Tahoma" w:hAnsi="Tahoma" w:cs="Tahoma"/>
                <w:b/>
                <w:sz w:val="18"/>
                <w:szCs w:val="18"/>
              </w:rPr>
            </w:pPr>
            <w:r w:rsidRPr="00665CF4">
              <w:rPr>
                <w:rFonts w:ascii="Tahoma" w:hAnsi="Tahoma" w:cs="Tahoma"/>
                <w:sz w:val="18"/>
                <w:szCs w:val="18"/>
              </w:rPr>
              <w:t xml:space="preserve">Health/Public Health Services Research   </w:t>
            </w:r>
            <w:r w:rsidR="006F2D01" w:rsidRPr="00665CF4">
              <w:rPr>
                <w:rFonts w:ascii="Tahoma" w:hAnsi="Tahoma" w:cs="Tahoma"/>
                <w:b/>
                <w:sz w:val="18"/>
                <w:szCs w:val="18"/>
              </w:rPr>
              <w:fldChar w:fldCharType="begin">
                <w:ffData>
                  <w:name w:val="Check4"/>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ab/>
              <w:t xml:space="preserve">Post-authorisation Safety   </w:t>
            </w:r>
            <w:r w:rsidR="006F2D01" w:rsidRPr="00665CF4">
              <w:rPr>
                <w:rFonts w:ascii="Tahoma" w:hAnsi="Tahoma" w:cs="Tahoma"/>
                <w:b/>
                <w:sz w:val="18"/>
                <w:szCs w:val="18"/>
              </w:rPr>
              <w:fldChar w:fldCharType="begin">
                <w:ffData>
                  <w:name w:val="Check4"/>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b/>
                <w:sz w:val="18"/>
                <w:szCs w:val="18"/>
              </w:rPr>
              <w:t xml:space="preserve">       </w:t>
            </w:r>
            <w:r>
              <w:rPr>
                <w:rFonts w:ascii="Tahoma" w:hAnsi="Tahoma" w:cs="Tahoma"/>
                <w:b/>
                <w:sz w:val="18"/>
                <w:szCs w:val="18"/>
              </w:rPr>
              <w:tab/>
              <w:t xml:space="preserve">  </w:t>
            </w:r>
            <w:r w:rsidRPr="00665CF4">
              <w:rPr>
                <w:rFonts w:ascii="Tahoma" w:hAnsi="Tahoma" w:cs="Tahoma"/>
                <w:b/>
                <w:sz w:val="18"/>
                <w:szCs w:val="18"/>
              </w:rPr>
              <w:t>Other</w:t>
            </w:r>
            <w:r w:rsidRPr="00665CF4">
              <w:rPr>
                <w:rFonts w:ascii="Tahoma" w:hAnsi="Tahoma" w:cs="Tahoma"/>
                <w:b/>
                <w:sz w:val="18"/>
                <w:szCs w:val="18"/>
                <w:vertAlign w:val="superscript"/>
              </w:rPr>
              <w:t>*</w:t>
            </w:r>
            <w:r w:rsidRPr="00665CF4">
              <w:rPr>
                <w:rFonts w:ascii="Tahoma" w:hAnsi="Tahoma" w:cs="Tahoma"/>
                <w:b/>
                <w:sz w:val="18"/>
                <w:szCs w:val="18"/>
              </w:rPr>
              <w:t xml:space="preserve">       </w:t>
            </w:r>
            <w:r>
              <w:rPr>
                <w:rFonts w:ascii="Tahoma" w:hAnsi="Tahoma" w:cs="Tahoma"/>
                <w:b/>
                <w:sz w:val="18"/>
                <w:szCs w:val="18"/>
              </w:rPr>
              <w:t xml:space="preserve"> </w:t>
            </w:r>
            <w:r w:rsidRPr="00665CF4">
              <w:rPr>
                <w:rFonts w:ascii="Tahoma" w:hAnsi="Tahoma" w:cs="Tahoma"/>
                <w:b/>
                <w:sz w:val="18"/>
                <w:szCs w:val="18"/>
              </w:rPr>
              <w:t xml:space="preserve">                       </w:t>
            </w:r>
            <w:r w:rsidR="006F2D01" w:rsidRPr="00665CF4">
              <w:rPr>
                <w:rFonts w:ascii="Tahoma" w:hAnsi="Tahoma" w:cs="Tahoma"/>
                <w:b/>
                <w:sz w:val="18"/>
                <w:szCs w:val="18"/>
              </w:rPr>
              <w:fldChar w:fldCharType="begin">
                <w:ffData>
                  <w:name w:val="Check5"/>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 xml:space="preserve">  </w:t>
            </w:r>
          </w:p>
          <w:p w14:paraId="0E420A49" w14:textId="77777777" w:rsidR="00A7298C" w:rsidRPr="00665CF4" w:rsidRDefault="00A7298C" w:rsidP="00154BA9">
            <w:pPr>
              <w:rPr>
                <w:rFonts w:ascii="Tahoma" w:hAnsi="Tahoma" w:cs="Tahoma"/>
                <w:sz w:val="18"/>
                <w:szCs w:val="18"/>
              </w:rPr>
            </w:pPr>
            <w:r w:rsidRPr="00665CF4">
              <w:rPr>
                <w:rFonts w:ascii="Tahoma" w:hAnsi="Tahoma" w:cs="Tahoma"/>
                <w:sz w:val="18"/>
                <w:szCs w:val="18"/>
                <w:vertAlign w:val="superscript"/>
              </w:rPr>
              <w:t>*</w:t>
            </w:r>
            <w:r w:rsidRPr="00665CF4">
              <w:rPr>
                <w:rFonts w:ascii="Tahoma" w:hAnsi="Tahoma" w:cs="Tahoma"/>
                <w:sz w:val="18"/>
                <w:szCs w:val="18"/>
              </w:rPr>
              <w:t>Please specify the type of study in the lay summary</w:t>
            </w:r>
          </w:p>
        </w:tc>
      </w:tr>
      <w:tr w:rsidR="00A7298C" w:rsidRPr="00665CF4" w14:paraId="56661F58" w14:textId="77777777" w:rsidTr="00154BA9">
        <w:trPr>
          <w:trHeight w:val="567"/>
        </w:trPr>
        <w:tc>
          <w:tcPr>
            <w:tcW w:w="9747" w:type="dxa"/>
            <w:vAlign w:val="center"/>
          </w:tcPr>
          <w:p w14:paraId="5EC9B2B6" w14:textId="77777777" w:rsidR="00A7298C" w:rsidRPr="00665CF4" w:rsidRDefault="00A7298C" w:rsidP="00154BA9">
            <w:pPr>
              <w:numPr>
                <w:ilvl w:val="0"/>
                <w:numId w:val="1"/>
              </w:numPr>
              <w:rPr>
                <w:rFonts w:ascii="Tahoma" w:hAnsi="Tahoma" w:cs="Tahoma"/>
                <w:b/>
                <w:sz w:val="18"/>
                <w:szCs w:val="18"/>
              </w:rPr>
            </w:pPr>
            <w:r w:rsidRPr="00665CF4">
              <w:rPr>
                <w:rFonts w:ascii="Tahoma" w:hAnsi="Tahoma" w:cs="Tahoma"/>
                <w:b/>
                <w:sz w:val="18"/>
                <w:szCs w:val="18"/>
              </w:rPr>
              <w:t xml:space="preserve">This study is intended for </w:t>
            </w:r>
            <w:r w:rsidRPr="00665CF4">
              <w:rPr>
                <w:rFonts w:ascii="Tahoma" w:hAnsi="Tahoma" w:cs="Tahoma"/>
                <w:sz w:val="18"/>
                <w:szCs w:val="18"/>
              </w:rPr>
              <w:t>(please tick all the relevant boxes which apply)</w:t>
            </w:r>
            <w:r w:rsidRPr="00665CF4">
              <w:rPr>
                <w:rFonts w:ascii="Tahoma" w:hAnsi="Tahoma" w:cs="Tahoma"/>
                <w:b/>
                <w:sz w:val="18"/>
                <w:szCs w:val="18"/>
              </w:rPr>
              <w:t>:</w:t>
            </w:r>
          </w:p>
          <w:p w14:paraId="7AD9DD82" w14:textId="77777777" w:rsidR="00A7298C" w:rsidRPr="00665CF4" w:rsidRDefault="00A7298C" w:rsidP="00154BA9">
            <w:pPr>
              <w:rPr>
                <w:rFonts w:ascii="Tahoma" w:hAnsi="Tahoma" w:cs="Tahoma"/>
                <w:sz w:val="18"/>
                <w:szCs w:val="18"/>
              </w:rPr>
            </w:pPr>
          </w:p>
          <w:p w14:paraId="1313CBED" w14:textId="77777777" w:rsidR="00A7298C" w:rsidRPr="00665CF4" w:rsidRDefault="00A7298C" w:rsidP="00154BA9">
            <w:pPr>
              <w:rPr>
                <w:rFonts w:ascii="Tahoma" w:hAnsi="Tahoma" w:cs="Tahoma"/>
                <w:sz w:val="18"/>
                <w:szCs w:val="18"/>
              </w:rPr>
            </w:pPr>
            <w:r w:rsidRPr="00665CF4">
              <w:rPr>
                <w:rFonts w:ascii="Tahoma" w:hAnsi="Tahoma" w:cs="Tahoma"/>
                <w:sz w:val="18"/>
                <w:szCs w:val="18"/>
              </w:rPr>
              <w:t>Publication in peer reviewed journals</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b/>
                <w:sz w:val="18"/>
                <w:szCs w:val="18"/>
              </w:rPr>
              <w:fldChar w:fldCharType="begin">
                <w:ffData>
                  <w:name w:val="Check19"/>
                  <w:enabled/>
                  <w:calcOnExit w:val="0"/>
                  <w:checkBox>
                    <w:sizeAuto/>
                    <w:default w:val="1"/>
                  </w:checkBox>
                </w:ffData>
              </w:fldChar>
            </w:r>
            <w:bookmarkStart w:id="3" w:name="Check19"/>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bookmarkEnd w:id="3"/>
            <w:r w:rsidRPr="00665CF4">
              <w:rPr>
                <w:rFonts w:ascii="Tahoma" w:hAnsi="Tahoma" w:cs="Tahoma"/>
                <w:sz w:val="18"/>
                <w:szCs w:val="18"/>
              </w:rPr>
              <w:tab/>
              <w:t>Presentation at scientific conference</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b/>
                <w:sz w:val="18"/>
                <w:szCs w:val="18"/>
              </w:rPr>
              <w:fldChar w:fldCharType="begin">
                <w:ffData>
                  <w:name w:val="Check21"/>
                  <w:enabled/>
                  <w:calcOnExit w:val="0"/>
                  <w:checkBox>
                    <w:sizeAuto/>
                    <w:default w:val="1"/>
                  </w:checkBox>
                </w:ffData>
              </w:fldChar>
            </w:r>
            <w:bookmarkStart w:id="4" w:name="Check21"/>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bookmarkEnd w:id="4"/>
          </w:p>
          <w:p w14:paraId="7982F4C6" w14:textId="77777777" w:rsidR="00A7298C" w:rsidRPr="00665CF4" w:rsidRDefault="00A7298C" w:rsidP="00154BA9">
            <w:pPr>
              <w:rPr>
                <w:rFonts w:ascii="Tahoma" w:hAnsi="Tahoma" w:cs="Tahoma"/>
                <w:sz w:val="18"/>
                <w:szCs w:val="18"/>
              </w:rPr>
            </w:pPr>
            <w:r w:rsidRPr="00665CF4">
              <w:rPr>
                <w:rFonts w:ascii="Tahoma" w:hAnsi="Tahoma" w:cs="Tahoma"/>
                <w:sz w:val="18"/>
                <w:szCs w:val="18"/>
              </w:rPr>
              <w:t>Presentation at company/institutional meetings</w:t>
            </w:r>
            <w:r w:rsidRPr="00665CF4">
              <w:rPr>
                <w:rFonts w:ascii="Tahoma" w:hAnsi="Tahoma" w:cs="Tahoma"/>
                <w:sz w:val="18"/>
                <w:szCs w:val="18"/>
              </w:rPr>
              <w:tab/>
            </w:r>
            <w:r w:rsidR="006F2D01">
              <w:rPr>
                <w:rFonts w:ascii="Tahoma" w:hAnsi="Tahoma" w:cs="Tahoma"/>
                <w:b/>
                <w:sz w:val="18"/>
                <w:szCs w:val="18"/>
              </w:rPr>
              <w:fldChar w:fldCharType="begin">
                <w:ffData>
                  <w:name w:val="Check20"/>
                  <w:enabled/>
                  <w:calcOnExit w:val="0"/>
                  <w:checkBox>
                    <w:sizeAuto/>
                    <w:default w:val="1"/>
                  </w:checkBox>
                </w:ffData>
              </w:fldChar>
            </w:r>
            <w:bookmarkStart w:id="5" w:name="Check20"/>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bookmarkEnd w:id="5"/>
            <w:r w:rsidRPr="00665CF4">
              <w:rPr>
                <w:rFonts w:ascii="Tahoma" w:hAnsi="Tahoma" w:cs="Tahoma"/>
                <w:sz w:val="18"/>
                <w:szCs w:val="18"/>
              </w:rPr>
              <w:tab/>
              <w:t xml:space="preserve">Regulatory purposes                                   </w:t>
            </w:r>
            <w:r w:rsidR="006F2D01" w:rsidRPr="00665CF4">
              <w:rPr>
                <w:rFonts w:ascii="Tahoma" w:hAnsi="Tahoma" w:cs="Tahoma"/>
                <w:b/>
                <w:sz w:val="18"/>
                <w:szCs w:val="18"/>
              </w:rPr>
              <w:fldChar w:fldCharType="begin">
                <w:ffData>
                  <w:name w:val="Check2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p>
          <w:p w14:paraId="2FF53A2E" w14:textId="77777777" w:rsidR="00A7298C" w:rsidRPr="00665CF4" w:rsidRDefault="00A7298C" w:rsidP="00154BA9">
            <w:pPr>
              <w:rPr>
                <w:rFonts w:ascii="Tahoma" w:hAnsi="Tahoma" w:cs="Tahoma"/>
                <w:b/>
                <w:sz w:val="18"/>
                <w:szCs w:val="18"/>
              </w:rPr>
            </w:pPr>
            <w:r w:rsidRPr="00665CF4">
              <w:rPr>
                <w:rFonts w:ascii="Tahoma" w:hAnsi="Tahoma" w:cs="Tahoma"/>
                <w:sz w:val="18"/>
                <w:szCs w:val="18"/>
              </w:rPr>
              <w:t>Other</w:t>
            </w:r>
            <w:r w:rsidR="004B0E54">
              <w:rPr>
                <w:rFonts w:ascii="Tahoma" w:hAnsi="Tahoma" w:cs="Tahoma"/>
                <w:sz w:val="18"/>
                <w:szCs w:val="18"/>
              </w:rPr>
              <w:t>:</w:t>
            </w:r>
            <w:r>
              <w:rPr>
                <w:rFonts w:ascii="Tahoma" w:hAnsi="Tahoma" w:cs="Tahoma"/>
                <w:sz w:val="18"/>
                <w:szCs w:val="18"/>
              </w:rPr>
              <w:t xml:space="preserve"> PhD </w:t>
            </w:r>
            <w:r w:rsidR="004B0E54">
              <w:rPr>
                <w:rFonts w:ascii="Tahoma" w:hAnsi="Tahoma" w:cs="Tahoma"/>
                <w:sz w:val="18"/>
                <w:szCs w:val="18"/>
              </w:rPr>
              <w:t>qualification</w:t>
            </w:r>
          </w:p>
          <w:p w14:paraId="6DC5C010" w14:textId="77777777" w:rsidR="00A7298C" w:rsidRPr="00665CF4" w:rsidRDefault="00A7298C" w:rsidP="00154BA9">
            <w:pPr>
              <w:rPr>
                <w:rFonts w:ascii="Tahoma" w:hAnsi="Tahoma" w:cs="Tahoma"/>
                <w:sz w:val="18"/>
                <w:szCs w:val="18"/>
              </w:rPr>
            </w:pPr>
          </w:p>
        </w:tc>
      </w:tr>
      <w:tr w:rsidR="00A7298C" w:rsidRPr="00665CF4" w14:paraId="30A0497D" w14:textId="77777777" w:rsidTr="00154BA9">
        <w:trPr>
          <w:trHeight w:val="258"/>
        </w:trPr>
        <w:tc>
          <w:tcPr>
            <w:tcW w:w="9747" w:type="dxa"/>
            <w:vAlign w:val="center"/>
          </w:tcPr>
          <w:p w14:paraId="26CD64C9" w14:textId="77777777" w:rsidR="00A7298C" w:rsidRPr="00665CF4" w:rsidRDefault="00A7298C" w:rsidP="00154BA9">
            <w:pPr>
              <w:rPr>
                <w:rFonts w:ascii="Tahoma" w:hAnsi="Tahoma" w:cs="Tahoma"/>
                <w:b/>
                <w:sz w:val="18"/>
                <w:szCs w:val="18"/>
              </w:rPr>
            </w:pPr>
            <w:r w:rsidRPr="00665CF4">
              <w:rPr>
                <w:rFonts w:ascii="Tahoma" w:hAnsi="Tahoma" w:cs="Tahoma"/>
                <w:b/>
                <w:sz w:val="18"/>
                <w:szCs w:val="18"/>
              </w:rPr>
              <w:t>Section B: The Investigators</w:t>
            </w:r>
          </w:p>
        </w:tc>
      </w:tr>
      <w:tr w:rsidR="00A7298C" w:rsidRPr="00665CF4" w14:paraId="470CF9EA" w14:textId="77777777" w:rsidTr="00154BA9">
        <w:trPr>
          <w:trHeight w:val="954"/>
        </w:trPr>
        <w:tc>
          <w:tcPr>
            <w:tcW w:w="9747" w:type="dxa"/>
            <w:vAlign w:val="center"/>
          </w:tcPr>
          <w:p w14:paraId="10300B6B" w14:textId="77777777" w:rsidR="00A7298C" w:rsidRPr="00665CF4" w:rsidRDefault="00A7298C" w:rsidP="00154BA9">
            <w:pPr>
              <w:numPr>
                <w:ilvl w:val="0"/>
                <w:numId w:val="1"/>
              </w:numPr>
              <w:rPr>
                <w:rFonts w:ascii="Tahoma" w:hAnsi="Tahoma" w:cs="Tahoma"/>
                <w:sz w:val="18"/>
                <w:szCs w:val="18"/>
              </w:rPr>
            </w:pPr>
            <w:r w:rsidRPr="00665CF4">
              <w:rPr>
                <w:rFonts w:ascii="Tahoma" w:hAnsi="Tahoma" w:cs="Tahoma"/>
                <w:b/>
                <w:sz w:val="18"/>
                <w:szCs w:val="18"/>
              </w:rPr>
              <w:t>Chief Investigator</w:t>
            </w:r>
            <w:r w:rsidRPr="00665CF4">
              <w:rPr>
                <w:rFonts w:ascii="Tahoma" w:hAnsi="Tahoma" w:cs="Tahoma"/>
                <w:sz w:val="18"/>
                <w:szCs w:val="18"/>
              </w:rPr>
              <w:t xml:space="preserve"> (full name, job title, organisation name &amp; e-mail address for correspondence- see guidance notes for eligibility)</w:t>
            </w:r>
          </w:p>
          <w:p w14:paraId="1E32B488" w14:textId="77777777" w:rsidR="00A7298C" w:rsidRPr="00665CF4" w:rsidRDefault="00A7298C" w:rsidP="00154BA9">
            <w:pPr>
              <w:rPr>
                <w:rFonts w:ascii="Tahoma" w:hAnsi="Tahoma" w:cs="Tahoma"/>
                <w:sz w:val="18"/>
                <w:szCs w:val="18"/>
              </w:rPr>
            </w:pPr>
            <w:r>
              <w:rPr>
                <w:rFonts w:ascii="Tahoma" w:hAnsi="Tahoma" w:cs="Tahoma"/>
                <w:sz w:val="18"/>
                <w:szCs w:val="18"/>
              </w:rPr>
              <w:t>Professor Patrick Kehoe, Gestetner Professor of Translational Dementia Research, University of Bristol, Patrick.Kehoe@bristol.ac.uk</w:t>
            </w:r>
          </w:p>
          <w:p w14:paraId="1A4482C6" w14:textId="77777777" w:rsidR="00A7298C" w:rsidRPr="00665CF4" w:rsidRDefault="00A7298C" w:rsidP="00154BA9">
            <w:pPr>
              <w:rPr>
                <w:rFonts w:ascii="Tahoma" w:hAnsi="Tahoma" w:cs="Tahoma"/>
                <w:b/>
                <w:sz w:val="18"/>
                <w:szCs w:val="18"/>
              </w:rPr>
            </w:pPr>
            <w:r w:rsidRPr="00665CF4">
              <w:rPr>
                <w:rFonts w:ascii="Tahoma" w:hAnsi="Tahoma" w:cs="Tahoma"/>
                <w:sz w:val="18"/>
                <w:szCs w:val="18"/>
              </w:rPr>
              <w:t>CV has been previously submitted to ISAC</w:t>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4D7D97">
              <w:rPr>
                <w:rFonts w:ascii="Tahoma" w:hAnsi="Tahoma" w:cs="Tahoma"/>
                <w:b/>
                <w:sz w:val="18"/>
                <w:szCs w:val="18"/>
              </w:rPr>
              <w:fldChar w:fldCharType="begin">
                <w:ffData>
                  <w:name w:val=""/>
                  <w:enabled/>
                  <w:calcOnExit w:val="0"/>
                  <w:checkBox>
                    <w:sizeAuto/>
                    <w:default w:val="1"/>
                  </w:checkBox>
                </w:ffData>
              </w:fldChar>
            </w:r>
            <w:r w:rsidR="004D7D97">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4D7D97">
              <w:rPr>
                <w:rFonts w:ascii="Tahoma" w:hAnsi="Tahoma" w:cs="Tahoma"/>
                <w:b/>
                <w:sz w:val="18"/>
                <w:szCs w:val="18"/>
              </w:rPr>
              <w:fldChar w:fldCharType="end"/>
            </w:r>
            <w:r w:rsidRPr="00665CF4">
              <w:rPr>
                <w:rFonts w:ascii="Tahoma" w:hAnsi="Tahoma" w:cs="Tahoma"/>
                <w:b/>
                <w:sz w:val="18"/>
                <w:szCs w:val="18"/>
              </w:rPr>
              <w:t xml:space="preserve">  CV number:</w:t>
            </w:r>
            <w:r w:rsidRPr="00665CF4">
              <w:rPr>
                <w:rFonts w:ascii="Tahoma" w:hAnsi="Tahoma" w:cs="Tahoma"/>
                <w:sz w:val="18"/>
                <w:szCs w:val="18"/>
              </w:rPr>
              <w:tab/>
              <w:t xml:space="preserve"> </w:t>
            </w:r>
            <w:r w:rsidR="004D7D97">
              <w:rPr>
                <w:rFonts w:ascii="Tahoma" w:hAnsi="Tahoma" w:cs="Tahoma"/>
                <w:sz w:val="18"/>
                <w:szCs w:val="18"/>
              </w:rPr>
              <w:t>388_15</w:t>
            </w:r>
          </w:p>
          <w:p w14:paraId="5159B6B4" w14:textId="77777777" w:rsidR="00A7298C" w:rsidRPr="00665CF4" w:rsidRDefault="00A7298C" w:rsidP="00154BA9">
            <w:pPr>
              <w:rPr>
                <w:rFonts w:ascii="Tahoma" w:hAnsi="Tahoma" w:cs="Tahoma"/>
                <w:bCs/>
                <w:sz w:val="18"/>
                <w:szCs w:val="18"/>
              </w:rPr>
            </w:pPr>
            <w:r w:rsidRPr="00665CF4">
              <w:rPr>
                <w:rFonts w:ascii="Tahoma" w:hAnsi="Tahoma" w:cs="Tahoma"/>
                <w:bCs/>
                <w:sz w:val="18"/>
                <w:szCs w:val="18"/>
              </w:rPr>
              <w:t xml:space="preserve">A new CV is being submitted with this protocol            </w:t>
            </w:r>
            <w:r w:rsidRPr="00665CF4">
              <w:rPr>
                <w:rFonts w:ascii="Tahoma" w:hAnsi="Tahoma" w:cs="Tahoma"/>
                <w:bCs/>
                <w:sz w:val="18"/>
                <w:szCs w:val="18"/>
              </w:rPr>
              <w:tab/>
            </w:r>
            <w:r w:rsidR="006F2D01">
              <w:rPr>
                <w:rFonts w:ascii="Tahoma" w:hAnsi="Tahoma" w:cs="Tahoma"/>
                <w:b/>
                <w:sz w:val="18"/>
                <w:szCs w:val="18"/>
              </w:rPr>
              <w:fldChar w:fldCharType="begin">
                <w:ffData>
                  <w:name w:val=""/>
                  <w:enabled/>
                  <w:calcOnExit w:val="0"/>
                  <w:checkBox>
                    <w:sizeAuto/>
                    <w:default w:val="0"/>
                  </w:checkBox>
                </w:ffData>
              </w:fldChar>
            </w:r>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r w:rsidRPr="00665CF4">
              <w:rPr>
                <w:rFonts w:ascii="Tahoma" w:hAnsi="Tahoma" w:cs="Tahoma"/>
                <w:bCs/>
                <w:sz w:val="18"/>
                <w:szCs w:val="18"/>
              </w:rPr>
              <w:t xml:space="preserve"> </w:t>
            </w:r>
          </w:p>
          <w:p w14:paraId="79C2E9E2" w14:textId="77777777" w:rsidR="00A7298C" w:rsidRPr="00665CF4" w:rsidRDefault="00A7298C" w:rsidP="00154BA9">
            <w:pPr>
              <w:rPr>
                <w:rFonts w:ascii="Tahoma" w:hAnsi="Tahoma" w:cs="Tahoma"/>
                <w:b/>
                <w:sz w:val="18"/>
                <w:szCs w:val="18"/>
              </w:rPr>
            </w:pPr>
            <w:r w:rsidRPr="00665CF4">
              <w:rPr>
                <w:rFonts w:ascii="Tahoma" w:hAnsi="Tahoma" w:cs="Tahoma"/>
                <w:bCs/>
                <w:sz w:val="18"/>
                <w:szCs w:val="18"/>
              </w:rPr>
              <w:t xml:space="preserve">An updated CV is being submitted with this protocol      </w:t>
            </w:r>
            <w:r w:rsidRPr="00665CF4">
              <w:rPr>
                <w:rFonts w:ascii="Tahoma" w:hAnsi="Tahoma" w:cs="Tahoma"/>
                <w:bCs/>
                <w:sz w:val="18"/>
                <w:szCs w:val="18"/>
              </w:rPr>
              <w:tab/>
            </w:r>
            <w:r w:rsidR="004D7D97" w:rsidRPr="00665CF4">
              <w:rPr>
                <w:rFonts w:ascii="Tahoma" w:hAnsi="Tahoma" w:cs="Tahoma"/>
                <w:b/>
                <w:sz w:val="18"/>
                <w:szCs w:val="18"/>
              </w:rPr>
              <w:fldChar w:fldCharType="begin">
                <w:ffData>
                  <w:name w:val="Check1"/>
                  <w:enabled/>
                  <w:calcOnExit w:val="0"/>
                  <w:checkBox>
                    <w:sizeAuto/>
                    <w:default w:val="0"/>
                  </w:checkBox>
                </w:ffData>
              </w:fldChar>
            </w:r>
            <w:r w:rsidR="004D7D97"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4D7D97" w:rsidRPr="00665CF4">
              <w:rPr>
                <w:rFonts w:ascii="Tahoma" w:hAnsi="Tahoma" w:cs="Tahoma"/>
                <w:b/>
                <w:sz w:val="18"/>
                <w:szCs w:val="18"/>
              </w:rPr>
              <w:fldChar w:fldCharType="end"/>
            </w:r>
          </w:p>
          <w:p w14:paraId="459382C8" w14:textId="77777777" w:rsidR="00A7298C" w:rsidRPr="00665CF4" w:rsidRDefault="00A7298C" w:rsidP="00154BA9">
            <w:pPr>
              <w:rPr>
                <w:rFonts w:ascii="Tahoma" w:hAnsi="Tahoma" w:cs="Tahoma"/>
                <w:sz w:val="18"/>
                <w:szCs w:val="18"/>
              </w:rPr>
            </w:pPr>
          </w:p>
        </w:tc>
      </w:tr>
      <w:tr w:rsidR="00A7298C" w:rsidRPr="00665CF4" w14:paraId="2C242A37" w14:textId="77777777" w:rsidTr="00154BA9">
        <w:trPr>
          <w:trHeight w:val="275"/>
        </w:trPr>
        <w:tc>
          <w:tcPr>
            <w:tcW w:w="9747" w:type="dxa"/>
            <w:vAlign w:val="center"/>
          </w:tcPr>
          <w:p w14:paraId="57DC55E1" w14:textId="77777777" w:rsidR="00A7298C" w:rsidRDefault="00A7298C" w:rsidP="00154BA9">
            <w:pPr>
              <w:numPr>
                <w:ilvl w:val="0"/>
                <w:numId w:val="1"/>
              </w:numPr>
              <w:rPr>
                <w:rFonts w:ascii="Tahoma" w:hAnsi="Tahoma" w:cs="Tahoma"/>
                <w:sz w:val="18"/>
                <w:szCs w:val="18"/>
              </w:rPr>
            </w:pPr>
            <w:r w:rsidRPr="00665CF4">
              <w:rPr>
                <w:rFonts w:ascii="Tahoma" w:hAnsi="Tahoma" w:cs="Tahoma"/>
                <w:b/>
                <w:sz w:val="18"/>
                <w:szCs w:val="18"/>
              </w:rPr>
              <w:t>Affiliation</w:t>
            </w:r>
            <w:r w:rsidRPr="00665CF4">
              <w:rPr>
                <w:rFonts w:ascii="Tahoma" w:hAnsi="Tahoma" w:cs="Tahoma"/>
                <w:sz w:val="18"/>
                <w:szCs w:val="18"/>
              </w:rPr>
              <w:t xml:space="preserve"> (full address)</w:t>
            </w:r>
          </w:p>
          <w:p w14:paraId="3AD78AB4" w14:textId="77777777" w:rsidR="00720C61" w:rsidRPr="00720C61" w:rsidRDefault="00720C61" w:rsidP="00154BA9">
            <w:pPr>
              <w:ind w:left="360"/>
              <w:rPr>
                <w:rFonts w:ascii="Tahoma" w:hAnsi="Tahoma" w:cs="Tahoma"/>
                <w:sz w:val="18"/>
                <w:szCs w:val="18"/>
              </w:rPr>
            </w:pPr>
          </w:p>
          <w:p w14:paraId="79F0FFCB" w14:textId="77777777" w:rsidR="00A7298C" w:rsidRPr="00720C61" w:rsidRDefault="00A7298C" w:rsidP="00154BA9">
            <w:pPr>
              <w:shd w:val="clear" w:color="auto" w:fill="FFFFFF"/>
              <w:spacing w:before="100" w:after="100"/>
              <w:ind w:right="720"/>
              <w:contextualSpacing/>
              <w:rPr>
                <w:rFonts w:ascii="Tahoma" w:hAnsi="Tahoma" w:cs="Tahoma"/>
                <w:color w:val="222222"/>
                <w:sz w:val="18"/>
                <w:szCs w:val="18"/>
                <w:lang w:eastAsia="en-US"/>
              </w:rPr>
            </w:pPr>
            <w:r w:rsidRPr="00720C61">
              <w:rPr>
                <w:rFonts w:ascii="Tahoma" w:hAnsi="Tahoma" w:cs="Tahoma"/>
                <w:color w:val="222222"/>
                <w:sz w:val="18"/>
                <w:szCs w:val="18"/>
                <w:lang w:eastAsia="en-US"/>
              </w:rPr>
              <w:t xml:space="preserve">Dementia Research Group, School of Clinical Sciences, </w:t>
            </w:r>
            <w:r w:rsidRPr="00720C61">
              <w:rPr>
                <w:rFonts w:ascii="Tahoma" w:hAnsi="Tahoma" w:cs="Tahoma"/>
                <w:color w:val="222222"/>
                <w:sz w:val="18"/>
                <w:szCs w:val="18"/>
              </w:rPr>
              <w:t>University of Bristol</w:t>
            </w:r>
            <w:r w:rsidRPr="00720C61">
              <w:rPr>
                <w:rFonts w:ascii="Tahoma" w:hAnsi="Tahoma" w:cs="Tahoma"/>
                <w:color w:val="222222"/>
                <w:sz w:val="18"/>
                <w:szCs w:val="18"/>
                <w:lang w:eastAsia="en-US"/>
              </w:rPr>
              <w:t xml:space="preserve">, </w:t>
            </w:r>
            <w:r w:rsidRPr="00720C61">
              <w:rPr>
                <w:rFonts w:ascii="Tahoma" w:hAnsi="Tahoma" w:cs="Tahoma"/>
                <w:color w:val="222222"/>
                <w:sz w:val="18"/>
                <w:szCs w:val="18"/>
              </w:rPr>
              <w:t>Level 1, Learning &amp; Research</w:t>
            </w:r>
            <w:r w:rsidRPr="00720C61">
              <w:rPr>
                <w:rFonts w:ascii="Tahoma" w:hAnsi="Tahoma" w:cs="Tahoma"/>
                <w:color w:val="222222"/>
                <w:sz w:val="18"/>
                <w:szCs w:val="18"/>
                <w:lang w:eastAsia="en-US"/>
              </w:rPr>
              <w:t xml:space="preserve">, </w:t>
            </w:r>
            <w:r w:rsidRPr="00720C61">
              <w:rPr>
                <w:rFonts w:ascii="Tahoma" w:hAnsi="Tahoma" w:cs="Tahoma"/>
                <w:color w:val="222222"/>
                <w:sz w:val="18"/>
                <w:szCs w:val="18"/>
              </w:rPr>
              <w:t>Southmead Hospital</w:t>
            </w:r>
            <w:r w:rsidRPr="00720C61">
              <w:rPr>
                <w:rFonts w:ascii="Tahoma" w:hAnsi="Tahoma" w:cs="Tahoma"/>
                <w:color w:val="222222"/>
                <w:sz w:val="18"/>
                <w:szCs w:val="18"/>
                <w:lang w:eastAsia="en-US"/>
              </w:rPr>
              <w:t xml:space="preserve">, </w:t>
            </w:r>
            <w:r w:rsidRPr="00720C61">
              <w:rPr>
                <w:rFonts w:ascii="Tahoma" w:hAnsi="Tahoma" w:cs="Tahoma"/>
                <w:color w:val="222222"/>
                <w:sz w:val="18"/>
                <w:szCs w:val="18"/>
              </w:rPr>
              <w:t>Bristol, BS10 5NB</w:t>
            </w:r>
          </w:p>
          <w:p w14:paraId="2D91F7DF" w14:textId="77777777" w:rsidR="00A7298C" w:rsidRPr="00720C61" w:rsidRDefault="00A7298C" w:rsidP="00154BA9">
            <w:pPr>
              <w:shd w:val="clear" w:color="auto" w:fill="FFFFFF"/>
              <w:contextualSpacing/>
              <w:rPr>
                <w:rFonts w:ascii="Tahoma" w:hAnsi="Tahoma" w:cs="Tahoma"/>
                <w:color w:val="222222"/>
                <w:sz w:val="18"/>
                <w:szCs w:val="18"/>
              </w:rPr>
            </w:pPr>
            <w:r w:rsidRPr="00720C61">
              <w:rPr>
                <w:rFonts w:ascii="Tahoma" w:hAnsi="Tahoma" w:cs="Tahoma"/>
                <w:color w:val="222222"/>
                <w:sz w:val="18"/>
                <w:szCs w:val="18"/>
              </w:rPr>
              <w:t xml:space="preserve">Tel: </w:t>
            </w:r>
            <w:hyperlink r:id="rId9" w:tgtFrame="_blank" w:history="1">
              <w:r w:rsidRPr="00720C61">
                <w:rPr>
                  <w:rStyle w:val="Hyperlink"/>
                  <w:rFonts w:ascii="Tahoma" w:hAnsi="Tahoma" w:cs="Tahoma"/>
                  <w:color w:val="1155CC"/>
                  <w:sz w:val="18"/>
                  <w:szCs w:val="18"/>
                </w:rPr>
                <w:t>0117 4147821</w:t>
              </w:r>
            </w:hyperlink>
          </w:p>
          <w:p w14:paraId="53DEF9DB" w14:textId="77777777" w:rsidR="00720C61" w:rsidRPr="00720C61" w:rsidRDefault="00720C61" w:rsidP="00154BA9">
            <w:pPr>
              <w:shd w:val="clear" w:color="auto" w:fill="FFFFFF"/>
              <w:contextualSpacing/>
              <w:rPr>
                <w:rFonts w:ascii="Arial" w:hAnsi="Arial"/>
                <w:color w:val="222222"/>
                <w:sz w:val="18"/>
                <w:szCs w:val="18"/>
              </w:rPr>
            </w:pPr>
          </w:p>
        </w:tc>
      </w:tr>
      <w:tr w:rsidR="00A7298C" w:rsidRPr="00665CF4" w14:paraId="33FB125F" w14:textId="77777777" w:rsidTr="00154BA9">
        <w:trPr>
          <w:trHeight w:val="567"/>
        </w:trPr>
        <w:tc>
          <w:tcPr>
            <w:tcW w:w="9747" w:type="dxa"/>
            <w:vAlign w:val="center"/>
          </w:tcPr>
          <w:p w14:paraId="027449CA" w14:textId="77777777" w:rsidR="00A7298C" w:rsidRPr="004B0E54" w:rsidRDefault="00A7298C" w:rsidP="00154BA9">
            <w:pPr>
              <w:numPr>
                <w:ilvl w:val="0"/>
                <w:numId w:val="1"/>
              </w:numPr>
              <w:rPr>
                <w:rFonts w:ascii="Tahoma" w:hAnsi="Tahoma" w:cs="Tahoma"/>
                <w:sz w:val="18"/>
                <w:szCs w:val="18"/>
              </w:rPr>
            </w:pPr>
            <w:r w:rsidRPr="004B0E54">
              <w:rPr>
                <w:rFonts w:ascii="Tahoma" w:hAnsi="Tahoma" w:cs="Tahoma"/>
                <w:b/>
                <w:sz w:val="18"/>
                <w:szCs w:val="18"/>
              </w:rPr>
              <w:t>Corresponding Applicant</w:t>
            </w:r>
          </w:p>
          <w:p w14:paraId="423F7AA3" w14:textId="77777777" w:rsidR="00A7298C" w:rsidRPr="00665CF4" w:rsidRDefault="006F2D01" w:rsidP="00154BA9">
            <w:pPr>
              <w:rPr>
                <w:rFonts w:ascii="Tahoma" w:hAnsi="Tahoma" w:cs="Tahoma"/>
                <w:sz w:val="18"/>
                <w:szCs w:val="18"/>
              </w:rPr>
            </w:pPr>
            <w:r w:rsidRPr="00665CF4">
              <w:rPr>
                <w:rFonts w:ascii="Tahoma" w:hAnsi="Tahoma" w:cs="Tahoma"/>
                <w:sz w:val="18"/>
                <w:szCs w:val="18"/>
              </w:rPr>
              <w:fldChar w:fldCharType="begin">
                <w:ffData>
                  <w:name w:val="Text9"/>
                  <w:enabled/>
                  <w:calcOnExit w:val="0"/>
                  <w:textInput/>
                </w:ffData>
              </w:fldChar>
            </w:r>
            <w:r w:rsidR="00A7298C" w:rsidRPr="00665CF4">
              <w:rPr>
                <w:rFonts w:ascii="Tahoma" w:hAnsi="Tahoma" w:cs="Tahoma"/>
                <w:sz w:val="18"/>
                <w:szCs w:val="18"/>
              </w:rPr>
              <w:instrText xml:space="preserve"> FORMTEXT </w:instrText>
            </w:r>
            <w:r w:rsidRPr="00665CF4">
              <w:rPr>
                <w:rFonts w:ascii="Tahoma" w:hAnsi="Tahoma" w:cs="Tahoma"/>
                <w:sz w:val="18"/>
                <w:szCs w:val="18"/>
              </w:rPr>
            </w:r>
            <w:r w:rsidRPr="00665CF4">
              <w:rPr>
                <w:rFonts w:ascii="Tahoma" w:hAnsi="Tahoma" w:cs="Tahoma"/>
                <w:sz w:val="18"/>
                <w:szCs w:val="18"/>
              </w:rPr>
              <w:fldChar w:fldCharType="separate"/>
            </w:r>
            <w:r w:rsidR="00A7298C" w:rsidRPr="00665CF4">
              <w:rPr>
                <w:rFonts w:ascii="Tahoma" w:eastAsia="Arial Unicode MS" w:hAnsi="Tahoma" w:cs="Tahoma"/>
                <w:noProof/>
                <w:sz w:val="18"/>
                <w:szCs w:val="18"/>
              </w:rPr>
              <w:t> </w:t>
            </w:r>
            <w:r w:rsidR="00A7298C" w:rsidRPr="00665CF4">
              <w:rPr>
                <w:rFonts w:ascii="Tahoma" w:eastAsia="Arial Unicode MS" w:hAnsi="Tahoma" w:cs="Tahoma"/>
                <w:noProof/>
                <w:sz w:val="18"/>
                <w:szCs w:val="18"/>
              </w:rPr>
              <w:t> </w:t>
            </w:r>
            <w:r w:rsidR="00A7298C" w:rsidRPr="00665CF4">
              <w:rPr>
                <w:rFonts w:ascii="Tahoma" w:eastAsia="Arial Unicode MS" w:hAnsi="Tahoma" w:cs="Tahoma"/>
                <w:noProof/>
                <w:sz w:val="18"/>
                <w:szCs w:val="18"/>
              </w:rPr>
              <w:t> </w:t>
            </w:r>
            <w:r w:rsidR="00A7298C" w:rsidRPr="00665CF4">
              <w:rPr>
                <w:rFonts w:ascii="Tahoma" w:eastAsia="Arial Unicode MS" w:hAnsi="Tahoma" w:cs="Tahoma"/>
                <w:noProof/>
                <w:sz w:val="18"/>
                <w:szCs w:val="18"/>
              </w:rPr>
              <w:t> </w:t>
            </w:r>
            <w:r w:rsidR="00A7298C" w:rsidRPr="00665CF4">
              <w:rPr>
                <w:rFonts w:ascii="Tahoma" w:eastAsia="Arial Unicode MS" w:hAnsi="Tahoma" w:cs="Tahoma"/>
                <w:noProof/>
                <w:sz w:val="18"/>
                <w:szCs w:val="18"/>
              </w:rPr>
              <w:t> </w:t>
            </w:r>
            <w:r w:rsidRPr="00665CF4">
              <w:rPr>
                <w:rFonts w:ascii="Tahoma" w:hAnsi="Tahoma" w:cs="Tahoma"/>
                <w:sz w:val="18"/>
                <w:szCs w:val="18"/>
              </w:rPr>
              <w:fldChar w:fldCharType="end"/>
            </w:r>
          </w:p>
          <w:p w14:paraId="18509829" w14:textId="77777777" w:rsidR="00A7298C" w:rsidRPr="00665CF4" w:rsidRDefault="00A7298C" w:rsidP="00154BA9">
            <w:pPr>
              <w:rPr>
                <w:rFonts w:ascii="Tahoma" w:hAnsi="Tahoma" w:cs="Tahoma"/>
                <w:sz w:val="18"/>
                <w:szCs w:val="18"/>
              </w:rPr>
            </w:pPr>
            <w:r w:rsidRPr="00665CF4">
              <w:rPr>
                <w:rFonts w:ascii="Tahoma" w:hAnsi="Tahoma" w:cs="Tahoma"/>
                <w:sz w:val="18"/>
                <w:szCs w:val="18"/>
              </w:rPr>
              <w:t>Same as chief investigator</w:t>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b/>
                <w:sz w:val="18"/>
                <w:szCs w:val="18"/>
              </w:rPr>
              <w:fldChar w:fldCharType="begin">
                <w:ffData>
                  <w:name w:val=""/>
                  <w:enabled/>
                  <w:calcOnExit w:val="0"/>
                  <w:checkBox>
                    <w:sizeAuto/>
                    <w:default w:val="1"/>
                  </w:checkBox>
                </w:ffData>
              </w:fldChar>
            </w:r>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r w:rsidRPr="00665CF4">
              <w:rPr>
                <w:rFonts w:ascii="Tahoma" w:hAnsi="Tahoma" w:cs="Tahoma"/>
                <w:b/>
                <w:sz w:val="18"/>
                <w:szCs w:val="18"/>
              </w:rPr>
              <w:t xml:space="preserve">  </w:t>
            </w:r>
          </w:p>
          <w:p w14:paraId="66EA1850" w14:textId="77777777" w:rsidR="00A7298C" w:rsidRPr="00665CF4" w:rsidRDefault="00A7298C" w:rsidP="00154BA9">
            <w:pPr>
              <w:rPr>
                <w:rFonts w:ascii="Tahoma" w:hAnsi="Tahoma" w:cs="Tahoma"/>
                <w:b/>
                <w:sz w:val="18"/>
                <w:szCs w:val="18"/>
              </w:rPr>
            </w:pPr>
            <w:r w:rsidRPr="00665CF4">
              <w:rPr>
                <w:rFonts w:ascii="Tahoma" w:hAnsi="Tahoma" w:cs="Tahoma"/>
                <w:sz w:val="18"/>
                <w:szCs w:val="18"/>
              </w:rPr>
              <w:t>CV has been previously submitted to ISAC</w:t>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b/>
                <w:sz w:val="18"/>
                <w:szCs w:val="18"/>
              </w:rPr>
              <w:t xml:space="preserve">  CV number:</w:t>
            </w:r>
            <w:r w:rsidRPr="00665CF4">
              <w:rPr>
                <w:rFonts w:ascii="Tahoma" w:hAnsi="Tahoma" w:cs="Tahoma"/>
                <w:sz w:val="18"/>
                <w:szCs w:val="18"/>
              </w:rPr>
              <w:tab/>
              <w:t xml:space="preserve"> </w:t>
            </w:r>
            <w:r w:rsidR="004D7D97">
              <w:rPr>
                <w:rFonts w:ascii="Tahoma" w:hAnsi="Tahoma" w:cs="Tahoma"/>
                <w:sz w:val="18"/>
                <w:szCs w:val="18"/>
              </w:rPr>
              <w:t>388_15</w:t>
            </w:r>
          </w:p>
          <w:p w14:paraId="3DB3907A" w14:textId="77777777" w:rsidR="00A7298C" w:rsidRPr="00665CF4" w:rsidRDefault="00A7298C" w:rsidP="00154BA9">
            <w:pPr>
              <w:rPr>
                <w:rFonts w:ascii="Tahoma" w:hAnsi="Tahoma" w:cs="Tahoma"/>
                <w:bCs/>
                <w:sz w:val="18"/>
                <w:szCs w:val="18"/>
              </w:rPr>
            </w:pPr>
            <w:r w:rsidRPr="00665CF4">
              <w:rPr>
                <w:rFonts w:ascii="Tahoma" w:hAnsi="Tahoma" w:cs="Tahoma"/>
                <w:bCs/>
                <w:sz w:val="18"/>
                <w:szCs w:val="18"/>
              </w:rPr>
              <w:t xml:space="preserve">A new CV is being submitted with this protocol            </w:t>
            </w:r>
            <w:r w:rsidRPr="00665CF4">
              <w:rPr>
                <w:rFonts w:ascii="Tahoma" w:hAnsi="Tahoma" w:cs="Tahoma"/>
                <w:bCs/>
                <w:sz w:val="18"/>
                <w:szCs w:val="18"/>
              </w:rPr>
              <w:tab/>
            </w:r>
            <w:r w:rsidR="006F2D01" w:rsidRPr="00665CF4">
              <w:rPr>
                <w:rFonts w:ascii="Tahoma" w:hAnsi="Tahoma" w:cs="Tahoma"/>
                <w:b/>
                <w:sz w:val="18"/>
                <w:szCs w:val="18"/>
              </w:rPr>
              <w:fldChar w:fldCharType="begin">
                <w:ffData>
                  <w:name w:val="Check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bCs/>
                <w:sz w:val="18"/>
                <w:szCs w:val="18"/>
              </w:rPr>
              <w:t xml:space="preserve"> </w:t>
            </w:r>
          </w:p>
          <w:p w14:paraId="2CBA62E0" w14:textId="77777777" w:rsidR="00A7298C" w:rsidRPr="00665CF4" w:rsidRDefault="00A7298C" w:rsidP="00154BA9">
            <w:pPr>
              <w:rPr>
                <w:rFonts w:ascii="Tahoma" w:hAnsi="Tahoma" w:cs="Tahoma"/>
                <w:b/>
                <w:sz w:val="18"/>
                <w:szCs w:val="18"/>
              </w:rPr>
            </w:pPr>
            <w:r w:rsidRPr="00665CF4">
              <w:rPr>
                <w:rFonts w:ascii="Tahoma" w:hAnsi="Tahoma" w:cs="Tahoma"/>
                <w:bCs/>
                <w:sz w:val="18"/>
                <w:szCs w:val="18"/>
              </w:rPr>
              <w:t xml:space="preserve">An updated CV is being submitted with this protocol      </w:t>
            </w:r>
            <w:r w:rsidRPr="00665CF4">
              <w:rPr>
                <w:rFonts w:ascii="Tahoma" w:hAnsi="Tahoma" w:cs="Tahoma"/>
                <w:bCs/>
                <w:sz w:val="18"/>
                <w:szCs w:val="18"/>
              </w:rPr>
              <w:tab/>
            </w:r>
            <w:r w:rsidR="006F2D01" w:rsidRPr="00665CF4">
              <w:rPr>
                <w:rFonts w:ascii="Tahoma" w:hAnsi="Tahoma" w:cs="Tahoma"/>
                <w:b/>
                <w:sz w:val="18"/>
                <w:szCs w:val="18"/>
              </w:rPr>
              <w:fldChar w:fldCharType="begin">
                <w:ffData>
                  <w:name w:val="Check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p>
          <w:p w14:paraId="056FFAF4" w14:textId="77777777" w:rsidR="00A7298C" w:rsidRPr="00665CF4" w:rsidRDefault="00A7298C" w:rsidP="00154BA9">
            <w:pPr>
              <w:rPr>
                <w:rFonts w:ascii="Tahoma" w:hAnsi="Tahoma" w:cs="Tahoma"/>
                <w:sz w:val="18"/>
                <w:szCs w:val="18"/>
              </w:rPr>
            </w:pPr>
          </w:p>
        </w:tc>
      </w:tr>
    </w:tbl>
    <w:p w14:paraId="41FC9509" w14:textId="77777777" w:rsidR="00720C61" w:rsidRDefault="00720C61">
      <w: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8"/>
        <w:gridCol w:w="1259"/>
        <w:gridCol w:w="1150"/>
      </w:tblGrid>
      <w:tr w:rsidR="00A7298C" w:rsidRPr="00665CF4" w14:paraId="6A2B51E9" w14:textId="77777777" w:rsidTr="00154BA9">
        <w:trPr>
          <w:trHeight w:val="567"/>
        </w:trPr>
        <w:tc>
          <w:tcPr>
            <w:tcW w:w="9747" w:type="dxa"/>
            <w:gridSpan w:val="3"/>
            <w:vAlign w:val="center"/>
          </w:tcPr>
          <w:p w14:paraId="11EE61E6" w14:textId="77777777" w:rsidR="0076226A" w:rsidRPr="0076226A" w:rsidRDefault="00A7298C" w:rsidP="0076226A">
            <w:pPr>
              <w:numPr>
                <w:ilvl w:val="0"/>
                <w:numId w:val="1"/>
              </w:numPr>
              <w:rPr>
                <w:rFonts w:ascii="Tahoma" w:hAnsi="Tahoma" w:cs="Tahoma"/>
                <w:i/>
                <w:sz w:val="18"/>
                <w:szCs w:val="18"/>
              </w:rPr>
            </w:pPr>
            <w:r w:rsidRPr="004B0E54">
              <w:rPr>
                <w:rFonts w:ascii="Tahoma" w:hAnsi="Tahoma" w:cs="Tahoma"/>
                <w:b/>
                <w:sz w:val="18"/>
                <w:szCs w:val="18"/>
              </w:rPr>
              <w:lastRenderedPageBreak/>
              <w:t>List of all investigators/collaborators</w:t>
            </w:r>
            <w:r w:rsidRPr="004B0E54">
              <w:rPr>
                <w:rFonts w:ascii="Tahoma" w:hAnsi="Tahoma" w:cs="Tahoma"/>
                <w:sz w:val="18"/>
                <w:szCs w:val="18"/>
              </w:rPr>
              <w:t xml:space="preserve"> (</w:t>
            </w:r>
            <w:r w:rsidRPr="004B0E54">
              <w:rPr>
                <w:rFonts w:ascii="Tahoma" w:hAnsi="Tahoma" w:cs="Tahoma"/>
                <w:i/>
                <w:sz w:val="18"/>
                <w:szCs w:val="18"/>
              </w:rPr>
              <w:t>please list the full names, affiliations and e-mail addresses* of all collaborators</w:t>
            </w:r>
            <w:r w:rsidRPr="004B0E54">
              <w:rPr>
                <w:rFonts w:ascii="Tahoma" w:hAnsi="Tahoma" w:cs="Tahoma"/>
                <w:sz w:val="18"/>
                <w:szCs w:val="18"/>
              </w:rPr>
              <w:t xml:space="preserve">, </w:t>
            </w:r>
            <w:r w:rsidRPr="004B0E54">
              <w:rPr>
                <w:rFonts w:ascii="Tahoma" w:hAnsi="Tahoma" w:cs="Tahoma"/>
                <w:i/>
                <w:sz w:val="18"/>
                <w:szCs w:val="18"/>
              </w:rPr>
              <w:t>other than the Chief Investigator</w:t>
            </w:r>
            <w:r w:rsidRPr="004B0E54">
              <w:rPr>
                <w:rFonts w:ascii="Tahoma" w:hAnsi="Tahoma" w:cs="Tahoma"/>
                <w:sz w:val="18"/>
                <w:szCs w:val="18"/>
              </w:rPr>
              <w:t>)</w:t>
            </w:r>
          </w:p>
          <w:p w14:paraId="012E700D" w14:textId="77777777" w:rsidR="00A7298C" w:rsidRPr="0076226A" w:rsidRDefault="00A7298C" w:rsidP="00154BA9">
            <w:pPr>
              <w:rPr>
                <w:rFonts w:ascii="Tahoma" w:hAnsi="Tahoma" w:cs="Tahoma"/>
                <w:sz w:val="16"/>
                <w:szCs w:val="18"/>
              </w:rPr>
            </w:pPr>
            <w:r w:rsidRPr="004B0E54">
              <w:rPr>
                <w:rFonts w:ascii="Tahoma" w:hAnsi="Tahoma" w:cs="Tahoma"/>
                <w:sz w:val="18"/>
                <w:szCs w:val="18"/>
              </w:rPr>
              <w:t xml:space="preserve">Other investigator: Professor Richard Martin, School of Social and Community Medicine, University of Bristol, </w:t>
            </w:r>
            <w:hyperlink r:id="rId10" w:history="1">
              <w:r w:rsidR="008A6CCD" w:rsidRPr="0076226A">
                <w:rPr>
                  <w:rFonts w:ascii="Tahoma" w:hAnsi="Tahoma" w:cs="Tahoma"/>
                  <w:sz w:val="18"/>
                </w:rPr>
                <w:t>Richard.Martin@bristol.ac.uk</w:t>
              </w:r>
            </w:hyperlink>
            <w:r w:rsidR="008A6CCD" w:rsidRPr="0076226A">
              <w:rPr>
                <w:rFonts w:ascii="Tahoma" w:hAnsi="Tahoma" w:cs="Tahoma"/>
                <w:sz w:val="18"/>
              </w:rPr>
              <w:t xml:space="preserve"> </w:t>
            </w:r>
          </w:p>
          <w:p w14:paraId="6D8D5EBD" w14:textId="77777777" w:rsidR="00A7298C" w:rsidRPr="004B0E54" w:rsidRDefault="00A7298C" w:rsidP="00154BA9">
            <w:pPr>
              <w:rPr>
                <w:rFonts w:ascii="Tahoma" w:hAnsi="Tahoma" w:cs="Tahoma"/>
                <w:b/>
                <w:sz w:val="18"/>
                <w:szCs w:val="18"/>
              </w:rPr>
            </w:pPr>
            <w:r w:rsidRPr="004B0E54">
              <w:rPr>
                <w:rFonts w:ascii="Tahoma" w:hAnsi="Tahoma" w:cs="Tahoma"/>
                <w:sz w:val="18"/>
                <w:szCs w:val="18"/>
              </w:rPr>
              <w:t>CV has been previously submitted to ISAC</w:t>
            </w:r>
            <w:r w:rsidRPr="004B0E54">
              <w:rPr>
                <w:rFonts w:ascii="Tahoma" w:hAnsi="Tahoma" w:cs="Tahoma"/>
                <w:sz w:val="18"/>
                <w:szCs w:val="18"/>
              </w:rPr>
              <w:tab/>
            </w:r>
            <w:r w:rsidRPr="004B0E54">
              <w:rPr>
                <w:rFonts w:ascii="Tahoma" w:hAnsi="Tahoma" w:cs="Tahoma"/>
                <w:sz w:val="18"/>
                <w:szCs w:val="18"/>
              </w:rPr>
              <w:tab/>
            </w:r>
            <w:r w:rsidRPr="004B0E54">
              <w:rPr>
                <w:rFonts w:ascii="Tahoma" w:hAnsi="Tahoma" w:cs="Tahoma"/>
                <w:sz w:val="18"/>
                <w:szCs w:val="18"/>
              </w:rPr>
              <w:tab/>
            </w:r>
            <w:r w:rsidR="006F2D01" w:rsidRPr="004B0E54">
              <w:rPr>
                <w:rFonts w:ascii="Tahoma" w:hAnsi="Tahoma" w:cs="Tahoma"/>
                <w:b/>
                <w:sz w:val="18"/>
                <w:szCs w:val="18"/>
              </w:rPr>
              <w:fldChar w:fldCharType="begin">
                <w:ffData>
                  <w:name w:val="Check1"/>
                  <w:enabled/>
                  <w:calcOnExit w:val="0"/>
                  <w:checkBox>
                    <w:sizeAuto/>
                    <w:default w:val="0"/>
                  </w:checkBox>
                </w:ffData>
              </w:fldChar>
            </w:r>
            <w:r w:rsidRPr="004B0E5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4B0E54">
              <w:rPr>
                <w:rFonts w:ascii="Tahoma" w:hAnsi="Tahoma" w:cs="Tahoma"/>
                <w:b/>
                <w:sz w:val="18"/>
                <w:szCs w:val="18"/>
              </w:rPr>
              <w:fldChar w:fldCharType="end"/>
            </w:r>
            <w:r w:rsidRPr="004B0E54">
              <w:rPr>
                <w:rFonts w:ascii="Tahoma" w:hAnsi="Tahoma" w:cs="Tahoma"/>
                <w:b/>
                <w:sz w:val="18"/>
                <w:szCs w:val="18"/>
              </w:rPr>
              <w:t xml:space="preserve">  CV number:</w:t>
            </w:r>
            <w:r w:rsidRPr="004B0E54">
              <w:rPr>
                <w:rFonts w:ascii="Tahoma" w:hAnsi="Tahoma" w:cs="Tahoma"/>
                <w:sz w:val="18"/>
                <w:szCs w:val="18"/>
              </w:rPr>
              <w:tab/>
              <w:t xml:space="preserve"> </w:t>
            </w:r>
          </w:p>
          <w:p w14:paraId="63786575" w14:textId="77777777" w:rsidR="00A7298C" w:rsidRPr="004B0E54" w:rsidRDefault="00A7298C" w:rsidP="00154BA9">
            <w:pPr>
              <w:rPr>
                <w:rFonts w:ascii="Tahoma" w:hAnsi="Tahoma" w:cs="Tahoma"/>
                <w:bCs/>
                <w:sz w:val="18"/>
                <w:szCs w:val="18"/>
              </w:rPr>
            </w:pPr>
            <w:r w:rsidRPr="004B0E54">
              <w:rPr>
                <w:rFonts w:ascii="Tahoma" w:hAnsi="Tahoma" w:cs="Tahoma"/>
                <w:bCs/>
                <w:sz w:val="18"/>
                <w:szCs w:val="18"/>
              </w:rPr>
              <w:t xml:space="preserve">A new CV is being submitted with this protocol            </w:t>
            </w:r>
            <w:r w:rsidRPr="004B0E54">
              <w:rPr>
                <w:rFonts w:ascii="Tahoma" w:hAnsi="Tahoma" w:cs="Tahoma"/>
                <w:bCs/>
                <w:sz w:val="18"/>
                <w:szCs w:val="18"/>
              </w:rPr>
              <w:tab/>
            </w:r>
            <w:r w:rsidR="006F2D01" w:rsidRPr="004B0E54">
              <w:rPr>
                <w:rFonts w:ascii="Tahoma" w:hAnsi="Tahoma" w:cs="Tahoma"/>
                <w:b/>
                <w:sz w:val="18"/>
                <w:szCs w:val="18"/>
              </w:rPr>
              <w:fldChar w:fldCharType="begin">
                <w:ffData>
                  <w:name w:val="Check1"/>
                  <w:enabled/>
                  <w:calcOnExit w:val="0"/>
                  <w:checkBox>
                    <w:sizeAuto/>
                    <w:default w:val="0"/>
                  </w:checkBox>
                </w:ffData>
              </w:fldChar>
            </w:r>
            <w:r w:rsidRPr="004B0E5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4B0E54">
              <w:rPr>
                <w:rFonts w:ascii="Tahoma" w:hAnsi="Tahoma" w:cs="Tahoma"/>
                <w:b/>
                <w:sz w:val="18"/>
                <w:szCs w:val="18"/>
              </w:rPr>
              <w:fldChar w:fldCharType="end"/>
            </w:r>
            <w:r w:rsidRPr="004B0E54">
              <w:rPr>
                <w:rFonts w:ascii="Tahoma" w:hAnsi="Tahoma" w:cs="Tahoma"/>
                <w:bCs/>
                <w:sz w:val="18"/>
                <w:szCs w:val="18"/>
              </w:rPr>
              <w:t xml:space="preserve"> </w:t>
            </w:r>
          </w:p>
          <w:p w14:paraId="1CD914FE" w14:textId="77777777" w:rsidR="00A7298C" w:rsidRPr="004B0E54" w:rsidRDefault="00A7298C" w:rsidP="00154BA9">
            <w:pPr>
              <w:rPr>
                <w:rFonts w:ascii="Tahoma" w:hAnsi="Tahoma" w:cs="Tahoma"/>
                <w:b/>
                <w:sz w:val="18"/>
                <w:szCs w:val="18"/>
              </w:rPr>
            </w:pPr>
            <w:r w:rsidRPr="004B0E54">
              <w:rPr>
                <w:rFonts w:ascii="Tahoma" w:hAnsi="Tahoma" w:cs="Tahoma"/>
                <w:bCs/>
                <w:sz w:val="18"/>
                <w:szCs w:val="18"/>
              </w:rPr>
              <w:t xml:space="preserve">An updated CV is being submitted with this protocol      </w:t>
            </w:r>
            <w:r w:rsidRPr="004B0E54">
              <w:rPr>
                <w:rFonts w:ascii="Tahoma" w:hAnsi="Tahoma" w:cs="Tahoma"/>
                <w:bCs/>
                <w:sz w:val="18"/>
                <w:szCs w:val="18"/>
              </w:rPr>
              <w:tab/>
            </w:r>
            <w:r w:rsidR="006F2D01" w:rsidRPr="004B0E54">
              <w:rPr>
                <w:rFonts w:ascii="Tahoma" w:hAnsi="Tahoma" w:cs="Tahoma"/>
                <w:b/>
                <w:sz w:val="18"/>
                <w:szCs w:val="18"/>
              </w:rPr>
              <w:fldChar w:fldCharType="begin">
                <w:ffData>
                  <w:name w:val=""/>
                  <w:enabled/>
                  <w:calcOnExit w:val="0"/>
                  <w:checkBox>
                    <w:sizeAuto/>
                    <w:default w:val="1"/>
                  </w:checkBox>
                </w:ffData>
              </w:fldChar>
            </w:r>
            <w:r w:rsidRPr="004B0E5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4B0E54">
              <w:rPr>
                <w:rFonts w:ascii="Tahoma" w:hAnsi="Tahoma" w:cs="Tahoma"/>
                <w:b/>
                <w:sz w:val="18"/>
                <w:szCs w:val="18"/>
              </w:rPr>
              <w:fldChar w:fldCharType="end"/>
            </w:r>
          </w:p>
          <w:p w14:paraId="4F0725CB" w14:textId="77777777" w:rsidR="00A7298C" w:rsidRPr="004B0E54" w:rsidRDefault="00A7298C" w:rsidP="00154BA9">
            <w:pPr>
              <w:rPr>
                <w:rFonts w:ascii="Tahoma" w:hAnsi="Tahoma" w:cs="Tahoma"/>
                <w:sz w:val="18"/>
                <w:szCs w:val="18"/>
              </w:rPr>
            </w:pPr>
          </w:p>
          <w:p w14:paraId="6041CE8F" w14:textId="77777777" w:rsidR="00A7298C" w:rsidRPr="004B0E54" w:rsidRDefault="00A7298C" w:rsidP="00154BA9">
            <w:pPr>
              <w:rPr>
                <w:rFonts w:ascii="Tahoma" w:hAnsi="Tahoma" w:cs="Tahoma"/>
                <w:sz w:val="18"/>
                <w:szCs w:val="18"/>
              </w:rPr>
            </w:pPr>
            <w:r w:rsidRPr="004B0E54">
              <w:rPr>
                <w:rFonts w:ascii="Tahoma" w:hAnsi="Tahoma" w:cs="Tahoma"/>
                <w:sz w:val="18"/>
                <w:szCs w:val="18"/>
              </w:rPr>
              <w:t>Other investigator: Dr Neil Davies, School of Social and Community Medicine, University of Bristol, Neil.Davies@bristol.ac.uk</w:t>
            </w:r>
            <w:r w:rsidR="008A6CCD" w:rsidRPr="004B0E54">
              <w:rPr>
                <w:rFonts w:ascii="Tahoma" w:hAnsi="Tahoma" w:cs="Tahoma"/>
                <w:sz w:val="18"/>
                <w:szCs w:val="18"/>
              </w:rPr>
              <w:t xml:space="preserve"> </w:t>
            </w:r>
          </w:p>
          <w:p w14:paraId="579E40C7" w14:textId="77777777" w:rsidR="00A7298C" w:rsidRPr="004B0E54" w:rsidRDefault="00A7298C" w:rsidP="00154BA9">
            <w:pPr>
              <w:rPr>
                <w:rFonts w:ascii="Tahoma" w:hAnsi="Tahoma" w:cs="Tahoma"/>
                <w:b/>
                <w:sz w:val="18"/>
                <w:szCs w:val="18"/>
              </w:rPr>
            </w:pPr>
            <w:r w:rsidRPr="004B0E54">
              <w:rPr>
                <w:rFonts w:ascii="Tahoma" w:hAnsi="Tahoma" w:cs="Tahoma"/>
                <w:sz w:val="18"/>
                <w:szCs w:val="18"/>
              </w:rPr>
              <w:t>CV has been previously submitted to ISAC</w:t>
            </w:r>
            <w:r w:rsidRPr="004B0E54">
              <w:rPr>
                <w:rFonts w:ascii="Tahoma" w:hAnsi="Tahoma" w:cs="Tahoma"/>
                <w:sz w:val="18"/>
                <w:szCs w:val="18"/>
              </w:rPr>
              <w:tab/>
            </w:r>
            <w:r w:rsidRPr="004B0E54">
              <w:rPr>
                <w:rFonts w:ascii="Tahoma" w:hAnsi="Tahoma" w:cs="Tahoma"/>
                <w:sz w:val="18"/>
                <w:szCs w:val="18"/>
              </w:rPr>
              <w:tab/>
            </w:r>
            <w:r w:rsidRPr="004B0E54">
              <w:rPr>
                <w:rFonts w:ascii="Tahoma" w:hAnsi="Tahoma" w:cs="Tahoma"/>
                <w:sz w:val="18"/>
                <w:szCs w:val="18"/>
              </w:rPr>
              <w:tab/>
            </w:r>
            <w:r w:rsidR="006F2D01" w:rsidRPr="004B0E54">
              <w:rPr>
                <w:rFonts w:ascii="Tahoma" w:hAnsi="Tahoma" w:cs="Tahoma"/>
                <w:b/>
                <w:sz w:val="18"/>
                <w:szCs w:val="18"/>
              </w:rPr>
              <w:fldChar w:fldCharType="begin">
                <w:ffData>
                  <w:name w:val=""/>
                  <w:enabled/>
                  <w:calcOnExit w:val="0"/>
                  <w:checkBox>
                    <w:sizeAuto/>
                    <w:default w:val="0"/>
                  </w:checkBox>
                </w:ffData>
              </w:fldChar>
            </w:r>
            <w:r w:rsidR="001223AD" w:rsidRPr="004B0E5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4B0E54">
              <w:rPr>
                <w:rFonts w:ascii="Tahoma" w:hAnsi="Tahoma" w:cs="Tahoma"/>
                <w:b/>
                <w:sz w:val="18"/>
                <w:szCs w:val="18"/>
              </w:rPr>
              <w:fldChar w:fldCharType="end"/>
            </w:r>
            <w:r w:rsidRPr="004B0E54">
              <w:rPr>
                <w:rFonts w:ascii="Tahoma" w:hAnsi="Tahoma" w:cs="Tahoma"/>
                <w:b/>
                <w:sz w:val="18"/>
                <w:szCs w:val="18"/>
              </w:rPr>
              <w:t xml:space="preserve">  CV number:</w:t>
            </w:r>
            <w:r w:rsidRPr="004B0E54">
              <w:rPr>
                <w:rFonts w:ascii="Tahoma" w:hAnsi="Tahoma" w:cs="Tahoma"/>
                <w:sz w:val="18"/>
                <w:szCs w:val="18"/>
              </w:rPr>
              <w:tab/>
              <w:t xml:space="preserve"> </w:t>
            </w:r>
          </w:p>
          <w:p w14:paraId="6D2803A8" w14:textId="77777777" w:rsidR="00A7298C" w:rsidRPr="00665CF4" w:rsidRDefault="00A7298C" w:rsidP="00154BA9">
            <w:pPr>
              <w:rPr>
                <w:rFonts w:ascii="Tahoma" w:hAnsi="Tahoma" w:cs="Tahoma"/>
                <w:bCs/>
                <w:sz w:val="18"/>
                <w:szCs w:val="18"/>
              </w:rPr>
            </w:pPr>
            <w:r w:rsidRPr="004B0E54">
              <w:rPr>
                <w:rFonts w:ascii="Tahoma" w:hAnsi="Tahoma" w:cs="Tahoma"/>
                <w:bCs/>
                <w:sz w:val="18"/>
                <w:szCs w:val="18"/>
              </w:rPr>
              <w:t xml:space="preserve">A new CV is being submitted with this protocol            </w:t>
            </w:r>
            <w:r w:rsidRPr="004B0E54">
              <w:rPr>
                <w:rFonts w:ascii="Tahoma" w:hAnsi="Tahoma" w:cs="Tahoma"/>
                <w:bCs/>
                <w:sz w:val="18"/>
                <w:szCs w:val="18"/>
              </w:rPr>
              <w:tab/>
            </w:r>
            <w:r w:rsidR="006F2D01" w:rsidRPr="004B0E54">
              <w:rPr>
                <w:rFonts w:ascii="Tahoma" w:hAnsi="Tahoma" w:cs="Tahoma"/>
                <w:b/>
                <w:sz w:val="18"/>
                <w:szCs w:val="18"/>
              </w:rPr>
              <w:fldChar w:fldCharType="begin">
                <w:ffData>
                  <w:name w:val=""/>
                  <w:enabled/>
                  <w:calcOnExit w:val="0"/>
                  <w:checkBox>
                    <w:sizeAuto/>
                    <w:default w:val="1"/>
                  </w:checkBox>
                </w:ffData>
              </w:fldChar>
            </w:r>
            <w:r w:rsidR="001223AD" w:rsidRPr="004B0E5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4B0E54">
              <w:rPr>
                <w:rFonts w:ascii="Tahoma" w:hAnsi="Tahoma" w:cs="Tahoma"/>
                <w:b/>
                <w:sz w:val="18"/>
                <w:szCs w:val="18"/>
              </w:rPr>
              <w:fldChar w:fldCharType="end"/>
            </w:r>
            <w:r w:rsidRPr="00665CF4">
              <w:rPr>
                <w:rFonts w:ascii="Tahoma" w:hAnsi="Tahoma" w:cs="Tahoma"/>
                <w:bCs/>
                <w:sz w:val="18"/>
                <w:szCs w:val="18"/>
              </w:rPr>
              <w:t xml:space="preserve"> </w:t>
            </w:r>
          </w:p>
          <w:p w14:paraId="33213D6B" w14:textId="77777777" w:rsidR="00A7298C" w:rsidRPr="00665CF4" w:rsidRDefault="00A7298C" w:rsidP="00154BA9">
            <w:pPr>
              <w:rPr>
                <w:rFonts w:ascii="Tahoma" w:hAnsi="Tahoma" w:cs="Tahoma"/>
                <w:b/>
                <w:sz w:val="18"/>
                <w:szCs w:val="18"/>
              </w:rPr>
            </w:pPr>
            <w:r w:rsidRPr="00665CF4">
              <w:rPr>
                <w:rFonts w:ascii="Tahoma" w:hAnsi="Tahoma" w:cs="Tahoma"/>
                <w:bCs/>
                <w:sz w:val="18"/>
                <w:szCs w:val="18"/>
              </w:rPr>
              <w:t xml:space="preserve">An updated CV is being submitted with this protocol      </w:t>
            </w:r>
            <w:r w:rsidRPr="00665CF4">
              <w:rPr>
                <w:rFonts w:ascii="Tahoma" w:hAnsi="Tahoma" w:cs="Tahoma"/>
                <w:bCs/>
                <w:sz w:val="18"/>
                <w:szCs w:val="18"/>
              </w:rPr>
              <w:tab/>
            </w:r>
            <w:r w:rsidR="006F2D01" w:rsidRPr="00665CF4">
              <w:rPr>
                <w:rFonts w:ascii="Tahoma" w:hAnsi="Tahoma" w:cs="Tahoma"/>
                <w:b/>
                <w:sz w:val="18"/>
                <w:szCs w:val="18"/>
              </w:rPr>
              <w:fldChar w:fldCharType="begin">
                <w:ffData>
                  <w:name w:val="Check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p>
          <w:p w14:paraId="1D3DEF3D" w14:textId="77777777" w:rsidR="001138E6" w:rsidRDefault="001138E6" w:rsidP="00154BA9">
            <w:pPr>
              <w:rPr>
                <w:rFonts w:ascii="Tahoma" w:hAnsi="Tahoma" w:cs="Tahoma"/>
                <w:sz w:val="18"/>
                <w:szCs w:val="18"/>
              </w:rPr>
            </w:pPr>
          </w:p>
          <w:p w14:paraId="6C0FC7EE" w14:textId="77777777" w:rsidR="00A7298C" w:rsidRPr="004B0E54" w:rsidRDefault="00A7298C" w:rsidP="00154BA9">
            <w:pPr>
              <w:rPr>
                <w:rFonts w:ascii="Tahoma" w:hAnsi="Tahoma" w:cs="Tahoma"/>
                <w:sz w:val="18"/>
                <w:szCs w:val="18"/>
              </w:rPr>
            </w:pPr>
            <w:r w:rsidRPr="004B0E54">
              <w:rPr>
                <w:rFonts w:ascii="Tahoma" w:hAnsi="Tahoma" w:cs="Tahoma"/>
                <w:sz w:val="18"/>
                <w:szCs w:val="18"/>
              </w:rPr>
              <w:t xml:space="preserve">Other investigator: </w:t>
            </w:r>
            <w:r w:rsidR="0076226A">
              <w:rPr>
                <w:rFonts w:ascii="Tahoma" w:hAnsi="Tahoma" w:cs="Tahoma"/>
                <w:sz w:val="18"/>
                <w:szCs w:val="18"/>
              </w:rPr>
              <w:t>Venexia</w:t>
            </w:r>
            <w:r w:rsidRPr="004B0E54">
              <w:rPr>
                <w:rFonts w:ascii="Tahoma" w:hAnsi="Tahoma" w:cs="Tahoma"/>
                <w:sz w:val="18"/>
                <w:szCs w:val="18"/>
              </w:rPr>
              <w:t xml:space="preserve"> Walker</w:t>
            </w:r>
            <w:r w:rsidR="004B0E54">
              <w:rPr>
                <w:rFonts w:ascii="Tahoma" w:hAnsi="Tahoma" w:cs="Tahoma"/>
                <w:sz w:val="18"/>
                <w:szCs w:val="18"/>
              </w:rPr>
              <w:t>,</w:t>
            </w:r>
            <w:r w:rsidR="004B0E54" w:rsidRPr="004B0E54">
              <w:rPr>
                <w:rFonts w:ascii="Tahoma" w:hAnsi="Tahoma" w:cs="Tahoma"/>
                <w:sz w:val="18"/>
                <w:szCs w:val="18"/>
              </w:rPr>
              <w:t xml:space="preserve"> School of Social and Community Medicine, University of Bristol,</w:t>
            </w:r>
            <w:r w:rsidR="004B0E54">
              <w:rPr>
                <w:rFonts w:ascii="Tahoma" w:hAnsi="Tahoma" w:cs="Tahoma"/>
                <w:sz w:val="18"/>
                <w:szCs w:val="18"/>
              </w:rPr>
              <w:t xml:space="preserve"> Venexia.Walker@bristol.ac.uk</w:t>
            </w:r>
          </w:p>
          <w:p w14:paraId="3475EE52" w14:textId="77777777" w:rsidR="00A7298C" w:rsidRPr="004B0E54" w:rsidRDefault="00A7298C" w:rsidP="00154BA9">
            <w:pPr>
              <w:rPr>
                <w:rFonts w:ascii="Tahoma" w:hAnsi="Tahoma" w:cs="Tahoma"/>
                <w:b/>
                <w:sz w:val="18"/>
                <w:szCs w:val="18"/>
              </w:rPr>
            </w:pPr>
            <w:r w:rsidRPr="004B0E54">
              <w:rPr>
                <w:rFonts w:ascii="Tahoma" w:hAnsi="Tahoma" w:cs="Tahoma"/>
                <w:sz w:val="18"/>
                <w:szCs w:val="18"/>
              </w:rPr>
              <w:t>CV has been previously submitted to ISAC</w:t>
            </w:r>
            <w:r w:rsidRPr="004B0E54">
              <w:rPr>
                <w:rFonts w:ascii="Tahoma" w:hAnsi="Tahoma" w:cs="Tahoma"/>
                <w:sz w:val="18"/>
                <w:szCs w:val="18"/>
              </w:rPr>
              <w:tab/>
            </w:r>
            <w:r w:rsidRPr="004B0E54">
              <w:rPr>
                <w:rFonts w:ascii="Tahoma" w:hAnsi="Tahoma" w:cs="Tahoma"/>
                <w:sz w:val="18"/>
                <w:szCs w:val="18"/>
              </w:rPr>
              <w:tab/>
            </w:r>
            <w:r w:rsidRPr="004B0E54">
              <w:rPr>
                <w:rFonts w:ascii="Tahoma" w:hAnsi="Tahoma" w:cs="Tahoma"/>
                <w:sz w:val="18"/>
                <w:szCs w:val="18"/>
              </w:rPr>
              <w:tab/>
            </w:r>
            <w:r w:rsidR="004D7D97" w:rsidRPr="004B0E54">
              <w:rPr>
                <w:rFonts w:ascii="Tahoma" w:hAnsi="Tahoma" w:cs="Tahoma"/>
                <w:b/>
                <w:sz w:val="18"/>
                <w:szCs w:val="18"/>
              </w:rPr>
              <w:fldChar w:fldCharType="begin">
                <w:ffData>
                  <w:name w:val=""/>
                  <w:enabled/>
                  <w:calcOnExit w:val="0"/>
                  <w:checkBox>
                    <w:sizeAuto/>
                    <w:default w:val="1"/>
                  </w:checkBox>
                </w:ffData>
              </w:fldChar>
            </w:r>
            <w:r w:rsidR="004D7D97" w:rsidRPr="004B0E5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4D7D97" w:rsidRPr="004B0E54">
              <w:rPr>
                <w:rFonts w:ascii="Tahoma" w:hAnsi="Tahoma" w:cs="Tahoma"/>
                <w:b/>
                <w:sz w:val="18"/>
                <w:szCs w:val="18"/>
              </w:rPr>
              <w:fldChar w:fldCharType="end"/>
            </w:r>
            <w:r w:rsidR="004D7D97">
              <w:rPr>
                <w:rFonts w:ascii="Tahoma" w:hAnsi="Tahoma" w:cs="Tahoma"/>
                <w:b/>
                <w:sz w:val="18"/>
                <w:szCs w:val="18"/>
              </w:rPr>
              <w:t xml:space="preserve">  </w:t>
            </w:r>
            <w:r w:rsidRPr="004B0E54">
              <w:rPr>
                <w:rFonts w:ascii="Tahoma" w:hAnsi="Tahoma" w:cs="Tahoma"/>
                <w:b/>
                <w:sz w:val="18"/>
                <w:szCs w:val="18"/>
              </w:rPr>
              <w:t>CV number:</w:t>
            </w:r>
            <w:r w:rsidRPr="004B0E54">
              <w:rPr>
                <w:rFonts w:ascii="Tahoma" w:hAnsi="Tahoma" w:cs="Tahoma"/>
                <w:sz w:val="18"/>
                <w:szCs w:val="18"/>
              </w:rPr>
              <w:tab/>
              <w:t xml:space="preserve"> </w:t>
            </w:r>
            <w:r w:rsidR="004D7D97">
              <w:rPr>
                <w:rFonts w:ascii="Tahoma" w:hAnsi="Tahoma" w:cs="Tahoma"/>
                <w:sz w:val="18"/>
                <w:szCs w:val="18"/>
              </w:rPr>
              <w:t>389_15</w:t>
            </w:r>
          </w:p>
          <w:p w14:paraId="2B44992E" w14:textId="77777777" w:rsidR="00A7298C" w:rsidRPr="004B0E54" w:rsidRDefault="00A7298C" w:rsidP="00154BA9">
            <w:pPr>
              <w:rPr>
                <w:rFonts w:ascii="Tahoma" w:hAnsi="Tahoma" w:cs="Tahoma"/>
                <w:bCs/>
                <w:sz w:val="18"/>
                <w:szCs w:val="18"/>
              </w:rPr>
            </w:pPr>
            <w:r w:rsidRPr="004B0E54">
              <w:rPr>
                <w:rFonts w:ascii="Tahoma" w:hAnsi="Tahoma" w:cs="Tahoma"/>
                <w:bCs/>
                <w:sz w:val="18"/>
                <w:szCs w:val="18"/>
              </w:rPr>
              <w:t xml:space="preserve">A new CV is being submitted with this protocol            </w:t>
            </w:r>
            <w:r w:rsidRPr="004B0E54">
              <w:rPr>
                <w:rFonts w:ascii="Tahoma" w:hAnsi="Tahoma" w:cs="Tahoma"/>
                <w:bCs/>
                <w:sz w:val="18"/>
                <w:szCs w:val="18"/>
              </w:rPr>
              <w:tab/>
            </w:r>
            <w:r w:rsidR="004D7D97" w:rsidRPr="004B0E54">
              <w:rPr>
                <w:rFonts w:ascii="Tahoma" w:hAnsi="Tahoma" w:cs="Tahoma"/>
                <w:b/>
                <w:sz w:val="18"/>
                <w:szCs w:val="18"/>
              </w:rPr>
              <w:fldChar w:fldCharType="begin">
                <w:ffData>
                  <w:name w:val="Check1"/>
                  <w:enabled/>
                  <w:calcOnExit w:val="0"/>
                  <w:checkBox>
                    <w:sizeAuto/>
                    <w:default w:val="0"/>
                  </w:checkBox>
                </w:ffData>
              </w:fldChar>
            </w:r>
            <w:r w:rsidR="004D7D97" w:rsidRPr="004B0E5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4D7D97" w:rsidRPr="004B0E54">
              <w:rPr>
                <w:rFonts w:ascii="Tahoma" w:hAnsi="Tahoma" w:cs="Tahoma"/>
                <w:b/>
                <w:sz w:val="18"/>
                <w:szCs w:val="18"/>
              </w:rPr>
              <w:fldChar w:fldCharType="end"/>
            </w:r>
            <w:r w:rsidR="004D7D97" w:rsidRPr="004B0E54">
              <w:rPr>
                <w:rFonts w:ascii="Tahoma" w:hAnsi="Tahoma" w:cs="Tahoma"/>
                <w:b/>
                <w:sz w:val="18"/>
                <w:szCs w:val="18"/>
              </w:rPr>
              <w:t xml:space="preserve">  </w:t>
            </w:r>
            <w:r w:rsidRPr="004B0E54">
              <w:rPr>
                <w:rFonts w:ascii="Tahoma" w:hAnsi="Tahoma" w:cs="Tahoma"/>
                <w:bCs/>
                <w:sz w:val="18"/>
                <w:szCs w:val="18"/>
              </w:rPr>
              <w:t xml:space="preserve"> </w:t>
            </w:r>
          </w:p>
          <w:p w14:paraId="01B547F1" w14:textId="77777777" w:rsidR="00A7298C" w:rsidRPr="004B0E54" w:rsidRDefault="00A7298C" w:rsidP="00154BA9">
            <w:pPr>
              <w:rPr>
                <w:rFonts w:ascii="Tahoma" w:hAnsi="Tahoma" w:cs="Tahoma"/>
                <w:b/>
                <w:sz w:val="18"/>
                <w:szCs w:val="18"/>
              </w:rPr>
            </w:pPr>
            <w:r w:rsidRPr="004B0E54">
              <w:rPr>
                <w:rFonts w:ascii="Tahoma" w:hAnsi="Tahoma" w:cs="Tahoma"/>
                <w:bCs/>
                <w:sz w:val="18"/>
                <w:szCs w:val="18"/>
              </w:rPr>
              <w:t xml:space="preserve">An updated CV is being submitted with this protocol      </w:t>
            </w:r>
            <w:r w:rsidRPr="004B0E54">
              <w:rPr>
                <w:rFonts w:ascii="Tahoma" w:hAnsi="Tahoma" w:cs="Tahoma"/>
                <w:bCs/>
                <w:sz w:val="18"/>
                <w:szCs w:val="18"/>
              </w:rPr>
              <w:tab/>
            </w:r>
            <w:r w:rsidR="006F2D01" w:rsidRPr="004B0E54">
              <w:rPr>
                <w:rFonts w:ascii="Tahoma" w:hAnsi="Tahoma" w:cs="Tahoma"/>
                <w:b/>
                <w:sz w:val="18"/>
                <w:szCs w:val="18"/>
              </w:rPr>
              <w:fldChar w:fldCharType="begin">
                <w:ffData>
                  <w:name w:val="Check1"/>
                  <w:enabled/>
                  <w:calcOnExit w:val="0"/>
                  <w:checkBox>
                    <w:sizeAuto/>
                    <w:default w:val="0"/>
                  </w:checkBox>
                </w:ffData>
              </w:fldChar>
            </w:r>
            <w:r w:rsidRPr="004B0E5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4B0E54">
              <w:rPr>
                <w:rFonts w:ascii="Tahoma" w:hAnsi="Tahoma" w:cs="Tahoma"/>
                <w:b/>
                <w:sz w:val="18"/>
                <w:szCs w:val="18"/>
              </w:rPr>
              <w:fldChar w:fldCharType="end"/>
            </w:r>
          </w:p>
          <w:p w14:paraId="22958DF1" w14:textId="77777777" w:rsidR="00A7298C" w:rsidRPr="004B0E54" w:rsidRDefault="00A7298C" w:rsidP="00154BA9">
            <w:pPr>
              <w:rPr>
                <w:rFonts w:ascii="Tahoma" w:hAnsi="Tahoma" w:cs="Tahoma"/>
                <w:sz w:val="18"/>
                <w:szCs w:val="18"/>
              </w:rPr>
            </w:pPr>
          </w:p>
          <w:p w14:paraId="5E732287" w14:textId="77777777" w:rsidR="00A7298C" w:rsidRPr="00665CF4" w:rsidRDefault="00A7298C" w:rsidP="00154BA9">
            <w:pPr>
              <w:rPr>
                <w:rFonts w:ascii="Tahoma" w:hAnsi="Tahoma" w:cs="Tahoma"/>
                <w:i/>
                <w:sz w:val="16"/>
                <w:szCs w:val="16"/>
              </w:rPr>
            </w:pPr>
            <w:r w:rsidRPr="004B0E54">
              <w:rPr>
                <w:rFonts w:ascii="Tahoma" w:hAnsi="Tahoma" w:cs="Tahoma"/>
                <w:sz w:val="18"/>
                <w:szCs w:val="18"/>
              </w:rPr>
              <w:t>[Please add more investigators as necessary]</w:t>
            </w:r>
            <w:r w:rsidRPr="004B0E54">
              <w:rPr>
                <w:rFonts w:ascii="Tahoma" w:hAnsi="Tahoma" w:cs="Tahoma"/>
                <w:i/>
                <w:sz w:val="16"/>
                <w:szCs w:val="16"/>
              </w:rPr>
              <w:t>*Please note that your ISAC application fo</w:t>
            </w:r>
            <w:r w:rsidRPr="00665CF4">
              <w:rPr>
                <w:rFonts w:ascii="Tahoma" w:hAnsi="Tahoma" w:cs="Tahoma"/>
                <w:i/>
                <w:sz w:val="16"/>
                <w:szCs w:val="16"/>
              </w:rPr>
              <w:t>rm and protocol</w:t>
            </w:r>
            <w:r w:rsidRPr="00665CF4">
              <w:rPr>
                <w:rFonts w:ascii="Tahoma" w:hAnsi="Tahoma" w:cs="Tahoma"/>
                <w:b/>
                <w:i/>
                <w:sz w:val="16"/>
                <w:szCs w:val="16"/>
                <w:u w:val="single"/>
              </w:rPr>
              <w:t xml:space="preserve"> must</w:t>
            </w:r>
            <w:r w:rsidRPr="00665CF4">
              <w:rPr>
                <w:rFonts w:ascii="Tahoma" w:hAnsi="Tahoma" w:cs="Tahoma"/>
                <w:i/>
                <w:sz w:val="16"/>
                <w:szCs w:val="16"/>
              </w:rPr>
              <w:t xml:space="preserve"> be copied to all e-mail addresses listed above at the time of submission of your application to the ISAC mailbox. Failure to do so will result in delays in the processing of your application.</w:t>
            </w:r>
          </w:p>
          <w:p w14:paraId="02008CEF" w14:textId="77777777" w:rsidR="00A7298C" w:rsidRPr="00665CF4" w:rsidRDefault="00A7298C" w:rsidP="00154BA9">
            <w:pPr>
              <w:rPr>
                <w:rFonts w:ascii="Tahoma" w:hAnsi="Tahoma" w:cs="Tahoma"/>
                <w:sz w:val="16"/>
                <w:szCs w:val="16"/>
              </w:rPr>
            </w:pPr>
          </w:p>
        </w:tc>
      </w:tr>
      <w:tr w:rsidR="00A7298C" w:rsidRPr="00665CF4" w14:paraId="2B64A881" w14:textId="77777777" w:rsidTr="00154BA9">
        <w:trPr>
          <w:trHeight w:val="567"/>
        </w:trPr>
        <w:tc>
          <w:tcPr>
            <w:tcW w:w="9747" w:type="dxa"/>
            <w:gridSpan w:val="3"/>
            <w:vAlign w:val="center"/>
          </w:tcPr>
          <w:p w14:paraId="1AF2547B" w14:textId="77777777" w:rsidR="00A7298C" w:rsidRPr="00665CF4" w:rsidRDefault="00A7298C" w:rsidP="00154BA9">
            <w:pPr>
              <w:numPr>
                <w:ilvl w:val="0"/>
                <w:numId w:val="1"/>
              </w:numPr>
              <w:rPr>
                <w:rFonts w:ascii="Tahoma" w:hAnsi="Tahoma" w:cs="Tahoma"/>
                <w:sz w:val="18"/>
                <w:szCs w:val="18"/>
              </w:rPr>
            </w:pPr>
            <w:r w:rsidRPr="00665CF4">
              <w:rPr>
                <w:rFonts w:ascii="Tahoma" w:hAnsi="Tahoma" w:cs="Tahoma"/>
                <w:b/>
                <w:sz w:val="18"/>
                <w:szCs w:val="18"/>
              </w:rPr>
              <w:t>Conflict of interest statement</w:t>
            </w:r>
            <w:r w:rsidRPr="00665CF4">
              <w:rPr>
                <w:rFonts w:ascii="Tahoma" w:hAnsi="Tahoma" w:cs="Tahoma"/>
                <w:sz w:val="18"/>
                <w:szCs w:val="18"/>
              </w:rPr>
              <w:t>* (please provide a draft of the conflict (or competing) of interest (COI) statement that you intend to include in any publication which might result from this work)</w:t>
            </w:r>
          </w:p>
          <w:p w14:paraId="5D9FAE53" w14:textId="77777777" w:rsidR="00A7298C" w:rsidRPr="00665CF4" w:rsidRDefault="00A7298C" w:rsidP="00154BA9">
            <w:pPr>
              <w:rPr>
                <w:rFonts w:ascii="Tahoma" w:hAnsi="Tahoma" w:cs="Tahoma"/>
                <w:sz w:val="18"/>
                <w:szCs w:val="18"/>
              </w:rPr>
            </w:pPr>
            <w:r>
              <w:rPr>
                <w:rFonts w:ascii="Tahoma" w:hAnsi="Tahoma" w:cs="Tahoma"/>
                <w:sz w:val="18"/>
                <w:szCs w:val="18"/>
              </w:rPr>
              <w:t>All of the authors confirm they have no interests, commercial or otherwise, that would conflict with the motivations or data generated for this study.</w:t>
            </w:r>
          </w:p>
          <w:p w14:paraId="51EF9678" w14:textId="77777777" w:rsidR="00A7298C" w:rsidRPr="00665CF4" w:rsidRDefault="00A7298C" w:rsidP="00154BA9">
            <w:pPr>
              <w:rPr>
                <w:rFonts w:ascii="Tahoma" w:hAnsi="Tahoma" w:cs="Tahoma"/>
                <w:i/>
                <w:sz w:val="16"/>
                <w:szCs w:val="16"/>
              </w:rPr>
            </w:pPr>
            <w:r w:rsidRPr="00665CF4">
              <w:rPr>
                <w:rFonts w:ascii="Tahoma" w:hAnsi="Tahoma" w:cs="Tahoma"/>
                <w:i/>
                <w:sz w:val="16"/>
                <w:szCs w:val="16"/>
              </w:rPr>
              <w:t xml:space="preserve">*Please refer to the International Committee of Medical Journal Editors (ICMJE) for guidance on what constitutes a COI </w:t>
            </w:r>
          </w:p>
          <w:p w14:paraId="6F6C5E25" w14:textId="77777777" w:rsidR="00A7298C" w:rsidRPr="00665CF4" w:rsidRDefault="00A7298C" w:rsidP="00154BA9">
            <w:pPr>
              <w:rPr>
                <w:rFonts w:ascii="Tahoma" w:hAnsi="Tahoma" w:cs="Tahoma"/>
                <w:sz w:val="18"/>
                <w:szCs w:val="18"/>
              </w:rPr>
            </w:pPr>
          </w:p>
        </w:tc>
      </w:tr>
      <w:tr w:rsidR="00A7298C" w:rsidRPr="00665CF4" w14:paraId="7473126B" w14:textId="77777777" w:rsidTr="00154BA9">
        <w:trPr>
          <w:trHeight w:val="1785"/>
        </w:trPr>
        <w:tc>
          <w:tcPr>
            <w:tcW w:w="9747" w:type="dxa"/>
            <w:gridSpan w:val="3"/>
            <w:tcBorders>
              <w:bottom w:val="nil"/>
            </w:tcBorders>
            <w:vAlign w:val="center"/>
          </w:tcPr>
          <w:p w14:paraId="4FA12877" w14:textId="77777777" w:rsidR="00A7298C" w:rsidRPr="00665CF4" w:rsidRDefault="00A7298C" w:rsidP="00154BA9">
            <w:pPr>
              <w:numPr>
                <w:ilvl w:val="0"/>
                <w:numId w:val="1"/>
              </w:numPr>
              <w:rPr>
                <w:rFonts w:ascii="Tahoma" w:hAnsi="Tahoma" w:cs="Tahoma"/>
                <w:sz w:val="18"/>
                <w:szCs w:val="18"/>
              </w:rPr>
            </w:pPr>
            <w:r w:rsidRPr="00665CF4">
              <w:rPr>
                <w:rFonts w:ascii="Tahoma" w:hAnsi="Tahoma" w:cs="Tahoma"/>
                <w:b/>
                <w:sz w:val="18"/>
                <w:szCs w:val="18"/>
              </w:rPr>
              <w:t>Experience/expertise available</w:t>
            </w:r>
            <w:r w:rsidRPr="00665CF4">
              <w:rPr>
                <w:rFonts w:ascii="Tahoma" w:hAnsi="Tahoma" w:cs="Tahoma"/>
                <w:sz w:val="18"/>
                <w:szCs w:val="18"/>
              </w:rPr>
              <w:t xml:space="preserve"> (please complete the following questions to indicate the experience/expertise available within the team of investigators/collaborators actively involved in the proposed research, including the analysis of data and interpretation of results</w:t>
            </w:r>
          </w:p>
          <w:p w14:paraId="749A41A2" w14:textId="77777777" w:rsidR="00A7298C" w:rsidRPr="00665CF4" w:rsidRDefault="00A7298C" w:rsidP="00154BA9">
            <w:pPr>
              <w:ind w:left="360"/>
              <w:rPr>
                <w:rFonts w:ascii="Tahoma" w:hAnsi="Tahoma" w:cs="Tahoma"/>
                <w:sz w:val="18"/>
                <w:szCs w:val="18"/>
              </w:rPr>
            </w:pPr>
            <w:r w:rsidRPr="00665CF4">
              <w:rPr>
                <w:rFonts w:ascii="Tahoma" w:hAnsi="Tahoma" w:cs="Tahoma"/>
                <w:sz w:val="18"/>
                <w:szCs w:val="18"/>
              </w:rPr>
              <w:tab/>
            </w:r>
            <w:r w:rsidRPr="000B6D48">
              <w:rPr>
                <w:rFonts w:ascii="Tahoma" w:hAnsi="Tahoma" w:cs="Tahoma"/>
                <w:b/>
                <w:sz w:val="18"/>
                <w:szCs w:val="18"/>
              </w:rPr>
              <w:t>Previous GPRD/CPRD Studies</w:t>
            </w:r>
            <w:r w:rsidRPr="000B6D48">
              <w:rPr>
                <w:rFonts w:ascii="Tahoma" w:hAnsi="Tahoma" w:cs="Tahoma"/>
                <w:sz w:val="18"/>
                <w:szCs w:val="18"/>
              </w:rPr>
              <w:tab/>
            </w:r>
            <w:r w:rsidRPr="000B6D48">
              <w:rPr>
                <w:rFonts w:ascii="Tahoma" w:hAnsi="Tahoma" w:cs="Tahoma"/>
                <w:sz w:val="18"/>
                <w:szCs w:val="18"/>
              </w:rPr>
              <w:tab/>
            </w:r>
            <w:r w:rsidRPr="000B6D48">
              <w:rPr>
                <w:rFonts w:ascii="Tahoma" w:hAnsi="Tahoma" w:cs="Tahoma"/>
                <w:b/>
                <w:sz w:val="18"/>
                <w:szCs w:val="18"/>
              </w:rPr>
              <w:t>Publications using GPRD/CPRD data</w:t>
            </w:r>
          </w:p>
          <w:p w14:paraId="5CD4CCF9" w14:textId="77777777" w:rsidR="00A7298C" w:rsidRPr="00665CF4" w:rsidRDefault="00A7298C" w:rsidP="00154BA9">
            <w:pPr>
              <w:ind w:left="360"/>
              <w:rPr>
                <w:rFonts w:ascii="Tahoma" w:hAnsi="Tahoma" w:cs="Tahoma"/>
                <w:sz w:val="18"/>
                <w:szCs w:val="18"/>
              </w:rPr>
            </w:pPr>
          </w:p>
          <w:p w14:paraId="6AC866AA" w14:textId="77777777" w:rsidR="00A7298C" w:rsidRPr="00665CF4" w:rsidRDefault="00A7298C" w:rsidP="00154BA9">
            <w:pPr>
              <w:ind w:left="360"/>
              <w:rPr>
                <w:rFonts w:ascii="Tahoma" w:hAnsi="Tahoma" w:cs="Tahoma"/>
                <w:sz w:val="18"/>
                <w:szCs w:val="18"/>
              </w:rPr>
            </w:pPr>
            <w:r w:rsidRPr="00665CF4">
              <w:rPr>
                <w:rFonts w:ascii="Tahoma" w:hAnsi="Tahoma" w:cs="Tahoma"/>
                <w:sz w:val="18"/>
                <w:szCs w:val="18"/>
              </w:rPr>
              <w:t>None</w:t>
            </w:r>
            <w:r w:rsidRPr="00665CF4">
              <w:rPr>
                <w:rFonts w:ascii="Tahoma" w:hAnsi="Tahoma" w:cs="Tahoma"/>
                <w:sz w:val="18"/>
                <w:szCs w:val="18"/>
              </w:rPr>
              <w:tab/>
            </w:r>
            <w:r w:rsidR="006F2D01" w:rsidRPr="00665CF4">
              <w:rPr>
                <w:rFonts w:ascii="Tahoma" w:hAnsi="Tahoma" w:cs="Tahoma"/>
                <w:b/>
                <w:sz w:val="18"/>
                <w:szCs w:val="18"/>
              </w:rPr>
              <w:fldChar w:fldCharType="begin">
                <w:ffData>
                  <w:name w:val="Check16"/>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4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p>
          <w:p w14:paraId="25176B6A" w14:textId="77777777" w:rsidR="00A7298C" w:rsidRPr="00665CF4" w:rsidRDefault="00A7298C" w:rsidP="00154BA9">
            <w:pPr>
              <w:ind w:left="360"/>
              <w:rPr>
                <w:rFonts w:ascii="Tahoma" w:hAnsi="Tahoma" w:cs="Tahoma"/>
                <w:sz w:val="18"/>
                <w:szCs w:val="18"/>
              </w:rPr>
            </w:pPr>
            <w:r w:rsidRPr="00665CF4">
              <w:rPr>
                <w:rFonts w:ascii="Tahoma" w:hAnsi="Tahoma" w:cs="Tahoma"/>
                <w:sz w:val="18"/>
                <w:szCs w:val="18"/>
              </w:rPr>
              <w:t>1-3</w:t>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17"/>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42"/>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p>
          <w:p w14:paraId="0E808B77" w14:textId="77777777" w:rsidR="00A7298C" w:rsidRPr="00665CF4" w:rsidRDefault="00A7298C" w:rsidP="00154BA9">
            <w:pPr>
              <w:ind w:left="360"/>
              <w:rPr>
                <w:rFonts w:ascii="Tahoma" w:hAnsi="Tahoma" w:cs="Tahoma"/>
                <w:sz w:val="18"/>
                <w:szCs w:val="18"/>
              </w:rPr>
            </w:pPr>
            <w:r w:rsidRPr="00665CF4">
              <w:rPr>
                <w:rFonts w:ascii="Tahoma" w:hAnsi="Tahoma" w:cs="Tahoma"/>
                <w:sz w:val="18"/>
                <w:szCs w:val="18"/>
              </w:rPr>
              <w:t>&gt; 3</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b/>
                <w:sz w:val="18"/>
                <w:szCs w:val="18"/>
              </w:rPr>
              <w:fldChar w:fldCharType="begin">
                <w:ffData>
                  <w:name w:val="Check18"/>
                  <w:enabled/>
                  <w:calcOnExit w:val="0"/>
                  <w:checkBox>
                    <w:sizeAuto/>
                    <w:default w:val="1"/>
                  </w:checkBox>
                </w:ffData>
              </w:fldChar>
            </w:r>
            <w:bookmarkStart w:id="6" w:name="Check18"/>
            <w:r w:rsidR="000B6D48">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bookmarkEnd w:id="6"/>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b/>
                <w:sz w:val="18"/>
                <w:szCs w:val="18"/>
              </w:rPr>
              <w:fldChar w:fldCharType="begin">
                <w:ffData>
                  <w:name w:val="Check43"/>
                  <w:enabled/>
                  <w:calcOnExit w:val="0"/>
                  <w:checkBox>
                    <w:sizeAuto/>
                    <w:default w:val="1"/>
                  </w:checkBox>
                </w:ffData>
              </w:fldChar>
            </w:r>
            <w:bookmarkStart w:id="7" w:name="Check43"/>
            <w:r w:rsidR="000B6D48">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bookmarkEnd w:id="7"/>
          </w:p>
        </w:tc>
      </w:tr>
      <w:tr w:rsidR="00A7298C" w:rsidRPr="00665CF4" w14:paraId="659903FE" w14:textId="77777777" w:rsidTr="00154BA9">
        <w:trPr>
          <w:trHeight w:val="150"/>
        </w:trPr>
        <w:tc>
          <w:tcPr>
            <w:tcW w:w="7338" w:type="dxa"/>
            <w:tcBorders>
              <w:top w:val="nil"/>
            </w:tcBorders>
            <w:vAlign w:val="center"/>
          </w:tcPr>
          <w:p w14:paraId="7D9689EE" w14:textId="77777777" w:rsidR="00A7298C" w:rsidRPr="00665CF4" w:rsidRDefault="00A7298C" w:rsidP="00154BA9">
            <w:pPr>
              <w:rPr>
                <w:rFonts w:ascii="Tahoma" w:hAnsi="Tahoma" w:cs="Tahoma"/>
                <w:b/>
                <w:sz w:val="18"/>
                <w:szCs w:val="18"/>
              </w:rPr>
            </w:pP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p>
        </w:tc>
        <w:tc>
          <w:tcPr>
            <w:tcW w:w="1259" w:type="dxa"/>
            <w:vAlign w:val="center"/>
          </w:tcPr>
          <w:p w14:paraId="1336616E" w14:textId="77777777" w:rsidR="00A7298C" w:rsidRPr="00665CF4" w:rsidRDefault="00A7298C" w:rsidP="00154BA9">
            <w:pPr>
              <w:rPr>
                <w:rFonts w:ascii="Tahoma" w:hAnsi="Tahoma" w:cs="Tahoma"/>
                <w:b/>
                <w:sz w:val="18"/>
                <w:szCs w:val="18"/>
              </w:rPr>
            </w:pPr>
            <w:r w:rsidRPr="00665CF4">
              <w:rPr>
                <w:rFonts w:ascii="Tahoma" w:hAnsi="Tahoma" w:cs="Tahoma"/>
                <w:b/>
                <w:sz w:val="18"/>
                <w:szCs w:val="18"/>
              </w:rPr>
              <w:t>Yes</w:t>
            </w:r>
          </w:p>
        </w:tc>
        <w:tc>
          <w:tcPr>
            <w:tcW w:w="1150" w:type="dxa"/>
            <w:vAlign w:val="center"/>
          </w:tcPr>
          <w:p w14:paraId="28447714" w14:textId="77777777" w:rsidR="00A7298C" w:rsidRPr="00665CF4" w:rsidRDefault="00A7298C" w:rsidP="00154BA9">
            <w:pPr>
              <w:rPr>
                <w:rFonts w:ascii="Tahoma" w:hAnsi="Tahoma" w:cs="Tahoma"/>
                <w:b/>
                <w:sz w:val="18"/>
                <w:szCs w:val="18"/>
              </w:rPr>
            </w:pPr>
            <w:r w:rsidRPr="00665CF4">
              <w:rPr>
                <w:rFonts w:ascii="Tahoma" w:hAnsi="Tahoma" w:cs="Tahoma"/>
                <w:b/>
                <w:sz w:val="18"/>
                <w:szCs w:val="18"/>
              </w:rPr>
              <w:t>No</w:t>
            </w:r>
          </w:p>
        </w:tc>
      </w:tr>
      <w:tr w:rsidR="00A7298C" w:rsidRPr="00665CF4" w14:paraId="4308EE27" w14:textId="77777777" w:rsidTr="00154BA9">
        <w:trPr>
          <w:trHeight w:val="709"/>
        </w:trPr>
        <w:tc>
          <w:tcPr>
            <w:tcW w:w="7338" w:type="dxa"/>
            <w:vAlign w:val="center"/>
          </w:tcPr>
          <w:p w14:paraId="3A3B1D49" w14:textId="77777777" w:rsidR="00A7298C" w:rsidRPr="00665CF4" w:rsidRDefault="00A7298C" w:rsidP="00154BA9">
            <w:pPr>
              <w:rPr>
                <w:rFonts w:ascii="Tahoma" w:hAnsi="Tahoma" w:cs="Tahoma"/>
                <w:b/>
                <w:sz w:val="18"/>
                <w:szCs w:val="18"/>
              </w:rPr>
            </w:pPr>
            <w:r w:rsidRPr="00665CF4">
              <w:rPr>
                <w:rFonts w:ascii="Tahoma" w:hAnsi="Tahoma" w:cs="Tahoma"/>
                <w:sz w:val="18"/>
                <w:szCs w:val="18"/>
              </w:rPr>
              <w:tab/>
            </w:r>
            <w:r w:rsidRPr="00665CF4">
              <w:rPr>
                <w:rFonts w:ascii="Tahoma" w:hAnsi="Tahoma" w:cs="Tahoma"/>
                <w:b/>
                <w:sz w:val="18"/>
                <w:szCs w:val="18"/>
              </w:rPr>
              <w:t xml:space="preserve">                            </w:t>
            </w:r>
            <w:r w:rsidRPr="00665CF4">
              <w:rPr>
                <w:rFonts w:ascii="Tahoma" w:hAnsi="Tahoma" w:cs="Tahoma"/>
                <w:b/>
                <w:sz w:val="18"/>
                <w:szCs w:val="18"/>
              </w:rPr>
              <w:tab/>
            </w:r>
          </w:p>
          <w:p w14:paraId="08DF5696" w14:textId="77777777" w:rsidR="00A7298C" w:rsidRPr="0036323D" w:rsidRDefault="00A7298C" w:rsidP="00154BA9">
            <w:pPr>
              <w:rPr>
                <w:rFonts w:ascii="Tahoma" w:hAnsi="Tahoma" w:cs="Tahoma"/>
                <w:b/>
                <w:sz w:val="18"/>
                <w:szCs w:val="18"/>
              </w:rPr>
            </w:pPr>
            <w:r w:rsidRPr="0036323D">
              <w:rPr>
                <w:rFonts w:ascii="Tahoma" w:hAnsi="Tahoma" w:cs="Tahoma"/>
                <w:b/>
                <w:sz w:val="18"/>
                <w:szCs w:val="18"/>
              </w:rPr>
              <w:t>Is statistical expertise available within the research team?</w:t>
            </w:r>
          </w:p>
          <w:p w14:paraId="7B095C88" w14:textId="77777777" w:rsidR="00A7298C" w:rsidRDefault="00A7298C" w:rsidP="00154BA9">
            <w:pPr>
              <w:rPr>
                <w:rFonts w:ascii="Tahoma" w:hAnsi="Tahoma" w:cs="Tahoma"/>
                <w:sz w:val="18"/>
                <w:szCs w:val="18"/>
              </w:rPr>
            </w:pPr>
            <w:r w:rsidRPr="00665CF4">
              <w:rPr>
                <w:rFonts w:ascii="Tahoma" w:hAnsi="Tahoma" w:cs="Tahoma"/>
                <w:i/>
                <w:sz w:val="18"/>
                <w:szCs w:val="18"/>
              </w:rPr>
              <w:t xml:space="preserve">If yes, please indicate the name(s) of the relevant investigator(s) </w:t>
            </w:r>
            <w:r w:rsidRPr="00665CF4">
              <w:rPr>
                <w:rFonts w:ascii="Tahoma" w:hAnsi="Tahoma" w:cs="Tahoma"/>
                <w:sz w:val="18"/>
                <w:szCs w:val="18"/>
              </w:rPr>
              <w:tab/>
            </w:r>
          </w:p>
          <w:p w14:paraId="312FB568" w14:textId="77777777" w:rsidR="00A7298C" w:rsidRPr="00665CF4" w:rsidRDefault="001138E6" w:rsidP="001138E6">
            <w:pPr>
              <w:rPr>
                <w:rFonts w:ascii="Tahoma" w:hAnsi="Tahoma" w:cs="Tahoma"/>
                <w:sz w:val="18"/>
                <w:szCs w:val="18"/>
              </w:rPr>
            </w:pPr>
            <w:r>
              <w:rPr>
                <w:rFonts w:ascii="Tahoma" w:hAnsi="Tahoma" w:cs="Tahoma"/>
                <w:sz w:val="18"/>
                <w:szCs w:val="18"/>
              </w:rPr>
              <w:t xml:space="preserve"> Professor</w:t>
            </w:r>
            <w:r w:rsidR="00A7298C">
              <w:rPr>
                <w:rFonts w:ascii="Tahoma" w:hAnsi="Tahoma" w:cs="Tahoma"/>
                <w:sz w:val="18"/>
                <w:szCs w:val="18"/>
              </w:rPr>
              <w:t xml:space="preserve"> Richard Martin and Dr Neil Davies</w:t>
            </w:r>
            <w:r w:rsidR="000B6D48">
              <w:rPr>
                <w:rFonts w:ascii="Tahoma" w:hAnsi="Tahoma" w:cs="Tahoma"/>
                <w:sz w:val="18"/>
                <w:szCs w:val="18"/>
              </w:rPr>
              <w:t>.</w:t>
            </w:r>
            <w:r w:rsidR="00A7298C" w:rsidRPr="00665CF4">
              <w:rPr>
                <w:rFonts w:ascii="Tahoma" w:hAnsi="Tahoma" w:cs="Tahoma"/>
                <w:sz w:val="18"/>
                <w:szCs w:val="18"/>
              </w:rPr>
              <w:tab/>
            </w:r>
            <w:r w:rsidR="00A7298C" w:rsidRPr="00665CF4">
              <w:rPr>
                <w:rFonts w:ascii="Tahoma" w:hAnsi="Tahoma" w:cs="Tahoma"/>
                <w:sz w:val="18"/>
                <w:szCs w:val="18"/>
              </w:rPr>
              <w:tab/>
            </w:r>
            <w:r w:rsidR="00A7298C" w:rsidRPr="00665CF4">
              <w:rPr>
                <w:rFonts w:ascii="Tahoma" w:hAnsi="Tahoma" w:cs="Tahoma"/>
                <w:sz w:val="18"/>
                <w:szCs w:val="18"/>
              </w:rPr>
              <w:tab/>
            </w:r>
          </w:p>
        </w:tc>
        <w:tc>
          <w:tcPr>
            <w:tcW w:w="1259" w:type="dxa"/>
            <w:vAlign w:val="center"/>
          </w:tcPr>
          <w:p w14:paraId="0E4F351F" w14:textId="77777777" w:rsidR="00A7298C" w:rsidRPr="00665CF4" w:rsidRDefault="006F2D01" w:rsidP="00154BA9">
            <w:pPr>
              <w:rPr>
                <w:rFonts w:ascii="Tahoma" w:hAnsi="Tahoma" w:cs="Tahoma"/>
                <w:b/>
                <w:sz w:val="18"/>
                <w:szCs w:val="18"/>
              </w:rPr>
            </w:pPr>
            <w:r>
              <w:rPr>
                <w:rFonts w:ascii="Tahoma" w:hAnsi="Tahoma" w:cs="Tahoma"/>
                <w:sz w:val="18"/>
                <w:szCs w:val="18"/>
              </w:rPr>
              <w:fldChar w:fldCharType="begin">
                <w:ffData>
                  <w:name w:val="Check44"/>
                  <w:enabled/>
                  <w:calcOnExit w:val="0"/>
                  <w:checkBox>
                    <w:sizeAuto/>
                    <w:default w:val="1"/>
                  </w:checkBox>
                </w:ffData>
              </w:fldChar>
            </w:r>
            <w:bookmarkStart w:id="8" w:name="Check44"/>
            <w:r w:rsidR="00A7298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Pr>
                <w:rFonts w:ascii="Tahoma" w:hAnsi="Tahoma" w:cs="Tahoma"/>
                <w:sz w:val="18"/>
                <w:szCs w:val="18"/>
              </w:rPr>
              <w:fldChar w:fldCharType="end"/>
            </w:r>
            <w:bookmarkEnd w:id="8"/>
          </w:p>
        </w:tc>
        <w:tc>
          <w:tcPr>
            <w:tcW w:w="1150" w:type="dxa"/>
            <w:vAlign w:val="center"/>
          </w:tcPr>
          <w:p w14:paraId="0FB58DAD" w14:textId="77777777" w:rsidR="00A7298C" w:rsidRPr="00665CF4" w:rsidRDefault="006F2D01" w:rsidP="00154BA9">
            <w:pPr>
              <w:rPr>
                <w:rFonts w:ascii="Tahoma" w:hAnsi="Tahoma" w:cs="Tahoma"/>
                <w:b/>
                <w:sz w:val="18"/>
                <w:szCs w:val="18"/>
              </w:rPr>
            </w:pPr>
            <w:r w:rsidRPr="00665CF4">
              <w:rPr>
                <w:rFonts w:ascii="Tahoma" w:hAnsi="Tahoma" w:cs="Tahoma"/>
                <w:sz w:val="18"/>
                <w:szCs w:val="18"/>
              </w:rPr>
              <w:fldChar w:fldCharType="begin">
                <w:ffData>
                  <w:name w:val="Check45"/>
                  <w:enabled/>
                  <w:calcOnExit w:val="0"/>
                  <w:checkBox>
                    <w:sizeAuto/>
                    <w:default w:val="0"/>
                  </w:checkBox>
                </w:ffData>
              </w:fldChar>
            </w:r>
            <w:r w:rsidR="00A7298C"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665CF4">
              <w:rPr>
                <w:rFonts w:ascii="Tahoma" w:hAnsi="Tahoma" w:cs="Tahoma"/>
                <w:sz w:val="18"/>
                <w:szCs w:val="18"/>
              </w:rPr>
              <w:fldChar w:fldCharType="end"/>
            </w:r>
          </w:p>
        </w:tc>
      </w:tr>
      <w:tr w:rsidR="00A7298C" w:rsidRPr="00665CF4" w14:paraId="1CEB5C4B" w14:textId="77777777" w:rsidTr="00154BA9">
        <w:trPr>
          <w:trHeight w:val="896"/>
        </w:trPr>
        <w:tc>
          <w:tcPr>
            <w:tcW w:w="7338" w:type="dxa"/>
            <w:vAlign w:val="center"/>
          </w:tcPr>
          <w:p w14:paraId="48A532DF" w14:textId="77777777" w:rsidR="00A7298C" w:rsidRPr="0036323D" w:rsidRDefault="00A7298C" w:rsidP="00154BA9">
            <w:pPr>
              <w:rPr>
                <w:rFonts w:ascii="Tahoma" w:hAnsi="Tahoma" w:cs="Tahoma"/>
                <w:b/>
                <w:sz w:val="18"/>
                <w:szCs w:val="18"/>
              </w:rPr>
            </w:pPr>
            <w:r w:rsidRPr="000B6D48">
              <w:rPr>
                <w:rFonts w:ascii="Tahoma" w:hAnsi="Tahoma" w:cs="Tahoma"/>
                <w:b/>
                <w:sz w:val="18"/>
                <w:szCs w:val="18"/>
              </w:rPr>
              <w:t>Is experience of handling large data sets (&gt;1 million records) available within the research team?</w:t>
            </w:r>
            <w:r w:rsidRPr="0036323D">
              <w:rPr>
                <w:rFonts w:ascii="Tahoma" w:hAnsi="Tahoma" w:cs="Tahoma"/>
                <w:b/>
                <w:sz w:val="18"/>
                <w:szCs w:val="18"/>
              </w:rPr>
              <w:t xml:space="preserve"> </w:t>
            </w:r>
            <w:r w:rsidRPr="0036323D">
              <w:rPr>
                <w:rFonts w:ascii="Tahoma" w:hAnsi="Tahoma" w:cs="Tahoma"/>
                <w:b/>
                <w:sz w:val="18"/>
                <w:szCs w:val="18"/>
              </w:rPr>
              <w:tab/>
            </w:r>
            <w:r w:rsidRPr="0036323D">
              <w:rPr>
                <w:rFonts w:ascii="Tahoma" w:hAnsi="Tahoma" w:cs="Tahoma"/>
                <w:b/>
                <w:sz w:val="18"/>
                <w:szCs w:val="18"/>
              </w:rPr>
              <w:tab/>
            </w:r>
            <w:r w:rsidRPr="0036323D">
              <w:rPr>
                <w:rFonts w:ascii="Tahoma" w:hAnsi="Tahoma" w:cs="Tahoma"/>
                <w:b/>
                <w:sz w:val="18"/>
                <w:szCs w:val="18"/>
              </w:rPr>
              <w:tab/>
            </w:r>
            <w:r w:rsidRPr="0036323D">
              <w:rPr>
                <w:rFonts w:ascii="Tahoma" w:hAnsi="Tahoma" w:cs="Tahoma"/>
                <w:b/>
                <w:sz w:val="18"/>
                <w:szCs w:val="18"/>
              </w:rPr>
              <w:tab/>
            </w:r>
            <w:r w:rsidRPr="0036323D">
              <w:rPr>
                <w:rFonts w:ascii="Tahoma" w:hAnsi="Tahoma" w:cs="Tahoma"/>
                <w:b/>
                <w:sz w:val="18"/>
                <w:szCs w:val="18"/>
              </w:rPr>
              <w:tab/>
            </w:r>
            <w:r w:rsidRPr="0036323D">
              <w:rPr>
                <w:rFonts w:ascii="Tahoma" w:hAnsi="Tahoma" w:cs="Tahoma"/>
                <w:b/>
                <w:sz w:val="18"/>
                <w:szCs w:val="18"/>
              </w:rPr>
              <w:tab/>
            </w:r>
            <w:r w:rsidRPr="0036323D">
              <w:rPr>
                <w:rFonts w:ascii="Tahoma" w:hAnsi="Tahoma" w:cs="Tahoma"/>
                <w:b/>
                <w:sz w:val="18"/>
                <w:szCs w:val="18"/>
              </w:rPr>
              <w:tab/>
            </w:r>
            <w:r w:rsidRPr="0036323D">
              <w:rPr>
                <w:rFonts w:ascii="Tahoma" w:hAnsi="Tahoma" w:cs="Tahoma"/>
                <w:b/>
                <w:sz w:val="18"/>
                <w:szCs w:val="18"/>
              </w:rPr>
              <w:tab/>
            </w:r>
          </w:p>
          <w:p w14:paraId="049D73A6" w14:textId="77777777" w:rsidR="00A7298C" w:rsidRDefault="00A7298C" w:rsidP="00154BA9">
            <w:pPr>
              <w:rPr>
                <w:rFonts w:ascii="Tahoma" w:hAnsi="Tahoma" w:cs="Tahoma"/>
                <w:i/>
                <w:sz w:val="18"/>
                <w:szCs w:val="18"/>
              </w:rPr>
            </w:pPr>
            <w:r w:rsidRPr="00665CF4">
              <w:rPr>
                <w:rFonts w:ascii="Tahoma" w:hAnsi="Tahoma" w:cs="Tahoma"/>
                <w:i/>
                <w:sz w:val="18"/>
                <w:szCs w:val="18"/>
              </w:rPr>
              <w:t>If yes, please indicate the name(s) of the relevant investigator(s)</w:t>
            </w:r>
          </w:p>
          <w:p w14:paraId="276A6A98" w14:textId="77777777" w:rsidR="00A7298C" w:rsidRPr="00665CF4" w:rsidRDefault="00A7298C" w:rsidP="001138E6">
            <w:pPr>
              <w:rPr>
                <w:rFonts w:ascii="Tahoma" w:hAnsi="Tahoma" w:cs="Tahoma"/>
                <w:sz w:val="18"/>
                <w:szCs w:val="18"/>
              </w:rPr>
            </w:pPr>
            <w:r>
              <w:rPr>
                <w:rFonts w:ascii="Tahoma" w:hAnsi="Tahoma" w:cs="Tahoma"/>
                <w:sz w:val="18"/>
                <w:szCs w:val="18"/>
              </w:rPr>
              <w:t xml:space="preserve"> </w:t>
            </w:r>
            <w:r w:rsidR="001138E6">
              <w:rPr>
                <w:rFonts w:ascii="Tahoma" w:hAnsi="Tahoma" w:cs="Tahoma"/>
                <w:sz w:val="18"/>
                <w:szCs w:val="18"/>
              </w:rPr>
              <w:t>Professor</w:t>
            </w:r>
            <w:r w:rsidRPr="000B6D48">
              <w:rPr>
                <w:rFonts w:ascii="Tahoma" w:hAnsi="Tahoma" w:cs="Tahoma"/>
                <w:sz w:val="18"/>
                <w:szCs w:val="18"/>
              </w:rPr>
              <w:t xml:space="preserve"> Richard Martin and Dr Neil Davies</w:t>
            </w:r>
          </w:p>
        </w:tc>
        <w:tc>
          <w:tcPr>
            <w:tcW w:w="1259" w:type="dxa"/>
            <w:vAlign w:val="center"/>
          </w:tcPr>
          <w:p w14:paraId="3888010B" w14:textId="77777777" w:rsidR="00A7298C" w:rsidRPr="00665CF4" w:rsidRDefault="006F2D01" w:rsidP="00154BA9">
            <w:pPr>
              <w:rPr>
                <w:rFonts w:ascii="Tahoma" w:hAnsi="Tahoma" w:cs="Tahoma"/>
                <w:b/>
                <w:sz w:val="18"/>
                <w:szCs w:val="18"/>
              </w:rPr>
            </w:pPr>
            <w:r>
              <w:rPr>
                <w:rFonts w:ascii="Tahoma" w:hAnsi="Tahoma" w:cs="Tahoma"/>
                <w:sz w:val="18"/>
                <w:szCs w:val="18"/>
              </w:rPr>
              <w:fldChar w:fldCharType="begin">
                <w:ffData>
                  <w:name w:val=""/>
                  <w:enabled/>
                  <w:calcOnExit w:val="0"/>
                  <w:checkBox>
                    <w:sizeAuto/>
                    <w:default w:val="1"/>
                  </w:checkBox>
                </w:ffData>
              </w:fldChar>
            </w:r>
            <w:r w:rsidR="00A7298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Pr>
                <w:rFonts w:ascii="Tahoma" w:hAnsi="Tahoma" w:cs="Tahoma"/>
                <w:sz w:val="18"/>
                <w:szCs w:val="18"/>
              </w:rPr>
              <w:fldChar w:fldCharType="end"/>
            </w:r>
          </w:p>
        </w:tc>
        <w:tc>
          <w:tcPr>
            <w:tcW w:w="1150" w:type="dxa"/>
            <w:vAlign w:val="center"/>
          </w:tcPr>
          <w:p w14:paraId="549CC2D6" w14:textId="77777777" w:rsidR="00A7298C" w:rsidRPr="00665CF4" w:rsidRDefault="006F2D01" w:rsidP="00154BA9">
            <w:pPr>
              <w:rPr>
                <w:rFonts w:ascii="Tahoma" w:hAnsi="Tahoma" w:cs="Tahoma"/>
                <w:b/>
                <w:sz w:val="18"/>
                <w:szCs w:val="18"/>
              </w:rPr>
            </w:pPr>
            <w:r w:rsidRPr="00665CF4">
              <w:rPr>
                <w:rFonts w:ascii="Tahoma" w:hAnsi="Tahoma" w:cs="Tahoma"/>
                <w:sz w:val="18"/>
                <w:szCs w:val="18"/>
              </w:rPr>
              <w:fldChar w:fldCharType="begin">
                <w:ffData>
                  <w:name w:val="Check45"/>
                  <w:enabled/>
                  <w:calcOnExit w:val="0"/>
                  <w:checkBox>
                    <w:sizeAuto/>
                    <w:default w:val="0"/>
                  </w:checkBox>
                </w:ffData>
              </w:fldChar>
            </w:r>
            <w:r w:rsidR="00A7298C"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665CF4">
              <w:rPr>
                <w:rFonts w:ascii="Tahoma" w:hAnsi="Tahoma" w:cs="Tahoma"/>
                <w:sz w:val="18"/>
                <w:szCs w:val="18"/>
              </w:rPr>
              <w:fldChar w:fldCharType="end"/>
            </w:r>
          </w:p>
        </w:tc>
      </w:tr>
      <w:tr w:rsidR="00A7298C" w:rsidRPr="00665CF4" w14:paraId="25B7D084" w14:textId="77777777" w:rsidTr="00154BA9">
        <w:trPr>
          <w:trHeight w:val="911"/>
        </w:trPr>
        <w:tc>
          <w:tcPr>
            <w:tcW w:w="7338" w:type="dxa"/>
            <w:vAlign w:val="center"/>
          </w:tcPr>
          <w:p w14:paraId="0C4066D7" w14:textId="77777777" w:rsidR="00A7298C" w:rsidRPr="000B6D48" w:rsidRDefault="00A7298C" w:rsidP="00154BA9">
            <w:pPr>
              <w:tabs>
                <w:tab w:val="left" w:pos="6804"/>
              </w:tabs>
              <w:rPr>
                <w:rFonts w:ascii="Tahoma" w:hAnsi="Tahoma" w:cs="Tahoma"/>
                <w:b/>
                <w:sz w:val="18"/>
                <w:szCs w:val="18"/>
              </w:rPr>
            </w:pPr>
            <w:r w:rsidRPr="000B6D48">
              <w:rPr>
                <w:rFonts w:ascii="Tahoma" w:hAnsi="Tahoma" w:cs="Tahoma"/>
                <w:b/>
                <w:sz w:val="18"/>
                <w:szCs w:val="18"/>
              </w:rPr>
              <w:t>Is experience of practising in UK primary care available within the research team?</w:t>
            </w:r>
            <w:r w:rsidRPr="000B6D48">
              <w:rPr>
                <w:rFonts w:ascii="Tahoma" w:hAnsi="Tahoma" w:cs="Tahoma"/>
                <w:b/>
                <w:sz w:val="18"/>
                <w:szCs w:val="18"/>
              </w:rPr>
              <w:tab/>
            </w:r>
            <w:r w:rsidRPr="000B6D48">
              <w:rPr>
                <w:rFonts w:ascii="Tahoma" w:hAnsi="Tahoma" w:cs="Tahoma"/>
                <w:b/>
                <w:sz w:val="18"/>
                <w:szCs w:val="18"/>
              </w:rPr>
              <w:tab/>
            </w:r>
          </w:p>
          <w:p w14:paraId="1DB6056C" w14:textId="77777777" w:rsidR="00A7298C" w:rsidRPr="000B6D48" w:rsidRDefault="00A7298C" w:rsidP="00154BA9">
            <w:pPr>
              <w:rPr>
                <w:rFonts w:ascii="Tahoma" w:hAnsi="Tahoma" w:cs="Tahoma"/>
                <w:sz w:val="18"/>
                <w:szCs w:val="18"/>
              </w:rPr>
            </w:pPr>
            <w:r w:rsidRPr="000B6D48">
              <w:rPr>
                <w:rFonts w:ascii="Tahoma" w:hAnsi="Tahoma" w:cs="Tahoma"/>
                <w:i/>
                <w:sz w:val="18"/>
                <w:szCs w:val="18"/>
              </w:rPr>
              <w:t>If yes, please indicate the name(s) of the relevant investigator(s)</w:t>
            </w:r>
            <w:r w:rsidRPr="000B6D48">
              <w:rPr>
                <w:rFonts w:ascii="Tahoma" w:hAnsi="Tahoma" w:cs="Tahoma"/>
                <w:sz w:val="18"/>
                <w:szCs w:val="18"/>
              </w:rPr>
              <w:tab/>
            </w:r>
          </w:p>
          <w:p w14:paraId="6AFAC65D" w14:textId="77777777" w:rsidR="00A7298C" w:rsidRPr="00665CF4" w:rsidRDefault="001138E6" w:rsidP="001138E6">
            <w:pPr>
              <w:rPr>
                <w:rFonts w:ascii="Tahoma" w:hAnsi="Tahoma" w:cs="Tahoma"/>
                <w:i/>
                <w:sz w:val="18"/>
                <w:szCs w:val="18"/>
              </w:rPr>
            </w:pPr>
            <w:r>
              <w:rPr>
                <w:rFonts w:ascii="Tahoma" w:hAnsi="Tahoma" w:cs="Tahoma"/>
                <w:sz w:val="18"/>
                <w:szCs w:val="18"/>
              </w:rPr>
              <w:t xml:space="preserve"> Professor</w:t>
            </w:r>
            <w:r w:rsidR="00A7298C" w:rsidRPr="000B6D48">
              <w:rPr>
                <w:rFonts w:ascii="Tahoma" w:hAnsi="Tahoma" w:cs="Tahoma"/>
                <w:sz w:val="18"/>
                <w:szCs w:val="18"/>
              </w:rPr>
              <w:t xml:space="preserve"> Richard Martin</w:t>
            </w:r>
          </w:p>
        </w:tc>
        <w:tc>
          <w:tcPr>
            <w:tcW w:w="1259" w:type="dxa"/>
            <w:vAlign w:val="center"/>
          </w:tcPr>
          <w:p w14:paraId="3198DE97" w14:textId="77777777" w:rsidR="00A7298C" w:rsidRPr="00665CF4" w:rsidRDefault="006F2D01" w:rsidP="00154BA9">
            <w:pPr>
              <w:rPr>
                <w:rFonts w:ascii="Tahoma" w:hAnsi="Tahoma" w:cs="Tahoma"/>
                <w:b/>
                <w:sz w:val="18"/>
                <w:szCs w:val="18"/>
              </w:rPr>
            </w:pPr>
            <w:r>
              <w:rPr>
                <w:rFonts w:ascii="Tahoma" w:hAnsi="Tahoma" w:cs="Tahoma"/>
                <w:sz w:val="18"/>
                <w:szCs w:val="18"/>
              </w:rPr>
              <w:fldChar w:fldCharType="begin">
                <w:ffData>
                  <w:name w:val=""/>
                  <w:enabled/>
                  <w:calcOnExit w:val="0"/>
                  <w:checkBox>
                    <w:sizeAuto/>
                    <w:default w:val="1"/>
                  </w:checkBox>
                </w:ffData>
              </w:fldChar>
            </w:r>
            <w:r w:rsidR="00A7298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Pr>
                <w:rFonts w:ascii="Tahoma" w:hAnsi="Tahoma" w:cs="Tahoma"/>
                <w:sz w:val="18"/>
                <w:szCs w:val="18"/>
              </w:rPr>
              <w:fldChar w:fldCharType="end"/>
            </w:r>
          </w:p>
        </w:tc>
        <w:tc>
          <w:tcPr>
            <w:tcW w:w="1150" w:type="dxa"/>
            <w:vAlign w:val="center"/>
          </w:tcPr>
          <w:p w14:paraId="50A0039F" w14:textId="77777777" w:rsidR="00A7298C" w:rsidRPr="00665CF4" w:rsidRDefault="006F2D01" w:rsidP="00154BA9">
            <w:pPr>
              <w:rPr>
                <w:rFonts w:ascii="Tahoma" w:hAnsi="Tahoma" w:cs="Tahoma"/>
                <w:b/>
                <w:sz w:val="18"/>
                <w:szCs w:val="18"/>
              </w:rPr>
            </w:pPr>
            <w:r w:rsidRPr="00665CF4">
              <w:rPr>
                <w:rFonts w:ascii="Tahoma" w:hAnsi="Tahoma" w:cs="Tahoma"/>
                <w:sz w:val="18"/>
                <w:szCs w:val="18"/>
              </w:rPr>
              <w:fldChar w:fldCharType="begin">
                <w:ffData>
                  <w:name w:val="Check45"/>
                  <w:enabled/>
                  <w:calcOnExit w:val="0"/>
                  <w:checkBox>
                    <w:sizeAuto/>
                    <w:default w:val="0"/>
                  </w:checkBox>
                </w:ffData>
              </w:fldChar>
            </w:r>
            <w:r w:rsidR="00A7298C"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665CF4">
              <w:rPr>
                <w:rFonts w:ascii="Tahoma" w:hAnsi="Tahoma" w:cs="Tahoma"/>
                <w:sz w:val="18"/>
                <w:szCs w:val="18"/>
              </w:rPr>
              <w:fldChar w:fldCharType="end"/>
            </w:r>
          </w:p>
        </w:tc>
      </w:tr>
    </w:tbl>
    <w:p w14:paraId="17C7250F" w14:textId="77777777" w:rsidR="00154BA9" w:rsidRDefault="00154BA9">
      <w:r>
        <w:br w:type="page"/>
      </w:r>
    </w:p>
    <w:p w14:paraId="4DE56067" w14:textId="77777777" w:rsidR="00B16CD2" w:rsidRDefault="00B16CD2"/>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47"/>
      </w:tblGrid>
      <w:tr w:rsidR="00A7298C" w:rsidRPr="00665CF4" w14:paraId="3D33EC81" w14:textId="77777777" w:rsidTr="00154BA9">
        <w:trPr>
          <w:trHeight w:val="686"/>
        </w:trPr>
        <w:tc>
          <w:tcPr>
            <w:tcW w:w="9747" w:type="dxa"/>
            <w:shd w:val="clear" w:color="auto" w:fill="auto"/>
            <w:vAlign w:val="center"/>
          </w:tcPr>
          <w:p w14:paraId="73B032D8" w14:textId="77777777" w:rsidR="00A7298C" w:rsidRPr="00665CF4" w:rsidRDefault="00A7298C" w:rsidP="00154BA9">
            <w:pPr>
              <w:numPr>
                <w:ilvl w:val="0"/>
                <w:numId w:val="1"/>
              </w:numPr>
              <w:rPr>
                <w:rFonts w:ascii="Tahoma" w:hAnsi="Tahoma" w:cs="Tahoma"/>
                <w:b/>
                <w:sz w:val="18"/>
                <w:szCs w:val="18"/>
              </w:rPr>
            </w:pPr>
            <w:r w:rsidRPr="00665CF4">
              <w:rPr>
                <w:rFonts w:ascii="Tahoma" w:hAnsi="Tahoma" w:cs="Tahoma"/>
                <w:b/>
                <w:sz w:val="18"/>
                <w:szCs w:val="18"/>
              </w:rPr>
              <w:t>References relating to your study</w:t>
            </w:r>
          </w:p>
          <w:p w14:paraId="499B8A18" w14:textId="77777777" w:rsidR="00A7298C" w:rsidRPr="00665CF4" w:rsidRDefault="00A7298C" w:rsidP="00154BA9">
            <w:pPr>
              <w:rPr>
                <w:rFonts w:ascii="Tahoma" w:hAnsi="Tahoma" w:cs="Tahoma"/>
                <w:sz w:val="18"/>
                <w:szCs w:val="18"/>
              </w:rPr>
            </w:pPr>
          </w:p>
          <w:p w14:paraId="6F0D9DD9" w14:textId="77777777" w:rsidR="00A7298C" w:rsidRPr="00CF7512" w:rsidRDefault="00A7298C" w:rsidP="00154BA9">
            <w:pPr>
              <w:rPr>
                <w:rFonts w:ascii="Arial" w:hAnsi="Arial" w:cs="Arial"/>
                <w:sz w:val="18"/>
                <w:szCs w:val="18"/>
              </w:rPr>
            </w:pPr>
            <w:r w:rsidRPr="00CF7512">
              <w:rPr>
                <w:rFonts w:ascii="Arial" w:hAnsi="Arial" w:cs="Arial"/>
                <w:sz w:val="18"/>
                <w:szCs w:val="18"/>
              </w:rPr>
              <w:t xml:space="preserve">Please list up to 3 references (most relevant) relating to your proposed study: </w:t>
            </w:r>
          </w:p>
          <w:p w14:paraId="786D7395" w14:textId="77777777" w:rsidR="000B6D48" w:rsidRPr="00720C61" w:rsidRDefault="000B6D48" w:rsidP="00154BA9">
            <w:pPr>
              <w:rPr>
                <w:rFonts w:ascii="Tahoma" w:hAnsi="Tahoma" w:cs="Tahoma"/>
                <w:sz w:val="18"/>
                <w:szCs w:val="18"/>
              </w:rPr>
            </w:pPr>
          </w:p>
          <w:p w14:paraId="19F80EBF" w14:textId="77777777" w:rsidR="000B6D48" w:rsidRPr="00720C61" w:rsidRDefault="000B6D48" w:rsidP="00154BA9">
            <w:pPr>
              <w:rPr>
                <w:rFonts w:ascii="Tahoma" w:hAnsi="Tahoma" w:cs="Tahoma"/>
                <w:sz w:val="18"/>
                <w:szCs w:val="18"/>
                <w:lang w:eastAsia="en-US"/>
              </w:rPr>
            </w:pPr>
            <w:r w:rsidRPr="00720C61">
              <w:rPr>
                <w:rFonts w:ascii="Tahoma" w:hAnsi="Tahoma" w:cs="Tahoma"/>
                <w:sz w:val="18"/>
                <w:szCs w:val="18"/>
                <w:lang w:eastAsia="en-US"/>
              </w:rPr>
              <w:t>Davies NM, Kehoe PG, Ben-Shlomo Y, Martin RM. Associations of anti-hypertensive treatments with Alzheimer’s disease, vascular dementia, and other dementias. J Alzheimers Dis. 2011 Jan 1;26(4):699–708.</w:t>
            </w:r>
          </w:p>
          <w:p w14:paraId="5C5A735A" w14:textId="77777777" w:rsidR="004F0961" w:rsidRPr="00720C61" w:rsidRDefault="004F0961" w:rsidP="00154BA9">
            <w:pPr>
              <w:rPr>
                <w:rFonts w:ascii="Tahoma" w:hAnsi="Tahoma" w:cs="Tahoma"/>
                <w:sz w:val="18"/>
                <w:szCs w:val="18"/>
                <w:lang w:eastAsia="en-US"/>
              </w:rPr>
            </w:pPr>
          </w:p>
          <w:p w14:paraId="150825DB" w14:textId="77777777" w:rsidR="000B6D48" w:rsidRPr="00720C61" w:rsidRDefault="000B6D48" w:rsidP="00154BA9">
            <w:pPr>
              <w:rPr>
                <w:rFonts w:ascii="Tahoma" w:hAnsi="Tahoma" w:cs="Tahoma"/>
                <w:sz w:val="18"/>
                <w:szCs w:val="18"/>
                <w:lang w:eastAsia="en-US"/>
              </w:rPr>
            </w:pPr>
            <w:r w:rsidRPr="00720C61">
              <w:rPr>
                <w:rFonts w:ascii="Tahoma" w:hAnsi="Tahoma" w:cs="Tahoma"/>
                <w:sz w:val="18"/>
                <w:szCs w:val="18"/>
                <w:lang w:eastAsia="en-US"/>
              </w:rPr>
              <w:t>Kehoe PG, Davies NM, Martin RM, Ben-Shlomo Y. Associations of Angiotensin Targeting Antihypertensive Drugs with Mortality and Hospitalization in Primary Care Patients with Dementia. J Alzheimers Dis. 2013;33(4):999–1008.</w:t>
            </w:r>
          </w:p>
          <w:p w14:paraId="74A0F415" w14:textId="77777777" w:rsidR="000B6D48" w:rsidRPr="00720C61" w:rsidRDefault="000B6D48" w:rsidP="00154BA9">
            <w:pPr>
              <w:rPr>
                <w:rFonts w:ascii="Tahoma" w:hAnsi="Tahoma" w:cs="Tahoma"/>
                <w:sz w:val="18"/>
                <w:szCs w:val="18"/>
              </w:rPr>
            </w:pPr>
          </w:p>
          <w:p w14:paraId="5DC0CC4D" w14:textId="77777777" w:rsidR="000B6D48" w:rsidRDefault="004F0961" w:rsidP="00154BA9">
            <w:pPr>
              <w:rPr>
                <w:rFonts w:ascii="Tahoma" w:hAnsi="Tahoma" w:cs="Tahoma"/>
                <w:sz w:val="18"/>
                <w:szCs w:val="18"/>
                <w:lang w:eastAsia="en-US"/>
              </w:rPr>
            </w:pPr>
            <w:r w:rsidRPr="00720C61">
              <w:rPr>
                <w:rFonts w:ascii="Tahoma" w:hAnsi="Tahoma" w:cs="Tahoma"/>
                <w:sz w:val="18"/>
                <w:szCs w:val="18"/>
                <w:lang w:eastAsia="en-US"/>
              </w:rPr>
              <w:t>Corbett A, Pickett J, Burns A, Corcoran J, Dunnett SB, Edison P, et al. Drug repositioning for Alzheimer’s disease. Nature Reviews Drug Discovery. 2012 Nov 5;11(11):833–46.</w:t>
            </w:r>
          </w:p>
          <w:p w14:paraId="486A9DC8" w14:textId="77777777" w:rsidR="004D7D97" w:rsidRPr="00665CF4" w:rsidRDefault="004D7D97" w:rsidP="00154BA9">
            <w:pPr>
              <w:rPr>
                <w:rFonts w:ascii="Tahoma" w:hAnsi="Tahoma" w:cs="Tahoma"/>
                <w:sz w:val="18"/>
                <w:szCs w:val="18"/>
                <w:lang w:eastAsia="en-US"/>
              </w:rPr>
            </w:pPr>
          </w:p>
        </w:tc>
      </w:tr>
      <w:tr w:rsidR="00A7298C" w:rsidRPr="00665CF4" w14:paraId="33C98BC5" w14:textId="77777777" w:rsidTr="00154BA9">
        <w:tblPrEx>
          <w:tblLook w:val="0000" w:firstRow="0" w:lastRow="0" w:firstColumn="0" w:lastColumn="0" w:noHBand="0" w:noVBand="0"/>
        </w:tblPrEx>
        <w:trPr>
          <w:trHeight w:val="258"/>
        </w:trPr>
        <w:tc>
          <w:tcPr>
            <w:tcW w:w="9747" w:type="dxa"/>
            <w:vAlign w:val="center"/>
          </w:tcPr>
          <w:p w14:paraId="0C04EB75" w14:textId="77777777" w:rsidR="00A7298C" w:rsidRPr="00665CF4" w:rsidRDefault="00A7298C" w:rsidP="00154BA9">
            <w:pPr>
              <w:rPr>
                <w:rFonts w:ascii="Tahoma" w:hAnsi="Tahoma" w:cs="Tahoma"/>
                <w:b/>
                <w:sz w:val="18"/>
                <w:szCs w:val="18"/>
              </w:rPr>
            </w:pPr>
            <w:r w:rsidRPr="00665CF4">
              <w:rPr>
                <w:rFonts w:ascii="Tahoma" w:hAnsi="Tahoma" w:cs="Tahoma"/>
                <w:b/>
                <w:sz w:val="18"/>
                <w:szCs w:val="18"/>
              </w:rPr>
              <w:t>Section C: Access to the data</w:t>
            </w:r>
          </w:p>
        </w:tc>
      </w:tr>
      <w:tr w:rsidR="00A7298C" w:rsidRPr="00665CF4" w14:paraId="7EAB89CE" w14:textId="77777777" w:rsidTr="00154BA9">
        <w:tblPrEx>
          <w:tblLook w:val="0000" w:firstRow="0" w:lastRow="0" w:firstColumn="0" w:lastColumn="0" w:noHBand="0" w:noVBand="0"/>
        </w:tblPrEx>
        <w:trPr>
          <w:trHeight w:val="567"/>
        </w:trPr>
        <w:tc>
          <w:tcPr>
            <w:tcW w:w="9747" w:type="dxa"/>
            <w:vAlign w:val="center"/>
          </w:tcPr>
          <w:p w14:paraId="5603DB1C" w14:textId="77777777" w:rsidR="00A7298C" w:rsidRPr="00CF7512" w:rsidRDefault="00A7298C" w:rsidP="00154BA9">
            <w:pPr>
              <w:numPr>
                <w:ilvl w:val="0"/>
                <w:numId w:val="1"/>
              </w:numPr>
              <w:rPr>
                <w:rFonts w:ascii="Tahoma" w:hAnsi="Tahoma" w:cs="Tahoma"/>
                <w:sz w:val="18"/>
                <w:szCs w:val="18"/>
              </w:rPr>
            </w:pPr>
            <w:r w:rsidRPr="00CF7512">
              <w:rPr>
                <w:rFonts w:ascii="Tahoma" w:hAnsi="Tahoma" w:cs="Tahoma"/>
                <w:b/>
                <w:sz w:val="18"/>
                <w:szCs w:val="18"/>
              </w:rPr>
              <w:t>Financial Sponsor of study</w:t>
            </w:r>
          </w:p>
          <w:p w14:paraId="6CF99324" w14:textId="77777777" w:rsidR="00A7298C" w:rsidRPr="00665CF4" w:rsidRDefault="00A7298C" w:rsidP="00154BA9">
            <w:pPr>
              <w:rPr>
                <w:rFonts w:ascii="Tahoma" w:hAnsi="Tahoma" w:cs="Tahoma"/>
                <w:sz w:val="18"/>
                <w:szCs w:val="18"/>
              </w:rPr>
            </w:pPr>
          </w:p>
          <w:p w14:paraId="3D8EC157" w14:textId="77777777" w:rsidR="00A7298C" w:rsidRPr="00665CF4" w:rsidRDefault="00A7298C" w:rsidP="00154BA9">
            <w:pPr>
              <w:ind w:left="360"/>
              <w:rPr>
                <w:rFonts w:ascii="Tahoma" w:hAnsi="Tahoma" w:cs="Tahoma"/>
                <w:sz w:val="18"/>
                <w:szCs w:val="18"/>
              </w:rPr>
            </w:pPr>
            <w:r w:rsidRPr="00665CF4">
              <w:rPr>
                <w:rFonts w:ascii="Tahoma" w:hAnsi="Tahoma" w:cs="Tahoma"/>
                <w:sz w:val="18"/>
                <w:szCs w:val="18"/>
              </w:rPr>
              <w:t>Pharmaceutical Industry</w:t>
            </w:r>
            <w:r w:rsidRPr="00665CF4">
              <w:rPr>
                <w:rFonts w:ascii="Tahoma" w:hAnsi="Tahoma" w:cs="Tahoma"/>
                <w:sz w:val="18"/>
                <w:szCs w:val="18"/>
              </w:rPr>
              <w:tab/>
            </w:r>
            <w:r w:rsidR="006F2D01" w:rsidRPr="00665CF4">
              <w:rPr>
                <w:rFonts w:ascii="Tahoma" w:hAnsi="Tahoma" w:cs="Tahoma"/>
                <w:b/>
                <w:sz w:val="18"/>
                <w:szCs w:val="18"/>
              </w:rPr>
              <w:fldChar w:fldCharType="begin">
                <w:ffData>
                  <w:name w:val="Check15"/>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 xml:space="preserve"> </w:t>
            </w:r>
            <w:r w:rsidRPr="00665CF4">
              <w:rPr>
                <w:rFonts w:ascii="Tahoma" w:hAnsi="Tahoma" w:cs="Tahoma"/>
                <w:i/>
                <w:sz w:val="18"/>
                <w:szCs w:val="18"/>
              </w:rPr>
              <w:t>Please specify:</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r w:rsidRPr="00665CF4">
              <w:rPr>
                <w:rFonts w:ascii="Tahoma" w:hAnsi="Tahoma" w:cs="Tahoma"/>
                <w:sz w:val="18"/>
                <w:szCs w:val="18"/>
              </w:rPr>
              <w:tab/>
              <w:t>Academia</w:t>
            </w:r>
            <w:r w:rsidRPr="00665CF4">
              <w:rPr>
                <w:rFonts w:ascii="Tahoma" w:hAnsi="Tahoma" w:cs="Tahoma"/>
                <w:sz w:val="18"/>
                <w:szCs w:val="18"/>
              </w:rPr>
              <w:tab/>
            </w:r>
            <w:r w:rsidR="006F2D01">
              <w:rPr>
                <w:rFonts w:ascii="Tahoma" w:hAnsi="Tahoma" w:cs="Tahoma"/>
                <w:b/>
                <w:sz w:val="18"/>
                <w:szCs w:val="18"/>
              </w:rPr>
              <w:fldChar w:fldCharType="begin">
                <w:ffData>
                  <w:name w:val="Check15"/>
                  <w:enabled/>
                  <w:calcOnExit w:val="0"/>
                  <w:checkBox>
                    <w:sizeAuto/>
                    <w:default w:val="1"/>
                  </w:checkBox>
                </w:ffData>
              </w:fldChar>
            </w:r>
            <w:bookmarkStart w:id="9" w:name="Check15"/>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bookmarkEnd w:id="9"/>
            <w:r w:rsidRPr="00665CF4">
              <w:rPr>
                <w:rFonts w:ascii="Tahoma" w:hAnsi="Tahoma" w:cs="Tahoma"/>
                <w:sz w:val="18"/>
                <w:szCs w:val="18"/>
              </w:rPr>
              <w:t xml:space="preserve"> </w:t>
            </w:r>
            <w:r w:rsidRPr="00665CF4">
              <w:rPr>
                <w:rFonts w:ascii="Tahoma" w:hAnsi="Tahoma" w:cs="Tahoma"/>
                <w:i/>
                <w:sz w:val="18"/>
                <w:szCs w:val="18"/>
              </w:rPr>
              <w:t>Please specify:</w:t>
            </w:r>
            <w:r w:rsidR="00720C61">
              <w:rPr>
                <w:rFonts w:ascii="Tahoma" w:hAnsi="Tahoma" w:cs="Tahoma"/>
                <w:i/>
                <w:sz w:val="18"/>
                <w:szCs w:val="18"/>
              </w:rPr>
              <w:t xml:space="preserve"> </w:t>
            </w:r>
            <w:r>
              <w:rPr>
                <w:rFonts w:ascii="Tahoma" w:hAnsi="Tahoma" w:cs="Tahoma"/>
                <w:sz w:val="18"/>
                <w:szCs w:val="18"/>
              </w:rPr>
              <w:t xml:space="preserve">University of Bristol </w:t>
            </w:r>
          </w:p>
          <w:p w14:paraId="289C0AC9" w14:textId="77777777" w:rsidR="00A7298C" w:rsidRPr="00665CF4" w:rsidRDefault="00A7298C" w:rsidP="00154BA9">
            <w:pPr>
              <w:ind w:left="360"/>
              <w:rPr>
                <w:rFonts w:ascii="Tahoma" w:hAnsi="Tahoma" w:cs="Tahoma"/>
                <w:b/>
                <w:sz w:val="18"/>
                <w:szCs w:val="18"/>
              </w:rPr>
            </w:pPr>
            <w:r w:rsidRPr="00665CF4">
              <w:rPr>
                <w:rFonts w:ascii="Tahoma" w:hAnsi="Tahoma" w:cs="Tahoma"/>
                <w:sz w:val="18"/>
                <w:szCs w:val="18"/>
              </w:rPr>
              <w:t>Government / NHS</w:t>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15"/>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 xml:space="preserve"> </w:t>
            </w:r>
            <w:r w:rsidRPr="00665CF4">
              <w:rPr>
                <w:rFonts w:ascii="Tahoma" w:hAnsi="Tahoma" w:cs="Tahoma"/>
                <w:i/>
                <w:sz w:val="18"/>
                <w:szCs w:val="18"/>
              </w:rPr>
              <w:t>Please specify:</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r w:rsidRPr="00665CF4">
              <w:rPr>
                <w:rFonts w:ascii="Tahoma" w:hAnsi="Tahoma" w:cs="Tahoma"/>
                <w:sz w:val="18"/>
                <w:szCs w:val="18"/>
              </w:rPr>
              <w:tab/>
              <w:t>Charity</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b/>
                <w:sz w:val="18"/>
                <w:szCs w:val="18"/>
              </w:rPr>
              <w:fldChar w:fldCharType="begin">
                <w:ffData>
                  <w:name w:val=""/>
                  <w:enabled/>
                  <w:calcOnExit w:val="0"/>
                  <w:checkBox>
                    <w:sizeAuto/>
                    <w:default w:val="1"/>
                  </w:checkBox>
                </w:ffData>
              </w:fldChar>
            </w:r>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r w:rsidRPr="00665CF4">
              <w:rPr>
                <w:rFonts w:ascii="Tahoma" w:hAnsi="Tahoma" w:cs="Tahoma"/>
                <w:b/>
                <w:sz w:val="18"/>
                <w:szCs w:val="18"/>
              </w:rPr>
              <w:t xml:space="preserve"> </w:t>
            </w:r>
            <w:r w:rsidRPr="00665CF4">
              <w:rPr>
                <w:rFonts w:ascii="Tahoma" w:hAnsi="Tahoma" w:cs="Tahoma"/>
                <w:i/>
                <w:sz w:val="18"/>
                <w:szCs w:val="18"/>
              </w:rPr>
              <w:t>Please specify:</w:t>
            </w:r>
            <w:r>
              <w:rPr>
                <w:rFonts w:ascii="Tahoma" w:hAnsi="Tahoma" w:cs="Tahoma"/>
                <w:i/>
                <w:sz w:val="18"/>
                <w:szCs w:val="18"/>
              </w:rPr>
              <w:t xml:space="preserve"> </w:t>
            </w:r>
            <w:r>
              <w:rPr>
                <w:rFonts w:ascii="Tahoma" w:hAnsi="Tahoma" w:cs="Tahoma"/>
                <w:sz w:val="18"/>
                <w:szCs w:val="18"/>
              </w:rPr>
              <w:t>Perros Trust (A University of Bristol Campaigns and Alumni donor)</w:t>
            </w:r>
          </w:p>
          <w:p w14:paraId="0556953E" w14:textId="77777777" w:rsidR="00A7298C" w:rsidRPr="00665CF4" w:rsidRDefault="00A7298C" w:rsidP="00154BA9">
            <w:pPr>
              <w:tabs>
                <w:tab w:val="left" w:pos="720"/>
                <w:tab w:val="left" w:pos="1440"/>
                <w:tab w:val="left" w:pos="2160"/>
                <w:tab w:val="left" w:pos="2880"/>
                <w:tab w:val="left" w:pos="3600"/>
                <w:tab w:val="left" w:pos="4320"/>
                <w:tab w:val="left" w:pos="5040"/>
                <w:tab w:val="left" w:pos="6096"/>
              </w:tabs>
              <w:ind w:left="360"/>
              <w:rPr>
                <w:rFonts w:ascii="Tahoma" w:hAnsi="Tahoma" w:cs="Tahoma"/>
                <w:sz w:val="18"/>
                <w:szCs w:val="18"/>
              </w:rPr>
            </w:pPr>
            <w:r w:rsidRPr="00665CF4">
              <w:rPr>
                <w:rFonts w:ascii="Tahoma" w:hAnsi="Tahoma" w:cs="Tahoma"/>
                <w:sz w:val="18"/>
                <w:szCs w:val="18"/>
              </w:rPr>
              <w:t>Other</w:t>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15"/>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 xml:space="preserve"> </w:t>
            </w:r>
            <w:r w:rsidRPr="00665CF4">
              <w:rPr>
                <w:rFonts w:ascii="Tahoma" w:hAnsi="Tahoma" w:cs="Tahoma"/>
                <w:i/>
                <w:sz w:val="18"/>
                <w:szCs w:val="18"/>
              </w:rPr>
              <w:t>Please specify:</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r w:rsidRPr="00665CF4">
              <w:rPr>
                <w:rFonts w:ascii="Tahoma" w:hAnsi="Tahoma" w:cs="Tahoma"/>
                <w:sz w:val="18"/>
                <w:szCs w:val="18"/>
              </w:rPr>
              <w:tab/>
              <w:t>None</w:t>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p>
          <w:p w14:paraId="65A8254B" w14:textId="77777777" w:rsidR="00A7298C" w:rsidRPr="00665CF4" w:rsidRDefault="00A7298C" w:rsidP="00154BA9">
            <w:pPr>
              <w:rPr>
                <w:rFonts w:ascii="Tahoma" w:hAnsi="Tahoma" w:cs="Tahoma"/>
                <w:sz w:val="18"/>
                <w:szCs w:val="18"/>
              </w:rPr>
            </w:pPr>
          </w:p>
        </w:tc>
      </w:tr>
      <w:tr w:rsidR="00A7298C" w:rsidRPr="00665CF4" w14:paraId="44CFED59" w14:textId="77777777" w:rsidTr="00154BA9">
        <w:tblPrEx>
          <w:tblLook w:val="0000" w:firstRow="0" w:lastRow="0" w:firstColumn="0" w:lastColumn="0" w:noHBand="0" w:noVBand="0"/>
        </w:tblPrEx>
        <w:trPr>
          <w:trHeight w:val="567"/>
        </w:trPr>
        <w:tc>
          <w:tcPr>
            <w:tcW w:w="9747" w:type="dxa"/>
            <w:vAlign w:val="center"/>
          </w:tcPr>
          <w:p w14:paraId="15D2A2B1" w14:textId="77777777" w:rsidR="00A7298C" w:rsidRPr="00CF7512" w:rsidRDefault="00A7298C" w:rsidP="00154BA9">
            <w:pPr>
              <w:numPr>
                <w:ilvl w:val="0"/>
                <w:numId w:val="1"/>
              </w:numPr>
              <w:rPr>
                <w:rFonts w:ascii="Tahoma" w:hAnsi="Tahoma" w:cs="Tahoma"/>
                <w:sz w:val="18"/>
                <w:szCs w:val="18"/>
              </w:rPr>
            </w:pPr>
            <w:r w:rsidRPr="00CF7512">
              <w:rPr>
                <w:rFonts w:ascii="Tahoma" w:hAnsi="Tahoma" w:cs="Tahoma"/>
                <w:b/>
                <w:sz w:val="18"/>
                <w:szCs w:val="18"/>
              </w:rPr>
              <w:t>Type of Institution carrying out the analyses</w:t>
            </w:r>
          </w:p>
          <w:p w14:paraId="4CB827B5" w14:textId="77777777" w:rsidR="00A7298C" w:rsidRPr="00665CF4" w:rsidRDefault="00A7298C" w:rsidP="00154BA9">
            <w:pPr>
              <w:rPr>
                <w:rFonts w:ascii="Tahoma" w:hAnsi="Tahoma" w:cs="Tahoma"/>
                <w:sz w:val="18"/>
                <w:szCs w:val="18"/>
              </w:rPr>
            </w:pPr>
          </w:p>
          <w:p w14:paraId="4FD82890" w14:textId="77777777" w:rsidR="00A7298C" w:rsidRPr="00665CF4" w:rsidRDefault="00A7298C" w:rsidP="00154BA9">
            <w:pPr>
              <w:ind w:left="360"/>
              <w:rPr>
                <w:rFonts w:ascii="Tahoma" w:hAnsi="Tahoma" w:cs="Tahoma"/>
                <w:b/>
                <w:sz w:val="18"/>
                <w:szCs w:val="18"/>
              </w:rPr>
            </w:pPr>
            <w:r w:rsidRPr="00665CF4">
              <w:rPr>
                <w:rFonts w:ascii="Tahoma" w:hAnsi="Tahoma" w:cs="Tahoma"/>
                <w:sz w:val="18"/>
                <w:szCs w:val="18"/>
              </w:rPr>
              <w:t>Pharmaceutical Industry</w:t>
            </w:r>
            <w:r w:rsidRPr="00665CF4">
              <w:rPr>
                <w:rFonts w:ascii="Tahoma" w:hAnsi="Tahoma" w:cs="Tahoma"/>
                <w:sz w:val="18"/>
                <w:szCs w:val="18"/>
              </w:rPr>
              <w:tab/>
            </w:r>
            <w:r w:rsidR="006F2D01" w:rsidRPr="00665CF4">
              <w:rPr>
                <w:rFonts w:ascii="Tahoma" w:hAnsi="Tahoma" w:cs="Tahoma"/>
                <w:b/>
                <w:sz w:val="18"/>
                <w:szCs w:val="18"/>
              </w:rPr>
              <w:fldChar w:fldCharType="begin">
                <w:ffData>
                  <w:name w:val="Check11"/>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b/>
                <w:sz w:val="18"/>
                <w:szCs w:val="18"/>
              </w:rPr>
              <w:t xml:space="preserve"> </w:t>
            </w:r>
            <w:r w:rsidRPr="00665CF4">
              <w:rPr>
                <w:rFonts w:ascii="Tahoma" w:hAnsi="Tahoma" w:cs="Tahoma"/>
                <w:i/>
                <w:sz w:val="18"/>
                <w:szCs w:val="18"/>
              </w:rPr>
              <w:t>Please specify:</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r w:rsidRPr="00665CF4">
              <w:rPr>
                <w:rFonts w:ascii="Tahoma" w:hAnsi="Tahoma" w:cs="Tahoma"/>
                <w:sz w:val="18"/>
                <w:szCs w:val="18"/>
              </w:rPr>
              <w:tab/>
              <w:t>Academia</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b/>
                <w:sz w:val="18"/>
                <w:szCs w:val="18"/>
              </w:rPr>
              <w:fldChar w:fldCharType="begin">
                <w:ffData>
                  <w:name w:val="Check10"/>
                  <w:enabled/>
                  <w:calcOnExit w:val="0"/>
                  <w:checkBox>
                    <w:sizeAuto/>
                    <w:default w:val="1"/>
                  </w:checkBox>
                </w:ffData>
              </w:fldChar>
            </w:r>
            <w:bookmarkStart w:id="10" w:name="Check10"/>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Pr>
                <w:rFonts w:ascii="Tahoma" w:hAnsi="Tahoma" w:cs="Tahoma"/>
                <w:b/>
                <w:sz w:val="18"/>
                <w:szCs w:val="18"/>
              </w:rPr>
              <w:fldChar w:fldCharType="end"/>
            </w:r>
            <w:bookmarkEnd w:id="10"/>
            <w:r w:rsidRPr="00665CF4">
              <w:rPr>
                <w:rFonts w:ascii="Tahoma" w:hAnsi="Tahoma" w:cs="Tahoma"/>
                <w:b/>
                <w:sz w:val="18"/>
                <w:szCs w:val="18"/>
              </w:rPr>
              <w:t xml:space="preserve"> </w:t>
            </w:r>
            <w:r w:rsidRPr="00665CF4">
              <w:rPr>
                <w:rFonts w:ascii="Tahoma" w:hAnsi="Tahoma" w:cs="Tahoma"/>
                <w:i/>
                <w:sz w:val="18"/>
                <w:szCs w:val="18"/>
              </w:rPr>
              <w:t>Please specify:</w:t>
            </w:r>
            <w:r w:rsidR="00720C61">
              <w:rPr>
                <w:rFonts w:ascii="Tahoma" w:hAnsi="Tahoma" w:cs="Tahoma"/>
                <w:i/>
                <w:sz w:val="18"/>
                <w:szCs w:val="18"/>
              </w:rPr>
              <w:t xml:space="preserve"> </w:t>
            </w:r>
            <w:r>
              <w:rPr>
                <w:rFonts w:ascii="Tahoma" w:hAnsi="Tahoma" w:cs="Tahoma"/>
                <w:sz w:val="18"/>
                <w:szCs w:val="18"/>
              </w:rPr>
              <w:t>University of Bristol</w:t>
            </w:r>
            <w:r w:rsidRPr="00665CF4">
              <w:rPr>
                <w:rFonts w:ascii="Tahoma" w:hAnsi="Tahoma" w:cs="Tahoma"/>
                <w:b/>
                <w:sz w:val="18"/>
                <w:szCs w:val="18"/>
              </w:rPr>
              <w:tab/>
            </w:r>
          </w:p>
          <w:p w14:paraId="3299060A" w14:textId="77777777" w:rsidR="00A7298C" w:rsidRPr="00665CF4" w:rsidRDefault="00A7298C" w:rsidP="00154BA9">
            <w:pPr>
              <w:ind w:left="360"/>
              <w:rPr>
                <w:rFonts w:ascii="Tahoma" w:hAnsi="Tahoma" w:cs="Tahoma"/>
                <w:sz w:val="18"/>
                <w:szCs w:val="18"/>
              </w:rPr>
            </w:pPr>
            <w:r w:rsidRPr="00665CF4">
              <w:rPr>
                <w:rFonts w:ascii="Tahoma" w:hAnsi="Tahoma" w:cs="Tahoma"/>
                <w:sz w:val="18"/>
                <w:szCs w:val="18"/>
              </w:rPr>
              <w:t>Government Department</w:t>
            </w:r>
            <w:r w:rsidRPr="00665CF4">
              <w:rPr>
                <w:rFonts w:ascii="Tahoma" w:hAnsi="Tahoma" w:cs="Tahoma"/>
                <w:sz w:val="18"/>
                <w:szCs w:val="18"/>
              </w:rPr>
              <w:tab/>
            </w:r>
            <w:r w:rsidR="006F2D01" w:rsidRPr="00665CF4">
              <w:rPr>
                <w:rFonts w:ascii="Tahoma" w:hAnsi="Tahoma" w:cs="Tahoma"/>
                <w:b/>
                <w:sz w:val="18"/>
                <w:szCs w:val="18"/>
              </w:rPr>
              <w:fldChar w:fldCharType="begin">
                <w:ffData>
                  <w:name w:val="Check14"/>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b/>
                <w:sz w:val="18"/>
                <w:szCs w:val="18"/>
              </w:rPr>
              <w:t xml:space="preserve"> </w:t>
            </w:r>
            <w:r w:rsidRPr="00665CF4">
              <w:rPr>
                <w:rFonts w:ascii="Tahoma" w:hAnsi="Tahoma" w:cs="Tahoma"/>
                <w:i/>
                <w:sz w:val="18"/>
                <w:szCs w:val="18"/>
              </w:rPr>
              <w:t>Please specify:</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r w:rsidRPr="00665CF4">
              <w:rPr>
                <w:rFonts w:ascii="Tahoma" w:hAnsi="Tahoma" w:cs="Tahoma"/>
                <w:sz w:val="18"/>
                <w:szCs w:val="18"/>
              </w:rPr>
              <w:tab/>
              <w:t>Research Service Provider</w:t>
            </w:r>
            <w:r w:rsidRPr="00665CF4">
              <w:rPr>
                <w:rFonts w:ascii="Tahoma" w:hAnsi="Tahoma" w:cs="Tahoma"/>
                <w:sz w:val="18"/>
                <w:szCs w:val="18"/>
              </w:rPr>
              <w:tab/>
            </w:r>
            <w:r w:rsidR="006F2D01" w:rsidRPr="00665CF4">
              <w:rPr>
                <w:rFonts w:ascii="Tahoma" w:hAnsi="Tahoma" w:cs="Tahoma"/>
                <w:b/>
                <w:sz w:val="18"/>
                <w:szCs w:val="18"/>
              </w:rPr>
              <w:fldChar w:fldCharType="begin">
                <w:ffData>
                  <w:name w:val="Check13"/>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b/>
                <w:sz w:val="18"/>
                <w:szCs w:val="18"/>
              </w:rPr>
              <w:t xml:space="preserve"> </w:t>
            </w:r>
            <w:r w:rsidRPr="00665CF4">
              <w:rPr>
                <w:rFonts w:ascii="Tahoma" w:hAnsi="Tahoma" w:cs="Tahoma"/>
                <w:i/>
                <w:sz w:val="18"/>
                <w:szCs w:val="18"/>
              </w:rPr>
              <w:t>Please specify:</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p>
          <w:p w14:paraId="33896C6C" w14:textId="77777777" w:rsidR="00A7298C" w:rsidRPr="00665CF4" w:rsidRDefault="00A7298C" w:rsidP="00154BA9">
            <w:pPr>
              <w:ind w:left="360"/>
              <w:rPr>
                <w:rFonts w:ascii="Tahoma" w:hAnsi="Tahoma" w:cs="Tahoma"/>
                <w:sz w:val="18"/>
                <w:szCs w:val="18"/>
              </w:rPr>
            </w:pPr>
            <w:r w:rsidRPr="00665CF4">
              <w:rPr>
                <w:rFonts w:ascii="Tahoma" w:hAnsi="Tahoma" w:cs="Tahoma"/>
                <w:sz w:val="18"/>
                <w:szCs w:val="18"/>
              </w:rPr>
              <w:t>NHS</w:t>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12"/>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b/>
                <w:sz w:val="18"/>
                <w:szCs w:val="18"/>
              </w:rPr>
              <w:t xml:space="preserve"> </w:t>
            </w:r>
            <w:r w:rsidRPr="00665CF4">
              <w:rPr>
                <w:rFonts w:ascii="Tahoma" w:hAnsi="Tahoma" w:cs="Tahoma"/>
                <w:i/>
                <w:sz w:val="18"/>
                <w:szCs w:val="18"/>
              </w:rPr>
              <w:t>Please specify:</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r w:rsidRPr="00665CF4">
              <w:rPr>
                <w:rFonts w:ascii="Tahoma" w:hAnsi="Tahoma" w:cs="Tahoma"/>
                <w:sz w:val="18"/>
                <w:szCs w:val="18"/>
              </w:rPr>
              <w:tab/>
              <w:t>Other</w:t>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b/>
                <w:sz w:val="18"/>
                <w:szCs w:val="18"/>
              </w:rPr>
              <w:fldChar w:fldCharType="begin">
                <w:ffData>
                  <w:name w:val="Check12"/>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006F2D01" w:rsidRPr="00665CF4">
              <w:rPr>
                <w:rFonts w:ascii="Tahoma" w:hAnsi="Tahoma" w:cs="Tahoma"/>
                <w:b/>
                <w:sz w:val="18"/>
                <w:szCs w:val="18"/>
              </w:rPr>
              <w:fldChar w:fldCharType="end"/>
            </w:r>
            <w:r w:rsidRPr="00665CF4">
              <w:rPr>
                <w:rFonts w:ascii="Tahoma" w:hAnsi="Tahoma" w:cs="Tahoma"/>
                <w:sz w:val="18"/>
                <w:szCs w:val="18"/>
              </w:rPr>
              <w:t xml:space="preserve"> </w:t>
            </w:r>
            <w:r w:rsidRPr="00665CF4">
              <w:rPr>
                <w:rFonts w:ascii="Tahoma" w:hAnsi="Tahoma" w:cs="Tahoma"/>
                <w:i/>
                <w:sz w:val="18"/>
                <w:szCs w:val="18"/>
              </w:rPr>
              <w:t>Please specify:</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p>
          <w:p w14:paraId="3A114D51" w14:textId="77777777" w:rsidR="00A7298C" w:rsidRPr="00665CF4" w:rsidRDefault="00A7298C" w:rsidP="00154BA9">
            <w:pPr>
              <w:rPr>
                <w:rFonts w:ascii="Tahoma" w:hAnsi="Tahoma" w:cs="Tahoma"/>
                <w:sz w:val="18"/>
                <w:szCs w:val="18"/>
              </w:rPr>
            </w:pPr>
          </w:p>
        </w:tc>
      </w:tr>
      <w:tr w:rsidR="00154BA9" w:rsidRPr="00665CF4" w14:paraId="16621DE4" w14:textId="77777777" w:rsidTr="00154BA9">
        <w:tblPrEx>
          <w:tblLook w:val="0000" w:firstRow="0" w:lastRow="0" w:firstColumn="0" w:lastColumn="0" w:noHBand="0" w:noVBand="0"/>
        </w:tblPrEx>
        <w:trPr>
          <w:trHeight w:val="567"/>
        </w:trPr>
        <w:tc>
          <w:tcPr>
            <w:tcW w:w="9747" w:type="dxa"/>
            <w:vAlign w:val="center"/>
          </w:tcPr>
          <w:p w14:paraId="77D14FC3" w14:textId="77777777" w:rsidR="00154BA9" w:rsidRPr="00F350F0" w:rsidRDefault="00154BA9" w:rsidP="00154BA9">
            <w:pPr>
              <w:numPr>
                <w:ilvl w:val="0"/>
                <w:numId w:val="1"/>
              </w:numPr>
              <w:rPr>
                <w:rFonts w:ascii="Tahoma" w:hAnsi="Tahoma" w:cs="Tahoma"/>
                <w:sz w:val="18"/>
                <w:szCs w:val="18"/>
              </w:rPr>
            </w:pPr>
            <w:r w:rsidRPr="00F350F0">
              <w:rPr>
                <w:rFonts w:ascii="Tahoma" w:hAnsi="Tahoma" w:cs="Tahoma"/>
                <w:b/>
                <w:sz w:val="18"/>
                <w:szCs w:val="18"/>
              </w:rPr>
              <w:t>Data source</w:t>
            </w:r>
            <w:r w:rsidRPr="00F350F0">
              <w:rPr>
                <w:rFonts w:ascii="Tahoma" w:hAnsi="Tahoma" w:cs="Tahoma"/>
                <w:sz w:val="18"/>
                <w:szCs w:val="18"/>
              </w:rPr>
              <w:tab/>
            </w:r>
            <w:r w:rsidRPr="00F350F0">
              <w:rPr>
                <w:rFonts w:ascii="Tahoma" w:hAnsi="Tahoma" w:cs="Tahoma"/>
                <w:sz w:val="18"/>
                <w:szCs w:val="18"/>
              </w:rPr>
              <w:tab/>
            </w:r>
            <w:r w:rsidRPr="00F350F0">
              <w:rPr>
                <w:rFonts w:ascii="Tahoma" w:hAnsi="Tahoma" w:cs="Tahoma"/>
                <w:sz w:val="18"/>
                <w:szCs w:val="18"/>
              </w:rPr>
              <w:tab/>
            </w:r>
            <w:r w:rsidRPr="00F350F0">
              <w:rPr>
                <w:rFonts w:ascii="Tahoma" w:hAnsi="Tahoma" w:cs="Tahoma"/>
                <w:sz w:val="18"/>
                <w:szCs w:val="18"/>
              </w:rPr>
              <w:tab/>
            </w:r>
            <w:r w:rsidRPr="00F350F0">
              <w:rPr>
                <w:rFonts w:ascii="Tahoma" w:hAnsi="Tahoma" w:cs="Tahoma"/>
                <w:sz w:val="18"/>
                <w:szCs w:val="18"/>
              </w:rPr>
              <w:tab/>
            </w:r>
          </w:p>
          <w:p w14:paraId="33EDE347" w14:textId="77777777" w:rsidR="00154BA9" w:rsidRPr="00F350F0" w:rsidRDefault="00154BA9" w:rsidP="00154BA9">
            <w:pPr>
              <w:rPr>
                <w:rFonts w:ascii="Tahoma" w:hAnsi="Tahoma" w:cs="Tahoma"/>
                <w:sz w:val="18"/>
                <w:szCs w:val="18"/>
              </w:rPr>
            </w:pPr>
          </w:p>
          <w:p w14:paraId="4834E2F3" w14:textId="77777777" w:rsidR="00154BA9" w:rsidRDefault="00154BA9" w:rsidP="00154BA9">
            <w:pPr>
              <w:tabs>
                <w:tab w:val="left" w:pos="7559"/>
              </w:tabs>
              <w:ind w:left="360"/>
              <w:rPr>
                <w:rFonts w:ascii="Tahoma" w:hAnsi="Tahoma" w:cs="Tahoma"/>
                <w:b/>
                <w:sz w:val="18"/>
                <w:szCs w:val="18"/>
              </w:rPr>
            </w:pPr>
            <w:r w:rsidRPr="00F350F0">
              <w:rPr>
                <w:rFonts w:ascii="Tahoma" w:hAnsi="Tahoma" w:cs="Tahoma"/>
                <w:sz w:val="18"/>
                <w:szCs w:val="18"/>
              </w:rPr>
              <w:t>The sponsor has direct access to CPRD GOLD and will extract the relevant data*</w:t>
            </w:r>
            <w:r>
              <w:rPr>
                <w:rFonts w:ascii="Tahoma" w:hAnsi="Tahoma" w:cs="Tahoma"/>
                <w:sz w:val="18"/>
                <w:szCs w:val="18"/>
              </w:rPr>
              <w:tab/>
            </w:r>
            <w:r>
              <w:rPr>
                <w:rFonts w:ascii="Tahoma" w:hAnsi="Tahoma" w:cs="Tahoma"/>
                <w:sz w:val="18"/>
                <w:szCs w:val="18"/>
              </w:rPr>
              <w:tab/>
            </w:r>
            <w:r>
              <w:rPr>
                <w:rFonts w:ascii="Tahoma" w:hAnsi="Tahoma" w:cs="Tahoma"/>
                <w:b/>
                <w:sz w:val="18"/>
                <w:szCs w:val="18"/>
              </w:rPr>
              <w:fldChar w:fldCharType="begin">
                <w:ffData>
                  <w:name w:val=""/>
                  <w:enabled/>
                  <w:calcOnExit w:val="0"/>
                  <w:checkBox>
                    <w:sizeAuto/>
                    <w:default w:val="1"/>
                  </w:checkBox>
                </w:ffData>
              </w:fldChar>
            </w:r>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Pr>
                <w:rFonts w:ascii="Tahoma" w:hAnsi="Tahoma" w:cs="Tahoma"/>
                <w:b/>
                <w:sz w:val="18"/>
                <w:szCs w:val="18"/>
              </w:rPr>
              <w:fldChar w:fldCharType="end"/>
            </w:r>
          </w:p>
          <w:p w14:paraId="2FF35B0C" w14:textId="77777777" w:rsidR="00154BA9" w:rsidRPr="00665CF4" w:rsidRDefault="00154BA9" w:rsidP="00154BA9">
            <w:pPr>
              <w:ind w:left="360"/>
              <w:rPr>
                <w:rFonts w:ascii="Tahoma" w:hAnsi="Tahoma" w:cs="Tahoma"/>
                <w:sz w:val="18"/>
                <w:szCs w:val="18"/>
              </w:rPr>
            </w:pPr>
            <w:r w:rsidRPr="00665CF4">
              <w:rPr>
                <w:rFonts w:ascii="Tahoma" w:hAnsi="Tahoma" w:cs="Tahoma"/>
                <w:b/>
                <w:sz w:val="18"/>
                <w:szCs w:val="18"/>
              </w:rPr>
              <w:t xml:space="preserve"> </w:t>
            </w:r>
          </w:p>
          <w:p w14:paraId="25F89BE0" w14:textId="77777777" w:rsidR="00154BA9" w:rsidRDefault="00154BA9" w:rsidP="00154BA9">
            <w:pPr>
              <w:tabs>
                <w:tab w:val="left" w:pos="7741"/>
              </w:tabs>
              <w:ind w:left="360"/>
              <w:rPr>
                <w:rFonts w:ascii="Tahoma" w:hAnsi="Tahoma" w:cs="Tahoma"/>
                <w:b/>
                <w:sz w:val="18"/>
                <w:szCs w:val="18"/>
              </w:rPr>
            </w:pPr>
            <w:r w:rsidRPr="00665CF4">
              <w:rPr>
                <w:rFonts w:ascii="Tahoma" w:hAnsi="Tahoma" w:cs="Tahoma"/>
                <w:sz w:val="18"/>
                <w:szCs w:val="18"/>
              </w:rPr>
              <w:t>A data set will be supplied by CPRD**</w:t>
            </w:r>
            <w:r>
              <w:rPr>
                <w:rFonts w:ascii="Tahoma" w:hAnsi="Tahoma" w:cs="Tahoma"/>
                <w:sz w:val="18"/>
                <w:szCs w:val="18"/>
              </w:rPr>
              <w:tab/>
            </w:r>
            <w:r>
              <w:rPr>
                <w:rFonts w:ascii="Tahoma" w:hAnsi="Tahoma" w:cs="Tahoma"/>
                <w:sz w:val="18"/>
                <w:szCs w:val="18"/>
              </w:rPr>
              <w:tab/>
            </w:r>
            <w:r w:rsidRPr="00665CF4">
              <w:rPr>
                <w:rFonts w:ascii="Tahoma" w:hAnsi="Tahoma" w:cs="Tahoma"/>
                <w:b/>
                <w:sz w:val="18"/>
                <w:szCs w:val="18"/>
              </w:rPr>
              <w:fldChar w:fldCharType="begin">
                <w:ffData>
                  <w:name w:val="Check9"/>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Pr="00665CF4">
              <w:rPr>
                <w:rFonts w:ascii="Tahoma" w:hAnsi="Tahoma" w:cs="Tahoma"/>
                <w:b/>
                <w:sz w:val="18"/>
                <w:szCs w:val="18"/>
              </w:rPr>
              <w:fldChar w:fldCharType="end"/>
            </w:r>
          </w:p>
          <w:p w14:paraId="4D80A2E9" w14:textId="77777777" w:rsidR="00154BA9" w:rsidRPr="00665CF4" w:rsidRDefault="00154BA9" w:rsidP="00154BA9">
            <w:pPr>
              <w:ind w:left="360"/>
              <w:rPr>
                <w:rFonts w:ascii="Tahoma" w:hAnsi="Tahoma" w:cs="Tahoma"/>
                <w:b/>
                <w:sz w:val="18"/>
                <w:szCs w:val="18"/>
              </w:rPr>
            </w:pPr>
          </w:p>
          <w:p w14:paraId="5AF6A9DF" w14:textId="77777777" w:rsidR="00154BA9" w:rsidRPr="00665CF4" w:rsidRDefault="00154BA9" w:rsidP="00154BA9">
            <w:pPr>
              <w:ind w:left="360"/>
              <w:rPr>
                <w:rFonts w:ascii="Tahoma" w:hAnsi="Tahoma" w:cs="Tahoma"/>
                <w:b/>
                <w:sz w:val="18"/>
                <w:szCs w:val="18"/>
              </w:rPr>
            </w:pPr>
            <w:r w:rsidRPr="00665CF4">
              <w:rPr>
                <w:rFonts w:ascii="Tahoma" w:hAnsi="Tahoma" w:cs="Tahoma"/>
                <w:sz w:val="18"/>
                <w:szCs w:val="18"/>
              </w:rPr>
              <w:t xml:space="preserve">CPRD has been commissioned to extract the relevant data and to perform the analyses </w:t>
            </w:r>
            <w:r>
              <w:rPr>
                <w:rFonts w:ascii="Tahoma" w:hAnsi="Tahoma" w:cs="Tahoma"/>
                <w:sz w:val="18"/>
                <w:szCs w:val="18"/>
              </w:rPr>
              <w:tab/>
            </w:r>
            <w:r w:rsidRPr="00665CF4">
              <w:rPr>
                <w:rFonts w:ascii="Tahoma" w:hAnsi="Tahoma" w:cs="Tahoma"/>
                <w:b/>
                <w:sz w:val="18"/>
                <w:szCs w:val="18"/>
              </w:rPr>
              <w:fldChar w:fldCharType="begin">
                <w:ffData>
                  <w:name w:val="Check9"/>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Pr="00665CF4">
              <w:rPr>
                <w:rFonts w:ascii="Tahoma" w:hAnsi="Tahoma" w:cs="Tahoma"/>
                <w:b/>
                <w:sz w:val="18"/>
                <w:szCs w:val="18"/>
              </w:rPr>
              <w:fldChar w:fldCharType="end"/>
            </w:r>
            <w:r>
              <w:rPr>
                <w:rFonts w:ascii="Tahoma" w:hAnsi="Tahoma" w:cs="Tahoma"/>
                <w:sz w:val="18"/>
                <w:szCs w:val="18"/>
              </w:rPr>
              <w:t xml:space="preserve"> </w:t>
            </w:r>
          </w:p>
          <w:p w14:paraId="43DFB910" w14:textId="77777777" w:rsidR="00154BA9" w:rsidRPr="00665CF4" w:rsidRDefault="00154BA9" w:rsidP="00154BA9">
            <w:pPr>
              <w:ind w:left="360"/>
              <w:rPr>
                <w:rFonts w:ascii="Tahoma" w:hAnsi="Tahoma" w:cs="Tahoma"/>
                <w:sz w:val="18"/>
                <w:szCs w:val="18"/>
              </w:rPr>
            </w:pPr>
            <w:r w:rsidRPr="00665CF4">
              <w:rPr>
                <w:rFonts w:ascii="Tahoma" w:hAnsi="Tahoma" w:cs="Tahoma"/>
                <w:sz w:val="18"/>
                <w:szCs w:val="18"/>
              </w:rPr>
              <w:t xml:space="preserve">Other </w:t>
            </w:r>
            <w:r w:rsidRPr="00665CF4">
              <w:rPr>
                <w:rFonts w:ascii="Tahoma" w:hAnsi="Tahoma" w:cs="Tahoma"/>
                <w:b/>
                <w:sz w:val="18"/>
                <w:szCs w:val="18"/>
              </w:rPr>
              <w:fldChar w:fldCharType="begin">
                <w:ffData>
                  <w:name w:val="Check9"/>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Pr="00665CF4">
              <w:rPr>
                <w:rFonts w:ascii="Tahoma" w:hAnsi="Tahoma" w:cs="Tahoma"/>
                <w:b/>
                <w:sz w:val="18"/>
                <w:szCs w:val="18"/>
              </w:rPr>
              <w:fldChar w:fldCharType="end"/>
            </w:r>
            <w:r>
              <w:rPr>
                <w:rFonts w:ascii="Tahoma" w:hAnsi="Tahoma" w:cs="Tahoma"/>
                <w:b/>
                <w:sz w:val="18"/>
                <w:szCs w:val="18"/>
              </w:rPr>
              <w:t xml:space="preserve">    </w:t>
            </w:r>
            <w:r w:rsidRPr="00665CF4">
              <w:rPr>
                <w:rFonts w:ascii="Tahoma" w:hAnsi="Tahoma" w:cs="Tahoma"/>
                <w:i/>
                <w:sz w:val="18"/>
                <w:szCs w:val="18"/>
              </w:rPr>
              <w:t>Please specify:</w:t>
            </w:r>
            <w:r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Pr="00665CF4">
              <w:rPr>
                <w:rFonts w:ascii="Tahoma" w:hAnsi="Tahoma" w:cs="Tahoma"/>
                <w:sz w:val="18"/>
                <w:szCs w:val="18"/>
              </w:rPr>
            </w:r>
            <w:r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hAnsi="Tahoma" w:cs="Tahoma"/>
                <w:sz w:val="18"/>
                <w:szCs w:val="18"/>
              </w:rPr>
              <w:fldChar w:fldCharType="end"/>
            </w:r>
            <w:r>
              <w:rPr>
                <w:rFonts w:ascii="Tahoma" w:hAnsi="Tahoma" w:cs="Tahoma"/>
                <w:sz w:val="18"/>
                <w:szCs w:val="18"/>
              </w:rPr>
              <w:t xml:space="preserve"> </w:t>
            </w:r>
          </w:p>
          <w:p w14:paraId="78CB679C" w14:textId="77777777" w:rsidR="00154BA9" w:rsidRPr="00665CF4" w:rsidRDefault="00154BA9" w:rsidP="00154BA9">
            <w:pPr>
              <w:ind w:left="360"/>
              <w:rPr>
                <w:rFonts w:ascii="Tahoma" w:hAnsi="Tahoma" w:cs="Tahoma"/>
                <w:sz w:val="18"/>
                <w:szCs w:val="18"/>
              </w:rPr>
            </w:pP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r>
            <w:r w:rsidRPr="00665CF4">
              <w:rPr>
                <w:rFonts w:ascii="Tahoma" w:hAnsi="Tahoma" w:cs="Tahoma"/>
                <w:sz w:val="18"/>
                <w:szCs w:val="18"/>
              </w:rPr>
              <w:tab/>
              <w:t xml:space="preserve"> </w:t>
            </w:r>
          </w:p>
          <w:p w14:paraId="2E52D2D8" w14:textId="77777777" w:rsidR="00154BA9" w:rsidRPr="00831154" w:rsidRDefault="00154BA9" w:rsidP="00154BA9">
            <w:pPr>
              <w:rPr>
                <w:sz w:val="18"/>
                <w:szCs w:val="18"/>
              </w:rPr>
            </w:pPr>
            <w:r w:rsidRPr="00831154">
              <w:rPr>
                <w:sz w:val="18"/>
                <w:szCs w:val="18"/>
              </w:rPr>
              <w:t>*If data sources other than CPRD GOLD are required, these will be supplied by CPRD</w:t>
            </w:r>
            <w:r>
              <w:rPr>
                <w:sz w:val="18"/>
                <w:szCs w:val="18"/>
              </w:rPr>
              <w:t>. The School of Social and Community Medicine is currently finalising a contract for CPRD GOLD access.</w:t>
            </w:r>
          </w:p>
          <w:p w14:paraId="3A6F7605" w14:textId="77777777" w:rsidR="00154BA9" w:rsidRDefault="00154BA9" w:rsidP="00154BA9">
            <w:pPr>
              <w:rPr>
                <w:sz w:val="18"/>
                <w:szCs w:val="18"/>
              </w:rPr>
            </w:pPr>
            <w:r w:rsidRPr="00831154">
              <w:rPr>
                <w:sz w:val="18"/>
                <w:szCs w:val="18"/>
              </w:rPr>
              <w:t>** Please note that datasets provided by CPRD are limited in size.  Applicants should contact CPRD (</w:t>
            </w:r>
            <w:hyperlink r:id="rId11" w:history="1">
              <w:r w:rsidRPr="00831154">
                <w:rPr>
                  <w:rStyle w:val="Hyperlink"/>
                  <w:sz w:val="18"/>
                  <w:szCs w:val="18"/>
                </w:rPr>
                <w:t>KC@CPRD.com</w:t>
              </w:r>
            </w:hyperlink>
            <w:r w:rsidRPr="00831154">
              <w:rPr>
                <w:sz w:val="18"/>
                <w:szCs w:val="18"/>
              </w:rPr>
              <w:t>) if a dataset of &gt;300,000 patients is required.</w:t>
            </w:r>
          </w:p>
          <w:p w14:paraId="610F7794" w14:textId="77777777" w:rsidR="00154BA9" w:rsidRPr="00665CF4" w:rsidRDefault="00154BA9" w:rsidP="00154BA9">
            <w:pPr>
              <w:rPr>
                <w:sz w:val="18"/>
                <w:szCs w:val="18"/>
              </w:rPr>
            </w:pPr>
          </w:p>
          <w:p w14:paraId="296B59D6" w14:textId="77777777" w:rsidR="00154BA9" w:rsidRPr="00665CF4" w:rsidRDefault="00154BA9" w:rsidP="00154BA9">
            <w:pPr>
              <w:rPr>
                <w:rFonts w:ascii="Tahoma" w:hAnsi="Tahoma" w:cs="Tahoma"/>
                <w:sz w:val="16"/>
                <w:szCs w:val="16"/>
              </w:rPr>
            </w:pPr>
          </w:p>
        </w:tc>
      </w:tr>
      <w:tr w:rsidR="00154BA9" w:rsidRPr="00665CF4" w14:paraId="33501624" w14:textId="77777777" w:rsidTr="00154BA9">
        <w:tblPrEx>
          <w:tblLook w:val="0000" w:firstRow="0" w:lastRow="0" w:firstColumn="0" w:lastColumn="0" w:noHBand="0" w:noVBand="0"/>
        </w:tblPrEx>
        <w:trPr>
          <w:trHeight w:val="567"/>
        </w:trPr>
        <w:tc>
          <w:tcPr>
            <w:tcW w:w="9747" w:type="dxa"/>
            <w:vAlign w:val="center"/>
          </w:tcPr>
          <w:p w14:paraId="4D2181AE" w14:textId="77777777" w:rsidR="00154BA9" w:rsidRPr="00665CF4" w:rsidRDefault="00154BA9" w:rsidP="00154BA9">
            <w:pPr>
              <w:numPr>
                <w:ilvl w:val="0"/>
                <w:numId w:val="1"/>
              </w:numPr>
              <w:rPr>
                <w:rFonts w:ascii="Tahoma" w:hAnsi="Tahoma" w:cs="Tahoma"/>
                <w:sz w:val="18"/>
                <w:szCs w:val="18"/>
              </w:rPr>
            </w:pPr>
            <w:r w:rsidRPr="00120BC7">
              <w:rPr>
                <w:rFonts w:ascii="Tahoma" w:hAnsi="Tahoma" w:cs="Tahoma"/>
                <w:b/>
                <w:sz w:val="18"/>
                <w:szCs w:val="18"/>
              </w:rPr>
              <w:t>Primary care data</w:t>
            </w:r>
            <w:r w:rsidRPr="00665CF4">
              <w:rPr>
                <w:rFonts w:ascii="Tahoma" w:hAnsi="Tahoma" w:cs="Tahoma"/>
                <w:sz w:val="18"/>
                <w:szCs w:val="18"/>
              </w:rPr>
              <w:t xml:space="preserve"> (please specify which primary care data set(s) are required)</w:t>
            </w:r>
          </w:p>
          <w:p w14:paraId="1978BF7D" w14:textId="77777777" w:rsidR="00154BA9" w:rsidRPr="00665CF4" w:rsidRDefault="00154BA9" w:rsidP="00154BA9">
            <w:pPr>
              <w:tabs>
                <w:tab w:val="left" w:pos="3686"/>
              </w:tabs>
              <w:ind w:left="360"/>
              <w:rPr>
                <w:rFonts w:ascii="Tahoma" w:hAnsi="Tahoma" w:cs="Tahoma"/>
                <w:sz w:val="18"/>
                <w:szCs w:val="18"/>
              </w:rPr>
            </w:pPr>
            <w:r w:rsidRPr="00665CF4">
              <w:rPr>
                <w:rFonts w:ascii="Tahoma" w:hAnsi="Tahoma" w:cs="Tahoma"/>
                <w:sz w:val="18"/>
                <w:szCs w:val="18"/>
              </w:rPr>
              <w:t>Vision only (Default for CPRD studies)</w:t>
            </w:r>
            <w:r>
              <w:rPr>
                <w:rFonts w:ascii="Tahoma" w:hAnsi="Tahoma" w:cs="Tahoma"/>
                <w:sz w:val="18"/>
                <w:szCs w:val="18"/>
              </w:rPr>
              <w:t xml:space="preserve"> </w:t>
            </w:r>
            <w:r>
              <w:rPr>
                <w:rFonts w:ascii="Tahoma" w:hAnsi="Tahoma" w:cs="Tahoma"/>
                <w:sz w:val="18"/>
                <w:szCs w:val="18"/>
              </w:rPr>
              <w:tab/>
            </w:r>
            <w:r>
              <w:rPr>
                <w:rFonts w:ascii="Tahoma" w:hAnsi="Tahoma" w:cs="Tahoma"/>
                <w:b/>
                <w:sz w:val="18"/>
                <w:szCs w:val="18"/>
              </w:rPr>
              <w:fldChar w:fldCharType="begin">
                <w:ffData>
                  <w:name w:val="Check9"/>
                  <w:enabled/>
                  <w:calcOnExit w:val="0"/>
                  <w:checkBox>
                    <w:sizeAuto/>
                    <w:default w:val="1"/>
                  </w:checkBox>
                </w:ffData>
              </w:fldChar>
            </w:r>
            <w:bookmarkStart w:id="11" w:name="Check9"/>
            <w:r>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Pr>
                <w:rFonts w:ascii="Tahoma" w:hAnsi="Tahoma" w:cs="Tahoma"/>
                <w:b/>
                <w:sz w:val="18"/>
                <w:szCs w:val="18"/>
              </w:rPr>
              <w:fldChar w:fldCharType="end"/>
            </w:r>
            <w:bookmarkEnd w:id="11"/>
            <w:r w:rsidRPr="00665CF4">
              <w:rPr>
                <w:rFonts w:ascii="Tahoma" w:hAnsi="Tahoma" w:cs="Tahoma"/>
                <w:b/>
                <w:sz w:val="18"/>
                <w:szCs w:val="18"/>
              </w:rPr>
              <w:t xml:space="preserve">  </w:t>
            </w:r>
          </w:p>
          <w:p w14:paraId="4856D8A1" w14:textId="77777777" w:rsidR="00154BA9" w:rsidRPr="00665CF4" w:rsidRDefault="00154BA9" w:rsidP="00154BA9">
            <w:pPr>
              <w:tabs>
                <w:tab w:val="left" w:pos="3686"/>
              </w:tabs>
              <w:ind w:left="360"/>
              <w:rPr>
                <w:rFonts w:ascii="Tahoma" w:hAnsi="Tahoma" w:cs="Tahoma"/>
                <w:b/>
                <w:sz w:val="18"/>
                <w:szCs w:val="18"/>
              </w:rPr>
            </w:pPr>
            <w:r w:rsidRPr="00665CF4">
              <w:rPr>
                <w:rFonts w:ascii="Tahoma" w:hAnsi="Tahoma" w:cs="Tahoma"/>
                <w:sz w:val="18"/>
                <w:szCs w:val="18"/>
              </w:rPr>
              <w:t>EMIS</w:t>
            </w:r>
            <w:r w:rsidRPr="00665CF4">
              <w:rPr>
                <w:rFonts w:ascii="Tahoma" w:hAnsi="Tahoma" w:cs="Tahoma"/>
                <w:sz w:val="18"/>
                <w:szCs w:val="18"/>
                <w:vertAlign w:val="superscript"/>
              </w:rPr>
              <w:t>®</w:t>
            </w:r>
            <w:r w:rsidRPr="00665CF4">
              <w:rPr>
                <w:rFonts w:ascii="Tahoma" w:hAnsi="Tahoma" w:cs="Tahoma"/>
                <w:sz w:val="18"/>
                <w:szCs w:val="18"/>
              </w:rPr>
              <w:t xml:space="preserve"> only*</w:t>
            </w:r>
            <w:r>
              <w:rPr>
                <w:rFonts w:ascii="Tahoma" w:hAnsi="Tahoma" w:cs="Tahoma"/>
                <w:sz w:val="18"/>
                <w:szCs w:val="18"/>
              </w:rPr>
              <w:t xml:space="preserve">                                </w:t>
            </w:r>
            <w:r>
              <w:rPr>
                <w:rFonts w:ascii="Tahoma" w:hAnsi="Tahoma" w:cs="Tahoma"/>
                <w:sz w:val="18"/>
                <w:szCs w:val="18"/>
              </w:rPr>
              <w:tab/>
            </w:r>
            <w:r w:rsidRPr="00665CF4">
              <w:rPr>
                <w:rFonts w:ascii="Tahoma" w:hAnsi="Tahoma" w:cs="Tahoma"/>
                <w:b/>
                <w:sz w:val="18"/>
                <w:szCs w:val="18"/>
              </w:rPr>
              <w:fldChar w:fldCharType="begin">
                <w:ffData>
                  <w:name w:val=""/>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Pr="00665CF4">
              <w:rPr>
                <w:rFonts w:ascii="Tahoma" w:hAnsi="Tahoma" w:cs="Tahoma"/>
                <w:b/>
                <w:sz w:val="18"/>
                <w:szCs w:val="18"/>
              </w:rPr>
              <w:fldChar w:fldCharType="end"/>
            </w:r>
          </w:p>
          <w:p w14:paraId="46C1777F" w14:textId="77777777" w:rsidR="00154BA9" w:rsidRPr="00665CF4" w:rsidRDefault="00154BA9" w:rsidP="00154BA9">
            <w:pPr>
              <w:tabs>
                <w:tab w:val="left" w:pos="3686"/>
              </w:tabs>
              <w:ind w:left="360"/>
              <w:rPr>
                <w:rFonts w:ascii="Tahoma" w:hAnsi="Tahoma" w:cs="Tahoma"/>
                <w:b/>
                <w:sz w:val="18"/>
                <w:szCs w:val="18"/>
              </w:rPr>
            </w:pPr>
            <w:r w:rsidRPr="00665CF4">
              <w:rPr>
                <w:rFonts w:ascii="Tahoma" w:hAnsi="Tahoma" w:cs="Tahoma"/>
                <w:sz w:val="18"/>
                <w:szCs w:val="18"/>
              </w:rPr>
              <w:t>Both Vision and EMIS</w:t>
            </w:r>
            <w:r w:rsidRPr="00665CF4">
              <w:rPr>
                <w:rFonts w:ascii="Tahoma" w:hAnsi="Tahoma" w:cs="Tahoma"/>
                <w:sz w:val="18"/>
                <w:szCs w:val="18"/>
                <w:vertAlign w:val="superscript"/>
              </w:rPr>
              <w:t>®</w:t>
            </w:r>
            <w:r w:rsidRPr="00665CF4">
              <w:rPr>
                <w:rFonts w:ascii="Tahoma" w:hAnsi="Tahoma" w:cs="Tahoma"/>
                <w:sz w:val="18"/>
                <w:szCs w:val="18"/>
              </w:rPr>
              <w:t>*</w:t>
            </w:r>
            <w:r>
              <w:rPr>
                <w:rFonts w:ascii="Tahoma" w:hAnsi="Tahoma" w:cs="Tahoma"/>
                <w:sz w:val="18"/>
                <w:szCs w:val="18"/>
              </w:rPr>
              <w:t xml:space="preserve"> </w:t>
            </w:r>
            <w:r w:rsidRPr="00665CF4">
              <w:rPr>
                <w:rFonts w:ascii="Tahoma" w:hAnsi="Tahoma" w:cs="Tahoma"/>
                <w:sz w:val="18"/>
                <w:szCs w:val="18"/>
              </w:rPr>
              <w:t xml:space="preserve">             </w:t>
            </w:r>
            <w:r>
              <w:rPr>
                <w:rFonts w:ascii="Tahoma" w:hAnsi="Tahoma" w:cs="Tahoma"/>
                <w:sz w:val="18"/>
                <w:szCs w:val="18"/>
              </w:rPr>
              <w:tab/>
            </w:r>
            <w:r w:rsidRPr="00665CF4">
              <w:rPr>
                <w:rFonts w:ascii="Tahoma" w:hAnsi="Tahoma" w:cs="Tahoma"/>
                <w:b/>
                <w:sz w:val="18"/>
                <w:szCs w:val="18"/>
              </w:rPr>
              <w:fldChar w:fldCharType="begin">
                <w:ffData>
                  <w:name w:val=""/>
                  <w:enabled/>
                  <w:calcOnExit w:val="0"/>
                  <w:checkBox>
                    <w:sizeAuto/>
                    <w:default w:val="0"/>
                  </w:checkBox>
                </w:ffData>
              </w:fldChar>
            </w:r>
            <w:r w:rsidRPr="00665CF4">
              <w:rPr>
                <w:rFonts w:ascii="Tahoma" w:hAnsi="Tahoma" w:cs="Tahoma"/>
                <w:b/>
                <w:sz w:val="18"/>
                <w:szCs w:val="18"/>
              </w:rPr>
              <w:instrText xml:space="preserve"> FORMCHECKBOX </w:instrText>
            </w:r>
            <w:r w:rsidR="001550A1">
              <w:rPr>
                <w:rFonts w:ascii="Tahoma" w:hAnsi="Tahoma" w:cs="Tahoma"/>
                <w:b/>
                <w:sz w:val="18"/>
                <w:szCs w:val="18"/>
              </w:rPr>
            </w:r>
            <w:r w:rsidR="001550A1">
              <w:rPr>
                <w:rFonts w:ascii="Tahoma" w:hAnsi="Tahoma" w:cs="Tahoma"/>
                <w:b/>
                <w:sz w:val="18"/>
                <w:szCs w:val="18"/>
              </w:rPr>
              <w:fldChar w:fldCharType="separate"/>
            </w:r>
            <w:r w:rsidRPr="00665CF4">
              <w:rPr>
                <w:rFonts w:ascii="Tahoma" w:hAnsi="Tahoma" w:cs="Tahoma"/>
                <w:b/>
                <w:sz w:val="18"/>
                <w:szCs w:val="18"/>
              </w:rPr>
              <w:fldChar w:fldCharType="end"/>
            </w:r>
          </w:p>
          <w:p w14:paraId="07122945" w14:textId="77777777" w:rsidR="00154BA9" w:rsidRPr="00665CF4" w:rsidRDefault="00154BA9" w:rsidP="00154BA9">
            <w:pPr>
              <w:ind w:left="360"/>
              <w:rPr>
                <w:rFonts w:ascii="Tahoma" w:hAnsi="Tahoma" w:cs="Tahoma"/>
                <w:b/>
                <w:sz w:val="18"/>
                <w:szCs w:val="18"/>
              </w:rPr>
            </w:pPr>
          </w:p>
          <w:p w14:paraId="5EC5DF48" w14:textId="77777777" w:rsidR="00154BA9" w:rsidRPr="00665CF4" w:rsidRDefault="00154BA9" w:rsidP="00154BA9">
            <w:pPr>
              <w:rPr>
                <w:rFonts w:ascii="Tahoma" w:hAnsi="Tahoma" w:cs="Tahoma"/>
                <w:i/>
                <w:sz w:val="18"/>
                <w:szCs w:val="18"/>
              </w:rPr>
            </w:pPr>
            <w:r>
              <w:rPr>
                <w:rFonts w:ascii="Tahoma" w:hAnsi="Tahoma" w:cs="Tahoma"/>
                <w:i/>
                <w:sz w:val="18"/>
                <w:szCs w:val="18"/>
              </w:rPr>
              <w:t>Note:</w:t>
            </w:r>
            <w:r w:rsidRPr="00665CF4">
              <w:rPr>
                <w:rFonts w:ascii="Tahoma" w:hAnsi="Tahoma" w:cs="Tahoma"/>
                <w:i/>
                <w:sz w:val="18"/>
                <w:szCs w:val="18"/>
              </w:rPr>
              <w:t xml:space="preserve"> Vision and EMIS are different clinical systems, Vision data has traditionally been used for CPRD, EMIS is currently undergoing beta-testing. </w:t>
            </w:r>
          </w:p>
          <w:p w14:paraId="6813B53B" w14:textId="77777777" w:rsidR="00154BA9" w:rsidRPr="00665CF4" w:rsidRDefault="00154BA9" w:rsidP="00154BA9">
            <w:pPr>
              <w:rPr>
                <w:rFonts w:ascii="Tahoma" w:hAnsi="Tahoma" w:cs="Tahoma"/>
                <w:i/>
                <w:sz w:val="18"/>
                <w:szCs w:val="18"/>
              </w:rPr>
            </w:pPr>
            <w:r w:rsidRPr="00665CF4">
              <w:rPr>
                <w:rFonts w:ascii="Tahoma" w:hAnsi="Tahoma" w:cs="Tahoma"/>
                <w:i/>
                <w:sz w:val="18"/>
                <w:szCs w:val="18"/>
              </w:rPr>
              <w:t>*Investigators requiring the use of E</w:t>
            </w:r>
            <w:r>
              <w:rPr>
                <w:rFonts w:ascii="Tahoma" w:hAnsi="Tahoma" w:cs="Tahoma"/>
                <w:i/>
                <w:sz w:val="18"/>
                <w:szCs w:val="18"/>
              </w:rPr>
              <w:t>MIS</w:t>
            </w:r>
            <w:r w:rsidRPr="00665CF4">
              <w:rPr>
                <w:rFonts w:ascii="Tahoma" w:hAnsi="Tahoma" w:cs="Tahoma"/>
                <w:i/>
                <w:sz w:val="18"/>
                <w:szCs w:val="18"/>
              </w:rPr>
              <w:t xml:space="preserve"> data must discuss the study with a member of CPRD staff before submitting an ISAC application</w:t>
            </w:r>
          </w:p>
          <w:p w14:paraId="571C7DBC" w14:textId="77777777" w:rsidR="00154BA9" w:rsidRPr="00665CF4" w:rsidRDefault="00154BA9" w:rsidP="00154BA9">
            <w:pPr>
              <w:tabs>
                <w:tab w:val="left" w:pos="780"/>
                <w:tab w:val="left" w:pos="3600"/>
              </w:tabs>
              <w:rPr>
                <w:rFonts w:ascii="Tahoma" w:hAnsi="Tahoma" w:cs="Tahoma"/>
                <w:sz w:val="18"/>
                <w:szCs w:val="18"/>
              </w:rPr>
            </w:pPr>
            <w:r w:rsidRPr="00665CF4">
              <w:rPr>
                <w:rFonts w:ascii="Tahoma" w:hAnsi="Tahoma" w:cs="Tahoma"/>
                <w:sz w:val="18"/>
                <w:szCs w:val="18"/>
              </w:rPr>
              <w:t>Please list below the name of the person/s at the CPRD with whom you have discussed your request for EMIS data:</w:t>
            </w:r>
          </w:p>
          <w:p w14:paraId="7B108550" w14:textId="77777777" w:rsidR="00154BA9" w:rsidRPr="00665CF4" w:rsidRDefault="00154BA9" w:rsidP="00154BA9">
            <w:pPr>
              <w:rPr>
                <w:rFonts w:ascii="Tahoma" w:hAnsi="Tahoma" w:cs="Tahoma"/>
                <w:sz w:val="18"/>
                <w:szCs w:val="18"/>
              </w:rPr>
            </w:pPr>
            <w:r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Pr="00665CF4">
              <w:rPr>
                <w:rFonts w:ascii="Tahoma" w:hAnsi="Tahoma" w:cs="Tahoma"/>
                <w:sz w:val="18"/>
                <w:szCs w:val="18"/>
              </w:rPr>
            </w:r>
            <w:r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hAnsi="Tahoma" w:cs="Tahoma"/>
                <w:sz w:val="18"/>
                <w:szCs w:val="18"/>
              </w:rPr>
              <w:fldChar w:fldCharType="end"/>
            </w:r>
            <w:r w:rsidRPr="00665CF4">
              <w:rPr>
                <w:rFonts w:ascii="Tahoma" w:hAnsi="Tahoma" w:cs="Tahoma"/>
                <w:sz w:val="18"/>
                <w:szCs w:val="18"/>
              </w:rPr>
              <w:tab/>
            </w:r>
          </w:p>
          <w:p w14:paraId="43D73D1B" w14:textId="77777777" w:rsidR="00154BA9" w:rsidRPr="00665CF4" w:rsidRDefault="00154BA9" w:rsidP="00154BA9">
            <w:pPr>
              <w:rPr>
                <w:rFonts w:ascii="Tahoma" w:hAnsi="Tahoma" w:cs="Tahoma"/>
                <w:sz w:val="18"/>
                <w:szCs w:val="18"/>
              </w:rPr>
            </w:pPr>
          </w:p>
        </w:tc>
      </w:tr>
    </w:tbl>
    <w:p w14:paraId="226E3B0C" w14:textId="77777777" w:rsidR="00A7298C" w:rsidRDefault="00A7298C"/>
    <w:p w14:paraId="79DBF846" w14:textId="77777777" w:rsidR="00154BA9" w:rsidRDefault="00154BA9">
      <w:r>
        <w:br w:type="page"/>
      </w:r>
    </w:p>
    <w:p w14:paraId="06D0891F" w14:textId="77777777" w:rsidR="00A7298C" w:rsidRDefault="00A7298C"/>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47"/>
      </w:tblGrid>
      <w:tr w:rsidR="00154BA9" w:rsidRPr="00665CF4" w14:paraId="0C018F55" w14:textId="77777777" w:rsidTr="00154BA9">
        <w:trPr>
          <w:trHeight w:val="261"/>
        </w:trPr>
        <w:tc>
          <w:tcPr>
            <w:tcW w:w="9747" w:type="dxa"/>
            <w:shd w:val="clear" w:color="auto" w:fill="auto"/>
            <w:vAlign w:val="center"/>
          </w:tcPr>
          <w:p w14:paraId="09292F20" w14:textId="77777777" w:rsidR="00154BA9" w:rsidRPr="00120BC7" w:rsidRDefault="00154BA9" w:rsidP="00154BA9">
            <w:pPr>
              <w:rPr>
                <w:rFonts w:ascii="Tahoma" w:hAnsi="Tahoma" w:cs="Tahoma"/>
                <w:b/>
                <w:sz w:val="18"/>
                <w:szCs w:val="18"/>
              </w:rPr>
            </w:pPr>
            <w:r w:rsidRPr="00120BC7">
              <w:rPr>
                <w:rFonts w:ascii="Tahoma" w:hAnsi="Tahoma" w:cs="Tahoma"/>
                <w:b/>
                <w:sz w:val="18"/>
                <w:szCs w:val="18"/>
              </w:rPr>
              <w:t>Section D: Data linkage</w:t>
            </w:r>
          </w:p>
        </w:tc>
      </w:tr>
      <w:tr w:rsidR="00154BA9" w:rsidRPr="00665CF4" w14:paraId="4D23E6A2" w14:textId="77777777" w:rsidTr="00154BA9">
        <w:trPr>
          <w:trHeight w:val="3785"/>
        </w:trPr>
        <w:tc>
          <w:tcPr>
            <w:tcW w:w="9747" w:type="dxa"/>
            <w:shd w:val="clear" w:color="auto" w:fill="auto"/>
            <w:vAlign w:val="center"/>
          </w:tcPr>
          <w:p w14:paraId="32E465E7" w14:textId="77777777" w:rsidR="00154BA9" w:rsidRPr="00120BC7" w:rsidRDefault="00154BA9" w:rsidP="00154BA9">
            <w:pPr>
              <w:numPr>
                <w:ilvl w:val="0"/>
                <w:numId w:val="1"/>
              </w:numPr>
              <w:rPr>
                <w:rFonts w:ascii="Tahoma" w:hAnsi="Tahoma" w:cs="Tahoma"/>
                <w:b/>
                <w:sz w:val="18"/>
                <w:szCs w:val="18"/>
              </w:rPr>
            </w:pPr>
            <w:r w:rsidRPr="00120BC7">
              <w:rPr>
                <w:rFonts w:ascii="Tahoma" w:hAnsi="Tahoma" w:cs="Tahoma"/>
                <w:b/>
                <w:sz w:val="18"/>
                <w:szCs w:val="18"/>
              </w:rPr>
              <w:t>Does this protocol also seek access to data held under the CPRD Data Linkage Scheme?</w:t>
            </w:r>
          </w:p>
          <w:p w14:paraId="7F262754" w14:textId="77777777" w:rsidR="00154BA9" w:rsidRPr="00120BC7" w:rsidRDefault="00154BA9" w:rsidP="00154BA9">
            <w:pPr>
              <w:rPr>
                <w:rFonts w:ascii="Tahoma" w:hAnsi="Tahoma" w:cs="Tahoma"/>
                <w:sz w:val="18"/>
                <w:szCs w:val="18"/>
              </w:rPr>
            </w:pPr>
          </w:p>
          <w:p w14:paraId="75BFCE9A" w14:textId="77777777" w:rsidR="00154BA9" w:rsidRPr="00120BC7" w:rsidRDefault="00154BA9" w:rsidP="00154BA9">
            <w:pPr>
              <w:ind w:left="360"/>
              <w:rPr>
                <w:rFonts w:ascii="Tahoma" w:hAnsi="Tahoma" w:cs="Tahoma"/>
                <w:sz w:val="18"/>
                <w:szCs w:val="18"/>
              </w:rPr>
            </w:pPr>
            <w:r w:rsidRPr="00120BC7">
              <w:rPr>
                <w:rFonts w:ascii="Tahoma" w:hAnsi="Tahoma" w:cs="Tahoma"/>
                <w:sz w:val="18"/>
                <w:szCs w:val="18"/>
              </w:rPr>
              <w:t>Yes*</w:t>
            </w:r>
            <w:r w:rsidRPr="00120BC7">
              <w:rPr>
                <w:rFonts w:ascii="Tahoma" w:hAnsi="Tahoma" w:cs="Tahoma"/>
                <w:sz w:val="18"/>
                <w:szCs w:val="18"/>
              </w:rPr>
              <w:tab/>
            </w:r>
            <w:r w:rsidRPr="00120BC7">
              <w:rPr>
                <w:rFonts w:ascii="Tahoma" w:hAnsi="Tahoma" w:cs="Tahoma"/>
                <w:sz w:val="18"/>
                <w:szCs w:val="18"/>
              </w:rPr>
              <w:tab/>
            </w:r>
            <w:r>
              <w:rPr>
                <w:rFonts w:ascii="Tahoma" w:hAnsi="Tahoma" w:cs="Tahoma"/>
                <w:sz w:val="18"/>
                <w:szCs w:val="18"/>
              </w:rPr>
              <w:fldChar w:fldCharType="begin">
                <w:ffData>
                  <w:name w:val=""/>
                  <w:enabled/>
                  <w:calcOnExit w:val="0"/>
                  <w:checkBox>
                    <w:sizeAuto/>
                    <w:default w:val="1"/>
                  </w:checkBox>
                </w:ffData>
              </w:fldChar>
            </w:r>
            <w:r>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Pr>
                <w:rFonts w:ascii="Tahoma" w:hAnsi="Tahoma" w:cs="Tahoma"/>
                <w:sz w:val="18"/>
                <w:szCs w:val="18"/>
              </w:rPr>
              <w:fldChar w:fldCharType="end"/>
            </w:r>
            <w:r w:rsidRPr="00120BC7">
              <w:rPr>
                <w:rFonts w:ascii="Tahoma" w:hAnsi="Tahoma" w:cs="Tahoma"/>
                <w:sz w:val="18"/>
                <w:szCs w:val="18"/>
              </w:rPr>
              <w:tab/>
            </w:r>
            <w:r w:rsidRPr="00120BC7">
              <w:rPr>
                <w:rFonts w:ascii="Tahoma" w:hAnsi="Tahoma" w:cs="Tahoma"/>
                <w:sz w:val="18"/>
                <w:szCs w:val="18"/>
              </w:rPr>
              <w:tab/>
              <w:t>No</w:t>
            </w:r>
            <w:r w:rsidRPr="00120BC7">
              <w:rPr>
                <w:rFonts w:ascii="Tahoma" w:hAnsi="Tahoma" w:cs="Tahoma"/>
                <w:sz w:val="18"/>
                <w:szCs w:val="18"/>
              </w:rPr>
              <w:tab/>
            </w:r>
            <w:r w:rsidRPr="00120BC7">
              <w:rPr>
                <w:rFonts w:ascii="Tahoma" w:hAnsi="Tahoma" w:cs="Tahoma"/>
                <w:sz w:val="18"/>
                <w:szCs w:val="18"/>
              </w:rPr>
              <w:tab/>
            </w:r>
            <w:r w:rsidRPr="00120BC7">
              <w:rPr>
                <w:rFonts w:ascii="Tahoma" w:hAnsi="Tahoma" w:cs="Tahoma"/>
                <w:sz w:val="18"/>
                <w:szCs w:val="18"/>
              </w:rPr>
              <w:fldChar w:fldCharType="begin">
                <w:ffData>
                  <w:name w:val="Check1"/>
                  <w:enabled/>
                  <w:calcOnExit w:val="0"/>
                  <w:checkBox>
                    <w:sizeAuto/>
                    <w:default w:val="0"/>
                    <w:checked w:val="0"/>
                  </w:checkBox>
                </w:ffData>
              </w:fldChar>
            </w:r>
            <w:r w:rsidRPr="00120BC7">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120BC7">
              <w:rPr>
                <w:rFonts w:ascii="Tahoma" w:hAnsi="Tahoma" w:cs="Tahoma"/>
                <w:sz w:val="18"/>
                <w:szCs w:val="18"/>
              </w:rPr>
              <w:fldChar w:fldCharType="end"/>
            </w:r>
          </w:p>
          <w:p w14:paraId="5A65EB58" w14:textId="77777777" w:rsidR="00154BA9" w:rsidRPr="00120BC7" w:rsidRDefault="00154BA9" w:rsidP="00154BA9">
            <w:pPr>
              <w:rPr>
                <w:rFonts w:ascii="Tahoma" w:hAnsi="Tahoma" w:cs="Tahoma"/>
                <w:b/>
                <w:sz w:val="18"/>
                <w:szCs w:val="18"/>
              </w:rPr>
            </w:pPr>
          </w:p>
          <w:p w14:paraId="1302837C" w14:textId="77777777" w:rsidR="00154BA9" w:rsidRPr="00120BC7" w:rsidRDefault="00154BA9" w:rsidP="00154BA9">
            <w:pPr>
              <w:rPr>
                <w:rFonts w:ascii="Tahoma" w:hAnsi="Tahoma" w:cs="Tahoma"/>
                <w:sz w:val="18"/>
                <w:szCs w:val="18"/>
              </w:rPr>
            </w:pPr>
            <w:r w:rsidRPr="00120BC7">
              <w:rPr>
                <w:rFonts w:ascii="Tahoma" w:hAnsi="Tahoma" w:cs="Tahoma"/>
                <w:sz w:val="18"/>
                <w:szCs w:val="18"/>
              </w:rPr>
              <w:t>If No, please move to section E.</w:t>
            </w:r>
          </w:p>
          <w:p w14:paraId="627AF0D4" w14:textId="77777777" w:rsidR="00154BA9" w:rsidRPr="00120BC7" w:rsidRDefault="00154BA9" w:rsidP="00154BA9">
            <w:pPr>
              <w:rPr>
                <w:rFonts w:ascii="Tahoma" w:hAnsi="Tahoma" w:cs="Tahoma"/>
                <w:sz w:val="18"/>
                <w:szCs w:val="18"/>
              </w:rPr>
            </w:pPr>
          </w:p>
          <w:p w14:paraId="2175EB7B" w14:textId="77777777" w:rsidR="00154BA9" w:rsidRPr="00120BC7" w:rsidRDefault="00154BA9" w:rsidP="00154BA9">
            <w:pPr>
              <w:rPr>
                <w:rFonts w:ascii="Tahoma" w:hAnsi="Tahoma" w:cs="Tahoma"/>
                <w:i/>
                <w:sz w:val="18"/>
                <w:szCs w:val="18"/>
              </w:rPr>
            </w:pPr>
            <w:r w:rsidRPr="00120BC7">
              <w:rPr>
                <w:rFonts w:ascii="Tahoma" w:hAnsi="Tahoma" w:cs="Tahoma"/>
                <w:i/>
                <w:sz w:val="18"/>
                <w:szCs w:val="18"/>
              </w:rPr>
              <w:t xml:space="preserve">*Investigators requiring linked data must discuss the study with a member of CPRD staff. It is important to be aware that linked data are not available for all patients in CPRD GOLD, the coverage periods for each data source may differ and charges may be applied. Please contact the CPRD Research Team on +44 (20) 3080 6383 or email </w:t>
            </w:r>
            <w:hyperlink r:id="rId12" w:history="1">
              <w:r w:rsidRPr="00120BC7">
                <w:rPr>
                  <w:rStyle w:val="Hyperlink"/>
                  <w:rFonts w:ascii="Tahoma" w:hAnsi="Tahoma" w:cs="Tahoma"/>
                  <w:i/>
                  <w:sz w:val="18"/>
                  <w:szCs w:val="18"/>
                </w:rPr>
                <w:t>kc@cprd.com</w:t>
              </w:r>
            </w:hyperlink>
            <w:r w:rsidRPr="00120BC7">
              <w:rPr>
                <w:rFonts w:ascii="Tahoma" w:hAnsi="Tahoma" w:cs="Tahoma"/>
                <w:i/>
                <w:sz w:val="18"/>
                <w:szCs w:val="18"/>
              </w:rPr>
              <w:t xml:space="preserve"> to discuss your requirements before submitting your application.</w:t>
            </w:r>
          </w:p>
          <w:p w14:paraId="43D787D4" w14:textId="77777777" w:rsidR="00154BA9" w:rsidRDefault="00154BA9" w:rsidP="00154BA9">
            <w:pPr>
              <w:tabs>
                <w:tab w:val="left" w:pos="780"/>
                <w:tab w:val="left" w:pos="3600"/>
              </w:tabs>
              <w:rPr>
                <w:rFonts w:ascii="Tahoma" w:hAnsi="Tahoma" w:cs="Tahoma"/>
                <w:sz w:val="18"/>
                <w:szCs w:val="18"/>
              </w:rPr>
            </w:pPr>
            <w:r w:rsidRPr="00120BC7">
              <w:rPr>
                <w:rFonts w:ascii="Tahoma" w:hAnsi="Tahoma" w:cs="Tahoma"/>
                <w:sz w:val="18"/>
                <w:szCs w:val="18"/>
              </w:rPr>
              <w:t>Please list below the name of the person/s at the CPRD with whom you have discussed your request:</w:t>
            </w:r>
          </w:p>
          <w:p w14:paraId="3E82A80F" w14:textId="77777777" w:rsidR="000B60BB" w:rsidRPr="00120BC7" w:rsidRDefault="000B60BB" w:rsidP="00154BA9">
            <w:pPr>
              <w:tabs>
                <w:tab w:val="left" w:pos="780"/>
                <w:tab w:val="left" w:pos="3600"/>
              </w:tabs>
              <w:rPr>
                <w:rFonts w:ascii="Tahoma" w:hAnsi="Tahoma" w:cs="Tahoma"/>
                <w:sz w:val="18"/>
                <w:szCs w:val="18"/>
              </w:rPr>
            </w:pPr>
          </w:p>
          <w:p w14:paraId="35760B56" w14:textId="77777777" w:rsidR="00154BA9" w:rsidRDefault="00E223D6" w:rsidP="00154BA9">
            <w:pPr>
              <w:spacing w:line="360" w:lineRule="auto"/>
              <w:rPr>
                <w:rFonts w:ascii="Tahoma" w:hAnsi="Tahoma" w:cs="Tahoma"/>
                <w:sz w:val="18"/>
                <w:szCs w:val="18"/>
              </w:rPr>
            </w:pPr>
            <w:r>
              <w:rPr>
                <w:rFonts w:ascii="Tahoma" w:hAnsi="Tahoma" w:cs="Tahoma"/>
                <w:sz w:val="18"/>
                <w:szCs w:val="18"/>
              </w:rPr>
              <w:t>Daniel Dedman</w:t>
            </w:r>
          </w:p>
          <w:p w14:paraId="0C9DAB73" w14:textId="77777777" w:rsidR="00154BA9" w:rsidRPr="00120BC7" w:rsidRDefault="00154BA9" w:rsidP="00154BA9">
            <w:pPr>
              <w:rPr>
                <w:rFonts w:ascii="Tahoma" w:hAnsi="Tahoma" w:cs="Tahoma"/>
                <w:i/>
                <w:sz w:val="16"/>
                <w:szCs w:val="16"/>
              </w:rPr>
            </w:pPr>
            <w:r w:rsidRPr="00120BC7">
              <w:rPr>
                <w:rFonts w:ascii="Tahoma" w:hAnsi="Tahoma" w:cs="Tahoma"/>
                <w:i/>
                <w:sz w:val="18"/>
                <w:szCs w:val="18"/>
              </w:rPr>
              <w:t>Please note that as part of the ISAC review of linkages, the protocol may be shared - in confidence - with a representative of the requested linked data set(s) and summary details may be shared - in confidence - with the Confidentiality Advisory Group of the Health Research Authority.</w:t>
            </w:r>
            <w:r w:rsidRPr="00120BC7">
              <w:rPr>
                <w:rFonts w:ascii="Tahoma" w:hAnsi="Tahoma" w:cs="Tahoma"/>
                <w:i/>
                <w:sz w:val="16"/>
                <w:szCs w:val="16"/>
              </w:rPr>
              <w:t xml:space="preserve"> </w:t>
            </w:r>
          </w:p>
          <w:p w14:paraId="17C72004" w14:textId="77777777" w:rsidR="00154BA9" w:rsidRPr="00120BC7" w:rsidRDefault="00154BA9" w:rsidP="00154BA9">
            <w:pPr>
              <w:rPr>
                <w:rFonts w:ascii="Tahoma" w:hAnsi="Tahoma" w:cs="Tahoma"/>
                <w:sz w:val="18"/>
                <w:szCs w:val="18"/>
              </w:rPr>
            </w:pPr>
          </w:p>
        </w:tc>
      </w:tr>
      <w:tr w:rsidR="00A7298C" w:rsidRPr="00665CF4" w14:paraId="1708BC47" w14:textId="77777777" w:rsidTr="00154BA9">
        <w:trPr>
          <w:trHeight w:val="3785"/>
        </w:trPr>
        <w:tc>
          <w:tcPr>
            <w:tcW w:w="9747" w:type="dxa"/>
            <w:shd w:val="clear" w:color="auto" w:fill="auto"/>
            <w:vAlign w:val="center"/>
          </w:tcPr>
          <w:p w14:paraId="7553C2FE" w14:textId="77777777" w:rsidR="00A7298C" w:rsidRPr="00914D9F" w:rsidRDefault="00A7298C" w:rsidP="00154BA9">
            <w:pPr>
              <w:numPr>
                <w:ilvl w:val="0"/>
                <w:numId w:val="1"/>
              </w:numPr>
              <w:rPr>
                <w:rFonts w:ascii="Tahoma" w:hAnsi="Tahoma" w:cs="Tahoma"/>
                <w:b/>
                <w:sz w:val="18"/>
                <w:szCs w:val="18"/>
              </w:rPr>
            </w:pPr>
            <w:r w:rsidRPr="00914D9F">
              <w:rPr>
                <w:rFonts w:ascii="Tahoma" w:hAnsi="Tahoma" w:cs="Tahoma"/>
                <w:b/>
                <w:sz w:val="18"/>
                <w:szCs w:val="18"/>
              </w:rPr>
              <w:t>Please select the source(s) of linked data being requested:</w:t>
            </w:r>
          </w:p>
          <w:p w14:paraId="296C8AED" w14:textId="77777777" w:rsidR="00A7298C" w:rsidRPr="00665CF4" w:rsidRDefault="00A7298C" w:rsidP="00154BA9">
            <w:pPr>
              <w:rPr>
                <w:rFonts w:ascii="Tahoma" w:hAnsi="Tahoma" w:cs="Tahoma"/>
                <w:b/>
                <w:sz w:val="18"/>
                <w:szCs w:val="18"/>
              </w:rPr>
            </w:pPr>
          </w:p>
          <w:p w14:paraId="441A7B4B" w14:textId="77777777" w:rsidR="00A7298C" w:rsidRPr="00665CF4" w:rsidRDefault="006F2D01" w:rsidP="00154BA9">
            <w:pPr>
              <w:tabs>
                <w:tab w:val="left" w:pos="4307"/>
              </w:tabs>
              <w:ind w:left="360"/>
              <w:rPr>
                <w:rFonts w:ascii="Tahoma" w:hAnsi="Tahoma" w:cs="Tahoma"/>
                <w:sz w:val="18"/>
                <w:szCs w:val="18"/>
              </w:rPr>
            </w:pPr>
            <w:r>
              <w:rPr>
                <w:rFonts w:ascii="Tahoma" w:hAnsi="Tahoma" w:cs="Tahoma"/>
                <w:sz w:val="18"/>
                <w:szCs w:val="18"/>
              </w:rPr>
              <w:fldChar w:fldCharType="begin">
                <w:ffData>
                  <w:name w:val="Check5"/>
                  <w:enabled/>
                  <w:calcOnExit w:val="0"/>
                  <w:checkBox>
                    <w:sizeAuto/>
                    <w:default w:val="1"/>
                  </w:checkBox>
                </w:ffData>
              </w:fldChar>
            </w:r>
            <w:bookmarkStart w:id="12" w:name="Check5"/>
            <w:r w:rsidR="00914D9F">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Pr>
                <w:rFonts w:ascii="Tahoma" w:hAnsi="Tahoma" w:cs="Tahoma"/>
                <w:sz w:val="18"/>
                <w:szCs w:val="18"/>
              </w:rPr>
              <w:fldChar w:fldCharType="end"/>
            </w:r>
            <w:bookmarkEnd w:id="12"/>
            <w:r w:rsidR="00A7298C" w:rsidRPr="00665CF4">
              <w:rPr>
                <w:rFonts w:ascii="Tahoma" w:hAnsi="Tahoma" w:cs="Tahoma"/>
                <w:sz w:val="18"/>
                <w:szCs w:val="18"/>
              </w:rPr>
              <w:t xml:space="preserve"> ONS Mortality Data</w:t>
            </w:r>
            <w:r w:rsidR="00A7298C" w:rsidRPr="00665CF4">
              <w:rPr>
                <w:rFonts w:ascii="Tahoma" w:hAnsi="Tahoma" w:cs="Tahoma"/>
                <w:sz w:val="18"/>
                <w:szCs w:val="18"/>
              </w:rPr>
              <w:tab/>
            </w:r>
            <w:r w:rsidRPr="00665CF4">
              <w:rPr>
                <w:rFonts w:ascii="Tahoma" w:hAnsi="Tahoma" w:cs="Tahoma"/>
                <w:sz w:val="18"/>
                <w:szCs w:val="18"/>
              </w:rPr>
              <w:fldChar w:fldCharType="begin">
                <w:ffData>
                  <w:name w:val="Check6"/>
                  <w:enabled/>
                  <w:calcOnExit w:val="0"/>
                  <w:checkBox>
                    <w:sizeAuto/>
                    <w:default w:val="0"/>
                  </w:checkBox>
                </w:ffData>
              </w:fldChar>
            </w:r>
            <w:bookmarkStart w:id="13" w:name="Check6"/>
            <w:r w:rsidR="00A7298C"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665CF4">
              <w:rPr>
                <w:rFonts w:ascii="Tahoma" w:hAnsi="Tahoma" w:cs="Tahoma"/>
                <w:sz w:val="18"/>
                <w:szCs w:val="18"/>
              </w:rPr>
              <w:fldChar w:fldCharType="end"/>
            </w:r>
            <w:bookmarkEnd w:id="13"/>
            <w:r w:rsidR="00A7298C" w:rsidRPr="00665CF4">
              <w:rPr>
                <w:rFonts w:ascii="Tahoma" w:hAnsi="Tahoma" w:cs="Tahoma"/>
                <w:sz w:val="18"/>
                <w:szCs w:val="18"/>
              </w:rPr>
              <w:t xml:space="preserve"> NCDR Cancer Registry Data*</w:t>
            </w:r>
          </w:p>
          <w:p w14:paraId="46F8B3E1" w14:textId="77777777" w:rsidR="00A7298C" w:rsidRPr="00665CF4" w:rsidRDefault="006F2D01" w:rsidP="00154BA9">
            <w:pPr>
              <w:tabs>
                <w:tab w:val="left" w:pos="4307"/>
              </w:tabs>
              <w:ind w:left="360"/>
              <w:rPr>
                <w:rFonts w:ascii="Tahoma" w:hAnsi="Tahoma" w:cs="Tahoma"/>
                <w:sz w:val="18"/>
                <w:szCs w:val="18"/>
              </w:rPr>
            </w:pPr>
            <w:r>
              <w:rPr>
                <w:rFonts w:ascii="Tahoma" w:hAnsi="Tahoma" w:cs="Tahoma"/>
                <w:sz w:val="18"/>
                <w:szCs w:val="18"/>
              </w:rPr>
              <w:fldChar w:fldCharType="begin">
                <w:ffData>
                  <w:name w:val="Check3"/>
                  <w:enabled/>
                  <w:calcOnExit w:val="0"/>
                  <w:checkBox>
                    <w:sizeAuto/>
                    <w:default w:val="1"/>
                  </w:checkBox>
                </w:ffData>
              </w:fldChar>
            </w:r>
            <w:bookmarkStart w:id="14" w:name="Check3"/>
            <w:r w:rsidR="00914D9F">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Pr>
                <w:rFonts w:ascii="Tahoma" w:hAnsi="Tahoma" w:cs="Tahoma"/>
                <w:sz w:val="18"/>
                <w:szCs w:val="18"/>
              </w:rPr>
              <w:fldChar w:fldCharType="end"/>
            </w:r>
            <w:bookmarkEnd w:id="14"/>
            <w:r w:rsidR="00A7298C" w:rsidRPr="00665CF4">
              <w:rPr>
                <w:rFonts w:ascii="Tahoma" w:hAnsi="Tahoma" w:cs="Tahoma"/>
                <w:sz w:val="18"/>
                <w:szCs w:val="18"/>
              </w:rPr>
              <w:t xml:space="preserve"> Inpatient Hospital Episode Statistics</w:t>
            </w:r>
            <w:r w:rsidR="00A7298C" w:rsidRPr="00665CF4">
              <w:rPr>
                <w:rFonts w:ascii="Tahoma" w:hAnsi="Tahoma" w:cs="Tahoma"/>
                <w:sz w:val="18"/>
                <w:szCs w:val="18"/>
              </w:rPr>
              <w:tab/>
            </w:r>
            <w:r w:rsidRPr="00665CF4">
              <w:rPr>
                <w:rFonts w:ascii="Tahoma" w:hAnsi="Tahoma" w:cs="Tahoma"/>
                <w:sz w:val="18"/>
                <w:szCs w:val="18"/>
              </w:rPr>
              <w:fldChar w:fldCharType="begin">
                <w:ffData>
                  <w:name w:val="Check4"/>
                  <w:enabled/>
                  <w:calcOnExit w:val="0"/>
                  <w:checkBox>
                    <w:sizeAuto/>
                    <w:default w:val="0"/>
                  </w:checkBox>
                </w:ffData>
              </w:fldChar>
            </w:r>
            <w:r w:rsidR="00A7298C"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665CF4">
              <w:rPr>
                <w:rFonts w:ascii="Tahoma" w:hAnsi="Tahoma" w:cs="Tahoma"/>
                <w:sz w:val="18"/>
                <w:szCs w:val="18"/>
              </w:rPr>
              <w:fldChar w:fldCharType="end"/>
            </w:r>
            <w:r w:rsidR="00A7298C" w:rsidRPr="00665CF4">
              <w:rPr>
                <w:rFonts w:ascii="Tahoma" w:hAnsi="Tahoma" w:cs="Tahoma"/>
                <w:sz w:val="18"/>
                <w:szCs w:val="18"/>
              </w:rPr>
              <w:t xml:space="preserve"> MINAP</w:t>
            </w:r>
            <w:r w:rsidR="00A7298C" w:rsidRPr="00665CF4">
              <w:rPr>
                <w:rFonts w:ascii="Tahoma" w:hAnsi="Tahoma" w:cs="Tahoma"/>
                <w:sz w:val="18"/>
                <w:szCs w:val="18"/>
              </w:rPr>
              <w:tab/>
            </w:r>
            <w:r w:rsidR="00A7298C" w:rsidRPr="00665CF4">
              <w:rPr>
                <w:rFonts w:ascii="Tahoma" w:hAnsi="Tahoma" w:cs="Tahoma"/>
                <w:sz w:val="18"/>
                <w:szCs w:val="18"/>
              </w:rPr>
              <w:tab/>
            </w:r>
            <w:r w:rsidR="00A7298C" w:rsidRPr="00665CF4">
              <w:rPr>
                <w:rFonts w:ascii="Tahoma" w:hAnsi="Tahoma" w:cs="Tahoma"/>
                <w:sz w:val="18"/>
                <w:szCs w:val="18"/>
              </w:rPr>
              <w:tab/>
              <w:t xml:space="preserve">            </w:t>
            </w:r>
          </w:p>
          <w:p w14:paraId="4E198B17" w14:textId="77777777" w:rsidR="00A7298C" w:rsidRPr="00665CF4" w:rsidRDefault="006F2D01" w:rsidP="00154BA9">
            <w:pPr>
              <w:tabs>
                <w:tab w:val="left" w:pos="567"/>
                <w:tab w:val="left" w:pos="4307"/>
              </w:tabs>
              <w:ind w:left="364"/>
              <w:rPr>
                <w:rFonts w:ascii="Tahoma" w:hAnsi="Tahoma" w:cs="Tahoma"/>
                <w:sz w:val="18"/>
                <w:szCs w:val="18"/>
              </w:rPr>
            </w:pPr>
            <w:r>
              <w:rPr>
                <w:rFonts w:ascii="Tahoma" w:hAnsi="Tahoma" w:cs="Tahoma"/>
                <w:sz w:val="18"/>
                <w:szCs w:val="18"/>
              </w:rPr>
              <w:fldChar w:fldCharType="begin">
                <w:ffData>
                  <w:name w:val=""/>
                  <w:enabled/>
                  <w:calcOnExit w:val="0"/>
                  <w:checkBox>
                    <w:sizeAuto/>
                    <w:default w:val="1"/>
                  </w:checkBox>
                </w:ffData>
              </w:fldChar>
            </w:r>
            <w:r w:rsidR="00914D9F">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Pr>
                <w:rFonts w:ascii="Tahoma" w:hAnsi="Tahoma" w:cs="Tahoma"/>
                <w:sz w:val="18"/>
                <w:szCs w:val="18"/>
              </w:rPr>
              <w:fldChar w:fldCharType="end"/>
            </w:r>
            <w:r w:rsidR="00A7298C" w:rsidRPr="00665CF4">
              <w:rPr>
                <w:rFonts w:ascii="Tahoma" w:hAnsi="Tahoma" w:cs="Tahoma"/>
                <w:sz w:val="18"/>
                <w:szCs w:val="18"/>
              </w:rPr>
              <w:t xml:space="preserve"> Outpatient Hospital Episode Statistics</w:t>
            </w:r>
            <w:r w:rsidR="00A7298C" w:rsidRPr="00665CF4">
              <w:rPr>
                <w:rFonts w:ascii="Tahoma" w:hAnsi="Tahoma" w:cs="Tahoma"/>
                <w:sz w:val="18"/>
                <w:szCs w:val="18"/>
              </w:rPr>
              <w:tab/>
            </w:r>
            <w:r w:rsidRPr="00665CF4">
              <w:rPr>
                <w:rFonts w:ascii="Tahoma" w:hAnsi="Tahoma" w:cs="Tahoma"/>
                <w:sz w:val="18"/>
                <w:szCs w:val="18"/>
              </w:rPr>
              <w:fldChar w:fldCharType="begin">
                <w:ffData>
                  <w:name w:val="Check53"/>
                  <w:enabled/>
                  <w:calcOnExit w:val="0"/>
                  <w:checkBox>
                    <w:sizeAuto/>
                    <w:default w:val="0"/>
                  </w:checkBox>
                </w:ffData>
              </w:fldChar>
            </w:r>
            <w:bookmarkStart w:id="15" w:name="Check53"/>
            <w:r w:rsidR="00A7298C"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665CF4">
              <w:rPr>
                <w:rFonts w:ascii="Tahoma" w:hAnsi="Tahoma" w:cs="Tahoma"/>
                <w:sz w:val="18"/>
                <w:szCs w:val="18"/>
              </w:rPr>
              <w:fldChar w:fldCharType="end"/>
            </w:r>
            <w:bookmarkEnd w:id="15"/>
            <w:r w:rsidR="00A7298C" w:rsidRPr="00665CF4">
              <w:rPr>
                <w:rFonts w:ascii="Tahoma" w:hAnsi="Tahoma" w:cs="Tahoma"/>
                <w:sz w:val="18"/>
                <w:szCs w:val="18"/>
              </w:rPr>
              <w:t xml:space="preserve"> Mother Baby Link</w:t>
            </w:r>
          </w:p>
          <w:p w14:paraId="44F9CEB7" w14:textId="77777777" w:rsidR="00A7298C" w:rsidRPr="00665CF4" w:rsidRDefault="00A7298C" w:rsidP="00154BA9">
            <w:pPr>
              <w:tabs>
                <w:tab w:val="left" w:pos="4307"/>
              </w:tabs>
              <w:ind w:left="360"/>
              <w:rPr>
                <w:rFonts w:ascii="Tahoma" w:hAnsi="Tahoma" w:cs="Tahoma"/>
                <w:sz w:val="18"/>
                <w:szCs w:val="18"/>
              </w:rPr>
            </w:pPr>
            <w:r w:rsidRPr="00665CF4">
              <w:rPr>
                <w:rFonts w:ascii="Tahoma" w:hAnsi="Tahoma" w:cs="Tahoma"/>
                <w:sz w:val="18"/>
                <w:szCs w:val="18"/>
              </w:rPr>
              <w:tab/>
            </w:r>
            <w:r w:rsidRPr="00665CF4">
              <w:rPr>
                <w:rFonts w:ascii="Tahoma" w:hAnsi="Tahoma" w:cs="Tahoma"/>
                <w:sz w:val="18"/>
                <w:szCs w:val="18"/>
              </w:rPr>
              <w:tab/>
            </w:r>
          </w:p>
          <w:p w14:paraId="3E7C28C2" w14:textId="77777777" w:rsidR="00A7298C" w:rsidRPr="00665CF4" w:rsidRDefault="006F2D01" w:rsidP="00154BA9">
            <w:pPr>
              <w:tabs>
                <w:tab w:val="left" w:pos="4307"/>
              </w:tabs>
              <w:ind w:left="360"/>
              <w:rPr>
                <w:rFonts w:ascii="Tahoma" w:hAnsi="Tahoma" w:cs="Tahoma"/>
                <w:sz w:val="18"/>
                <w:szCs w:val="18"/>
              </w:rPr>
            </w:pPr>
            <w:r>
              <w:rPr>
                <w:rFonts w:ascii="Tahoma" w:hAnsi="Tahoma" w:cs="Tahoma"/>
                <w:sz w:val="18"/>
                <w:szCs w:val="18"/>
              </w:rPr>
              <w:fldChar w:fldCharType="begin">
                <w:ffData>
                  <w:name w:val="Check7"/>
                  <w:enabled/>
                  <w:calcOnExit w:val="0"/>
                  <w:checkBox>
                    <w:sizeAuto/>
                    <w:default w:val="1"/>
                  </w:checkBox>
                </w:ffData>
              </w:fldChar>
            </w:r>
            <w:bookmarkStart w:id="16" w:name="Check7"/>
            <w:r w:rsidR="00914D9F">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Pr>
                <w:rFonts w:ascii="Tahoma" w:hAnsi="Tahoma" w:cs="Tahoma"/>
                <w:sz w:val="18"/>
                <w:szCs w:val="18"/>
              </w:rPr>
              <w:fldChar w:fldCharType="end"/>
            </w:r>
            <w:bookmarkEnd w:id="16"/>
            <w:r w:rsidR="00A7298C" w:rsidRPr="00665CF4">
              <w:rPr>
                <w:rFonts w:ascii="Tahoma" w:hAnsi="Tahoma" w:cs="Tahoma"/>
                <w:sz w:val="18"/>
                <w:szCs w:val="18"/>
              </w:rPr>
              <w:t xml:space="preserve"> Index of Multiple Deprivation</w:t>
            </w:r>
          </w:p>
          <w:p w14:paraId="3C3471FE" w14:textId="77777777" w:rsidR="00A7298C" w:rsidRPr="00665CF4" w:rsidRDefault="00712D75" w:rsidP="00154BA9">
            <w:pPr>
              <w:tabs>
                <w:tab w:val="left" w:pos="4307"/>
              </w:tabs>
              <w:ind w:left="360"/>
              <w:rPr>
                <w:rFonts w:ascii="Tahoma" w:hAnsi="Tahoma" w:cs="Tahoma"/>
                <w:sz w:val="18"/>
                <w:szCs w:val="18"/>
              </w:rPr>
            </w:pPr>
            <w:r w:rsidRPr="00665CF4">
              <w:rPr>
                <w:rFonts w:ascii="Tahoma" w:hAnsi="Tahoma" w:cs="Tahoma"/>
                <w:sz w:val="18"/>
                <w:szCs w:val="18"/>
              </w:rPr>
              <w:fldChar w:fldCharType="begin">
                <w:ffData>
                  <w:name w:val="Check64"/>
                  <w:enabled/>
                  <w:calcOnExit w:val="0"/>
                  <w:checkBox>
                    <w:sizeAuto/>
                    <w:default w:val="0"/>
                  </w:checkBox>
                </w:ffData>
              </w:fldChar>
            </w:r>
            <w:r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665CF4">
              <w:rPr>
                <w:rFonts w:ascii="Tahoma" w:hAnsi="Tahoma" w:cs="Tahoma"/>
                <w:sz w:val="18"/>
                <w:szCs w:val="18"/>
              </w:rPr>
              <w:fldChar w:fldCharType="end"/>
            </w:r>
            <w:r w:rsidR="00A7298C" w:rsidRPr="00665CF4">
              <w:rPr>
                <w:rFonts w:ascii="Tahoma" w:hAnsi="Tahoma" w:cs="Tahoma"/>
                <w:sz w:val="18"/>
                <w:szCs w:val="18"/>
              </w:rPr>
              <w:t xml:space="preserve"> Townsend Score </w:t>
            </w:r>
          </w:p>
          <w:p w14:paraId="4305FD1B" w14:textId="77777777" w:rsidR="00A7298C" w:rsidRPr="00665CF4" w:rsidRDefault="006F2D01" w:rsidP="00154BA9">
            <w:pPr>
              <w:tabs>
                <w:tab w:val="left" w:pos="4307"/>
              </w:tabs>
              <w:ind w:left="360"/>
              <w:rPr>
                <w:rFonts w:ascii="Tahoma" w:hAnsi="Tahoma" w:cs="Tahoma"/>
                <w:sz w:val="18"/>
                <w:szCs w:val="18"/>
              </w:rPr>
            </w:pPr>
            <w:r w:rsidRPr="00665CF4">
              <w:rPr>
                <w:rFonts w:ascii="Tahoma" w:hAnsi="Tahoma" w:cs="Tahoma"/>
                <w:sz w:val="18"/>
                <w:szCs w:val="18"/>
              </w:rPr>
              <w:fldChar w:fldCharType="begin">
                <w:ffData>
                  <w:name w:val="Check64"/>
                  <w:enabled/>
                  <w:calcOnExit w:val="0"/>
                  <w:checkBox>
                    <w:sizeAuto/>
                    <w:default w:val="0"/>
                  </w:checkBox>
                </w:ffData>
              </w:fldChar>
            </w:r>
            <w:bookmarkStart w:id="17" w:name="Check64"/>
            <w:r w:rsidR="00A7298C"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Pr="00665CF4">
              <w:rPr>
                <w:rFonts w:ascii="Tahoma" w:hAnsi="Tahoma" w:cs="Tahoma"/>
                <w:sz w:val="18"/>
                <w:szCs w:val="18"/>
              </w:rPr>
              <w:fldChar w:fldCharType="end"/>
            </w:r>
            <w:bookmarkEnd w:id="17"/>
            <w:r w:rsidR="00A7298C" w:rsidRPr="00665CF4">
              <w:rPr>
                <w:rFonts w:ascii="Tahoma" w:hAnsi="Tahoma" w:cs="Tahoma"/>
                <w:sz w:val="18"/>
                <w:szCs w:val="18"/>
              </w:rPr>
              <w:t xml:space="preserve"> Other** </w:t>
            </w:r>
            <w:r w:rsidR="00A7298C" w:rsidRPr="00665CF4">
              <w:rPr>
                <w:rFonts w:ascii="Tahoma" w:hAnsi="Tahoma" w:cs="Tahoma"/>
                <w:i/>
                <w:sz w:val="18"/>
                <w:szCs w:val="18"/>
              </w:rPr>
              <w:t>Please specify:</w:t>
            </w:r>
            <w:r w:rsidRPr="00665CF4">
              <w:rPr>
                <w:rFonts w:ascii="Tahoma" w:hAnsi="Tahoma" w:cs="Tahoma"/>
                <w:sz w:val="18"/>
                <w:szCs w:val="18"/>
              </w:rPr>
              <w:fldChar w:fldCharType="begin">
                <w:ffData>
                  <w:name w:val="Text9"/>
                  <w:enabled/>
                  <w:calcOnExit w:val="0"/>
                  <w:textInput/>
                </w:ffData>
              </w:fldChar>
            </w:r>
            <w:r w:rsidR="00A7298C" w:rsidRPr="00665CF4">
              <w:rPr>
                <w:rFonts w:ascii="Tahoma" w:hAnsi="Tahoma" w:cs="Tahoma"/>
                <w:sz w:val="18"/>
                <w:szCs w:val="18"/>
              </w:rPr>
              <w:instrText xml:space="preserve"> FORMTEXT </w:instrText>
            </w:r>
            <w:r w:rsidRPr="00665CF4">
              <w:rPr>
                <w:rFonts w:ascii="Tahoma" w:hAnsi="Tahoma" w:cs="Tahoma"/>
                <w:sz w:val="18"/>
                <w:szCs w:val="18"/>
              </w:rPr>
            </w:r>
            <w:r w:rsidRPr="00665CF4">
              <w:rPr>
                <w:rFonts w:ascii="Tahoma" w:hAnsi="Tahoma" w:cs="Tahoma"/>
                <w:sz w:val="18"/>
                <w:szCs w:val="18"/>
              </w:rPr>
              <w:fldChar w:fldCharType="separate"/>
            </w:r>
            <w:r w:rsidR="00A7298C" w:rsidRPr="00665CF4">
              <w:rPr>
                <w:rFonts w:ascii="Tahoma" w:eastAsia="Arial Unicode MS" w:hAnsi="Tahoma" w:cs="Tahoma"/>
                <w:noProof/>
                <w:sz w:val="18"/>
                <w:szCs w:val="18"/>
              </w:rPr>
              <w:t> </w:t>
            </w:r>
            <w:r w:rsidR="00A7298C" w:rsidRPr="00665CF4">
              <w:rPr>
                <w:rFonts w:ascii="Tahoma" w:eastAsia="Arial Unicode MS" w:hAnsi="Tahoma" w:cs="Tahoma"/>
                <w:noProof/>
                <w:sz w:val="18"/>
                <w:szCs w:val="18"/>
              </w:rPr>
              <w:t> </w:t>
            </w:r>
            <w:r w:rsidR="00A7298C" w:rsidRPr="00665CF4">
              <w:rPr>
                <w:rFonts w:ascii="Tahoma" w:eastAsia="Arial Unicode MS" w:hAnsi="Tahoma" w:cs="Tahoma"/>
                <w:noProof/>
                <w:sz w:val="18"/>
                <w:szCs w:val="18"/>
              </w:rPr>
              <w:t> </w:t>
            </w:r>
            <w:r w:rsidR="00A7298C" w:rsidRPr="00665CF4">
              <w:rPr>
                <w:rFonts w:ascii="Tahoma" w:eastAsia="Arial Unicode MS" w:hAnsi="Tahoma" w:cs="Tahoma"/>
                <w:noProof/>
                <w:sz w:val="18"/>
                <w:szCs w:val="18"/>
              </w:rPr>
              <w:t> </w:t>
            </w:r>
            <w:r w:rsidR="00A7298C" w:rsidRPr="00665CF4">
              <w:rPr>
                <w:rFonts w:ascii="Tahoma" w:eastAsia="Arial Unicode MS" w:hAnsi="Tahoma" w:cs="Tahoma"/>
                <w:noProof/>
                <w:sz w:val="18"/>
                <w:szCs w:val="18"/>
              </w:rPr>
              <w:t> </w:t>
            </w:r>
            <w:r w:rsidRPr="00665CF4">
              <w:rPr>
                <w:rFonts w:ascii="Tahoma" w:hAnsi="Tahoma" w:cs="Tahoma"/>
                <w:sz w:val="18"/>
                <w:szCs w:val="18"/>
              </w:rPr>
              <w:fldChar w:fldCharType="end"/>
            </w:r>
          </w:p>
          <w:p w14:paraId="57CBDADC" w14:textId="77777777" w:rsidR="00A7298C" w:rsidRPr="00665CF4" w:rsidRDefault="00A7298C" w:rsidP="00154BA9">
            <w:pPr>
              <w:rPr>
                <w:rFonts w:ascii="Tahoma" w:hAnsi="Tahoma" w:cs="Tahoma"/>
                <w:sz w:val="18"/>
                <w:szCs w:val="18"/>
              </w:rPr>
            </w:pPr>
          </w:p>
          <w:p w14:paraId="429812E6" w14:textId="77777777" w:rsidR="00A7298C" w:rsidRPr="00665CF4" w:rsidRDefault="00A7298C" w:rsidP="00154BA9">
            <w:pPr>
              <w:rPr>
                <w:rFonts w:ascii="Tahoma" w:hAnsi="Tahoma" w:cs="Tahoma"/>
                <w:sz w:val="18"/>
                <w:szCs w:val="18"/>
              </w:rPr>
            </w:pPr>
          </w:p>
          <w:p w14:paraId="5F19C763" w14:textId="77777777" w:rsidR="00A7298C" w:rsidRPr="00665CF4" w:rsidRDefault="00A7298C" w:rsidP="00154BA9">
            <w:pPr>
              <w:rPr>
                <w:rFonts w:ascii="Tahoma" w:hAnsi="Tahoma" w:cs="Tahoma"/>
                <w:sz w:val="18"/>
                <w:szCs w:val="18"/>
              </w:rPr>
            </w:pPr>
          </w:p>
          <w:p w14:paraId="7B0305E4" w14:textId="77777777" w:rsidR="00A7298C" w:rsidRPr="00665CF4" w:rsidRDefault="00A7298C" w:rsidP="00154BA9">
            <w:pPr>
              <w:tabs>
                <w:tab w:val="left" w:pos="780"/>
                <w:tab w:val="left" w:pos="3600"/>
              </w:tabs>
              <w:rPr>
                <w:rFonts w:ascii="Tahoma" w:hAnsi="Tahoma" w:cs="Tahoma"/>
                <w:i/>
                <w:sz w:val="18"/>
                <w:szCs w:val="18"/>
              </w:rPr>
            </w:pPr>
            <w:r w:rsidRPr="00665CF4">
              <w:rPr>
                <w:rFonts w:ascii="Tahoma" w:hAnsi="Tahoma" w:cs="Tahoma"/>
                <w:i/>
                <w:sz w:val="18"/>
                <w:szCs w:val="18"/>
              </w:rPr>
              <w:t xml:space="preserve">*Please note that applicants seeking access to cancer registry data must provide consent for publication of their study title and study institution on the UK Cancer Registry website. They must also complete a </w:t>
            </w:r>
            <w:r w:rsidRPr="00665CF4">
              <w:rPr>
                <w:rFonts w:ascii="Tahoma" w:hAnsi="Tahoma" w:cs="Tahoma"/>
                <w:b/>
                <w:i/>
                <w:sz w:val="18"/>
                <w:szCs w:val="18"/>
              </w:rPr>
              <w:t>Cancer Dataset Agreement Form</w:t>
            </w:r>
            <w:r w:rsidRPr="00665CF4">
              <w:rPr>
                <w:rFonts w:ascii="Tahoma" w:hAnsi="Tahoma" w:cs="Tahoma"/>
                <w:i/>
                <w:sz w:val="18"/>
                <w:szCs w:val="18"/>
              </w:rPr>
              <w:t xml:space="preserve"> (available from CPRD) and provide a </w:t>
            </w:r>
            <w:r w:rsidRPr="00665CF4">
              <w:rPr>
                <w:rFonts w:ascii="Tahoma" w:hAnsi="Tahoma" w:cs="Tahoma"/>
                <w:b/>
                <w:i/>
                <w:sz w:val="18"/>
                <w:szCs w:val="18"/>
              </w:rPr>
              <w:t>System level Security Policy</w:t>
            </w:r>
            <w:r w:rsidRPr="00665CF4">
              <w:rPr>
                <w:rFonts w:ascii="Tahoma" w:hAnsi="Tahoma" w:cs="Tahoma"/>
                <w:i/>
                <w:sz w:val="18"/>
                <w:szCs w:val="18"/>
              </w:rPr>
              <w:t xml:space="preserve"> for each organisation involved in the study.</w:t>
            </w:r>
          </w:p>
          <w:p w14:paraId="3E05EF5E" w14:textId="77777777" w:rsidR="00A7298C" w:rsidRPr="00665CF4" w:rsidRDefault="00A7298C" w:rsidP="00154BA9">
            <w:pPr>
              <w:tabs>
                <w:tab w:val="left" w:pos="780"/>
                <w:tab w:val="left" w:pos="3600"/>
              </w:tabs>
              <w:rPr>
                <w:rFonts w:ascii="Tahoma" w:hAnsi="Tahoma" w:cs="Tahoma"/>
                <w:i/>
                <w:sz w:val="18"/>
                <w:szCs w:val="18"/>
              </w:rPr>
            </w:pPr>
          </w:p>
          <w:p w14:paraId="04BCC697" w14:textId="77777777" w:rsidR="00A7298C" w:rsidRPr="00665CF4" w:rsidRDefault="00A7298C" w:rsidP="00154BA9">
            <w:pPr>
              <w:tabs>
                <w:tab w:val="left" w:pos="780"/>
                <w:tab w:val="left" w:pos="3600"/>
              </w:tabs>
              <w:rPr>
                <w:rFonts w:ascii="Tahoma" w:hAnsi="Tahoma" w:cs="Tahoma"/>
                <w:i/>
                <w:sz w:val="18"/>
                <w:szCs w:val="18"/>
              </w:rPr>
            </w:pPr>
            <w:r w:rsidRPr="00665CF4">
              <w:rPr>
                <w:rFonts w:ascii="Tahoma" w:hAnsi="Tahoma" w:cs="Tahoma"/>
                <w:i/>
                <w:sz w:val="18"/>
                <w:szCs w:val="18"/>
              </w:rPr>
              <w:t>** If “Other” is specified, please name an individual in CPRD that this linage has been discussed with.</w:t>
            </w:r>
          </w:p>
          <w:p w14:paraId="591B2F60" w14:textId="77777777" w:rsidR="00A7298C" w:rsidRPr="00665CF4" w:rsidRDefault="00A7298C" w:rsidP="00154BA9">
            <w:pPr>
              <w:tabs>
                <w:tab w:val="left" w:pos="780"/>
                <w:tab w:val="left" w:pos="3600"/>
              </w:tabs>
              <w:rPr>
                <w:rFonts w:ascii="Tahoma" w:hAnsi="Tahoma" w:cs="Tahoma"/>
                <w:i/>
                <w:sz w:val="18"/>
                <w:szCs w:val="18"/>
              </w:rPr>
            </w:pPr>
          </w:p>
          <w:p w14:paraId="02F54946" w14:textId="77777777" w:rsidR="00A7298C" w:rsidRPr="00665CF4" w:rsidRDefault="00A7298C" w:rsidP="00154BA9">
            <w:pPr>
              <w:rPr>
                <w:rFonts w:ascii="Tahoma" w:hAnsi="Tahoma" w:cs="Tahoma"/>
                <w:b/>
                <w:sz w:val="18"/>
                <w:szCs w:val="18"/>
              </w:rPr>
            </w:pPr>
          </w:p>
        </w:tc>
      </w:tr>
      <w:tr w:rsidR="00A7298C" w:rsidRPr="00665CF4" w14:paraId="5279A7E7" w14:textId="77777777" w:rsidTr="00154BA9">
        <w:trPr>
          <w:trHeight w:val="797"/>
        </w:trPr>
        <w:tc>
          <w:tcPr>
            <w:tcW w:w="9747" w:type="dxa"/>
            <w:shd w:val="clear" w:color="auto" w:fill="auto"/>
            <w:vAlign w:val="center"/>
          </w:tcPr>
          <w:p w14:paraId="452BABF6" w14:textId="77777777" w:rsidR="00720C61" w:rsidRDefault="00A7298C" w:rsidP="00154BA9">
            <w:pPr>
              <w:numPr>
                <w:ilvl w:val="0"/>
                <w:numId w:val="1"/>
              </w:numPr>
              <w:rPr>
                <w:rFonts w:ascii="Tahoma" w:hAnsi="Tahoma" w:cs="Tahoma"/>
                <w:sz w:val="18"/>
                <w:szCs w:val="18"/>
              </w:rPr>
            </w:pPr>
            <w:r w:rsidRPr="003D243D">
              <w:rPr>
                <w:rFonts w:ascii="Tahoma" w:hAnsi="Tahoma" w:cs="Tahoma"/>
                <w:b/>
                <w:sz w:val="18"/>
                <w:szCs w:val="18"/>
              </w:rPr>
              <w:t>Total number of linked datasets requested including CPRD GOLD</w:t>
            </w:r>
            <w:r w:rsidRPr="003D243D">
              <w:rPr>
                <w:rFonts w:ascii="Tahoma" w:hAnsi="Tahoma" w:cs="Tahoma"/>
                <w:sz w:val="18"/>
                <w:szCs w:val="18"/>
              </w:rPr>
              <w:t>:</w:t>
            </w:r>
            <w:r w:rsidRPr="00665CF4">
              <w:rPr>
                <w:rFonts w:ascii="Tahoma" w:hAnsi="Tahoma" w:cs="Tahoma"/>
                <w:sz w:val="18"/>
                <w:szCs w:val="18"/>
              </w:rPr>
              <w:t xml:space="preserve"> </w:t>
            </w:r>
          </w:p>
          <w:p w14:paraId="3770E7BE" w14:textId="77777777" w:rsidR="00720C61" w:rsidRDefault="00720C61" w:rsidP="00154BA9">
            <w:pPr>
              <w:ind w:left="360"/>
              <w:rPr>
                <w:rFonts w:ascii="Tahoma" w:hAnsi="Tahoma" w:cs="Tahoma"/>
                <w:sz w:val="18"/>
                <w:szCs w:val="18"/>
              </w:rPr>
            </w:pPr>
          </w:p>
          <w:p w14:paraId="017722AB" w14:textId="77777777" w:rsidR="00A7298C" w:rsidRPr="00720C61" w:rsidRDefault="00E93BB5" w:rsidP="00154BA9">
            <w:pPr>
              <w:ind w:left="360"/>
              <w:rPr>
                <w:rFonts w:ascii="Tahoma" w:hAnsi="Tahoma" w:cs="Tahoma"/>
                <w:sz w:val="18"/>
                <w:szCs w:val="18"/>
              </w:rPr>
            </w:pPr>
            <w:r>
              <w:rPr>
                <w:rFonts w:ascii="Tahoma" w:hAnsi="Tahoma" w:cs="Tahoma"/>
                <w:sz w:val="18"/>
                <w:szCs w:val="18"/>
              </w:rPr>
              <w:t>4</w:t>
            </w:r>
          </w:p>
        </w:tc>
      </w:tr>
      <w:tr w:rsidR="00A7298C" w:rsidRPr="00665CF4" w14:paraId="1F35F7E8" w14:textId="77777777" w:rsidTr="00154BA9">
        <w:trPr>
          <w:trHeight w:val="230"/>
        </w:trPr>
        <w:tc>
          <w:tcPr>
            <w:tcW w:w="9747" w:type="dxa"/>
            <w:shd w:val="clear" w:color="auto" w:fill="auto"/>
            <w:vAlign w:val="center"/>
          </w:tcPr>
          <w:p w14:paraId="202B2216" w14:textId="77777777" w:rsidR="00A7298C" w:rsidRPr="003D243D" w:rsidRDefault="00A7298C" w:rsidP="00154BA9">
            <w:pPr>
              <w:numPr>
                <w:ilvl w:val="0"/>
                <w:numId w:val="1"/>
              </w:numPr>
              <w:rPr>
                <w:rFonts w:ascii="Tahoma" w:hAnsi="Tahoma" w:cs="Tahoma"/>
                <w:b/>
                <w:sz w:val="18"/>
                <w:szCs w:val="18"/>
              </w:rPr>
            </w:pPr>
            <w:r w:rsidRPr="003D243D">
              <w:rPr>
                <w:rFonts w:ascii="Tahoma" w:hAnsi="Tahoma" w:cs="Tahoma"/>
                <w:b/>
                <w:sz w:val="18"/>
                <w:szCs w:val="18"/>
              </w:rPr>
              <w:t xml:space="preserve">Is linkage to a local dataset with &lt;1 million patients being requested? </w:t>
            </w:r>
          </w:p>
          <w:p w14:paraId="31C76AC7" w14:textId="77777777" w:rsidR="00A7298C" w:rsidRPr="00665CF4" w:rsidRDefault="00A7298C" w:rsidP="00154BA9">
            <w:pPr>
              <w:rPr>
                <w:rFonts w:ascii="Tahoma" w:hAnsi="Tahoma" w:cs="Tahoma"/>
                <w:sz w:val="18"/>
                <w:szCs w:val="18"/>
              </w:rPr>
            </w:pPr>
          </w:p>
          <w:p w14:paraId="4A582464" w14:textId="77777777" w:rsidR="00A7298C" w:rsidRPr="00665CF4" w:rsidRDefault="00A7298C" w:rsidP="00154BA9">
            <w:pPr>
              <w:ind w:left="360"/>
              <w:rPr>
                <w:rFonts w:ascii="Tahoma" w:hAnsi="Tahoma" w:cs="Tahoma"/>
                <w:sz w:val="18"/>
                <w:szCs w:val="18"/>
              </w:rPr>
            </w:pPr>
            <w:r w:rsidRPr="00665CF4">
              <w:rPr>
                <w:rFonts w:ascii="Tahoma" w:hAnsi="Tahoma" w:cs="Tahoma"/>
                <w:sz w:val="18"/>
                <w:szCs w:val="18"/>
              </w:rPr>
              <w:t>Yes*</w:t>
            </w:r>
            <w:r w:rsidRPr="00665CF4">
              <w:rPr>
                <w:rFonts w:ascii="Tahoma" w:hAnsi="Tahoma" w:cs="Tahoma"/>
                <w:sz w:val="18"/>
                <w:szCs w:val="18"/>
              </w:rPr>
              <w:tab/>
            </w:r>
            <w:r w:rsidRPr="00665CF4">
              <w:rPr>
                <w:rFonts w:ascii="Tahoma" w:hAnsi="Tahoma" w:cs="Tahoma"/>
                <w:sz w:val="18"/>
                <w:szCs w:val="18"/>
              </w:rPr>
              <w:tab/>
            </w:r>
            <w:r w:rsidR="00720C61">
              <w:rPr>
                <w:rFonts w:ascii="Tahoma" w:hAnsi="Tahoma" w:cs="Tahoma"/>
                <w:sz w:val="18"/>
                <w:szCs w:val="18"/>
              </w:rPr>
              <w:fldChar w:fldCharType="begin">
                <w:ffData>
                  <w:name w:val=""/>
                  <w:enabled/>
                  <w:calcOnExit w:val="0"/>
                  <w:checkBox>
                    <w:sizeAuto/>
                    <w:default w:val="0"/>
                  </w:checkBox>
                </w:ffData>
              </w:fldChar>
            </w:r>
            <w:r w:rsidR="00720C61">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720C61">
              <w:rPr>
                <w:rFonts w:ascii="Tahoma" w:hAnsi="Tahoma" w:cs="Tahoma"/>
                <w:sz w:val="18"/>
                <w:szCs w:val="18"/>
              </w:rPr>
              <w:fldChar w:fldCharType="end"/>
            </w:r>
            <w:r w:rsidRPr="00665CF4">
              <w:rPr>
                <w:rFonts w:ascii="Tahoma" w:hAnsi="Tahoma" w:cs="Tahoma"/>
                <w:sz w:val="18"/>
                <w:szCs w:val="18"/>
              </w:rPr>
              <w:tab/>
            </w:r>
            <w:r w:rsidRPr="00665CF4">
              <w:rPr>
                <w:rFonts w:ascii="Tahoma" w:hAnsi="Tahoma" w:cs="Tahoma"/>
                <w:sz w:val="18"/>
                <w:szCs w:val="18"/>
              </w:rPr>
              <w:tab/>
              <w:t>No</w:t>
            </w:r>
            <w:r w:rsidRPr="00665CF4">
              <w:rPr>
                <w:rFonts w:ascii="Tahoma" w:hAnsi="Tahoma" w:cs="Tahoma"/>
                <w:sz w:val="18"/>
                <w:szCs w:val="18"/>
              </w:rPr>
              <w:tab/>
            </w:r>
            <w:r w:rsidRPr="00665CF4">
              <w:rPr>
                <w:rFonts w:ascii="Tahoma" w:hAnsi="Tahoma" w:cs="Tahoma"/>
                <w:sz w:val="18"/>
                <w:szCs w:val="18"/>
              </w:rPr>
              <w:tab/>
            </w:r>
            <w:r w:rsidR="00720C61">
              <w:rPr>
                <w:rFonts w:ascii="Tahoma" w:hAnsi="Tahoma" w:cs="Tahoma"/>
                <w:sz w:val="18"/>
                <w:szCs w:val="18"/>
              </w:rPr>
              <w:fldChar w:fldCharType="begin">
                <w:ffData>
                  <w:name w:val=""/>
                  <w:enabled/>
                  <w:calcOnExit w:val="0"/>
                  <w:checkBox>
                    <w:sizeAuto/>
                    <w:default w:val="1"/>
                  </w:checkBox>
                </w:ffData>
              </w:fldChar>
            </w:r>
            <w:r w:rsidR="00720C61">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720C61">
              <w:rPr>
                <w:rFonts w:ascii="Tahoma" w:hAnsi="Tahoma" w:cs="Tahoma"/>
                <w:sz w:val="18"/>
                <w:szCs w:val="18"/>
              </w:rPr>
              <w:fldChar w:fldCharType="end"/>
            </w:r>
          </w:p>
          <w:p w14:paraId="3278F0D6" w14:textId="77777777" w:rsidR="00A7298C" w:rsidRPr="00665CF4" w:rsidRDefault="00A7298C" w:rsidP="00154BA9">
            <w:pPr>
              <w:rPr>
                <w:rFonts w:ascii="Tahoma" w:hAnsi="Tahoma" w:cs="Tahoma"/>
                <w:sz w:val="18"/>
                <w:szCs w:val="18"/>
              </w:rPr>
            </w:pPr>
          </w:p>
          <w:p w14:paraId="64BC19C8" w14:textId="77777777" w:rsidR="00A7298C" w:rsidRPr="00665CF4" w:rsidRDefault="00A7298C" w:rsidP="00154BA9">
            <w:pPr>
              <w:rPr>
                <w:rFonts w:ascii="Tahoma" w:hAnsi="Tahoma" w:cs="Tahoma"/>
                <w:sz w:val="18"/>
                <w:szCs w:val="18"/>
              </w:rPr>
            </w:pPr>
            <w:r w:rsidRPr="00665CF4">
              <w:rPr>
                <w:rFonts w:ascii="Tahoma" w:hAnsi="Tahoma" w:cs="Tahoma"/>
                <w:i/>
                <w:sz w:val="18"/>
                <w:szCs w:val="18"/>
              </w:rPr>
              <w:t>* If yes, please provide further details:</w:t>
            </w:r>
            <w:r>
              <w:rPr>
                <w:rFonts w:ascii="Tahoma" w:hAnsi="Tahoma" w:cs="Tahoma"/>
                <w:i/>
                <w:sz w:val="18"/>
                <w:szCs w:val="18"/>
              </w:rPr>
              <w:t xml:space="preserve"> </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p>
        </w:tc>
      </w:tr>
      <w:tr w:rsidR="00A7298C" w:rsidRPr="00665CF4" w14:paraId="47E93579" w14:textId="77777777" w:rsidTr="00154BA9">
        <w:trPr>
          <w:trHeight w:val="567"/>
        </w:trPr>
        <w:tc>
          <w:tcPr>
            <w:tcW w:w="9747" w:type="dxa"/>
            <w:shd w:val="clear" w:color="auto" w:fill="auto"/>
            <w:vAlign w:val="center"/>
          </w:tcPr>
          <w:p w14:paraId="7474487C" w14:textId="77777777" w:rsidR="00A7298C" w:rsidRPr="00AD23DC" w:rsidRDefault="00A7298C" w:rsidP="00154BA9">
            <w:pPr>
              <w:numPr>
                <w:ilvl w:val="0"/>
                <w:numId w:val="1"/>
              </w:numPr>
              <w:rPr>
                <w:rFonts w:ascii="Tahoma" w:hAnsi="Tahoma" w:cs="Tahoma"/>
                <w:b/>
                <w:sz w:val="18"/>
                <w:szCs w:val="18"/>
              </w:rPr>
            </w:pPr>
            <w:r w:rsidRPr="00AD23DC">
              <w:rPr>
                <w:rFonts w:ascii="Tahoma" w:hAnsi="Tahoma" w:cs="Tahoma"/>
                <w:b/>
                <w:sz w:val="18"/>
                <w:szCs w:val="18"/>
              </w:rPr>
              <w:t xml:space="preserve">If you have requested linked data sets, please indicate whether the Chief Investigator or any of the collaborators listed in response to question 5 above, have access to any of the linked datasets in a patient identifiable form, or associated with a patient index. </w:t>
            </w:r>
          </w:p>
          <w:p w14:paraId="2C0DA8A5" w14:textId="77777777" w:rsidR="00A7298C" w:rsidRPr="00AD23DC" w:rsidRDefault="00A7298C" w:rsidP="00154BA9">
            <w:pPr>
              <w:rPr>
                <w:rFonts w:ascii="Tahoma" w:hAnsi="Tahoma" w:cs="Tahoma"/>
                <w:sz w:val="18"/>
                <w:szCs w:val="18"/>
              </w:rPr>
            </w:pPr>
          </w:p>
          <w:p w14:paraId="230B957D" w14:textId="77777777" w:rsidR="00A7298C" w:rsidRPr="00AD23DC" w:rsidRDefault="00A7298C" w:rsidP="00154BA9">
            <w:pPr>
              <w:ind w:left="360"/>
              <w:rPr>
                <w:rFonts w:ascii="Tahoma" w:hAnsi="Tahoma" w:cs="Tahoma"/>
                <w:sz w:val="18"/>
                <w:szCs w:val="18"/>
              </w:rPr>
            </w:pPr>
            <w:r w:rsidRPr="00AD23DC">
              <w:rPr>
                <w:rFonts w:ascii="Tahoma" w:hAnsi="Tahoma" w:cs="Tahoma"/>
                <w:sz w:val="18"/>
                <w:szCs w:val="18"/>
              </w:rPr>
              <w:t>Yes*</w:t>
            </w:r>
            <w:r w:rsidRPr="00AD23DC">
              <w:rPr>
                <w:rFonts w:ascii="Tahoma" w:hAnsi="Tahoma" w:cs="Tahoma"/>
                <w:sz w:val="18"/>
                <w:szCs w:val="18"/>
              </w:rPr>
              <w:tab/>
            </w:r>
            <w:r w:rsidRPr="00AD23DC">
              <w:rPr>
                <w:rFonts w:ascii="Tahoma" w:hAnsi="Tahoma" w:cs="Tahoma"/>
                <w:sz w:val="18"/>
                <w:szCs w:val="18"/>
              </w:rPr>
              <w:tab/>
            </w:r>
            <w:r w:rsidR="006F2D01" w:rsidRPr="00AD23DC">
              <w:rPr>
                <w:rFonts w:ascii="Tahoma" w:hAnsi="Tahoma" w:cs="Tahoma"/>
                <w:sz w:val="18"/>
                <w:szCs w:val="18"/>
              </w:rPr>
              <w:fldChar w:fldCharType="begin">
                <w:ffData>
                  <w:name w:val="Check1"/>
                  <w:enabled/>
                  <w:calcOnExit w:val="0"/>
                  <w:checkBox>
                    <w:sizeAuto/>
                    <w:default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r w:rsidRPr="00AD23DC">
              <w:rPr>
                <w:rFonts w:ascii="Tahoma" w:hAnsi="Tahoma" w:cs="Tahoma"/>
                <w:sz w:val="18"/>
                <w:szCs w:val="18"/>
              </w:rPr>
              <w:tab/>
            </w:r>
            <w:r w:rsidRPr="00AD23DC">
              <w:rPr>
                <w:rFonts w:ascii="Tahoma" w:hAnsi="Tahoma" w:cs="Tahoma"/>
                <w:sz w:val="18"/>
                <w:szCs w:val="18"/>
              </w:rPr>
              <w:tab/>
              <w:t>No</w:t>
            </w:r>
            <w:r w:rsidRPr="00AD23DC">
              <w:rPr>
                <w:rFonts w:ascii="Tahoma" w:hAnsi="Tahoma" w:cs="Tahoma"/>
                <w:sz w:val="18"/>
                <w:szCs w:val="18"/>
              </w:rPr>
              <w:tab/>
            </w:r>
            <w:r w:rsidRPr="00AD23DC">
              <w:rPr>
                <w:rFonts w:ascii="Tahoma" w:hAnsi="Tahoma" w:cs="Tahoma"/>
                <w:sz w:val="18"/>
                <w:szCs w:val="18"/>
              </w:rPr>
              <w:tab/>
            </w:r>
            <w:r w:rsidR="006F2D01" w:rsidRPr="00AD23DC">
              <w:rPr>
                <w:rFonts w:ascii="Tahoma" w:hAnsi="Tahoma" w:cs="Tahoma"/>
                <w:sz w:val="18"/>
                <w:szCs w:val="18"/>
              </w:rPr>
              <w:fldChar w:fldCharType="begin">
                <w:ffData>
                  <w:name w:val=""/>
                  <w:enabled/>
                  <w:calcOnExit w:val="0"/>
                  <w:checkBox>
                    <w:sizeAuto/>
                    <w:default w:val="1"/>
                  </w:checkBox>
                </w:ffData>
              </w:fldChar>
            </w:r>
            <w:r w:rsidR="003D243D"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p>
          <w:p w14:paraId="0E72A432" w14:textId="77777777" w:rsidR="00A7298C" w:rsidRPr="00AD23DC" w:rsidRDefault="00A7298C" w:rsidP="00154BA9">
            <w:pPr>
              <w:tabs>
                <w:tab w:val="left" w:pos="780"/>
                <w:tab w:val="left" w:pos="3600"/>
              </w:tabs>
              <w:rPr>
                <w:rFonts w:ascii="Tahoma" w:hAnsi="Tahoma" w:cs="Tahoma"/>
                <w:i/>
                <w:sz w:val="18"/>
                <w:szCs w:val="18"/>
              </w:rPr>
            </w:pPr>
          </w:p>
          <w:p w14:paraId="5F11C616" w14:textId="77777777" w:rsidR="00A7298C" w:rsidRPr="00AD23DC" w:rsidRDefault="00A7298C" w:rsidP="00154BA9">
            <w:pPr>
              <w:tabs>
                <w:tab w:val="left" w:pos="780"/>
                <w:tab w:val="left" w:pos="3600"/>
              </w:tabs>
              <w:rPr>
                <w:rFonts w:ascii="Tahoma" w:hAnsi="Tahoma" w:cs="Tahoma"/>
                <w:b/>
                <w:sz w:val="18"/>
                <w:szCs w:val="18"/>
              </w:rPr>
            </w:pPr>
            <w:r w:rsidRPr="00AD23DC">
              <w:rPr>
                <w:rFonts w:ascii="Tahoma" w:hAnsi="Tahoma" w:cs="Tahoma"/>
                <w:i/>
                <w:sz w:val="18"/>
                <w:szCs w:val="18"/>
              </w:rPr>
              <w:t xml:space="preserve">* If yes, please provide further details: </w:t>
            </w:r>
            <w:r w:rsidR="006F2D01" w:rsidRPr="00AD23DC">
              <w:rPr>
                <w:rFonts w:ascii="Tahoma" w:hAnsi="Tahoma" w:cs="Tahoma"/>
                <w:sz w:val="18"/>
                <w:szCs w:val="18"/>
              </w:rPr>
              <w:fldChar w:fldCharType="begin">
                <w:ffData>
                  <w:name w:val="Text9"/>
                  <w:enabled/>
                  <w:calcOnExit w:val="0"/>
                  <w:textInput/>
                </w:ffData>
              </w:fldChar>
            </w:r>
            <w:r w:rsidRPr="00AD23DC">
              <w:rPr>
                <w:rFonts w:ascii="Tahoma" w:hAnsi="Tahoma" w:cs="Tahoma"/>
                <w:sz w:val="18"/>
                <w:szCs w:val="18"/>
              </w:rPr>
              <w:instrText xml:space="preserve"> FORMTEXT </w:instrText>
            </w:r>
            <w:r w:rsidR="006F2D01" w:rsidRPr="00AD23DC">
              <w:rPr>
                <w:rFonts w:ascii="Tahoma" w:hAnsi="Tahoma" w:cs="Tahoma"/>
                <w:sz w:val="18"/>
                <w:szCs w:val="18"/>
              </w:rPr>
            </w:r>
            <w:r w:rsidR="006F2D01" w:rsidRPr="00AD23DC">
              <w:rPr>
                <w:rFonts w:ascii="Tahoma" w:hAnsi="Tahoma" w:cs="Tahoma"/>
                <w:sz w:val="18"/>
                <w:szCs w:val="18"/>
              </w:rPr>
              <w:fldChar w:fldCharType="separate"/>
            </w:r>
            <w:r w:rsidRPr="00AD23DC">
              <w:rPr>
                <w:rFonts w:ascii="Tahoma" w:eastAsia="Arial Unicode MS" w:hAnsi="Tahoma" w:cs="Tahoma"/>
                <w:noProof/>
                <w:sz w:val="18"/>
                <w:szCs w:val="18"/>
              </w:rPr>
              <w:t> </w:t>
            </w:r>
            <w:r w:rsidRPr="00AD23DC">
              <w:rPr>
                <w:rFonts w:ascii="Tahoma" w:eastAsia="Arial Unicode MS" w:hAnsi="Tahoma" w:cs="Tahoma"/>
                <w:noProof/>
                <w:sz w:val="18"/>
                <w:szCs w:val="18"/>
              </w:rPr>
              <w:t> </w:t>
            </w:r>
            <w:r w:rsidRPr="00AD23DC">
              <w:rPr>
                <w:rFonts w:ascii="Tahoma" w:eastAsia="Arial Unicode MS" w:hAnsi="Tahoma" w:cs="Tahoma"/>
                <w:noProof/>
                <w:sz w:val="18"/>
                <w:szCs w:val="18"/>
              </w:rPr>
              <w:t> </w:t>
            </w:r>
            <w:r w:rsidRPr="00AD23DC">
              <w:rPr>
                <w:rFonts w:ascii="Tahoma" w:eastAsia="Arial Unicode MS" w:hAnsi="Tahoma" w:cs="Tahoma"/>
                <w:noProof/>
                <w:sz w:val="18"/>
                <w:szCs w:val="18"/>
              </w:rPr>
              <w:t> </w:t>
            </w:r>
            <w:r w:rsidRPr="00AD23DC">
              <w:rPr>
                <w:rFonts w:ascii="Tahoma" w:eastAsia="Arial Unicode MS" w:hAnsi="Tahoma" w:cs="Tahoma"/>
                <w:noProof/>
                <w:sz w:val="18"/>
                <w:szCs w:val="18"/>
              </w:rPr>
              <w:t> </w:t>
            </w:r>
            <w:r w:rsidR="006F2D01" w:rsidRPr="00AD23DC">
              <w:rPr>
                <w:rFonts w:ascii="Tahoma" w:hAnsi="Tahoma" w:cs="Tahoma"/>
                <w:sz w:val="18"/>
                <w:szCs w:val="18"/>
              </w:rPr>
              <w:fldChar w:fldCharType="end"/>
            </w:r>
          </w:p>
        </w:tc>
      </w:tr>
      <w:tr w:rsidR="00A7298C" w:rsidRPr="00665CF4" w14:paraId="19D1EF46" w14:textId="77777777" w:rsidTr="00154BA9">
        <w:trPr>
          <w:trHeight w:val="567"/>
        </w:trPr>
        <w:tc>
          <w:tcPr>
            <w:tcW w:w="9747" w:type="dxa"/>
            <w:shd w:val="clear" w:color="auto" w:fill="auto"/>
            <w:vAlign w:val="center"/>
          </w:tcPr>
          <w:p w14:paraId="58B549FB" w14:textId="77777777" w:rsidR="00A7298C" w:rsidRPr="00AD23DC" w:rsidRDefault="00A7298C" w:rsidP="00154BA9">
            <w:pPr>
              <w:numPr>
                <w:ilvl w:val="0"/>
                <w:numId w:val="1"/>
              </w:numPr>
              <w:rPr>
                <w:rFonts w:ascii="Tahoma" w:hAnsi="Tahoma" w:cs="Tahoma"/>
                <w:b/>
                <w:sz w:val="18"/>
                <w:szCs w:val="18"/>
              </w:rPr>
            </w:pPr>
            <w:r w:rsidRPr="00AD23DC">
              <w:rPr>
                <w:rFonts w:ascii="Tahoma" w:hAnsi="Tahoma" w:cs="Tahoma"/>
                <w:b/>
                <w:sz w:val="18"/>
                <w:szCs w:val="18"/>
              </w:rPr>
              <w:t xml:space="preserve">Does this study involve linking to patient </w:t>
            </w:r>
            <w:r w:rsidRPr="00AD23DC">
              <w:rPr>
                <w:rFonts w:ascii="Tahoma" w:hAnsi="Tahoma" w:cs="Tahoma"/>
                <w:b/>
                <w:i/>
                <w:sz w:val="18"/>
                <w:szCs w:val="18"/>
              </w:rPr>
              <w:t>identifiable</w:t>
            </w:r>
            <w:r w:rsidRPr="00AD23DC">
              <w:rPr>
                <w:rFonts w:ascii="Tahoma" w:hAnsi="Tahoma" w:cs="Tahoma"/>
                <w:b/>
                <w:sz w:val="18"/>
                <w:szCs w:val="18"/>
              </w:rPr>
              <w:t xml:space="preserve"> data from other sources?</w:t>
            </w:r>
          </w:p>
          <w:p w14:paraId="3DE41905" w14:textId="77777777" w:rsidR="00A7298C" w:rsidRPr="00AD23DC" w:rsidRDefault="00A7298C" w:rsidP="00154BA9">
            <w:pPr>
              <w:rPr>
                <w:rFonts w:ascii="Tahoma" w:hAnsi="Tahoma" w:cs="Tahoma"/>
                <w:sz w:val="18"/>
                <w:szCs w:val="18"/>
              </w:rPr>
            </w:pPr>
          </w:p>
          <w:p w14:paraId="72A0B1CD" w14:textId="77777777" w:rsidR="00A7298C" w:rsidRPr="00AD23DC" w:rsidRDefault="00A7298C" w:rsidP="00154BA9">
            <w:pPr>
              <w:tabs>
                <w:tab w:val="num" w:pos="360"/>
              </w:tabs>
              <w:ind w:left="360"/>
              <w:rPr>
                <w:rFonts w:ascii="Tahoma" w:hAnsi="Tahoma" w:cs="Tahoma"/>
                <w:sz w:val="18"/>
                <w:szCs w:val="18"/>
              </w:rPr>
            </w:pPr>
            <w:r w:rsidRPr="00AD23DC">
              <w:rPr>
                <w:rFonts w:ascii="Tahoma" w:hAnsi="Tahoma" w:cs="Tahoma"/>
                <w:sz w:val="18"/>
                <w:szCs w:val="18"/>
              </w:rPr>
              <w:t>Yes</w:t>
            </w:r>
            <w:r w:rsidRPr="00AD23DC">
              <w:rPr>
                <w:rFonts w:ascii="Tahoma" w:hAnsi="Tahoma" w:cs="Tahoma"/>
                <w:sz w:val="18"/>
                <w:szCs w:val="18"/>
              </w:rPr>
              <w:tab/>
            </w:r>
            <w:r w:rsidRPr="00AD23DC">
              <w:rPr>
                <w:rFonts w:ascii="Tahoma" w:hAnsi="Tahoma" w:cs="Tahoma"/>
                <w:sz w:val="18"/>
                <w:szCs w:val="18"/>
              </w:rPr>
              <w:tab/>
            </w:r>
            <w:r w:rsidR="006F2D01" w:rsidRPr="00AD23DC">
              <w:rPr>
                <w:rFonts w:ascii="Tahoma" w:hAnsi="Tahoma" w:cs="Tahoma"/>
                <w:sz w:val="18"/>
                <w:szCs w:val="18"/>
              </w:rPr>
              <w:fldChar w:fldCharType="begin">
                <w:ffData>
                  <w:name w:val="Check1"/>
                  <w:enabled/>
                  <w:calcOnExit w:val="0"/>
                  <w:checkBox>
                    <w:sizeAuto/>
                    <w:default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r w:rsidRPr="00AD23DC">
              <w:rPr>
                <w:rFonts w:ascii="Tahoma" w:hAnsi="Tahoma" w:cs="Tahoma"/>
                <w:sz w:val="18"/>
                <w:szCs w:val="18"/>
              </w:rPr>
              <w:tab/>
            </w:r>
            <w:r w:rsidRPr="00AD23DC">
              <w:rPr>
                <w:rFonts w:ascii="Tahoma" w:hAnsi="Tahoma" w:cs="Tahoma"/>
                <w:sz w:val="18"/>
                <w:szCs w:val="18"/>
              </w:rPr>
              <w:tab/>
              <w:t>No</w:t>
            </w:r>
            <w:r w:rsidRPr="00AD23DC">
              <w:rPr>
                <w:rFonts w:ascii="Tahoma" w:hAnsi="Tahoma" w:cs="Tahoma"/>
                <w:sz w:val="18"/>
                <w:szCs w:val="18"/>
              </w:rPr>
              <w:tab/>
            </w:r>
            <w:r w:rsidRPr="00AD23DC">
              <w:rPr>
                <w:rFonts w:ascii="Tahoma" w:hAnsi="Tahoma" w:cs="Tahoma"/>
                <w:sz w:val="18"/>
                <w:szCs w:val="18"/>
              </w:rPr>
              <w:tab/>
            </w:r>
            <w:r w:rsidR="006F2D01" w:rsidRPr="00AD23DC">
              <w:rPr>
                <w:rFonts w:ascii="Tahoma" w:hAnsi="Tahoma" w:cs="Tahoma"/>
                <w:sz w:val="18"/>
                <w:szCs w:val="18"/>
              </w:rPr>
              <w:fldChar w:fldCharType="begin">
                <w:ffData>
                  <w:name w:val=""/>
                  <w:enabled/>
                  <w:calcOnExit w:val="0"/>
                  <w:checkBox>
                    <w:sizeAuto/>
                    <w:default w:val="1"/>
                  </w:checkBox>
                </w:ffData>
              </w:fldChar>
            </w:r>
            <w:r w:rsidR="003D243D"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p>
        </w:tc>
      </w:tr>
    </w:tbl>
    <w:p w14:paraId="25D51631" w14:textId="77777777" w:rsidR="00154BA9" w:rsidRDefault="00154BA9">
      <w:r>
        <w:br w:type="page"/>
      </w:r>
    </w:p>
    <w:p w14:paraId="7AC10D65" w14:textId="77777777" w:rsidR="00C37464" w:rsidRDefault="00C37464"/>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7"/>
      </w:tblGrid>
      <w:tr w:rsidR="00A7298C" w:rsidRPr="00665CF4" w14:paraId="3B5800AF" w14:textId="77777777" w:rsidTr="00154BA9">
        <w:trPr>
          <w:trHeight w:val="258"/>
        </w:trPr>
        <w:tc>
          <w:tcPr>
            <w:tcW w:w="9747" w:type="dxa"/>
            <w:vAlign w:val="center"/>
          </w:tcPr>
          <w:p w14:paraId="5B2BD35A" w14:textId="77777777" w:rsidR="00A7298C" w:rsidRPr="00665CF4" w:rsidRDefault="00A7298C" w:rsidP="00154BA9">
            <w:pPr>
              <w:rPr>
                <w:rFonts w:ascii="Tahoma" w:hAnsi="Tahoma" w:cs="Tahoma"/>
                <w:b/>
                <w:sz w:val="18"/>
                <w:szCs w:val="18"/>
              </w:rPr>
            </w:pPr>
            <w:r w:rsidRPr="00665CF4">
              <w:rPr>
                <w:rFonts w:ascii="Tahoma" w:hAnsi="Tahoma" w:cs="Tahoma"/>
                <w:b/>
                <w:sz w:val="18"/>
                <w:szCs w:val="18"/>
              </w:rPr>
              <w:t>Section E: Validation/verification</w:t>
            </w:r>
          </w:p>
        </w:tc>
      </w:tr>
      <w:tr w:rsidR="00A7298C" w:rsidRPr="00665CF4" w14:paraId="65779F6A" w14:textId="77777777" w:rsidTr="00154BA9">
        <w:tblPrEx>
          <w:tblLook w:val="01E0" w:firstRow="1" w:lastRow="1" w:firstColumn="1" w:lastColumn="1" w:noHBand="0" w:noVBand="0"/>
        </w:tblPrEx>
        <w:trPr>
          <w:trHeight w:val="567"/>
        </w:trPr>
        <w:tc>
          <w:tcPr>
            <w:tcW w:w="9747" w:type="dxa"/>
            <w:shd w:val="clear" w:color="auto" w:fill="auto"/>
            <w:vAlign w:val="center"/>
          </w:tcPr>
          <w:p w14:paraId="3A1EFD03" w14:textId="77777777" w:rsidR="00A7298C" w:rsidRPr="00AD23DC" w:rsidRDefault="00A7298C" w:rsidP="00154BA9">
            <w:pPr>
              <w:numPr>
                <w:ilvl w:val="0"/>
                <w:numId w:val="1"/>
              </w:numPr>
              <w:rPr>
                <w:rFonts w:ascii="Tahoma" w:hAnsi="Tahoma" w:cs="Tahoma"/>
                <w:b/>
                <w:sz w:val="18"/>
                <w:szCs w:val="18"/>
              </w:rPr>
            </w:pPr>
            <w:r w:rsidRPr="00AD23DC">
              <w:rPr>
                <w:rFonts w:ascii="Tahoma" w:hAnsi="Tahoma" w:cs="Tahoma"/>
                <w:b/>
                <w:sz w:val="18"/>
                <w:szCs w:val="18"/>
              </w:rPr>
              <w:t>Does this protocol describe a purely observational study using CPRD data (this may include the review of anonymised free text)?</w:t>
            </w:r>
          </w:p>
          <w:p w14:paraId="51DD21D9" w14:textId="77777777" w:rsidR="00A7298C" w:rsidRPr="00AD23DC" w:rsidRDefault="00A7298C" w:rsidP="00154BA9">
            <w:pPr>
              <w:ind w:left="360"/>
              <w:rPr>
                <w:rFonts w:ascii="Tahoma" w:hAnsi="Tahoma" w:cs="Tahoma"/>
                <w:sz w:val="18"/>
                <w:szCs w:val="18"/>
              </w:rPr>
            </w:pPr>
          </w:p>
          <w:p w14:paraId="2B685FCB" w14:textId="77777777" w:rsidR="00A7298C" w:rsidRPr="00AD23DC" w:rsidRDefault="00A7298C" w:rsidP="00154BA9">
            <w:pPr>
              <w:ind w:left="360"/>
              <w:rPr>
                <w:rFonts w:ascii="Tahoma" w:hAnsi="Tahoma" w:cs="Tahoma"/>
                <w:sz w:val="18"/>
                <w:szCs w:val="18"/>
              </w:rPr>
            </w:pPr>
            <w:r w:rsidRPr="00AD23DC">
              <w:rPr>
                <w:rFonts w:ascii="Tahoma" w:hAnsi="Tahoma" w:cs="Tahoma"/>
                <w:sz w:val="18"/>
                <w:szCs w:val="18"/>
              </w:rPr>
              <w:t>Yes*</w:t>
            </w:r>
            <w:r w:rsidRPr="00AD23DC">
              <w:rPr>
                <w:rFonts w:ascii="Tahoma" w:hAnsi="Tahoma" w:cs="Tahoma"/>
                <w:sz w:val="18"/>
                <w:szCs w:val="18"/>
              </w:rPr>
              <w:tab/>
            </w:r>
            <w:r w:rsidR="006F2D01" w:rsidRPr="00AD23DC">
              <w:rPr>
                <w:rFonts w:ascii="Tahoma" w:hAnsi="Tahoma" w:cs="Tahoma"/>
                <w:sz w:val="18"/>
                <w:szCs w:val="18"/>
              </w:rPr>
              <w:fldChar w:fldCharType="begin">
                <w:ffData>
                  <w:name w:val=""/>
                  <w:enabled/>
                  <w:calcOnExit w:val="0"/>
                  <w:checkBox>
                    <w:sizeAuto/>
                    <w:default w:val="1"/>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r w:rsidRPr="00AD23DC">
              <w:rPr>
                <w:rFonts w:ascii="Tahoma" w:hAnsi="Tahoma" w:cs="Tahoma"/>
                <w:sz w:val="18"/>
                <w:szCs w:val="18"/>
              </w:rPr>
              <w:tab/>
            </w:r>
            <w:r w:rsidRPr="00AD23DC">
              <w:rPr>
                <w:rFonts w:ascii="Tahoma" w:hAnsi="Tahoma" w:cs="Tahoma"/>
                <w:sz w:val="18"/>
                <w:szCs w:val="18"/>
              </w:rPr>
              <w:tab/>
              <w:t>No**</w:t>
            </w:r>
            <w:r w:rsidRPr="00AD23DC">
              <w:rPr>
                <w:rFonts w:ascii="Tahoma" w:hAnsi="Tahoma" w:cs="Tahoma"/>
                <w:sz w:val="18"/>
                <w:szCs w:val="18"/>
              </w:rPr>
              <w:tab/>
            </w:r>
            <w:r w:rsidRPr="00AD23DC">
              <w:rPr>
                <w:rFonts w:ascii="Tahoma" w:hAnsi="Tahoma" w:cs="Tahoma"/>
                <w:sz w:val="18"/>
                <w:szCs w:val="18"/>
              </w:rPr>
              <w:tab/>
            </w:r>
            <w:r w:rsidR="006F2D01" w:rsidRPr="00AD23DC">
              <w:rPr>
                <w:rFonts w:ascii="Tahoma" w:hAnsi="Tahoma" w:cs="Tahoma"/>
                <w:sz w:val="18"/>
                <w:szCs w:val="18"/>
              </w:rPr>
              <w:fldChar w:fldCharType="begin">
                <w:ffData>
                  <w:name w:val="Check1"/>
                  <w:enabled/>
                  <w:calcOnExit w:val="0"/>
                  <w:checkBox>
                    <w:sizeAuto/>
                    <w:default w:val="0"/>
                    <w:checked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p>
          <w:p w14:paraId="5E2FC00B" w14:textId="77777777" w:rsidR="00A7298C" w:rsidRPr="00AD23DC" w:rsidRDefault="00A7298C" w:rsidP="00154BA9">
            <w:pPr>
              <w:rPr>
                <w:rFonts w:ascii="Tahoma" w:hAnsi="Tahoma" w:cs="Tahoma"/>
                <w:i/>
                <w:sz w:val="18"/>
                <w:szCs w:val="18"/>
              </w:rPr>
            </w:pPr>
          </w:p>
          <w:p w14:paraId="68E742E8" w14:textId="77777777" w:rsidR="00A7298C" w:rsidRPr="00AD23DC" w:rsidRDefault="00A7298C" w:rsidP="00154BA9">
            <w:pPr>
              <w:rPr>
                <w:rFonts w:ascii="Tahoma" w:hAnsi="Tahoma" w:cs="Tahoma"/>
                <w:i/>
                <w:sz w:val="18"/>
                <w:szCs w:val="18"/>
              </w:rPr>
            </w:pPr>
            <w:r w:rsidRPr="00AD23DC">
              <w:rPr>
                <w:rFonts w:ascii="Tahoma" w:hAnsi="Tahoma" w:cs="Tahoma"/>
                <w:i/>
                <w:sz w:val="18"/>
                <w:szCs w:val="18"/>
              </w:rPr>
              <w:t xml:space="preserve"> * Yes: If you will be using data obtained from the CPRD Group, this study does not require separate ethics approval from an NHS Research Ethics Committee.</w:t>
            </w:r>
          </w:p>
          <w:p w14:paraId="0AFEA11D" w14:textId="77777777" w:rsidR="00A7298C" w:rsidRPr="00AD23DC" w:rsidRDefault="00A7298C" w:rsidP="00154BA9">
            <w:pPr>
              <w:rPr>
                <w:rFonts w:ascii="Tahoma" w:hAnsi="Tahoma" w:cs="Tahoma"/>
                <w:sz w:val="18"/>
                <w:szCs w:val="18"/>
              </w:rPr>
            </w:pPr>
            <w:r w:rsidRPr="00AD23DC">
              <w:rPr>
                <w:rFonts w:ascii="Tahoma" w:hAnsi="Tahoma" w:cs="Tahoma"/>
                <w:i/>
                <w:sz w:val="18"/>
                <w:szCs w:val="18"/>
              </w:rPr>
              <w:t>** No: You may need to seek separate ethics approval from an NHS Research Ethics Committee for this study. The ISAC will provide advice on whether this may be needed.</w:t>
            </w:r>
          </w:p>
        </w:tc>
      </w:tr>
      <w:tr w:rsidR="00A7298C" w:rsidRPr="00665CF4" w14:paraId="081E25D0" w14:textId="77777777" w:rsidTr="00154BA9">
        <w:tblPrEx>
          <w:tblLook w:val="01E0" w:firstRow="1" w:lastRow="1" w:firstColumn="1" w:lastColumn="1" w:noHBand="0" w:noVBand="0"/>
        </w:tblPrEx>
        <w:trPr>
          <w:trHeight w:val="567"/>
        </w:trPr>
        <w:tc>
          <w:tcPr>
            <w:tcW w:w="9747" w:type="dxa"/>
            <w:shd w:val="clear" w:color="auto" w:fill="auto"/>
            <w:vAlign w:val="center"/>
          </w:tcPr>
          <w:p w14:paraId="392B8318" w14:textId="77777777" w:rsidR="00A7298C" w:rsidRPr="00AD23DC" w:rsidRDefault="00A7298C" w:rsidP="00154BA9">
            <w:pPr>
              <w:numPr>
                <w:ilvl w:val="0"/>
                <w:numId w:val="1"/>
              </w:numPr>
              <w:rPr>
                <w:rFonts w:ascii="Tahoma" w:hAnsi="Tahoma" w:cs="Tahoma"/>
                <w:b/>
                <w:sz w:val="18"/>
                <w:szCs w:val="18"/>
              </w:rPr>
            </w:pPr>
            <w:r w:rsidRPr="00AD23DC">
              <w:rPr>
                <w:rFonts w:ascii="Tahoma" w:hAnsi="Tahoma" w:cs="Tahoma"/>
                <w:b/>
                <w:sz w:val="18"/>
                <w:szCs w:val="18"/>
              </w:rPr>
              <w:t>Does this study require anonymised free text?</w:t>
            </w:r>
          </w:p>
          <w:p w14:paraId="55510489" w14:textId="77777777" w:rsidR="00A7298C" w:rsidRPr="00AD23DC" w:rsidRDefault="00A7298C" w:rsidP="00154BA9">
            <w:pPr>
              <w:ind w:left="360"/>
              <w:rPr>
                <w:rFonts w:ascii="Tahoma" w:hAnsi="Tahoma" w:cs="Tahoma"/>
                <w:sz w:val="18"/>
                <w:szCs w:val="18"/>
              </w:rPr>
            </w:pPr>
          </w:p>
          <w:p w14:paraId="2027ED4A" w14:textId="77777777" w:rsidR="00A7298C" w:rsidRPr="00AD23DC" w:rsidRDefault="00A7298C" w:rsidP="00154BA9">
            <w:pPr>
              <w:ind w:left="360"/>
              <w:rPr>
                <w:rFonts w:ascii="Tahoma" w:hAnsi="Tahoma" w:cs="Tahoma"/>
                <w:sz w:val="18"/>
                <w:szCs w:val="18"/>
              </w:rPr>
            </w:pPr>
            <w:r w:rsidRPr="00AD23DC">
              <w:rPr>
                <w:rFonts w:ascii="Tahoma" w:hAnsi="Tahoma" w:cs="Tahoma"/>
                <w:sz w:val="18"/>
                <w:szCs w:val="18"/>
              </w:rPr>
              <w:t>Yes*</w:t>
            </w:r>
            <w:r w:rsidRPr="00AD23DC">
              <w:rPr>
                <w:rFonts w:ascii="Tahoma" w:hAnsi="Tahoma" w:cs="Tahoma"/>
                <w:sz w:val="18"/>
                <w:szCs w:val="18"/>
              </w:rPr>
              <w:tab/>
              <w:t xml:space="preserve">             </w:t>
            </w:r>
            <w:r w:rsidR="006F2D01" w:rsidRPr="00AD23DC">
              <w:rPr>
                <w:rFonts w:ascii="Tahoma" w:hAnsi="Tahoma" w:cs="Tahoma"/>
                <w:sz w:val="18"/>
                <w:szCs w:val="18"/>
              </w:rPr>
              <w:fldChar w:fldCharType="begin">
                <w:ffData>
                  <w:name w:val="Check1"/>
                  <w:enabled/>
                  <w:calcOnExit w:val="0"/>
                  <w:checkBox>
                    <w:sizeAuto/>
                    <w:default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r w:rsidRPr="00AD23DC">
              <w:rPr>
                <w:rFonts w:ascii="Tahoma" w:hAnsi="Tahoma" w:cs="Tahoma"/>
                <w:sz w:val="18"/>
                <w:szCs w:val="18"/>
              </w:rPr>
              <w:tab/>
            </w:r>
            <w:r w:rsidRPr="00AD23DC">
              <w:rPr>
                <w:rFonts w:ascii="Tahoma" w:hAnsi="Tahoma" w:cs="Tahoma"/>
                <w:sz w:val="18"/>
                <w:szCs w:val="18"/>
              </w:rPr>
              <w:tab/>
              <w:t xml:space="preserve">No                      </w:t>
            </w:r>
            <w:r w:rsidR="006F2D01" w:rsidRPr="00AD23DC">
              <w:rPr>
                <w:rFonts w:ascii="Tahoma" w:hAnsi="Tahoma" w:cs="Tahoma"/>
                <w:sz w:val="18"/>
                <w:szCs w:val="18"/>
              </w:rPr>
              <w:fldChar w:fldCharType="begin">
                <w:ffData>
                  <w:name w:val=""/>
                  <w:enabled/>
                  <w:calcOnExit w:val="0"/>
                  <w:checkBox>
                    <w:sizeAuto/>
                    <w:default w:val="1"/>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p>
          <w:p w14:paraId="36C6EA7A" w14:textId="77777777" w:rsidR="00A7298C" w:rsidRPr="00AD23DC" w:rsidRDefault="00A7298C" w:rsidP="00154BA9">
            <w:pPr>
              <w:rPr>
                <w:rFonts w:ascii="Tahoma" w:hAnsi="Tahoma" w:cs="Tahoma"/>
                <w:sz w:val="18"/>
                <w:szCs w:val="18"/>
              </w:rPr>
            </w:pPr>
            <w:r w:rsidRPr="00AD23DC">
              <w:rPr>
                <w:rFonts w:ascii="Tahoma" w:hAnsi="Tahoma" w:cs="Tahoma"/>
                <w:i/>
                <w:sz w:val="18"/>
                <w:szCs w:val="18"/>
              </w:rPr>
              <w:t>*Please note that work involving free text can only be performed on the July 2013 CPRD GOLD database build or earlier versions. CPRD can provide further advice on the use of anonymised free text.</w:t>
            </w:r>
          </w:p>
        </w:tc>
      </w:tr>
      <w:tr w:rsidR="00A7298C" w:rsidRPr="00665CF4" w14:paraId="5D4E0F30" w14:textId="77777777" w:rsidTr="00154BA9">
        <w:tblPrEx>
          <w:tblLook w:val="01E0" w:firstRow="1" w:lastRow="1" w:firstColumn="1" w:lastColumn="1" w:noHBand="0" w:noVBand="0"/>
        </w:tblPrEx>
        <w:trPr>
          <w:trHeight w:val="567"/>
        </w:trPr>
        <w:tc>
          <w:tcPr>
            <w:tcW w:w="9747" w:type="dxa"/>
            <w:shd w:val="clear" w:color="auto" w:fill="auto"/>
            <w:vAlign w:val="center"/>
          </w:tcPr>
          <w:p w14:paraId="079D47BA" w14:textId="77777777" w:rsidR="00A7298C" w:rsidRPr="00AD23DC" w:rsidRDefault="00A7298C" w:rsidP="00154BA9">
            <w:pPr>
              <w:numPr>
                <w:ilvl w:val="0"/>
                <w:numId w:val="1"/>
              </w:numPr>
              <w:rPr>
                <w:rFonts w:ascii="Tahoma" w:hAnsi="Tahoma" w:cs="Tahoma"/>
                <w:b/>
                <w:sz w:val="18"/>
                <w:szCs w:val="18"/>
              </w:rPr>
            </w:pPr>
            <w:r w:rsidRPr="00AD23DC">
              <w:rPr>
                <w:rFonts w:ascii="Tahoma" w:hAnsi="Tahoma" w:cs="Tahoma"/>
                <w:b/>
                <w:sz w:val="18"/>
                <w:szCs w:val="18"/>
              </w:rPr>
              <w:t xml:space="preserve">Does this protocol involve requesting any additional information from GPs? </w:t>
            </w:r>
          </w:p>
          <w:p w14:paraId="37D54FA9" w14:textId="77777777" w:rsidR="00A7298C" w:rsidRPr="00AD23DC" w:rsidRDefault="00A7298C" w:rsidP="00154BA9">
            <w:pPr>
              <w:tabs>
                <w:tab w:val="num" w:pos="360"/>
              </w:tabs>
              <w:rPr>
                <w:rFonts w:ascii="Tahoma" w:hAnsi="Tahoma" w:cs="Tahoma"/>
                <w:sz w:val="18"/>
                <w:szCs w:val="18"/>
              </w:rPr>
            </w:pPr>
          </w:p>
          <w:p w14:paraId="0D5DDCDD" w14:textId="77777777" w:rsidR="00A7298C" w:rsidRPr="00AD23DC" w:rsidRDefault="00A7298C" w:rsidP="00154BA9">
            <w:pPr>
              <w:ind w:left="360"/>
              <w:rPr>
                <w:rFonts w:ascii="Tahoma" w:hAnsi="Tahoma" w:cs="Tahoma"/>
                <w:sz w:val="18"/>
                <w:szCs w:val="18"/>
              </w:rPr>
            </w:pPr>
            <w:r w:rsidRPr="00AD23DC">
              <w:rPr>
                <w:rFonts w:ascii="Tahoma" w:hAnsi="Tahoma" w:cs="Tahoma"/>
                <w:sz w:val="18"/>
                <w:szCs w:val="18"/>
              </w:rPr>
              <w:t>Yes*</w:t>
            </w:r>
            <w:r w:rsidRPr="00AD23DC">
              <w:rPr>
                <w:rFonts w:ascii="Tahoma" w:hAnsi="Tahoma" w:cs="Tahoma"/>
                <w:sz w:val="18"/>
                <w:szCs w:val="18"/>
              </w:rPr>
              <w:tab/>
            </w:r>
            <w:r w:rsidR="006F2D01" w:rsidRPr="00AD23DC">
              <w:rPr>
                <w:rFonts w:ascii="Tahoma" w:hAnsi="Tahoma" w:cs="Tahoma"/>
                <w:sz w:val="18"/>
                <w:szCs w:val="18"/>
              </w:rPr>
              <w:fldChar w:fldCharType="begin">
                <w:ffData>
                  <w:name w:val="Check1"/>
                  <w:enabled/>
                  <w:calcOnExit w:val="0"/>
                  <w:checkBox>
                    <w:sizeAuto/>
                    <w:default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r w:rsidRPr="00AD23DC">
              <w:rPr>
                <w:rFonts w:ascii="Tahoma" w:hAnsi="Tahoma" w:cs="Tahoma"/>
                <w:sz w:val="18"/>
                <w:szCs w:val="18"/>
              </w:rPr>
              <w:tab/>
            </w:r>
            <w:r w:rsidRPr="00AD23DC">
              <w:rPr>
                <w:rFonts w:ascii="Tahoma" w:hAnsi="Tahoma" w:cs="Tahoma"/>
                <w:sz w:val="18"/>
                <w:szCs w:val="18"/>
              </w:rPr>
              <w:tab/>
              <w:t>No</w:t>
            </w:r>
            <w:r w:rsidRPr="00AD23DC">
              <w:rPr>
                <w:rFonts w:ascii="Tahoma" w:hAnsi="Tahoma" w:cs="Tahoma"/>
                <w:sz w:val="18"/>
                <w:szCs w:val="18"/>
              </w:rPr>
              <w:tab/>
            </w:r>
            <w:r w:rsidRPr="00AD23DC">
              <w:rPr>
                <w:rFonts w:ascii="Tahoma" w:hAnsi="Tahoma" w:cs="Tahoma"/>
                <w:sz w:val="18"/>
                <w:szCs w:val="18"/>
              </w:rPr>
              <w:tab/>
            </w:r>
            <w:r w:rsidR="006F2D01" w:rsidRPr="00AD23DC">
              <w:rPr>
                <w:rFonts w:ascii="Tahoma" w:hAnsi="Tahoma" w:cs="Tahoma"/>
                <w:sz w:val="18"/>
                <w:szCs w:val="18"/>
              </w:rPr>
              <w:fldChar w:fldCharType="begin">
                <w:ffData>
                  <w:name w:val=""/>
                  <w:enabled/>
                  <w:calcOnExit w:val="0"/>
                  <w:checkBox>
                    <w:sizeAuto/>
                    <w:default w:val="1"/>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p>
          <w:p w14:paraId="64EED549" w14:textId="77777777" w:rsidR="00A7298C" w:rsidRPr="00AD23DC" w:rsidRDefault="00A7298C" w:rsidP="00154BA9">
            <w:pPr>
              <w:tabs>
                <w:tab w:val="num" w:pos="360"/>
              </w:tabs>
              <w:rPr>
                <w:rFonts w:ascii="Tahoma" w:hAnsi="Tahoma" w:cs="Tahoma"/>
                <w:sz w:val="18"/>
                <w:szCs w:val="18"/>
              </w:rPr>
            </w:pPr>
          </w:p>
          <w:p w14:paraId="39794AE7" w14:textId="77777777" w:rsidR="00A7298C" w:rsidRPr="00AD23DC" w:rsidRDefault="00A7298C" w:rsidP="00154BA9">
            <w:pPr>
              <w:tabs>
                <w:tab w:val="num" w:pos="360"/>
              </w:tabs>
              <w:rPr>
                <w:rFonts w:ascii="Tahoma" w:hAnsi="Tahoma" w:cs="Tahoma"/>
                <w:sz w:val="18"/>
                <w:szCs w:val="18"/>
              </w:rPr>
            </w:pPr>
            <w:r w:rsidRPr="00AD23DC">
              <w:rPr>
                <w:rFonts w:ascii="Tahoma" w:hAnsi="Tahoma" w:cs="Tahoma"/>
                <w:sz w:val="18"/>
                <w:szCs w:val="18"/>
              </w:rPr>
              <w:tab/>
              <w:t>*</w:t>
            </w:r>
            <w:r w:rsidRPr="00AD23DC">
              <w:rPr>
                <w:rFonts w:ascii="Tahoma" w:hAnsi="Tahoma" w:cs="Tahoma"/>
                <w:i/>
                <w:sz w:val="18"/>
                <w:szCs w:val="18"/>
              </w:rPr>
              <w:t xml:space="preserve"> Please indicate what will be required: </w:t>
            </w:r>
          </w:p>
          <w:p w14:paraId="7D3B63A5" w14:textId="77777777" w:rsidR="00A7298C" w:rsidRPr="00AD23DC" w:rsidRDefault="00A7298C" w:rsidP="00154BA9">
            <w:pPr>
              <w:tabs>
                <w:tab w:val="num" w:pos="360"/>
              </w:tabs>
              <w:rPr>
                <w:rFonts w:ascii="Tahoma" w:hAnsi="Tahoma" w:cs="Tahoma"/>
                <w:sz w:val="18"/>
                <w:szCs w:val="18"/>
              </w:rPr>
            </w:pPr>
            <w:r w:rsidRPr="00AD23DC">
              <w:rPr>
                <w:rFonts w:ascii="Tahoma" w:hAnsi="Tahoma" w:cs="Tahoma"/>
                <w:sz w:val="18"/>
                <w:szCs w:val="18"/>
              </w:rPr>
              <w:t>Completion of questionnaires by the GP</w:t>
            </w:r>
            <w:r w:rsidRPr="00AD23DC">
              <w:rPr>
                <w:rFonts w:ascii="Tahoma" w:hAnsi="Tahoma" w:cs="Tahoma"/>
                <w:i/>
                <w:sz w:val="18"/>
                <w:szCs w:val="18"/>
                <w:vertAlign w:val="superscript"/>
              </w:rPr>
              <w:sym w:font="Symbol" w:char="F079"/>
            </w:r>
            <w:r w:rsidRPr="00AD23DC">
              <w:rPr>
                <w:rFonts w:ascii="Tahoma" w:hAnsi="Tahoma" w:cs="Tahoma"/>
                <w:sz w:val="18"/>
                <w:szCs w:val="18"/>
              </w:rPr>
              <w:tab/>
            </w:r>
            <w:r w:rsidRPr="00AD23DC">
              <w:rPr>
                <w:rFonts w:ascii="Tahoma" w:hAnsi="Tahoma" w:cs="Tahoma"/>
                <w:sz w:val="18"/>
                <w:szCs w:val="18"/>
              </w:rPr>
              <w:tab/>
            </w:r>
            <w:r w:rsidRPr="00AD23DC">
              <w:rPr>
                <w:rFonts w:ascii="Tahoma" w:hAnsi="Tahoma" w:cs="Tahoma"/>
                <w:sz w:val="18"/>
                <w:szCs w:val="18"/>
              </w:rPr>
              <w:tab/>
            </w:r>
            <w:r w:rsidRPr="00AD23DC">
              <w:rPr>
                <w:rFonts w:ascii="Tahoma" w:hAnsi="Tahoma" w:cs="Tahoma"/>
                <w:sz w:val="18"/>
                <w:szCs w:val="18"/>
              </w:rPr>
              <w:tab/>
              <w:t xml:space="preserve">Yes  </w:t>
            </w:r>
            <w:r w:rsidR="006F2D01" w:rsidRPr="00AD23DC">
              <w:rPr>
                <w:rFonts w:ascii="Tahoma" w:hAnsi="Tahoma" w:cs="Tahoma"/>
                <w:sz w:val="18"/>
                <w:szCs w:val="18"/>
              </w:rPr>
              <w:fldChar w:fldCharType="begin">
                <w:ffData>
                  <w:name w:val="Check1"/>
                  <w:enabled/>
                  <w:calcOnExit w:val="0"/>
                  <w:checkBox>
                    <w:sizeAuto/>
                    <w:default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r w:rsidRPr="00AD23DC">
              <w:rPr>
                <w:rFonts w:ascii="Tahoma" w:hAnsi="Tahoma" w:cs="Tahoma"/>
                <w:sz w:val="18"/>
                <w:szCs w:val="18"/>
              </w:rPr>
              <w:tab/>
              <w:t xml:space="preserve">   No  </w:t>
            </w:r>
            <w:r w:rsidR="006F2D01" w:rsidRPr="00AD23DC">
              <w:rPr>
                <w:rFonts w:ascii="Tahoma" w:hAnsi="Tahoma" w:cs="Tahoma"/>
                <w:sz w:val="18"/>
                <w:szCs w:val="18"/>
              </w:rPr>
              <w:fldChar w:fldCharType="begin">
                <w:ffData>
                  <w:name w:val="Check1"/>
                  <w:enabled/>
                  <w:calcOnExit w:val="0"/>
                  <w:checkBox>
                    <w:sizeAuto/>
                    <w:default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p>
          <w:p w14:paraId="6A6AA813" w14:textId="77777777" w:rsidR="00A7298C" w:rsidRPr="00AD23DC" w:rsidRDefault="00A7298C" w:rsidP="00154BA9">
            <w:pPr>
              <w:tabs>
                <w:tab w:val="num" w:pos="360"/>
              </w:tabs>
              <w:rPr>
                <w:rFonts w:ascii="Tahoma" w:hAnsi="Tahoma" w:cs="Tahoma"/>
                <w:sz w:val="18"/>
                <w:szCs w:val="18"/>
              </w:rPr>
            </w:pPr>
            <w:r w:rsidRPr="00AD23DC">
              <w:rPr>
                <w:rFonts w:ascii="Tahoma" w:hAnsi="Tahoma" w:cs="Tahoma"/>
                <w:sz w:val="18"/>
                <w:szCs w:val="18"/>
              </w:rPr>
              <w:t xml:space="preserve">Provision of anonymised records (e.g.  hospital discharge summaries) </w:t>
            </w:r>
            <w:r w:rsidRPr="00AD23DC">
              <w:rPr>
                <w:rFonts w:ascii="Tahoma" w:hAnsi="Tahoma" w:cs="Tahoma"/>
                <w:sz w:val="18"/>
                <w:szCs w:val="18"/>
              </w:rPr>
              <w:tab/>
              <w:t xml:space="preserve">Yes  </w:t>
            </w:r>
            <w:r w:rsidR="006F2D01" w:rsidRPr="00AD23DC">
              <w:rPr>
                <w:rFonts w:ascii="Tahoma" w:hAnsi="Tahoma" w:cs="Tahoma"/>
                <w:sz w:val="18"/>
                <w:szCs w:val="18"/>
              </w:rPr>
              <w:fldChar w:fldCharType="begin">
                <w:ffData>
                  <w:name w:val="Check1"/>
                  <w:enabled/>
                  <w:calcOnExit w:val="0"/>
                  <w:checkBox>
                    <w:sizeAuto/>
                    <w:default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r w:rsidRPr="00AD23DC">
              <w:rPr>
                <w:rFonts w:ascii="Tahoma" w:hAnsi="Tahoma" w:cs="Tahoma"/>
                <w:sz w:val="18"/>
                <w:szCs w:val="18"/>
              </w:rPr>
              <w:tab/>
              <w:t xml:space="preserve">   No  </w:t>
            </w:r>
            <w:r w:rsidR="006F2D01" w:rsidRPr="00AD23DC">
              <w:rPr>
                <w:rFonts w:ascii="Tahoma" w:hAnsi="Tahoma" w:cs="Tahoma"/>
                <w:sz w:val="18"/>
                <w:szCs w:val="18"/>
              </w:rPr>
              <w:fldChar w:fldCharType="begin">
                <w:ffData>
                  <w:name w:val="Check1"/>
                  <w:enabled/>
                  <w:calcOnExit w:val="0"/>
                  <w:checkBox>
                    <w:sizeAuto/>
                    <w:default w:val="0"/>
                  </w:checkBox>
                </w:ffData>
              </w:fldChar>
            </w:r>
            <w:r w:rsidRPr="00AD23DC">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AD23DC">
              <w:rPr>
                <w:rFonts w:ascii="Tahoma" w:hAnsi="Tahoma" w:cs="Tahoma"/>
                <w:sz w:val="18"/>
                <w:szCs w:val="18"/>
              </w:rPr>
              <w:fldChar w:fldCharType="end"/>
            </w:r>
          </w:p>
          <w:p w14:paraId="18BED9EA" w14:textId="77777777" w:rsidR="00A7298C" w:rsidRPr="00665CF4" w:rsidRDefault="00A7298C" w:rsidP="00154BA9">
            <w:pPr>
              <w:tabs>
                <w:tab w:val="num" w:pos="360"/>
              </w:tabs>
              <w:rPr>
                <w:rFonts w:ascii="Tahoma" w:hAnsi="Tahoma" w:cs="Tahoma"/>
                <w:sz w:val="18"/>
                <w:szCs w:val="18"/>
              </w:rPr>
            </w:pPr>
            <w:r w:rsidRPr="00AD23DC">
              <w:rPr>
                <w:rFonts w:ascii="Tahoma" w:hAnsi="Tahoma" w:cs="Tahoma"/>
                <w:sz w:val="18"/>
                <w:szCs w:val="18"/>
              </w:rPr>
              <w:t xml:space="preserve">Other (please describe) </w:t>
            </w:r>
            <w:r w:rsidR="006F2D01" w:rsidRPr="00AD23DC">
              <w:rPr>
                <w:rFonts w:ascii="Tahoma" w:hAnsi="Tahoma" w:cs="Tahoma"/>
                <w:sz w:val="18"/>
                <w:szCs w:val="18"/>
              </w:rPr>
              <w:fldChar w:fldCharType="begin">
                <w:ffData>
                  <w:name w:val="Text9"/>
                  <w:enabled/>
                  <w:calcOnExit w:val="0"/>
                  <w:textInput/>
                </w:ffData>
              </w:fldChar>
            </w:r>
            <w:r w:rsidRPr="00AD23DC">
              <w:rPr>
                <w:rFonts w:ascii="Tahoma" w:hAnsi="Tahoma" w:cs="Tahoma"/>
                <w:sz w:val="18"/>
                <w:szCs w:val="18"/>
              </w:rPr>
              <w:instrText xml:space="preserve"> FORMTEXT </w:instrText>
            </w:r>
            <w:r w:rsidR="006F2D01" w:rsidRPr="00AD23DC">
              <w:rPr>
                <w:rFonts w:ascii="Tahoma" w:hAnsi="Tahoma" w:cs="Tahoma"/>
                <w:sz w:val="18"/>
                <w:szCs w:val="18"/>
              </w:rPr>
            </w:r>
            <w:r w:rsidR="006F2D01" w:rsidRPr="00AD23DC">
              <w:rPr>
                <w:rFonts w:ascii="Tahoma" w:hAnsi="Tahoma" w:cs="Tahoma"/>
                <w:sz w:val="18"/>
                <w:szCs w:val="18"/>
              </w:rPr>
              <w:fldChar w:fldCharType="separate"/>
            </w:r>
            <w:r w:rsidRPr="00AD23DC">
              <w:rPr>
                <w:rFonts w:ascii="Tahoma" w:eastAsia="Arial Unicode MS" w:hAnsi="Tahoma" w:cs="Tahoma"/>
                <w:noProof/>
                <w:sz w:val="18"/>
                <w:szCs w:val="18"/>
              </w:rPr>
              <w:t> </w:t>
            </w:r>
            <w:r w:rsidRPr="00AD23DC">
              <w:rPr>
                <w:rFonts w:ascii="Tahoma" w:eastAsia="Arial Unicode MS" w:hAnsi="Tahoma" w:cs="Tahoma"/>
                <w:noProof/>
                <w:sz w:val="18"/>
                <w:szCs w:val="18"/>
              </w:rPr>
              <w:t> </w:t>
            </w:r>
            <w:r w:rsidRPr="00AD23DC">
              <w:rPr>
                <w:rFonts w:ascii="Tahoma" w:eastAsia="Arial Unicode MS" w:hAnsi="Tahoma" w:cs="Tahoma"/>
                <w:noProof/>
                <w:sz w:val="18"/>
                <w:szCs w:val="18"/>
              </w:rPr>
              <w:t> </w:t>
            </w:r>
            <w:r w:rsidRPr="00AD23DC">
              <w:rPr>
                <w:rFonts w:ascii="Tahoma" w:eastAsia="Arial Unicode MS" w:hAnsi="Tahoma" w:cs="Tahoma"/>
                <w:noProof/>
                <w:sz w:val="18"/>
                <w:szCs w:val="18"/>
              </w:rPr>
              <w:t> </w:t>
            </w:r>
            <w:r w:rsidRPr="00AD23DC">
              <w:rPr>
                <w:rFonts w:ascii="Tahoma" w:eastAsia="Arial Unicode MS" w:hAnsi="Tahoma" w:cs="Tahoma"/>
                <w:noProof/>
                <w:sz w:val="18"/>
                <w:szCs w:val="18"/>
              </w:rPr>
              <w:t> </w:t>
            </w:r>
            <w:r w:rsidR="006F2D01" w:rsidRPr="00AD23DC">
              <w:rPr>
                <w:rFonts w:ascii="Tahoma" w:hAnsi="Tahoma" w:cs="Tahoma"/>
                <w:sz w:val="18"/>
                <w:szCs w:val="18"/>
              </w:rPr>
              <w:fldChar w:fldCharType="end"/>
            </w:r>
          </w:p>
          <w:p w14:paraId="6CBAA6E5" w14:textId="77777777" w:rsidR="00A7298C" w:rsidRPr="00665CF4" w:rsidRDefault="00A7298C" w:rsidP="00154BA9">
            <w:pPr>
              <w:tabs>
                <w:tab w:val="num" w:pos="360"/>
              </w:tabs>
              <w:rPr>
                <w:rFonts w:ascii="Tahoma" w:hAnsi="Tahoma" w:cs="Tahoma"/>
                <w:sz w:val="18"/>
                <w:szCs w:val="18"/>
              </w:rPr>
            </w:pPr>
          </w:p>
          <w:p w14:paraId="4FA18492" w14:textId="77777777" w:rsidR="00A7298C" w:rsidRPr="00665CF4" w:rsidRDefault="00A7298C" w:rsidP="00154BA9">
            <w:pPr>
              <w:tabs>
                <w:tab w:val="num" w:pos="360"/>
              </w:tabs>
              <w:rPr>
                <w:rFonts w:ascii="Tahoma" w:hAnsi="Tahoma" w:cs="Tahoma"/>
                <w:i/>
                <w:sz w:val="18"/>
                <w:szCs w:val="18"/>
              </w:rPr>
            </w:pPr>
            <w:r w:rsidRPr="00665CF4">
              <w:rPr>
                <w:rFonts w:ascii="Tahoma" w:hAnsi="Tahoma" w:cs="Tahoma"/>
                <w:i/>
                <w:sz w:val="18"/>
                <w:szCs w:val="18"/>
                <w:vertAlign w:val="superscript"/>
              </w:rPr>
              <w:sym w:font="Symbol" w:char="F079"/>
            </w:r>
            <w:r w:rsidRPr="00665CF4">
              <w:rPr>
                <w:rFonts w:ascii="Tahoma" w:hAnsi="Tahoma" w:cs="Tahoma"/>
                <w:i/>
                <w:sz w:val="18"/>
                <w:szCs w:val="18"/>
              </w:rPr>
              <w:t xml:space="preserve"> Any questionnaire for completion by GPs or other health care professional must be approved by ISAC before circulation for completion. </w:t>
            </w:r>
          </w:p>
          <w:p w14:paraId="0267A5BE" w14:textId="77777777" w:rsidR="00A7298C" w:rsidRPr="00665CF4" w:rsidRDefault="00A7298C" w:rsidP="00154BA9">
            <w:pPr>
              <w:tabs>
                <w:tab w:val="num" w:pos="360"/>
              </w:tabs>
              <w:rPr>
                <w:rFonts w:ascii="Tahoma" w:hAnsi="Tahoma" w:cs="Tahoma"/>
                <w:b/>
                <w:i/>
                <w:sz w:val="18"/>
                <w:szCs w:val="18"/>
              </w:rPr>
            </w:pPr>
            <w:r w:rsidRPr="00665CF4">
              <w:rPr>
                <w:rFonts w:ascii="Tahoma" w:hAnsi="Tahoma" w:cs="Tahoma"/>
                <w:i/>
                <w:sz w:val="18"/>
                <w:szCs w:val="18"/>
              </w:rPr>
              <w:t xml:space="preserve"> </w:t>
            </w:r>
          </w:p>
        </w:tc>
      </w:tr>
      <w:tr w:rsidR="00A7298C" w:rsidRPr="00665CF4" w14:paraId="2E69109D" w14:textId="77777777" w:rsidTr="00154BA9">
        <w:tblPrEx>
          <w:tblLook w:val="01E0" w:firstRow="1" w:lastRow="1" w:firstColumn="1" w:lastColumn="1" w:noHBand="0" w:noVBand="0"/>
        </w:tblPrEx>
        <w:trPr>
          <w:trHeight w:val="567"/>
        </w:trPr>
        <w:tc>
          <w:tcPr>
            <w:tcW w:w="9747" w:type="dxa"/>
            <w:shd w:val="clear" w:color="auto" w:fill="auto"/>
            <w:vAlign w:val="center"/>
          </w:tcPr>
          <w:p w14:paraId="16A981E1" w14:textId="77777777" w:rsidR="00A7298C" w:rsidRPr="00117D03" w:rsidRDefault="00A7298C" w:rsidP="00154BA9">
            <w:pPr>
              <w:numPr>
                <w:ilvl w:val="0"/>
                <w:numId w:val="1"/>
              </w:numPr>
              <w:rPr>
                <w:rFonts w:ascii="Tahoma" w:hAnsi="Tahoma" w:cs="Tahoma"/>
                <w:b/>
                <w:sz w:val="18"/>
                <w:szCs w:val="18"/>
              </w:rPr>
            </w:pPr>
            <w:r w:rsidRPr="00117D03">
              <w:rPr>
                <w:rFonts w:ascii="Tahoma" w:hAnsi="Tahoma" w:cs="Tahoma"/>
                <w:b/>
                <w:sz w:val="18"/>
                <w:szCs w:val="18"/>
              </w:rPr>
              <w:t>Does this study require contact with patients in order for them to complete a questionnaire?</w:t>
            </w:r>
          </w:p>
          <w:p w14:paraId="7FE84C42" w14:textId="77777777" w:rsidR="00A7298C" w:rsidRPr="00665CF4" w:rsidRDefault="00A7298C" w:rsidP="00154BA9">
            <w:pPr>
              <w:tabs>
                <w:tab w:val="num" w:pos="360"/>
              </w:tabs>
              <w:rPr>
                <w:rFonts w:ascii="Tahoma" w:hAnsi="Tahoma" w:cs="Tahoma"/>
                <w:sz w:val="18"/>
                <w:szCs w:val="18"/>
              </w:rPr>
            </w:pPr>
          </w:p>
          <w:p w14:paraId="0DC270AC" w14:textId="77777777" w:rsidR="00A7298C" w:rsidRPr="00665CF4" w:rsidRDefault="00A7298C" w:rsidP="00154BA9">
            <w:pPr>
              <w:tabs>
                <w:tab w:val="num" w:pos="360"/>
              </w:tabs>
              <w:ind w:left="360"/>
              <w:rPr>
                <w:rFonts w:ascii="Tahoma" w:hAnsi="Tahoma" w:cs="Tahoma"/>
                <w:sz w:val="18"/>
                <w:szCs w:val="18"/>
              </w:rPr>
            </w:pPr>
            <w:r w:rsidRPr="00665CF4">
              <w:rPr>
                <w:rFonts w:ascii="Tahoma" w:hAnsi="Tahoma" w:cs="Tahoma"/>
                <w:sz w:val="18"/>
                <w:szCs w:val="18"/>
              </w:rPr>
              <w:t>Yes*</w:t>
            </w:r>
            <w:r w:rsidRPr="00665CF4">
              <w:rPr>
                <w:rFonts w:ascii="Tahoma" w:hAnsi="Tahoma" w:cs="Tahoma"/>
                <w:sz w:val="18"/>
                <w:szCs w:val="18"/>
              </w:rPr>
              <w:tab/>
            </w:r>
            <w:r w:rsidRPr="00665CF4">
              <w:rPr>
                <w:rFonts w:ascii="Tahoma" w:hAnsi="Tahoma" w:cs="Tahoma"/>
                <w:sz w:val="18"/>
                <w:szCs w:val="18"/>
              </w:rPr>
              <w:tab/>
            </w:r>
            <w:r w:rsidR="006F2D01" w:rsidRPr="00665CF4">
              <w:rPr>
                <w:rFonts w:ascii="Tahoma" w:hAnsi="Tahoma" w:cs="Tahoma"/>
                <w:sz w:val="18"/>
                <w:szCs w:val="18"/>
              </w:rPr>
              <w:fldChar w:fldCharType="begin">
                <w:ffData>
                  <w:name w:val="Check1"/>
                  <w:enabled/>
                  <w:calcOnExit w:val="0"/>
                  <w:checkBox>
                    <w:sizeAuto/>
                    <w:default w:val="0"/>
                  </w:checkBox>
                </w:ffData>
              </w:fldChar>
            </w:r>
            <w:r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665CF4">
              <w:rPr>
                <w:rFonts w:ascii="Tahoma" w:hAnsi="Tahoma" w:cs="Tahoma"/>
                <w:sz w:val="18"/>
                <w:szCs w:val="18"/>
              </w:rPr>
              <w:fldChar w:fldCharType="end"/>
            </w:r>
            <w:r w:rsidRPr="00665CF4">
              <w:rPr>
                <w:rFonts w:ascii="Tahoma" w:hAnsi="Tahoma" w:cs="Tahoma"/>
                <w:sz w:val="18"/>
                <w:szCs w:val="18"/>
              </w:rPr>
              <w:tab/>
            </w:r>
            <w:r w:rsidRPr="00665CF4">
              <w:rPr>
                <w:rFonts w:ascii="Tahoma" w:hAnsi="Tahoma" w:cs="Tahoma"/>
                <w:sz w:val="18"/>
                <w:szCs w:val="18"/>
              </w:rPr>
              <w:tab/>
              <w:t>No</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sz w:val="18"/>
                <w:szCs w:val="18"/>
              </w:rPr>
              <w:fldChar w:fldCharType="begin">
                <w:ffData>
                  <w:name w:val=""/>
                  <w:enabled/>
                  <w:calcOnExit w:val="0"/>
                  <w:checkBox>
                    <w:sizeAuto/>
                    <w:default w:val="1"/>
                  </w:checkBox>
                </w:ffData>
              </w:fldChar>
            </w:r>
            <w:r>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Pr>
                <w:rFonts w:ascii="Tahoma" w:hAnsi="Tahoma" w:cs="Tahoma"/>
                <w:sz w:val="18"/>
                <w:szCs w:val="18"/>
              </w:rPr>
              <w:fldChar w:fldCharType="end"/>
            </w:r>
          </w:p>
          <w:p w14:paraId="77693126" w14:textId="77777777" w:rsidR="00A7298C" w:rsidRPr="00665CF4" w:rsidRDefault="00A7298C" w:rsidP="00154BA9">
            <w:pPr>
              <w:rPr>
                <w:rFonts w:ascii="Tahoma" w:hAnsi="Tahoma" w:cs="Tahoma"/>
                <w:sz w:val="18"/>
                <w:szCs w:val="18"/>
              </w:rPr>
            </w:pPr>
          </w:p>
          <w:p w14:paraId="198F87A0" w14:textId="77777777" w:rsidR="00A7298C" w:rsidRPr="00665CF4" w:rsidRDefault="00A7298C" w:rsidP="00154BA9">
            <w:pPr>
              <w:rPr>
                <w:rFonts w:ascii="Tahoma" w:hAnsi="Tahoma" w:cs="Tahoma"/>
                <w:i/>
                <w:sz w:val="18"/>
                <w:szCs w:val="18"/>
              </w:rPr>
            </w:pPr>
            <w:r w:rsidRPr="00665CF4">
              <w:rPr>
                <w:rFonts w:ascii="Tahoma" w:hAnsi="Tahoma" w:cs="Tahoma"/>
                <w:i/>
                <w:sz w:val="18"/>
                <w:szCs w:val="18"/>
              </w:rPr>
              <w:t xml:space="preserve">*Please note that any questionnaire for completion by patients must be approved by ISAC before circulation for completion. </w:t>
            </w:r>
          </w:p>
          <w:p w14:paraId="3252D2AD" w14:textId="77777777" w:rsidR="00A7298C" w:rsidRPr="00665CF4" w:rsidRDefault="00A7298C" w:rsidP="00154BA9">
            <w:pPr>
              <w:rPr>
                <w:rFonts w:ascii="Tahoma" w:hAnsi="Tahoma" w:cs="Tahoma"/>
                <w:sz w:val="18"/>
                <w:szCs w:val="18"/>
              </w:rPr>
            </w:pPr>
          </w:p>
        </w:tc>
      </w:tr>
      <w:tr w:rsidR="00A7298C" w:rsidRPr="00665CF4" w14:paraId="51A52EEB" w14:textId="77777777" w:rsidTr="00154BA9">
        <w:tblPrEx>
          <w:tblLook w:val="01E0" w:firstRow="1" w:lastRow="1" w:firstColumn="1" w:lastColumn="1" w:noHBand="0" w:noVBand="0"/>
        </w:tblPrEx>
        <w:trPr>
          <w:trHeight w:val="567"/>
        </w:trPr>
        <w:tc>
          <w:tcPr>
            <w:tcW w:w="9747" w:type="dxa"/>
            <w:shd w:val="clear" w:color="auto" w:fill="auto"/>
            <w:vAlign w:val="center"/>
          </w:tcPr>
          <w:p w14:paraId="0FAF21BE" w14:textId="77777777" w:rsidR="00A7298C" w:rsidRPr="0036323D" w:rsidRDefault="00A7298C" w:rsidP="00154BA9">
            <w:pPr>
              <w:numPr>
                <w:ilvl w:val="0"/>
                <w:numId w:val="1"/>
              </w:numPr>
              <w:rPr>
                <w:rFonts w:ascii="Tahoma" w:hAnsi="Tahoma" w:cs="Tahoma"/>
                <w:b/>
                <w:sz w:val="18"/>
                <w:szCs w:val="18"/>
              </w:rPr>
            </w:pPr>
            <w:r w:rsidRPr="0036323D">
              <w:rPr>
                <w:rFonts w:ascii="Tahoma" w:hAnsi="Tahoma" w:cs="Tahoma"/>
                <w:b/>
                <w:sz w:val="18"/>
                <w:szCs w:val="18"/>
              </w:rPr>
              <w:t>Does this study require contact with patients in order to collect a sample?</w:t>
            </w:r>
          </w:p>
          <w:p w14:paraId="4CAE2D2C" w14:textId="77777777" w:rsidR="00A7298C" w:rsidRPr="00665CF4" w:rsidRDefault="00A7298C" w:rsidP="00154BA9">
            <w:pPr>
              <w:rPr>
                <w:rFonts w:ascii="Tahoma" w:hAnsi="Tahoma" w:cs="Tahoma"/>
                <w:sz w:val="18"/>
                <w:szCs w:val="18"/>
              </w:rPr>
            </w:pPr>
          </w:p>
          <w:p w14:paraId="5107BED6" w14:textId="77777777" w:rsidR="00A7298C" w:rsidRPr="00665CF4" w:rsidRDefault="00A7298C" w:rsidP="00154BA9">
            <w:pPr>
              <w:tabs>
                <w:tab w:val="num" w:pos="360"/>
              </w:tabs>
              <w:ind w:left="360"/>
              <w:rPr>
                <w:rFonts w:ascii="Tahoma" w:hAnsi="Tahoma" w:cs="Tahoma"/>
                <w:sz w:val="18"/>
                <w:szCs w:val="18"/>
              </w:rPr>
            </w:pPr>
            <w:r w:rsidRPr="00665CF4">
              <w:rPr>
                <w:rFonts w:ascii="Tahoma" w:hAnsi="Tahoma" w:cs="Tahoma"/>
                <w:sz w:val="18"/>
                <w:szCs w:val="18"/>
              </w:rPr>
              <w:t>Yes*</w:t>
            </w:r>
            <w:r w:rsidRPr="00665CF4">
              <w:rPr>
                <w:rFonts w:ascii="Tahoma" w:hAnsi="Tahoma" w:cs="Tahoma"/>
                <w:sz w:val="18"/>
                <w:szCs w:val="18"/>
              </w:rPr>
              <w:tab/>
            </w:r>
            <w:r w:rsidR="006F2D01" w:rsidRPr="00665CF4">
              <w:rPr>
                <w:rFonts w:ascii="Tahoma" w:hAnsi="Tahoma" w:cs="Tahoma"/>
                <w:sz w:val="18"/>
                <w:szCs w:val="18"/>
              </w:rPr>
              <w:fldChar w:fldCharType="begin">
                <w:ffData>
                  <w:name w:val="Check1"/>
                  <w:enabled/>
                  <w:calcOnExit w:val="0"/>
                  <w:checkBox>
                    <w:sizeAuto/>
                    <w:default w:val="0"/>
                  </w:checkBox>
                </w:ffData>
              </w:fldChar>
            </w:r>
            <w:r w:rsidRPr="00665CF4">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sidRPr="00665CF4">
              <w:rPr>
                <w:rFonts w:ascii="Tahoma" w:hAnsi="Tahoma" w:cs="Tahoma"/>
                <w:sz w:val="18"/>
                <w:szCs w:val="18"/>
              </w:rPr>
              <w:fldChar w:fldCharType="end"/>
            </w:r>
            <w:r w:rsidRPr="00665CF4">
              <w:rPr>
                <w:rFonts w:ascii="Tahoma" w:hAnsi="Tahoma" w:cs="Tahoma"/>
                <w:sz w:val="18"/>
                <w:szCs w:val="18"/>
              </w:rPr>
              <w:tab/>
            </w:r>
            <w:r w:rsidRPr="00665CF4">
              <w:rPr>
                <w:rFonts w:ascii="Tahoma" w:hAnsi="Tahoma" w:cs="Tahoma"/>
                <w:sz w:val="18"/>
                <w:szCs w:val="18"/>
              </w:rPr>
              <w:tab/>
              <w:t>No</w:t>
            </w:r>
            <w:r w:rsidRPr="00665CF4">
              <w:rPr>
                <w:rFonts w:ascii="Tahoma" w:hAnsi="Tahoma" w:cs="Tahoma"/>
                <w:sz w:val="18"/>
                <w:szCs w:val="18"/>
              </w:rPr>
              <w:tab/>
            </w:r>
            <w:r w:rsidRPr="00665CF4">
              <w:rPr>
                <w:rFonts w:ascii="Tahoma" w:hAnsi="Tahoma" w:cs="Tahoma"/>
                <w:sz w:val="18"/>
                <w:szCs w:val="18"/>
              </w:rPr>
              <w:tab/>
            </w:r>
            <w:r w:rsidR="006F2D01">
              <w:rPr>
                <w:rFonts w:ascii="Tahoma" w:hAnsi="Tahoma" w:cs="Tahoma"/>
                <w:sz w:val="18"/>
                <w:szCs w:val="18"/>
              </w:rPr>
              <w:fldChar w:fldCharType="begin">
                <w:ffData>
                  <w:name w:val=""/>
                  <w:enabled/>
                  <w:calcOnExit w:val="0"/>
                  <w:checkBox>
                    <w:sizeAuto/>
                    <w:default w:val="1"/>
                  </w:checkBox>
                </w:ffData>
              </w:fldChar>
            </w:r>
            <w:r>
              <w:rPr>
                <w:rFonts w:ascii="Tahoma" w:hAnsi="Tahoma" w:cs="Tahoma"/>
                <w:sz w:val="18"/>
                <w:szCs w:val="18"/>
              </w:rPr>
              <w:instrText xml:space="preserve"> FORMCHECKBOX </w:instrText>
            </w:r>
            <w:r w:rsidR="001550A1">
              <w:rPr>
                <w:rFonts w:ascii="Tahoma" w:hAnsi="Tahoma" w:cs="Tahoma"/>
                <w:sz w:val="18"/>
                <w:szCs w:val="18"/>
              </w:rPr>
            </w:r>
            <w:r w:rsidR="001550A1">
              <w:rPr>
                <w:rFonts w:ascii="Tahoma" w:hAnsi="Tahoma" w:cs="Tahoma"/>
                <w:sz w:val="18"/>
                <w:szCs w:val="18"/>
              </w:rPr>
              <w:fldChar w:fldCharType="separate"/>
            </w:r>
            <w:r w:rsidR="006F2D01">
              <w:rPr>
                <w:rFonts w:ascii="Tahoma" w:hAnsi="Tahoma" w:cs="Tahoma"/>
                <w:sz w:val="18"/>
                <w:szCs w:val="18"/>
              </w:rPr>
              <w:fldChar w:fldCharType="end"/>
            </w:r>
          </w:p>
          <w:p w14:paraId="3130E704" w14:textId="77777777" w:rsidR="00A7298C" w:rsidRPr="00665CF4" w:rsidRDefault="00A7298C" w:rsidP="00154BA9">
            <w:pPr>
              <w:rPr>
                <w:rFonts w:ascii="Tahoma" w:hAnsi="Tahoma" w:cs="Tahoma"/>
                <w:sz w:val="18"/>
                <w:szCs w:val="18"/>
              </w:rPr>
            </w:pPr>
          </w:p>
          <w:p w14:paraId="3C1B6509" w14:textId="77777777" w:rsidR="00A7298C" w:rsidRPr="00665CF4" w:rsidRDefault="00A7298C" w:rsidP="00154BA9">
            <w:pPr>
              <w:rPr>
                <w:rFonts w:ascii="Tahoma" w:hAnsi="Tahoma" w:cs="Tahoma"/>
                <w:i/>
                <w:sz w:val="18"/>
                <w:szCs w:val="18"/>
              </w:rPr>
            </w:pPr>
            <w:r w:rsidRPr="00665CF4">
              <w:rPr>
                <w:rFonts w:ascii="Tahoma" w:hAnsi="Tahoma" w:cs="Tahoma"/>
                <w:i/>
                <w:sz w:val="18"/>
                <w:szCs w:val="18"/>
              </w:rPr>
              <w:t xml:space="preserve">* Please state what will be collected: </w:t>
            </w:r>
            <w:r w:rsidR="006F2D01" w:rsidRPr="00665CF4">
              <w:rPr>
                <w:rFonts w:ascii="Tahoma" w:hAnsi="Tahoma" w:cs="Tahoma"/>
                <w:sz w:val="18"/>
                <w:szCs w:val="18"/>
              </w:rPr>
              <w:fldChar w:fldCharType="begin">
                <w:ffData>
                  <w:name w:val="Text9"/>
                  <w:enabled/>
                  <w:calcOnExit w:val="0"/>
                  <w:textInput/>
                </w:ffData>
              </w:fldChar>
            </w:r>
            <w:r w:rsidRPr="00665CF4">
              <w:rPr>
                <w:rFonts w:ascii="Tahoma" w:hAnsi="Tahoma" w:cs="Tahoma"/>
                <w:sz w:val="18"/>
                <w:szCs w:val="18"/>
              </w:rPr>
              <w:instrText xml:space="preserve"> FORMTEXT </w:instrText>
            </w:r>
            <w:r w:rsidR="006F2D01" w:rsidRPr="00665CF4">
              <w:rPr>
                <w:rFonts w:ascii="Tahoma" w:hAnsi="Tahoma" w:cs="Tahoma"/>
                <w:sz w:val="18"/>
                <w:szCs w:val="18"/>
              </w:rPr>
            </w:r>
            <w:r w:rsidR="006F2D01" w:rsidRPr="00665CF4">
              <w:rPr>
                <w:rFonts w:ascii="Tahoma" w:hAnsi="Tahoma" w:cs="Tahoma"/>
                <w:sz w:val="18"/>
                <w:szCs w:val="18"/>
              </w:rPr>
              <w:fldChar w:fldCharType="separate"/>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Pr="00665CF4">
              <w:rPr>
                <w:rFonts w:ascii="Tahoma" w:eastAsia="Arial Unicode MS" w:hAnsi="Tahoma" w:cs="Tahoma"/>
                <w:noProof/>
                <w:sz w:val="18"/>
                <w:szCs w:val="18"/>
              </w:rPr>
              <w:t> </w:t>
            </w:r>
            <w:r w:rsidR="006F2D01" w:rsidRPr="00665CF4">
              <w:rPr>
                <w:rFonts w:ascii="Tahoma" w:hAnsi="Tahoma" w:cs="Tahoma"/>
                <w:sz w:val="18"/>
                <w:szCs w:val="18"/>
              </w:rPr>
              <w:fldChar w:fldCharType="end"/>
            </w:r>
            <w:r w:rsidRPr="00665CF4">
              <w:rPr>
                <w:rFonts w:ascii="Tahoma" w:hAnsi="Tahoma" w:cs="Tahoma"/>
                <w:i/>
                <w:sz w:val="18"/>
                <w:szCs w:val="18"/>
              </w:rPr>
              <w:t xml:space="preserve">  </w:t>
            </w:r>
          </w:p>
          <w:p w14:paraId="01FFE948" w14:textId="77777777" w:rsidR="00A7298C" w:rsidRPr="00665CF4" w:rsidRDefault="00A7298C" w:rsidP="00154BA9">
            <w:pPr>
              <w:rPr>
                <w:rFonts w:ascii="Tahoma" w:hAnsi="Tahoma" w:cs="Tahoma"/>
                <w:sz w:val="18"/>
                <w:szCs w:val="18"/>
              </w:rPr>
            </w:pPr>
          </w:p>
        </w:tc>
      </w:tr>
      <w:tr w:rsidR="00A7298C" w:rsidRPr="00665CF4" w14:paraId="01084525" w14:textId="77777777" w:rsidTr="00154BA9">
        <w:trPr>
          <w:trHeight w:val="151"/>
        </w:trPr>
        <w:tc>
          <w:tcPr>
            <w:tcW w:w="9747" w:type="dxa"/>
            <w:vAlign w:val="center"/>
          </w:tcPr>
          <w:p w14:paraId="4905DD51" w14:textId="77777777" w:rsidR="00A7298C" w:rsidRPr="00665CF4" w:rsidRDefault="00A7298C" w:rsidP="00154BA9">
            <w:pPr>
              <w:rPr>
                <w:rFonts w:ascii="Tahoma" w:hAnsi="Tahoma" w:cs="Tahoma"/>
                <w:sz w:val="18"/>
                <w:szCs w:val="18"/>
              </w:rPr>
            </w:pPr>
            <w:r>
              <w:br w:type="page"/>
            </w:r>
            <w:r w:rsidRPr="00665CF4">
              <w:rPr>
                <w:rFonts w:ascii="Tahoma" w:hAnsi="Tahoma" w:cs="Tahoma"/>
                <w:b/>
                <w:sz w:val="18"/>
                <w:szCs w:val="18"/>
              </w:rPr>
              <w:t>Section F: Signatures</w:t>
            </w:r>
          </w:p>
        </w:tc>
      </w:tr>
      <w:tr w:rsidR="00A7298C" w:rsidRPr="00665CF4" w14:paraId="5FAFB955" w14:textId="77777777" w:rsidTr="00154BA9">
        <w:trPr>
          <w:trHeight w:val="567"/>
        </w:trPr>
        <w:tc>
          <w:tcPr>
            <w:tcW w:w="9747" w:type="dxa"/>
            <w:vAlign w:val="center"/>
          </w:tcPr>
          <w:p w14:paraId="35515251" w14:textId="77777777" w:rsidR="00A7298C" w:rsidRPr="00BA315A" w:rsidRDefault="00A7298C" w:rsidP="00154BA9">
            <w:pPr>
              <w:numPr>
                <w:ilvl w:val="0"/>
                <w:numId w:val="1"/>
              </w:numPr>
              <w:rPr>
                <w:rFonts w:ascii="Tahoma" w:hAnsi="Tahoma" w:cs="Tahoma"/>
                <w:b/>
                <w:sz w:val="18"/>
                <w:szCs w:val="18"/>
              </w:rPr>
            </w:pPr>
            <w:r w:rsidRPr="00BA315A">
              <w:rPr>
                <w:rFonts w:ascii="Tahoma" w:hAnsi="Tahoma" w:cs="Tahoma"/>
                <w:b/>
                <w:sz w:val="18"/>
                <w:szCs w:val="18"/>
              </w:rPr>
              <w:t>Signature from the Chief Investigator</w:t>
            </w:r>
          </w:p>
          <w:p w14:paraId="0BCFB7E9" w14:textId="77777777" w:rsidR="00A7298C" w:rsidRPr="00665CF4" w:rsidRDefault="00A7298C" w:rsidP="00154BA9">
            <w:pPr>
              <w:rPr>
                <w:rFonts w:ascii="Tahoma" w:hAnsi="Tahoma" w:cs="Tahoma"/>
                <w:sz w:val="18"/>
                <w:szCs w:val="18"/>
              </w:rPr>
            </w:pPr>
          </w:p>
          <w:p w14:paraId="3ACF1364" w14:textId="77777777" w:rsidR="00A7298C" w:rsidRPr="00665CF4" w:rsidRDefault="00A7298C" w:rsidP="00154BA9">
            <w:pPr>
              <w:rPr>
                <w:rFonts w:ascii="Tahoma" w:hAnsi="Tahoma" w:cs="Tahoma"/>
                <w:sz w:val="18"/>
                <w:szCs w:val="18"/>
              </w:rPr>
            </w:pPr>
            <w:r w:rsidRPr="00665CF4">
              <w:rPr>
                <w:rFonts w:ascii="Tahoma" w:hAnsi="Tahoma" w:cs="Tahoma"/>
                <w:sz w:val="18"/>
                <w:szCs w:val="18"/>
              </w:rPr>
              <w:t>I confirm that the above information is to the best of my knowledge accurate, and I have read and understood the guidance to applicants.</w:t>
            </w:r>
          </w:p>
          <w:p w14:paraId="3527A5D4" w14:textId="77777777" w:rsidR="00A7298C" w:rsidRPr="00665CF4" w:rsidRDefault="00A7298C" w:rsidP="00154BA9">
            <w:pPr>
              <w:rPr>
                <w:rFonts w:ascii="Tahoma" w:hAnsi="Tahoma" w:cs="Tahoma"/>
                <w:sz w:val="18"/>
                <w:szCs w:val="18"/>
              </w:rPr>
            </w:pPr>
          </w:p>
          <w:p w14:paraId="4D11848A" w14:textId="77777777" w:rsidR="00A7298C" w:rsidRPr="00665CF4" w:rsidRDefault="00A7298C" w:rsidP="00154BA9">
            <w:pPr>
              <w:rPr>
                <w:rFonts w:ascii="Tahoma" w:hAnsi="Tahoma" w:cs="Tahoma"/>
                <w:sz w:val="18"/>
                <w:szCs w:val="18"/>
              </w:rPr>
            </w:pPr>
            <w:r w:rsidRPr="00665CF4">
              <w:rPr>
                <w:rFonts w:ascii="Tahoma" w:hAnsi="Tahoma" w:cs="Tahoma"/>
                <w:sz w:val="18"/>
                <w:szCs w:val="18"/>
              </w:rPr>
              <w:t>Name:</w:t>
            </w:r>
            <w:r w:rsidRPr="00665CF4">
              <w:rPr>
                <w:rFonts w:ascii="Tahoma" w:hAnsi="Tahoma" w:cs="Tahoma"/>
                <w:sz w:val="18"/>
                <w:szCs w:val="18"/>
              </w:rPr>
              <w:tab/>
            </w:r>
            <w:r>
              <w:rPr>
                <w:rFonts w:ascii="Tahoma" w:hAnsi="Tahoma" w:cs="Tahoma"/>
                <w:sz w:val="18"/>
                <w:szCs w:val="18"/>
              </w:rPr>
              <w:t>Professor Patrick Kehoe</w:t>
            </w:r>
            <w:r w:rsidRPr="00665CF4">
              <w:rPr>
                <w:rFonts w:ascii="Tahoma" w:hAnsi="Tahoma" w:cs="Tahoma"/>
                <w:sz w:val="18"/>
                <w:szCs w:val="18"/>
              </w:rPr>
              <w:t xml:space="preserve">                      Date:</w:t>
            </w:r>
            <w:r w:rsidRPr="00665CF4">
              <w:rPr>
                <w:rFonts w:ascii="Tahoma" w:hAnsi="Tahoma" w:cs="Tahoma"/>
                <w:sz w:val="18"/>
                <w:szCs w:val="18"/>
              </w:rPr>
              <w:tab/>
            </w:r>
            <w:r w:rsidR="00EF5953">
              <w:rPr>
                <w:rFonts w:ascii="Tahoma" w:hAnsi="Tahoma" w:cs="Tahoma"/>
                <w:sz w:val="18"/>
                <w:szCs w:val="18"/>
              </w:rPr>
              <w:t>10</w:t>
            </w:r>
            <w:r w:rsidR="00E223D6">
              <w:rPr>
                <w:rFonts w:ascii="Tahoma" w:hAnsi="Tahoma" w:cs="Tahoma"/>
                <w:sz w:val="18"/>
                <w:szCs w:val="18"/>
              </w:rPr>
              <w:t>/12</w:t>
            </w:r>
            <w:r w:rsidR="00B16CD2">
              <w:rPr>
                <w:rFonts w:ascii="Tahoma" w:hAnsi="Tahoma" w:cs="Tahoma"/>
                <w:sz w:val="18"/>
                <w:szCs w:val="18"/>
              </w:rPr>
              <w:t>/15</w:t>
            </w:r>
            <w:r w:rsidRPr="00665CF4">
              <w:rPr>
                <w:rFonts w:ascii="Tahoma" w:hAnsi="Tahoma" w:cs="Tahoma"/>
                <w:sz w:val="18"/>
                <w:szCs w:val="18"/>
              </w:rPr>
              <w:t xml:space="preserve">              E. signature (type name):</w:t>
            </w:r>
            <w:r>
              <w:rPr>
                <w:rFonts w:ascii="Tahoma" w:hAnsi="Tahoma" w:cs="Tahoma"/>
                <w:sz w:val="18"/>
                <w:szCs w:val="18"/>
              </w:rPr>
              <w:t>Pat Kehoe</w:t>
            </w:r>
          </w:p>
          <w:p w14:paraId="341689C2" w14:textId="77777777" w:rsidR="00A7298C" w:rsidRPr="00665CF4" w:rsidRDefault="00A7298C" w:rsidP="00154BA9">
            <w:pPr>
              <w:rPr>
                <w:rFonts w:ascii="Tahoma" w:hAnsi="Tahoma" w:cs="Tahoma"/>
                <w:sz w:val="18"/>
                <w:szCs w:val="18"/>
              </w:rPr>
            </w:pPr>
          </w:p>
        </w:tc>
      </w:tr>
    </w:tbl>
    <w:p w14:paraId="7365D442" w14:textId="77777777" w:rsidR="00A7298C" w:rsidRPr="00665CF4" w:rsidRDefault="00A7298C" w:rsidP="00A7298C">
      <w:pPr>
        <w:jc w:val="center"/>
        <w:rPr>
          <w:rFonts w:ascii="Tahoma" w:hAnsi="Tahoma" w:cs="Tahoma"/>
          <w:b/>
          <w:caps/>
          <w:sz w:val="20"/>
          <w:szCs w:val="20"/>
          <w:u w:val="single"/>
        </w:rPr>
      </w:pPr>
      <w:r w:rsidRPr="00665CF4">
        <w:rPr>
          <w:rFonts w:ascii="Tahoma" w:hAnsi="Tahoma" w:cs="Tahoma"/>
          <w:b/>
          <w:caps/>
          <w:sz w:val="18"/>
          <w:szCs w:val="18"/>
        </w:rPr>
        <w:br w:type="page"/>
      </w:r>
      <w:r w:rsidRPr="00665CF4">
        <w:rPr>
          <w:rFonts w:ascii="Tahoma" w:hAnsi="Tahoma" w:cs="Tahoma"/>
          <w:b/>
          <w:caps/>
          <w:sz w:val="20"/>
          <w:szCs w:val="20"/>
          <w:u w:val="single"/>
        </w:rPr>
        <w:lastRenderedPageBreak/>
        <w:t>Protocol Information</w:t>
      </w:r>
    </w:p>
    <w:p w14:paraId="248CD4C6" w14:textId="77777777" w:rsidR="00A7298C" w:rsidRPr="00665CF4" w:rsidRDefault="00A7298C" w:rsidP="00A7298C">
      <w:pPr>
        <w:jc w:val="center"/>
        <w:rPr>
          <w:rFonts w:ascii="Tahoma" w:hAnsi="Tahoma" w:cs="Tahoma"/>
          <w:b/>
          <w:caps/>
          <w:sz w:val="20"/>
          <w:szCs w:val="20"/>
        </w:rPr>
      </w:pPr>
    </w:p>
    <w:p w14:paraId="49CB7FE1" w14:textId="77777777" w:rsidR="00A7298C" w:rsidRPr="00665CF4" w:rsidRDefault="00A7298C" w:rsidP="00A7298C">
      <w:pPr>
        <w:spacing w:line="360" w:lineRule="auto"/>
        <w:rPr>
          <w:rStyle w:val="IntenseEmphasis"/>
        </w:rPr>
      </w:pPr>
      <w:r w:rsidRPr="00665CF4">
        <w:rPr>
          <w:rStyle w:val="IntenseEmphasis"/>
          <w:b w:val="0"/>
          <w:i w:val="0"/>
          <w:color w:val="auto"/>
        </w:rPr>
        <w:t>In order to help ensure that protocols submitted for review contain adequate information for protocol evaluation, ISAC have produced guidance on the content of protocols for research using CPRD data. This guidance is available on the CPRD website (</w:t>
      </w:r>
      <w:hyperlink r:id="rId13" w:history="1">
        <w:r w:rsidRPr="00665CF4">
          <w:rPr>
            <w:rStyle w:val="IntenseEmphasis"/>
            <w:b w:val="0"/>
            <w:i w:val="0"/>
            <w:color w:val="auto"/>
          </w:rPr>
          <w:t>www.cprd.com/ISAC</w:t>
        </w:r>
      </w:hyperlink>
      <w:r w:rsidRPr="00665CF4">
        <w:rPr>
          <w:rStyle w:val="IntenseEmphasis"/>
          <w:b w:val="0"/>
          <w:i w:val="0"/>
          <w:color w:val="auto"/>
        </w:rPr>
        <w:t xml:space="preserve">). All protocols using CPRD data which are submitted for review by ISAC must contain information on all the areas detailed below.  If a specific area required by ISAC is not applicable to your protocol, please provide the justification underneath the relevant heading. </w:t>
      </w:r>
    </w:p>
    <w:p w14:paraId="1EF5AD50" w14:textId="77777777" w:rsidR="00A7298C" w:rsidRPr="00665CF4" w:rsidRDefault="00A7298C" w:rsidP="00A7298C">
      <w:pPr>
        <w:spacing w:line="360" w:lineRule="auto"/>
        <w:rPr>
          <w:rStyle w:val="IntenseEmphasis"/>
        </w:rPr>
      </w:pPr>
    </w:p>
    <w:p w14:paraId="52068FFB" w14:textId="77777777" w:rsidR="00A7298C" w:rsidRPr="00665CF4" w:rsidRDefault="00A7298C" w:rsidP="00A7298C">
      <w:pPr>
        <w:spacing w:line="360" w:lineRule="auto"/>
        <w:rPr>
          <w:rStyle w:val="IntenseEmphasis"/>
        </w:rPr>
      </w:pPr>
      <w:r w:rsidRPr="00665CF4">
        <w:rPr>
          <w:rStyle w:val="IntenseEmphasis"/>
          <w:b w:val="0"/>
          <w:i w:val="0"/>
          <w:color w:val="auto"/>
        </w:rPr>
        <w:t xml:space="preserve">The protocol section (next page) has pre-defined headings and the protocol must be written using these headings.  Additional headings are not acceptable; however, supplementary information may be placed in one or more of the appendices </w:t>
      </w:r>
      <w:r>
        <w:rPr>
          <w:rStyle w:val="IntenseEmphasis"/>
          <w:b w:val="0"/>
          <w:i w:val="0"/>
          <w:color w:val="auto"/>
        </w:rPr>
        <w:t xml:space="preserve">providing this information </w:t>
      </w:r>
      <w:r w:rsidRPr="00665CF4">
        <w:rPr>
          <w:rStyle w:val="IntenseEmphasis"/>
          <w:b w:val="0"/>
          <w:i w:val="0"/>
          <w:color w:val="auto"/>
        </w:rPr>
        <w:t>is essential and an appropriate reference to it is made within the protocol. Unless very short, codes lists should be placed in an Appendix. Applications will be regarded as invalid and returned to the applicant if any of the headings below are missing or if additional sections are included.</w:t>
      </w:r>
    </w:p>
    <w:p w14:paraId="60CE79AE" w14:textId="77777777" w:rsidR="00A7298C" w:rsidRPr="00665CF4" w:rsidRDefault="00A7298C" w:rsidP="00A7298C">
      <w:pPr>
        <w:spacing w:line="360" w:lineRule="auto"/>
        <w:rPr>
          <w:rStyle w:val="IntenseEmphasis"/>
        </w:rPr>
      </w:pPr>
    </w:p>
    <w:p w14:paraId="6C1EFED2" w14:textId="77777777" w:rsidR="00A7298C" w:rsidRPr="00665CF4" w:rsidRDefault="00A7298C" w:rsidP="00A7298C">
      <w:pPr>
        <w:spacing w:line="360" w:lineRule="auto"/>
        <w:rPr>
          <w:rStyle w:val="IntenseEmphasis"/>
        </w:rPr>
      </w:pPr>
      <w:r w:rsidRPr="00665CF4">
        <w:rPr>
          <w:rStyle w:val="IntenseEmphasis"/>
          <w:b w:val="0"/>
          <w:i w:val="0"/>
          <w:color w:val="auto"/>
        </w:rPr>
        <w:t xml:space="preserve">Please note that ISAC will not consider any application where the protocol exceeds 12 pages (excluding </w:t>
      </w:r>
      <w:r w:rsidRPr="004617BD">
        <w:rPr>
          <w:rStyle w:val="IntenseEmphasis"/>
          <w:b w:val="0"/>
          <w:i w:val="0"/>
          <w:color w:val="auto"/>
        </w:rPr>
        <w:t>sections A-F of the application form and annexes). Annexes should be kept to a minimum and contain only vital information that could not be provided in the main protocol section. A font-size of at least</w:t>
      </w:r>
      <w:r w:rsidRPr="00665CF4">
        <w:rPr>
          <w:rStyle w:val="IntenseEmphasis"/>
          <w:b w:val="0"/>
          <w:i w:val="0"/>
          <w:color w:val="auto"/>
        </w:rPr>
        <w:t xml:space="preserve"> 12 should be used.</w:t>
      </w:r>
      <w:r>
        <w:rPr>
          <w:rStyle w:val="IntenseEmphasis"/>
          <w:b w:val="0"/>
          <w:i w:val="0"/>
          <w:color w:val="auto"/>
        </w:rPr>
        <w:t xml:space="preserve"> </w:t>
      </w:r>
      <w:r w:rsidRPr="000D3853">
        <w:t>Protocols not exceeding 15 pages would be acceptable if ISAC has required a resubmission where additional information is requested</w:t>
      </w:r>
      <w:r>
        <w:t>.</w:t>
      </w:r>
    </w:p>
    <w:p w14:paraId="7C22ACBB" w14:textId="77777777" w:rsidR="00A7298C" w:rsidRPr="00665CF4" w:rsidRDefault="00A7298C" w:rsidP="00A7298C">
      <w:pPr>
        <w:spacing w:line="360" w:lineRule="auto"/>
        <w:rPr>
          <w:rStyle w:val="IntenseEmphasis"/>
        </w:rPr>
      </w:pPr>
    </w:p>
    <w:p w14:paraId="5949783F" w14:textId="77777777" w:rsidR="00A7298C" w:rsidRPr="00665CF4" w:rsidRDefault="00A7298C" w:rsidP="00A7298C">
      <w:pPr>
        <w:spacing w:line="360" w:lineRule="auto"/>
        <w:rPr>
          <w:rStyle w:val="IntenseEmphasis"/>
        </w:rPr>
      </w:pPr>
      <w:r w:rsidRPr="00665CF4">
        <w:rPr>
          <w:rStyle w:val="IntenseEmphasis"/>
          <w:b w:val="0"/>
          <w:i w:val="0"/>
          <w:color w:val="auto"/>
        </w:rPr>
        <w:t xml:space="preserve">Please note, your protocol will not be reviewed by ISAC if it falls short of the above requirements.  You are advised to speak to the Secretariat if you have any queries. </w:t>
      </w:r>
    </w:p>
    <w:p w14:paraId="7296DB88" w14:textId="77777777" w:rsidR="00A7298C" w:rsidRPr="00665CF4" w:rsidRDefault="00A7298C" w:rsidP="00A7298C">
      <w:pPr>
        <w:spacing w:line="360" w:lineRule="auto"/>
        <w:rPr>
          <w:rStyle w:val="IntenseEmphasis"/>
        </w:rPr>
      </w:pPr>
    </w:p>
    <w:p w14:paraId="2070D7A9" w14:textId="77777777" w:rsidR="00A7298C" w:rsidRPr="00665CF4" w:rsidRDefault="00A7298C" w:rsidP="00A7298C">
      <w:pPr>
        <w:spacing w:line="360" w:lineRule="auto"/>
        <w:rPr>
          <w:rStyle w:val="IntenseEmphasis"/>
        </w:rPr>
      </w:pPr>
      <w:r w:rsidRPr="00665CF4">
        <w:rPr>
          <w:rStyle w:val="IntenseEmphasis"/>
          <w:i w:val="0"/>
          <w:color w:val="auto"/>
          <w:u w:val="single"/>
        </w:rPr>
        <w:t xml:space="preserve">Voluntary registration of ISAC approved studies: </w:t>
      </w:r>
    </w:p>
    <w:p w14:paraId="240E2D90" w14:textId="77777777" w:rsidR="00A7298C" w:rsidRPr="00665CF4" w:rsidRDefault="00A7298C" w:rsidP="00A7298C">
      <w:pPr>
        <w:spacing w:line="360" w:lineRule="auto"/>
        <w:rPr>
          <w:rStyle w:val="IntenseEmphasis"/>
        </w:rPr>
      </w:pPr>
      <w:r w:rsidRPr="00665CF4">
        <w:rPr>
          <w:rStyle w:val="IntenseEmphasis"/>
          <w:b w:val="0"/>
          <w:i w:val="0"/>
          <w:color w:val="auto"/>
        </w:rPr>
        <w:t>Epidemiological studies are increasingly being included in registries of research around the world, including those primarily set up for clinical trials. To increase awareness amongst researchers of ongoing research, ISAC encourages voluntary registration of epidemiological research conducted using MHRA databases. This will not replace information on ISAC approved protocols that may be published on the CPRD website. It is for the applicant to determine the most appropriate registry for their study. Please inform the ISAC secretariat that you have registered a protocol and provide the location.</w:t>
      </w:r>
    </w:p>
    <w:p w14:paraId="4EF6A582" w14:textId="77777777" w:rsidR="00A7298C" w:rsidRPr="00665CF4" w:rsidRDefault="00A7298C" w:rsidP="00A7298C">
      <w:pPr>
        <w:jc w:val="center"/>
        <w:rPr>
          <w:rFonts w:ascii="Tahoma" w:hAnsi="Tahoma" w:cs="Tahoma"/>
          <w:b/>
          <w:sz w:val="18"/>
          <w:szCs w:val="18"/>
        </w:rPr>
        <w:sectPr w:rsidR="00A7298C" w:rsidRPr="00665CF4">
          <w:headerReference w:type="default" r:id="rId14"/>
          <w:footerReference w:type="even" r:id="rId15"/>
          <w:footerReference w:type="default" r:id="rId16"/>
          <w:pgSz w:w="11906" w:h="16838" w:code="9"/>
          <w:pgMar w:top="1134" w:right="1701" w:bottom="1134" w:left="1701" w:header="720" w:footer="454" w:gutter="0"/>
          <w:pgNumType w:start="1"/>
          <w:cols w:space="720"/>
        </w:sectPr>
      </w:pPr>
    </w:p>
    <w:p w14:paraId="67384EE8" w14:textId="77777777" w:rsidR="00A7298C" w:rsidRPr="00665CF4" w:rsidRDefault="00A7298C" w:rsidP="00A7298C">
      <w:pPr>
        <w:jc w:val="center"/>
        <w:rPr>
          <w:rFonts w:ascii="Tahoma" w:hAnsi="Tahoma" w:cs="Tahoma"/>
          <w:b/>
          <w:sz w:val="20"/>
          <w:szCs w:val="20"/>
        </w:rPr>
      </w:pPr>
      <w:r w:rsidRPr="00665CF4">
        <w:rPr>
          <w:rFonts w:ascii="Tahoma" w:hAnsi="Tahoma" w:cs="Tahoma"/>
          <w:b/>
          <w:sz w:val="20"/>
          <w:szCs w:val="20"/>
        </w:rPr>
        <w:lastRenderedPageBreak/>
        <w:t>Protocol Section</w:t>
      </w:r>
    </w:p>
    <w:p w14:paraId="7637FC96" w14:textId="77777777" w:rsidR="00A7298C" w:rsidRPr="00665CF4" w:rsidRDefault="00A7298C" w:rsidP="00A7298C">
      <w:pPr>
        <w:jc w:val="center"/>
        <w:rPr>
          <w:b/>
          <w:sz w:val="20"/>
          <w:szCs w:val="20"/>
        </w:rPr>
      </w:pPr>
    </w:p>
    <w:p w14:paraId="5CE1EC51" w14:textId="77777777" w:rsidR="00A7298C" w:rsidRPr="00665CF4" w:rsidRDefault="00A7298C" w:rsidP="00A7298C">
      <w:pPr>
        <w:rPr>
          <w:u w:val="single"/>
        </w:rPr>
      </w:pPr>
      <w:r w:rsidRPr="00665CF4">
        <w:rPr>
          <w:u w:val="single"/>
        </w:rPr>
        <w:t xml:space="preserve">The following headings </w:t>
      </w:r>
      <w:r w:rsidRPr="00665CF4">
        <w:rPr>
          <w:b/>
          <w:u w:val="single"/>
        </w:rPr>
        <w:t>must</w:t>
      </w:r>
      <w:r w:rsidRPr="00665CF4">
        <w:rPr>
          <w:u w:val="single"/>
        </w:rPr>
        <w:t xml:space="preserve"> be used to form the basis of the protocol.  Pages should be numbered. All abbreviations must be defined on first use.</w:t>
      </w:r>
    </w:p>
    <w:p w14:paraId="6233D9EF" w14:textId="77777777" w:rsidR="00A7298C" w:rsidRPr="00665CF4" w:rsidRDefault="00A7298C" w:rsidP="00A7298C">
      <w:pPr>
        <w:pStyle w:val="Heading1"/>
        <w:rPr>
          <w:rFonts w:ascii="Tahoma" w:hAnsi="Tahoma" w:cs="Tahoma"/>
          <w:szCs w:val="24"/>
        </w:rPr>
      </w:pPr>
    </w:p>
    <w:p w14:paraId="7A3C7EFC" w14:textId="77777777" w:rsidR="00A7298C" w:rsidRPr="00665CF4" w:rsidRDefault="00A7298C" w:rsidP="00A7298C">
      <w:pPr>
        <w:pStyle w:val="Heading1"/>
        <w:rPr>
          <w:rFonts w:ascii="Tahoma" w:hAnsi="Tahoma" w:cs="Tahoma"/>
          <w:szCs w:val="24"/>
        </w:rPr>
      </w:pPr>
    </w:p>
    <w:p w14:paraId="7DE08F97" w14:textId="77777777" w:rsidR="00A7298C" w:rsidRPr="00665CF4" w:rsidRDefault="00A7298C" w:rsidP="002465BA">
      <w:pPr>
        <w:numPr>
          <w:ilvl w:val="0"/>
          <w:numId w:val="2"/>
        </w:numPr>
        <w:spacing w:line="360" w:lineRule="auto"/>
        <w:rPr>
          <w:b/>
        </w:rPr>
      </w:pPr>
      <w:r w:rsidRPr="00665CF4">
        <w:rPr>
          <w:b/>
        </w:rPr>
        <w:t>Lay Summary (Max. 200 words)</w:t>
      </w:r>
    </w:p>
    <w:p w14:paraId="2AF19269" w14:textId="77777777" w:rsidR="00A7298C" w:rsidRPr="00665CF4" w:rsidRDefault="00A7298C" w:rsidP="00A7298C">
      <w:pPr>
        <w:jc w:val="both"/>
      </w:pPr>
      <w:r w:rsidRPr="00665CF4">
        <w:t>Please provide a succinct overview of your proposed research in plain English i.e. non-technical language. This should cover the background, purpose of the study and the potential importance of the findings. References and abbreviations should be avoided. If you have ticked the "other" box in response to question 4 on the application form, up to an additional 100 words should be used to describe the benefit to public health expected from the study.</w:t>
      </w:r>
    </w:p>
    <w:p w14:paraId="108A980B" w14:textId="77777777" w:rsidR="00A7298C" w:rsidRPr="00665CF4" w:rsidRDefault="00A7298C" w:rsidP="00A7298C">
      <w:pPr>
        <w:rPr>
          <w:b/>
        </w:rPr>
      </w:pPr>
    </w:p>
    <w:p w14:paraId="2FF7A5EE" w14:textId="77777777" w:rsidR="00A7298C" w:rsidRPr="00665CF4" w:rsidRDefault="00A7298C" w:rsidP="002465BA">
      <w:pPr>
        <w:numPr>
          <w:ilvl w:val="0"/>
          <w:numId w:val="2"/>
        </w:numPr>
        <w:spacing w:line="360" w:lineRule="auto"/>
        <w:rPr>
          <w:b/>
        </w:rPr>
      </w:pPr>
      <w:r w:rsidRPr="00665CF4">
        <w:rPr>
          <w:b/>
        </w:rPr>
        <w:t>Technical Summary (Max. 200 words)</w:t>
      </w:r>
    </w:p>
    <w:p w14:paraId="4AA55D53" w14:textId="77777777" w:rsidR="00A7298C" w:rsidRPr="00665CF4" w:rsidRDefault="00A7298C" w:rsidP="00A7298C">
      <w:pPr>
        <w:jc w:val="both"/>
      </w:pPr>
      <w:r w:rsidRPr="004617BD">
        <w:t>Please provide a succinct overview of the objectives, methods and data analysis for the proposed research. Avoid the use of references in this section.</w:t>
      </w:r>
    </w:p>
    <w:p w14:paraId="44FA0607" w14:textId="77777777" w:rsidR="00A7298C" w:rsidRPr="00665CF4" w:rsidRDefault="00A7298C" w:rsidP="00A7298C">
      <w:pPr>
        <w:jc w:val="both"/>
      </w:pPr>
    </w:p>
    <w:p w14:paraId="46C62252" w14:textId="77777777" w:rsidR="00A7298C" w:rsidRPr="00665CF4" w:rsidRDefault="00A7298C" w:rsidP="002465BA">
      <w:pPr>
        <w:numPr>
          <w:ilvl w:val="0"/>
          <w:numId w:val="2"/>
        </w:numPr>
        <w:spacing w:line="360" w:lineRule="auto"/>
        <w:rPr>
          <w:b/>
        </w:rPr>
      </w:pPr>
      <w:r w:rsidRPr="00665CF4">
        <w:rPr>
          <w:b/>
        </w:rPr>
        <w:t>Objectives, Specific Aims and Rationale</w:t>
      </w:r>
    </w:p>
    <w:p w14:paraId="3A1F6D38" w14:textId="77777777" w:rsidR="00A7298C" w:rsidRPr="00665CF4" w:rsidRDefault="00A7298C" w:rsidP="00A7298C">
      <w:pPr>
        <w:jc w:val="both"/>
      </w:pPr>
      <w:r w:rsidRPr="00665CF4">
        <w:t xml:space="preserve">Please include: </w:t>
      </w:r>
    </w:p>
    <w:p w14:paraId="62ADD77B" w14:textId="77777777" w:rsidR="00A7298C" w:rsidRPr="00665CF4" w:rsidRDefault="00A7298C" w:rsidP="00A7298C">
      <w:pPr>
        <w:jc w:val="both"/>
      </w:pPr>
      <w:r w:rsidRPr="00665CF4">
        <w:t>(i)</w:t>
      </w:r>
      <w:r w:rsidRPr="00665CF4">
        <w:tab/>
        <w:t xml:space="preserve">The broad research objectives   </w:t>
      </w:r>
    </w:p>
    <w:p w14:paraId="4230773B" w14:textId="77777777" w:rsidR="00A7298C" w:rsidRPr="00665CF4" w:rsidRDefault="00A7298C" w:rsidP="00A7298C">
      <w:pPr>
        <w:jc w:val="both"/>
      </w:pPr>
      <w:r w:rsidRPr="00665CF4">
        <w:t>(ii)</w:t>
      </w:r>
      <w:r w:rsidRPr="00665CF4">
        <w:tab/>
        <w:t xml:space="preserve">The specific aims; any hypotheses to be tested should be stated here. </w:t>
      </w:r>
    </w:p>
    <w:p w14:paraId="585ADB56" w14:textId="77777777" w:rsidR="00A7298C" w:rsidRPr="00665CF4" w:rsidRDefault="00A7298C" w:rsidP="00A7298C">
      <w:pPr>
        <w:jc w:val="both"/>
      </w:pPr>
      <w:r w:rsidRPr="00665CF4">
        <w:t>(iii)</w:t>
      </w:r>
      <w:r w:rsidRPr="00665CF4">
        <w:tab/>
        <w:t xml:space="preserve">An explanation of how achievement of the specific aims will further the research objectives </w:t>
      </w:r>
    </w:p>
    <w:p w14:paraId="309D6855" w14:textId="77777777" w:rsidR="00A7298C" w:rsidRPr="00665CF4" w:rsidRDefault="00A7298C" w:rsidP="00A7298C">
      <w:pPr>
        <w:jc w:val="both"/>
      </w:pPr>
    </w:p>
    <w:p w14:paraId="21B8428C" w14:textId="77777777" w:rsidR="00A7298C" w:rsidRPr="00665CF4" w:rsidRDefault="00A7298C" w:rsidP="002465BA">
      <w:pPr>
        <w:numPr>
          <w:ilvl w:val="0"/>
          <w:numId w:val="2"/>
        </w:numPr>
        <w:spacing w:line="360" w:lineRule="auto"/>
        <w:rPr>
          <w:b/>
        </w:rPr>
      </w:pPr>
      <w:r w:rsidRPr="00665CF4">
        <w:rPr>
          <w:b/>
        </w:rPr>
        <w:t>Background</w:t>
      </w:r>
    </w:p>
    <w:p w14:paraId="34DDBB25" w14:textId="77777777" w:rsidR="00A7298C" w:rsidRPr="00665CF4" w:rsidRDefault="00A7298C" w:rsidP="00A7298C">
      <w:r w:rsidRPr="00665CF4">
        <w:t xml:space="preserve">Please provide a succinct review of the relevant background literature with references so as to explain the purpose of the study. Please ensure that you refer to any previous research in CPRD that is related, providing published references and, when known, the ISAC Protocol Number </w:t>
      </w:r>
    </w:p>
    <w:p w14:paraId="39613C74" w14:textId="77777777" w:rsidR="00A7298C" w:rsidRPr="00665CF4" w:rsidRDefault="00A7298C" w:rsidP="00A7298C">
      <w:pPr>
        <w:rPr>
          <w:b/>
        </w:rPr>
      </w:pPr>
    </w:p>
    <w:p w14:paraId="625908F4" w14:textId="77777777" w:rsidR="00A7298C" w:rsidRPr="00665CF4" w:rsidRDefault="00A7298C" w:rsidP="002465BA">
      <w:pPr>
        <w:numPr>
          <w:ilvl w:val="0"/>
          <w:numId w:val="2"/>
        </w:numPr>
        <w:spacing w:line="360" w:lineRule="auto"/>
        <w:rPr>
          <w:b/>
        </w:rPr>
      </w:pPr>
      <w:r w:rsidRPr="00665CF4">
        <w:rPr>
          <w:b/>
        </w:rPr>
        <w:t>Study Type</w:t>
      </w:r>
    </w:p>
    <w:p w14:paraId="0CB9582D" w14:textId="77777777" w:rsidR="00A7298C" w:rsidRPr="00665CF4" w:rsidRDefault="00A7298C" w:rsidP="00A7298C">
      <w:pPr>
        <w:jc w:val="both"/>
      </w:pPr>
      <w:r w:rsidRPr="00665CF4">
        <w:t>Specify whether the study will be primarily descriptive, exploratory, hypothesis testing or a methodological piece of research.</w:t>
      </w:r>
    </w:p>
    <w:p w14:paraId="3D788087" w14:textId="77777777" w:rsidR="00A7298C" w:rsidRPr="00665CF4" w:rsidRDefault="00A7298C" w:rsidP="00A7298C">
      <w:pPr>
        <w:jc w:val="both"/>
      </w:pPr>
    </w:p>
    <w:p w14:paraId="52E78E23" w14:textId="77777777" w:rsidR="00A7298C" w:rsidRPr="00665CF4" w:rsidRDefault="00A7298C" w:rsidP="002465BA">
      <w:pPr>
        <w:numPr>
          <w:ilvl w:val="0"/>
          <w:numId w:val="2"/>
        </w:numPr>
        <w:spacing w:line="360" w:lineRule="auto"/>
        <w:rPr>
          <w:b/>
        </w:rPr>
      </w:pPr>
      <w:r w:rsidRPr="00665CF4">
        <w:rPr>
          <w:b/>
        </w:rPr>
        <w:t>Study Design</w:t>
      </w:r>
    </w:p>
    <w:p w14:paraId="1844BF6A" w14:textId="77777777" w:rsidR="00A7298C" w:rsidRPr="00665CF4" w:rsidRDefault="00A7298C" w:rsidP="00A7298C">
      <w:pPr>
        <w:jc w:val="both"/>
      </w:pPr>
      <w:r w:rsidRPr="00665CF4">
        <w:t xml:space="preserve">Describe the overall research design (for example, case-control, cohort) and reasons for choosing the proposed study design. </w:t>
      </w:r>
    </w:p>
    <w:p w14:paraId="20701229" w14:textId="77777777" w:rsidR="00A7298C" w:rsidRPr="00665CF4" w:rsidRDefault="00A7298C" w:rsidP="00A7298C">
      <w:pPr>
        <w:rPr>
          <w:b/>
        </w:rPr>
      </w:pPr>
    </w:p>
    <w:p w14:paraId="067581C5" w14:textId="77777777" w:rsidR="00A7298C" w:rsidRPr="00665CF4" w:rsidRDefault="00A7298C" w:rsidP="002465BA">
      <w:pPr>
        <w:numPr>
          <w:ilvl w:val="0"/>
          <w:numId w:val="2"/>
        </w:numPr>
        <w:spacing w:line="360" w:lineRule="auto"/>
        <w:rPr>
          <w:b/>
        </w:rPr>
      </w:pPr>
      <w:r w:rsidRPr="00665CF4">
        <w:rPr>
          <w:b/>
        </w:rPr>
        <w:t>Sample Size</w:t>
      </w:r>
    </w:p>
    <w:p w14:paraId="650011FE" w14:textId="77777777" w:rsidR="00A7298C" w:rsidRPr="00665CF4" w:rsidRDefault="00A7298C" w:rsidP="00A7298C">
      <w:r w:rsidRPr="00665CF4">
        <w:t>Please provide an estimate of sample size, and, where possible, a formal power calculation.  An estimate of the expected number of patients available in the CPRD database should normally be included.</w:t>
      </w:r>
    </w:p>
    <w:p w14:paraId="4EBF3CA7" w14:textId="77777777" w:rsidR="00A7298C" w:rsidRPr="00665CF4" w:rsidRDefault="00A7298C" w:rsidP="00A7298C"/>
    <w:p w14:paraId="1986A46B" w14:textId="77777777" w:rsidR="00A7298C" w:rsidRPr="00665CF4" w:rsidRDefault="00A7298C" w:rsidP="00A7298C"/>
    <w:p w14:paraId="5D5E56DD" w14:textId="77777777" w:rsidR="00A7298C" w:rsidRPr="00665CF4" w:rsidRDefault="00A7298C" w:rsidP="00A7298C"/>
    <w:p w14:paraId="07374CC2" w14:textId="77777777" w:rsidR="00A7298C" w:rsidRPr="00665CF4" w:rsidRDefault="00A7298C" w:rsidP="00A7298C"/>
    <w:p w14:paraId="6F88543D" w14:textId="77777777" w:rsidR="00A7298C" w:rsidRPr="00665CF4" w:rsidRDefault="00A7298C" w:rsidP="002465BA">
      <w:pPr>
        <w:numPr>
          <w:ilvl w:val="0"/>
          <w:numId w:val="2"/>
        </w:numPr>
        <w:spacing w:line="360" w:lineRule="auto"/>
        <w:rPr>
          <w:b/>
        </w:rPr>
      </w:pPr>
      <w:r w:rsidRPr="00665CF4">
        <w:rPr>
          <w:b/>
        </w:rPr>
        <w:lastRenderedPageBreak/>
        <w:t>Data Linkage Required (if applicable)</w:t>
      </w:r>
    </w:p>
    <w:p w14:paraId="5C1496FA" w14:textId="77777777" w:rsidR="00A7298C" w:rsidRPr="00665CF4" w:rsidRDefault="00A7298C" w:rsidP="00A7298C">
      <w:r w:rsidRPr="00665CF4">
        <w:t>Please provide a synopsis of the purpose(s) for which the each of the linkages requested in section 18 of the application form is required.</w:t>
      </w:r>
    </w:p>
    <w:p w14:paraId="1CF0E78A" w14:textId="77777777" w:rsidR="00A7298C" w:rsidRPr="00665CF4" w:rsidRDefault="00A7298C" w:rsidP="00A7298C"/>
    <w:p w14:paraId="60EF5021" w14:textId="77777777" w:rsidR="00A7298C" w:rsidRPr="00665CF4" w:rsidRDefault="00A7298C" w:rsidP="002465BA">
      <w:pPr>
        <w:numPr>
          <w:ilvl w:val="0"/>
          <w:numId w:val="2"/>
        </w:numPr>
        <w:spacing w:line="360" w:lineRule="auto"/>
        <w:rPr>
          <w:b/>
        </w:rPr>
      </w:pPr>
      <w:r w:rsidRPr="00665CF4">
        <w:rPr>
          <w:b/>
        </w:rPr>
        <w:t>Study Population</w:t>
      </w:r>
    </w:p>
    <w:p w14:paraId="57E1E844" w14:textId="77777777" w:rsidR="00A7298C" w:rsidRPr="00665CF4" w:rsidRDefault="00A7298C" w:rsidP="00A7298C">
      <w:pPr>
        <w:jc w:val="both"/>
      </w:pPr>
      <w:r w:rsidRPr="00665CF4">
        <w:t>Define the source and study population, in terms of persons, place, time period, and listing the criteria which will be used to select the study population from the CPRD, i.e any inclusion or exclusion criteria. Please make clear any restrictions imposed by the use of linked datasets.</w:t>
      </w:r>
    </w:p>
    <w:p w14:paraId="10985039" w14:textId="77777777" w:rsidR="00A7298C" w:rsidRPr="00665CF4" w:rsidRDefault="00A7298C" w:rsidP="00A7298C">
      <w:pPr>
        <w:jc w:val="both"/>
      </w:pPr>
    </w:p>
    <w:p w14:paraId="3E4A542D" w14:textId="77777777" w:rsidR="00A7298C" w:rsidRPr="00665CF4" w:rsidRDefault="00A7298C" w:rsidP="002465BA">
      <w:pPr>
        <w:numPr>
          <w:ilvl w:val="0"/>
          <w:numId w:val="2"/>
        </w:numPr>
        <w:spacing w:line="360" w:lineRule="auto"/>
        <w:rPr>
          <w:b/>
        </w:rPr>
      </w:pPr>
      <w:r w:rsidRPr="00665CF4">
        <w:rPr>
          <w:b/>
        </w:rPr>
        <w:t>Selection of comparison group(s) or controls</w:t>
      </w:r>
    </w:p>
    <w:p w14:paraId="448C2866" w14:textId="77777777" w:rsidR="00A7298C" w:rsidRPr="00665CF4" w:rsidRDefault="00A7298C" w:rsidP="00A7298C">
      <w:r w:rsidRPr="00665CF4">
        <w:t xml:space="preserve">Describe the criteria for eligibility and the procedure for control selection. </w:t>
      </w:r>
    </w:p>
    <w:p w14:paraId="4FF6BA07" w14:textId="77777777" w:rsidR="00A7298C" w:rsidRPr="00665CF4" w:rsidRDefault="00A7298C" w:rsidP="00A7298C"/>
    <w:p w14:paraId="474B8ABD" w14:textId="77777777" w:rsidR="00A7298C" w:rsidRPr="00665CF4" w:rsidRDefault="00A7298C" w:rsidP="002465BA">
      <w:pPr>
        <w:numPr>
          <w:ilvl w:val="0"/>
          <w:numId w:val="2"/>
        </w:numPr>
        <w:spacing w:line="360" w:lineRule="auto"/>
        <w:rPr>
          <w:b/>
        </w:rPr>
      </w:pPr>
      <w:r w:rsidRPr="00665CF4">
        <w:rPr>
          <w:b/>
        </w:rPr>
        <w:t>Exposures, Outcomes and Covariates</w:t>
      </w:r>
    </w:p>
    <w:p w14:paraId="38165997" w14:textId="77777777" w:rsidR="00A7298C" w:rsidRPr="00665CF4" w:rsidRDefault="00A7298C" w:rsidP="00A7298C">
      <w:r w:rsidRPr="00665CF4">
        <w:t>For exposures and outcomes operational definitions (or procedures for developing them) must be provided, supported by preliminary code lists placed in an Annex. A comprehensive list of covariates should also be provided for any study which is not purely descriptive.</w:t>
      </w:r>
    </w:p>
    <w:p w14:paraId="4C77C308" w14:textId="77777777" w:rsidR="00A7298C" w:rsidRPr="00665CF4" w:rsidRDefault="00A7298C" w:rsidP="00A7298C"/>
    <w:p w14:paraId="2981E732" w14:textId="77777777" w:rsidR="00A7298C" w:rsidRPr="00665CF4" w:rsidRDefault="00A7298C" w:rsidP="002465BA">
      <w:pPr>
        <w:numPr>
          <w:ilvl w:val="0"/>
          <w:numId w:val="2"/>
        </w:numPr>
        <w:spacing w:line="360" w:lineRule="auto"/>
        <w:rPr>
          <w:b/>
        </w:rPr>
      </w:pPr>
      <w:r w:rsidRPr="00665CF4">
        <w:rPr>
          <w:b/>
        </w:rPr>
        <w:t>Data/ Statistical analysis</w:t>
      </w:r>
    </w:p>
    <w:p w14:paraId="778F221B" w14:textId="77777777" w:rsidR="00A7298C" w:rsidRPr="00665CF4" w:rsidRDefault="00A7298C" w:rsidP="00A7298C">
      <w:r w:rsidRPr="00665CF4">
        <w:t>This section should cover both the analytic methods and also the analyses which are to be performed to meet all the specific aims listed earlier. It is important to ensure that this section is clear and specific about any comparisons which will be made.</w:t>
      </w:r>
    </w:p>
    <w:p w14:paraId="491C67CF" w14:textId="77777777" w:rsidR="00A7298C" w:rsidRPr="00665CF4" w:rsidRDefault="00A7298C" w:rsidP="00A7298C"/>
    <w:p w14:paraId="61C74FBB" w14:textId="77777777" w:rsidR="00A7298C" w:rsidRPr="00665CF4" w:rsidRDefault="00A7298C" w:rsidP="002465BA">
      <w:pPr>
        <w:numPr>
          <w:ilvl w:val="0"/>
          <w:numId w:val="2"/>
        </w:numPr>
        <w:spacing w:line="360" w:lineRule="auto"/>
        <w:rPr>
          <w:b/>
        </w:rPr>
      </w:pPr>
      <w:r w:rsidRPr="00665CF4">
        <w:rPr>
          <w:b/>
        </w:rPr>
        <w:t>Plan for addressing confounding</w:t>
      </w:r>
    </w:p>
    <w:p w14:paraId="364AA97A" w14:textId="77777777" w:rsidR="00A7298C" w:rsidRPr="00665CF4" w:rsidRDefault="00A7298C" w:rsidP="00A7298C">
      <w:pPr>
        <w:jc w:val="both"/>
      </w:pPr>
      <w:r w:rsidRPr="00665CF4">
        <w:t>Purely descriptive studies are exempt from this requirement. All other studies should here provide some discussion of what they are doing in the design and/or analysis to control for confounding.</w:t>
      </w:r>
    </w:p>
    <w:p w14:paraId="6954806A" w14:textId="77777777" w:rsidR="00A7298C" w:rsidRPr="00665CF4" w:rsidRDefault="00A7298C" w:rsidP="00A7298C">
      <w:pPr>
        <w:jc w:val="both"/>
      </w:pPr>
    </w:p>
    <w:p w14:paraId="69CF4D34" w14:textId="77777777" w:rsidR="00A7298C" w:rsidRPr="00665CF4" w:rsidRDefault="00A7298C" w:rsidP="002465BA">
      <w:pPr>
        <w:numPr>
          <w:ilvl w:val="0"/>
          <w:numId w:val="2"/>
        </w:numPr>
        <w:spacing w:line="360" w:lineRule="auto"/>
        <w:rPr>
          <w:b/>
        </w:rPr>
      </w:pPr>
      <w:r w:rsidRPr="00665CF4">
        <w:rPr>
          <w:b/>
        </w:rPr>
        <w:t>Plan for addressing missing data</w:t>
      </w:r>
    </w:p>
    <w:p w14:paraId="50D1B6E8" w14:textId="77777777" w:rsidR="00A7298C" w:rsidRDefault="00A7298C" w:rsidP="00A7298C">
      <w:pPr>
        <w:jc w:val="both"/>
      </w:pPr>
      <w:r w:rsidRPr="00665CF4">
        <w:t>The potential for missing data should be identified and how it will be addressed discussed here.</w:t>
      </w:r>
    </w:p>
    <w:p w14:paraId="1862B528" w14:textId="77777777" w:rsidR="00A7298C" w:rsidRPr="00665CF4" w:rsidRDefault="00A7298C" w:rsidP="00A7298C">
      <w:pPr>
        <w:jc w:val="both"/>
      </w:pPr>
    </w:p>
    <w:p w14:paraId="1DCC6EF7" w14:textId="77777777" w:rsidR="00A7298C" w:rsidRPr="00665CF4" w:rsidRDefault="00A7298C" w:rsidP="002465BA">
      <w:pPr>
        <w:numPr>
          <w:ilvl w:val="0"/>
          <w:numId w:val="2"/>
        </w:numPr>
        <w:spacing w:line="360" w:lineRule="auto"/>
        <w:rPr>
          <w:b/>
        </w:rPr>
      </w:pPr>
      <w:r w:rsidRPr="00665CF4">
        <w:rPr>
          <w:b/>
        </w:rPr>
        <w:t>Limitations of the study design, data sources and analytical methods</w:t>
      </w:r>
    </w:p>
    <w:p w14:paraId="46C9AC62" w14:textId="77777777" w:rsidR="00A7298C" w:rsidRDefault="00A7298C" w:rsidP="00A7298C">
      <w:r w:rsidRPr="00665CF4">
        <w:t>The general limitations of the databases and observational research are well-known. Specific consideration of the potential impact of such limitations should be provided in the context of the proposed study.</w:t>
      </w:r>
    </w:p>
    <w:p w14:paraId="41E6FD59" w14:textId="77777777" w:rsidR="00A7298C" w:rsidRPr="00665CF4" w:rsidRDefault="00A7298C" w:rsidP="00A7298C"/>
    <w:p w14:paraId="55921FB0" w14:textId="77777777" w:rsidR="00A7298C" w:rsidRPr="00665CF4" w:rsidRDefault="00A7298C" w:rsidP="002465BA">
      <w:pPr>
        <w:numPr>
          <w:ilvl w:val="0"/>
          <w:numId w:val="2"/>
        </w:numPr>
        <w:spacing w:line="360" w:lineRule="auto"/>
        <w:rPr>
          <w:b/>
        </w:rPr>
      </w:pPr>
      <w:r>
        <w:rPr>
          <w:b/>
        </w:rPr>
        <w:t>Patient or</w:t>
      </w:r>
      <w:r w:rsidRPr="00665CF4">
        <w:rPr>
          <w:b/>
        </w:rPr>
        <w:t xml:space="preserve"> user group involvement (if applicable)</w:t>
      </w:r>
    </w:p>
    <w:p w14:paraId="61D69367" w14:textId="77777777" w:rsidR="00A7298C" w:rsidRDefault="00A7298C" w:rsidP="00A7298C">
      <w:r w:rsidRPr="00665CF4">
        <w:t>Please indicate whether you have or intend to involve patient groups in your study. Such involvement is encouraged by ISAC and required for studies which directly involve patients.</w:t>
      </w:r>
    </w:p>
    <w:p w14:paraId="7FE1C8E8" w14:textId="77777777" w:rsidR="00A7298C" w:rsidRPr="00665CF4" w:rsidRDefault="00A7298C" w:rsidP="00A7298C"/>
    <w:p w14:paraId="13E55B1A" w14:textId="77777777" w:rsidR="00A7298C" w:rsidRPr="00665CF4" w:rsidRDefault="00A7298C" w:rsidP="002465BA">
      <w:pPr>
        <w:numPr>
          <w:ilvl w:val="0"/>
          <w:numId w:val="2"/>
        </w:numPr>
        <w:spacing w:line="360" w:lineRule="auto"/>
        <w:rPr>
          <w:b/>
        </w:rPr>
      </w:pPr>
      <w:r w:rsidRPr="00665CF4">
        <w:rPr>
          <w:b/>
        </w:rPr>
        <w:lastRenderedPageBreak/>
        <w:t>Plans for disseminating and communicating study results, including the presence or absence of any restrictions on the extent and timing of publication</w:t>
      </w:r>
    </w:p>
    <w:p w14:paraId="60E4C0CC" w14:textId="77777777" w:rsidR="00A7298C" w:rsidRPr="00665CF4" w:rsidRDefault="00A7298C" w:rsidP="00A7298C">
      <w:pPr>
        <w:jc w:val="both"/>
      </w:pPr>
      <w:r w:rsidRPr="00665CF4">
        <w:t xml:space="preserve">ISAC expects most studies that it approves to be published in the scientific literature and considers it an ethical obligation for any study with potential public health implications. In cases where multiple publications are likely to arise, a publication plan should be provided in this section. </w:t>
      </w:r>
    </w:p>
    <w:p w14:paraId="42C52F78" w14:textId="77777777" w:rsidR="00A7298C" w:rsidRPr="00665CF4" w:rsidRDefault="00A7298C" w:rsidP="00A7298C">
      <w:pPr>
        <w:jc w:val="both"/>
      </w:pPr>
    </w:p>
    <w:p w14:paraId="21BAF4DF" w14:textId="77777777" w:rsidR="00A7298C" w:rsidRPr="00665CF4" w:rsidRDefault="00A7298C" w:rsidP="002465BA">
      <w:pPr>
        <w:numPr>
          <w:ilvl w:val="0"/>
          <w:numId w:val="2"/>
        </w:numPr>
        <w:spacing w:line="360" w:lineRule="auto"/>
        <w:rPr>
          <w:b/>
        </w:rPr>
      </w:pPr>
      <w:r w:rsidRPr="00665CF4">
        <w:rPr>
          <w:b/>
        </w:rPr>
        <w:t>References</w:t>
      </w:r>
    </w:p>
    <w:p w14:paraId="1C50E688" w14:textId="77777777" w:rsidR="00A7298C" w:rsidRPr="00665CF4" w:rsidRDefault="00A7298C" w:rsidP="00A7298C">
      <w:r w:rsidRPr="00665CF4">
        <w:t xml:space="preserve">Please provide a numbered list of references at the end of the protocol. </w:t>
      </w:r>
    </w:p>
    <w:p w14:paraId="66A8A8E0" w14:textId="77777777" w:rsidR="00A7298C" w:rsidRPr="00665CF4" w:rsidRDefault="00A7298C" w:rsidP="00A7298C">
      <w:pPr>
        <w:rPr>
          <w:b/>
        </w:rPr>
      </w:pPr>
    </w:p>
    <w:p w14:paraId="6F637F6D" w14:textId="77777777" w:rsidR="00A7298C" w:rsidRPr="00665CF4" w:rsidRDefault="00A7298C" w:rsidP="00A7298C">
      <w:pPr>
        <w:spacing w:line="360" w:lineRule="auto"/>
        <w:ind w:left="720"/>
        <w:rPr>
          <w:b/>
        </w:rPr>
      </w:pPr>
      <w:r w:rsidRPr="00665CF4">
        <w:rPr>
          <w:b/>
        </w:rPr>
        <w:t>Appendices</w:t>
      </w:r>
    </w:p>
    <w:p w14:paraId="571C6192" w14:textId="77777777" w:rsidR="00D5686E" w:rsidRDefault="00A7298C" w:rsidP="00A7298C">
      <w:r w:rsidRPr="00665CF4">
        <w:t>Appendices should be used for essential supporting information only (e.g. code-lists) and they must be cited within t</w:t>
      </w:r>
      <w:r w:rsidR="00D5686E">
        <w:t>he body of the protocol.</w:t>
      </w:r>
    </w:p>
    <w:p w14:paraId="76D80A4F" w14:textId="77777777" w:rsidR="00D5686E" w:rsidRDefault="00D5686E">
      <w:r>
        <w:br w:type="page"/>
      </w:r>
    </w:p>
    <w:p w14:paraId="59106498" w14:textId="77777777" w:rsidR="00D5686E" w:rsidRDefault="00D5686E" w:rsidP="00A7298C">
      <w:pPr>
        <w:sectPr w:rsidR="00D5686E" w:rsidSect="00D5686E">
          <w:pgSz w:w="11900" w:h="16840"/>
          <w:pgMar w:top="1440" w:right="1797" w:bottom="1440" w:left="1797" w:header="709" w:footer="709" w:gutter="0"/>
          <w:pgNumType w:start="1"/>
          <w:cols w:space="363"/>
        </w:sectPr>
      </w:pPr>
    </w:p>
    <w:p w14:paraId="64F00AA3" w14:textId="77777777" w:rsidR="00D5686E" w:rsidRPr="00D5686E" w:rsidRDefault="00D5686E" w:rsidP="00D5686E">
      <w:pPr>
        <w:pStyle w:val="PTitle"/>
      </w:pPr>
      <w:r w:rsidRPr="00D5686E">
        <w:lastRenderedPageBreak/>
        <w:t>Investigating the effects of commonly prescribed drugs on the prevention and treatment of Alzheimer’s and other neurodegenerative diseases: are there drugs already available that can be repurposed?</w:t>
      </w:r>
    </w:p>
    <w:p w14:paraId="67D4ECE0" w14:textId="77777777" w:rsidR="00D5686E" w:rsidRPr="00D5686E" w:rsidRDefault="00D5686E" w:rsidP="00D5686E"/>
    <w:p w14:paraId="6E902929" w14:textId="77777777" w:rsidR="00D5686E" w:rsidRPr="00D5686E" w:rsidRDefault="00D5686E" w:rsidP="00D5686E">
      <w:pPr>
        <w:pStyle w:val="PHeading1"/>
        <w:numPr>
          <w:ilvl w:val="0"/>
          <w:numId w:val="0"/>
        </w:numPr>
      </w:pPr>
      <w:bookmarkStart w:id="18" w:name="_Toc434319872"/>
      <w:bookmarkStart w:id="19" w:name="_Toc434320903"/>
      <w:r w:rsidRPr="00D5686E">
        <w:t>Investigators</w:t>
      </w:r>
      <w:bookmarkEnd w:id="18"/>
      <w:bookmarkEnd w:id="19"/>
    </w:p>
    <w:p w14:paraId="2B87F74B" w14:textId="77777777" w:rsidR="00D5686E" w:rsidRPr="00423C84" w:rsidRDefault="00D5686E" w:rsidP="00D5686E">
      <w:pPr>
        <w:pStyle w:val="PNormal"/>
      </w:pPr>
    </w:p>
    <w:p w14:paraId="1A26B338" w14:textId="77777777" w:rsidR="00D5686E" w:rsidRPr="00DC6DDA" w:rsidRDefault="0076226A" w:rsidP="00D5686E">
      <w:pPr>
        <w:pStyle w:val="PNormal"/>
      </w:pPr>
      <w:r>
        <w:t>Venexia</w:t>
      </w:r>
      <w:r w:rsidR="00D5686E">
        <w:t xml:space="preserve"> Walker, Patrick Kehoe, </w:t>
      </w:r>
      <w:r w:rsidR="001138E6">
        <w:t xml:space="preserve">Neil Davies </w:t>
      </w:r>
      <w:r w:rsidR="00D5686E">
        <w:t>and</w:t>
      </w:r>
      <w:r w:rsidR="00D5686E" w:rsidRPr="00DC6DDA">
        <w:t xml:space="preserve"> Richard Martin</w:t>
      </w:r>
      <w:r w:rsidR="00D5686E">
        <w:t>.</w:t>
      </w:r>
    </w:p>
    <w:p w14:paraId="59B61CF2" w14:textId="77777777" w:rsidR="00D5686E" w:rsidRDefault="00D5686E" w:rsidP="00D5686E">
      <w:pPr>
        <w:pStyle w:val="PNormal"/>
      </w:pPr>
    </w:p>
    <w:p w14:paraId="3A815332" w14:textId="77777777" w:rsidR="00D5686E" w:rsidRDefault="00D5686E" w:rsidP="00D5686E">
      <w:pPr>
        <w:pStyle w:val="PHeading1"/>
      </w:pPr>
      <w:bookmarkStart w:id="20" w:name="_Toc434319873"/>
      <w:bookmarkStart w:id="21" w:name="_Toc434320904"/>
      <w:r w:rsidRPr="00665CF4">
        <w:t xml:space="preserve">Lay </w:t>
      </w:r>
      <w:r>
        <w:t>s</w:t>
      </w:r>
      <w:r w:rsidRPr="00665CF4">
        <w:t>ummary</w:t>
      </w:r>
      <w:bookmarkEnd w:id="20"/>
      <w:bookmarkEnd w:id="21"/>
    </w:p>
    <w:p w14:paraId="0E61727E" w14:textId="77777777" w:rsidR="00D5686E" w:rsidRPr="00866FF5" w:rsidRDefault="00D5686E" w:rsidP="00D5686E">
      <w:pPr>
        <w:pStyle w:val="PNormal"/>
      </w:pPr>
    </w:p>
    <w:p w14:paraId="4B7210A2" w14:textId="4D5A4354" w:rsidR="00D5686E" w:rsidRPr="00441DB5" w:rsidRDefault="00D5686E" w:rsidP="00D5686E">
      <w:pPr>
        <w:pStyle w:val="PNormal"/>
      </w:pPr>
      <w:r w:rsidRPr="0080235E">
        <w:t xml:space="preserve">Alzheimer’s disease is a progressive disease affecting brain function and independent living, and eventually requires full-time care. There are only a few treatments that temporarily help symptoms </w:t>
      </w:r>
      <w:r w:rsidRPr="00441DB5">
        <w:t xml:space="preserve">such as memory loss; however, these eventually become ineffective as the underlying disease progresses unabated. Part of the difficulty of treating Alzheimer’s disease is that it involves the activation of many destructive processes in the brain, each of which needs treatment simultaneously if the progression of the disease is to be halted. We hope to </w:t>
      </w:r>
      <w:r w:rsidR="003C6FCE" w:rsidRPr="00441DB5">
        <w:t xml:space="preserve">investigate </w:t>
      </w:r>
      <w:r w:rsidRPr="00441DB5">
        <w:t xml:space="preserve">the possibility of using a more time- and cost-effective method to </w:t>
      </w:r>
      <w:r w:rsidR="003C6FCE" w:rsidRPr="00441DB5">
        <w:t xml:space="preserve">reposition </w:t>
      </w:r>
      <w:r w:rsidRPr="00441DB5">
        <w:t>new drugs for the prevention or treatment o</w:t>
      </w:r>
      <w:r w:rsidR="00A93100" w:rsidRPr="00441DB5">
        <w:t xml:space="preserve">f the disease. Drug development </w:t>
      </w:r>
      <w:r w:rsidRPr="00441DB5">
        <w:t xml:space="preserve">can take over 20 years and cost up to £1billion per eventually licensed drug. We wish to investigate the potential of using </w:t>
      </w:r>
      <w:r w:rsidR="003C6FCE" w:rsidRPr="00441DB5">
        <w:t xml:space="preserve">a number of </w:t>
      </w:r>
      <w:r w:rsidRPr="00441DB5">
        <w:t xml:space="preserve">existing </w:t>
      </w:r>
      <w:r w:rsidR="003C6FCE" w:rsidRPr="00441DB5">
        <w:t>drugs</w:t>
      </w:r>
      <w:r w:rsidRPr="00441DB5">
        <w:t>, already prescribed for other conditions</w:t>
      </w:r>
      <w:r w:rsidR="00F337CD" w:rsidRPr="00441DB5">
        <w:t xml:space="preserve"> </w:t>
      </w:r>
      <w:r w:rsidR="00A93100" w:rsidRPr="00441DB5">
        <w:t>that</w:t>
      </w:r>
      <w:r w:rsidR="003C6FCE" w:rsidRPr="00441DB5">
        <w:t xml:space="preserve"> </w:t>
      </w:r>
      <w:r w:rsidR="00F337CD" w:rsidRPr="00441DB5">
        <w:t>may offer protection to the brain</w:t>
      </w:r>
      <w:r w:rsidRPr="00441DB5">
        <w:t xml:space="preserve">, as a cheaper and more rapid method of identifying new drugs. </w:t>
      </w:r>
      <w:r w:rsidR="0031243A" w:rsidRPr="00441DB5">
        <w:t xml:space="preserve">To explore this </w:t>
      </w:r>
      <w:r w:rsidRPr="00441DB5">
        <w:t>we will test whether these treatments protect against or increase the risk of other neurodegenerative diseases</w:t>
      </w:r>
      <w:r w:rsidR="0031243A" w:rsidRPr="00441DB5">
        <w:t>, and to what extent this effect is further enhance</w:t>
      </w:r>
      <w:r w:rsidR="000666B6" w:rsidRPr="00441DB5">
        <w:t>d</w:t>
      </w:r>
      <w:r w:rsidR="0031243A" w:rsidRPr="00441DB5">
        <w:t xml:space="preserve"> when existing dementia therapies are co-administered</w:t>
      </w:r>
      <w:r w:rsidRPr="00441DB5">
        <w:t xml:space="preserve">. This could then </w:t>
      </w:r>
      <w:r w:rsidR="0031243A" w:rsidRPr="00441DB5">
        <w:t xml:space="preserve">help to prioritise groups of drugs that may be beneficial in the treatment of a number of neurological conditions and therefore </w:t>
      </w:r>
      <w:r w:rsidRPr="00441DB5">
        <w:t xml:space="preserve">accelerate the formal testing of recognised safe </w:t>
      </w:r>
      <w:r w:rsidR="0031243A" w:rsidRPr="00441DB5">
        <w:t xml:space="preserve">and </w:t>
      </w:r>
      <w:r w:rsidRPr="00441DB5">
        <w:t xml:space="preserve">cost-effective drugs as new </w:t>
      </w:r>
      <w:r w:rsidR="0031243A" w:rsidRPr="00441DB5">
        <w:t xml:space="preserve">potential approaches  </w:t>
      </w:r>
      <w:r w:rsidRPr="00441DB5">
        <w:t>for preventing or treating Alzheimer’s and other neurodegenerative diseases.</w:t>
      </w:r>
    </w:p>
    <w:p w14:paraId="71F4EDEA" w14:textId="77777777" w:rsidR="00D5686E" w:rsidRPr="00441DB5" w:rsidRDefault="00D5686E" w:rsidP="00D5686E">
      <w:pPr>
        <w:pStyle w:val="PNormal"/>
      </w:pPr>
    </w:p>
    <w:p w14:paraId="5C582CC2" w14:textId="77777777" w:rsidR="00D5686E" w:rsidRPr="00441DB5" w:rsidRDefault="00D5686E" w:rsidP="00D5686E">
      <w:pPr>
        <w:pStyle w:val="PHeading1"/>
      </w:pPr>
      <w:bookmarkStart w:id="22" w:name="_Toc434319874"/>
      <w:bookmarkStart w:id="23" w:name="_Toc434320905"/>
      <w:r w:rsidRPr="00441DB5">
        <w:t>Technical summary</w:t>
      </w:r>
      <w:bookmarkEnd w:id="22"/>
      <w:bookmarkEnd w:id="23"/>
    </w:p>
    <w:p w14:paraId="3DB9E6F8" w14:textId="77777777" w:rsidR="00D5686E" w:rsidRPr="00441DB5" w:rsidRDefault="00D5686E" w:rsidP="00D5686E">
      <w:pPr>
        <w:pStyle w:val="PNormal"/>
      </w:pPr>
    </w:p>
    <w:p w14:paraId="1FDE7F6E" w14:textId="1A4E1AE1" w:rsidR="00D5686E" w:rsidRPr="00441DB5" w:rsidRDefault="00D5686E" w:rsidP="00D5686E">
      <w:pPr>
        <w:pStyle w:val="PNormal"/>
      </w:pPr>
      <w:r w:rsidRPr="00441DB5">
        <w:t>There is urgent need for new evidence about medications that could influence the incidence and progression</w:t>
      </w:r>
      <w:r w:rsidR="005A64BF" w:rsidRPr="00441DB5">
        <w:t xml:space="preserve"> of</w:t>
      </w:r>
      <w:r w:rsidR="009C3906" w:rsidRPr="00441DB5">
        <w:t xml:space="preserve"> neurodegenerative</w:t>
      </w:r>
      <w:r w:rsidRPr="00441DB5">
        <w:t xml:space="preserve"> diseases. One promising approach is to investigate </w:t>
      </w:r>
      <w:r w:rsidR="009C3906" w:rsidRPr="00441DB5">
        <w:t>drug repositioning</w:t>
      </w:r>
      <w:r w:rsidRPr="00441DB5">
        <w:fldChar w:fldCharType="begin"/>
      </w:r>
      <w:r w:rsidRPr="00441DB5">
        <w:instrText xml:space="preserve"> ADDIN ZOTERO_ITEM CSL_CITATION {"citationID":"2fgni275md","properties":{"formattedCitation":"{\\rtf \\super 1\\nosupersub{}}","plainCitation":"1"},"citationItems":[{"id":3732,"uris":["http://zotero.org/users/117866/items/Z6Z9MF27"],"uri":["http://zotero.org/users/117866/items/Z6Z9MF27"],"itemData":{"id":3732,"type":"article-journal","title":"Drug repositioning: identifying and developing new uses for existing drugs","container-title":"Nature Reviews Drug Discovery","page":"673-683","volume":"3","issue":"8","source":"CrossRef","DOI":"10.1038/nrd1468","ISSN":"1474-1776, 1474-1784","shortTitle":"Drug repositioning","author":[{"family":"Ashburn","given":"Ted T."},{"family":"Thor","given":"Karl B."}],"issued":{"date-parts":[["2004",8]]}}}],"schema":"https://github.com/citation-style-language/schema/raw/master/csl-citation.json"} </w:instrText>
      </w:r>
      <w:r w:rsidRPr="00441DB5">
        <w:fldChar w:fldCharType="separate"/>
      </w:r>
      <w:r w:rsidRPr="00441DB5">
        <w:rPr>
          <w:vertAlign w:val="superscript"/>
          <w:lang w:val="en-US"/>
        </w:rPr>
        <w:t>1</w:t>
      </w:r>
      <w:r w:rsidRPr="00441DB5">
        <w:fldChar w:fldCharType="end"/>
      </w:r>
      <w:r w:rsidR="00B83FE6" w:rsidRPr="00441DB5">
        <w:t>, which offers a time- and cost-effective alternative to traditional drug development.</w:t>
      </w:r>
      <w:r w:rsidRPr="00441DB5">
        <w:t xml:space="preserve"> A recent consensus study of dementia experts identified a short-list of individual and classes of prescribed drugs that may be repurposed as novel treatments for dementia.</w:t>
      </w:r>
      <w:r w:rsidRPr="00441DB5">
        <w:fldChar w:fldCharType="begin"/>
      </w:r>
      <w:r w:rsidRPr="00441DB5">
        <w:instrText xml:space="preserve"> ADDIN ZOTERO_ITEM CSL_CITATION {"citationID":"kNh6tzbo","properties":{"formattedCitation":"{\\rtf \\super 2\\nosupersub{}}","plainCitation":"2"},"citationItems":[{"id":3721,"uris":["http://zotero.org/users/117866/items/JJ4DTV3C"],"uri":["http://zotero.org/users/117866/items/JJ4DTV3C"],"itemData":{"id":3721,"type":"article-journal","title":"Drug repositioning for Alzheimer's disease","container-title":"Nature Reviews Drug Discovery","page":"833-846","volume":"11","issue":"11","source":"CrossRef","DOI":"10.1038/nrd3869","ISSN":"1474-1776, 1474-1784","author":[{"family":"Corbett","given":"Anne"},{"family":"Pickett","given":"James"},{"family":"Burns","given":"Alistair"},{"family":"Corcoran","given":"Jonathan"},{"family":"Dunnett","given":"Stephen B."},{"family":"Edison","given":"Paul"},{"family":"Hagan","given":"Jim J."},{"family":"Holmes","given":"Clive"},{"family":"Jones","given":"Emma"},{"family":"Katona","given":"Cornelius"},{"family":"Kearns","given":"Ian"},{"family":"Kehoe","given":"Patrick"},{"family":"Mudher","given":"Amrit"},{"family":"Passmore","given":"Anthony"},{"family":"Shepherd","given":"Nicola"},{"family":"Walsh","given":"Frank"},{"family":"Ballard","given":"Clive"}],"issued":{"date-parts":[["2012",11,5]]}}}],"schema":"https://github.com/citation-style-language/schema/raw/master/csl-citation.json"} </w:instrText>
      </w:r>
      <w:r w:rsidRPr="00441DB5">
        <w:fldChar w:fldCharType="separate"/>
      </w:r>
      <w:r w:rsidRPr="00441DB5">
        <w:rPr>
          <w:vertAlign w:val="superscript"/>
          <w:lang w:val="en-US"/>
        </w:rPr>
        <w:t>2</w:t>
      </w:r>
      <w:r w:rsidRPr="00441DB5">
        <w:fldChar w:fldCharType="end"/>
      </w:r>
      <w:r w:rsidRPr="00441DB5">
        <w:t xml:space="preserve"> The short-list included compounds used to treat hypertension, hypercholesterolemia and type 2 diabetes</w:t>
      </w:r>
      <w:r w:rsidR="0018628A" w:rsidRPr="00441DB5">
        <w:t>, all of which could be class</w:t>
      </w:r>
      <w:r w:rsidR="007D3864" w:rsidRPr="00441DB5">
        <w:t>ed as having ‘cerebrop</w:t>
      </w:r>
      <w:r w:rsidR="0018628A" w:rsidRPr="00441DB5">
        <w:t>rotective’ properties and</w:t>
      </w:r>
      <w:r w:rsidRPr="00441DB5">
        <w:t xml:space="preserve"> have variable levels of pre</w:t>
      </w:r>
      <w:r w:rsidR="00826BE3" w:rsidRPr="00441DB5">
        <w:t>-clinical evidence that suggest</w:t>
      </w:r>
      <w:r w:rsidRPr="00441DB5">
        <w:t xml:space="preserve"> they may have beneficial effects for various aspects of dementia pathology</w:t>
      </w:r>
      <w:r w:rsidR="0018628A" w:rsidRPr="00441DB5">
        <w:t>. However as yet there is</w:t>
      </w:r>
      <w:r w:rsidRPr="00441DB5">
        <w:t xml:space="preserve"> limited pharmacoepidemiological data to support their effects in human populations. </w:t>
      </w:r>
    </w:p>
    <w:p w14:paraId="35CB4F71" w14:textId="77777777" w:rsidR="00367D89" w:rsidRPr="00441DB5" w:rsidRDefault="00367D89"/>
    <w:p w14:paraId="53B36988" w14:textId="2E8D4CEF" w:rsidR="00D5686E" w:rsidRPr="00441DB5" w:rsidRDefault="00B83FE6" w:rsidP="007A4821">
      <w:pPr>
        <w:pStyle w:val="PNormal"/>
      </w:pPr>
      <w:r w:rsidRPr="00441DB5">
        <w:t xml:space="preserve">Our primary aim, therefore, is to investigate whether </w:t>
      </w:r>
      <w:r w:rsidR="007A4821" w:rsidRPr="00441DB5">
        <w:t>these</w:t>
      </w:r>
      <w:r w:rsidR="0018628A" w:rsidRPr="00441DB5">
        <w:t xml:space="preserve"> </w:t>
      </w:r>
      <w:r w:rsidRPr="00441DB5">
        <w:t xml:space="preserve">existing </w:t>
      </w:r>
      <w:r w:rsidR="007A4821" w:rsidRPr="00441DB5">
        <w:t xml:space="preserve">medications, previously identified as potentially cerebroprotective, </w:t>
      </w:r>
      <w:r w:rsidR="007A4821" w:rsidRPr="00441DB5">
        <w:rPr>
          <w:color w:val="000000"/>
          <w:lang w:eastAsia="en-US"/>
        </w:rPr>
        <w:t>could</w:t>
      </w:r>
      <w:r w:rsidR="007A4821" w:rsidRPr="00441DB5">
        <w:rPr>
          <w:color w:val="000000"/>
          <w:sz w:val="23"/>
          <w:szCs w:val="23"/>
          <w:lang w:eastAsia="en-US"/>
        </w:rPr>
        <w:t xml:space="preserve"> be repurposed to prevent or treat </w:t>
      </w:r>
      <w:r w:rsidRPr="00441DB5">
        <w:t>Alzheimer’s disease</w:t>
      </w:r>
      <w:r w:rsidR="00C44E9B" w:rsidRPr="00441DB5">
        <w:t xml:space="preserve"> and </w:t>
      </w:r>
      <w:r w:rsidRPr="00441DB5">
        <w:t xml:space="preserve">other types of dementia, amyotrophic lateral sclerosis and Parkinson’s disease. We will conduct an observational cohort study to </w:t>
      </w:r>
      <w:r w:rsidR="00C44E9B" w:rsidRPr="00441DB5">
        <w:t xml:space="preserve">investigate </w:t>
      </w:r>
      <w:r w:rsidRPr="00441DB5">
        <w:t>the relationship of these medications with incidence</w:t>
      </w:r>
      <w:r w:rsidR="00D5686E" w:rsidRPr="00441DB5">
        <w:t xml:space="preserve"> </w:t>
      </w:r>
      <w:r w:rsidRPr="00441DB5">
        <w:t>and post-diagnosis</w:t>
      </w:r>
      <w:r w:rsidR="009C3906" w:rsidRPr="00441DB5">
        <w:t xml:space="preserve"> survival</w:t>
      </w:r>
      <w:r w:rsidR="00D5686E" w:rsidRPr="00441DB5">
        <w:t xml:space="preserve"> of</w:t>
      </w:r>
      <w:r w:rsidR="00350570" w:rsidRPr="00441DB5">
        <w:t xml:space="preserve"> patients</w:t>
      </w:r>
      <w:r w:rsidR="00C44E9B" w:rsidRPr="00441DB5">
        <w:t xml:space="preserve"> and at the same time identify to what extent any observed associations are altered when </w:t>
      </w:r>
      <w:r w:rsidR="00C44E9B" w:rsidRPr="00441DB5">
        <w:lastRenderedPageBreak/>
        <w:t>existing dementia therapies are co-administered</w:t>
      </w:r>
      <w:r w:rsidR="005A64BF" w:rsidRPr="00441DB5">
        <w:t>.</w:t>
      </w:r>
      <w:r w:rsidR="000666B6" w:rsidRPr="00441DB5">
        <w:t xml:space="preserve"> </w:t>
      </w:r>
      <w:r w:rsidR="00C44E9B" w:rsidRPr="00441DB5">
        <w:t>Collectively these findings will allow the prioritisation of drugs to be tested as repurposed treatments in clinical trials of these conditions in the future.</w:t>
      </w:r>
    </w:p>
    <w:p w14:paraId="69F0CFAD" w14:textId="7DAE7F3C" w:rsidR="00021120" w:rsidRPr="00441DB5" w:rsidRDefault="00021120" w:rsidP="007A4821">
      <w:pPr>
        <w:pStyle w:val="PNormal"/>
        <w:rPr>
          <w:b/>
        </w:rPr>
      </w:pPr>
    </w:p>
    <w:p w14:paraId="565C0560" w14:textId="77777777" w:rsidR="00D5686E" w:rsidRPr="00441DB5" w:rsidRDefault="00D5686E" w:rsidP="00DC7C02">
      <w:pPr>
        <w:pStyle w:val="PHeading1"/>
      </w:pPr>
      <w:r w:rsidRPr="00441DB5">
        <w:t>Objectives, specific aims and rationale</w:t>
      </w:r>
    </w:p>
    <w:p w14:paraId="23471270" w14:textId="77777777" w:rsidR="00D5686E" w:rsidRPr="00441DB5" w:rsidRDefault="00D5686E" w:rsidP="00D5686E"/>
    <w:p w14:paraId="789B0F00" w14:textId="77777777" w:rsidR="00D5686E" w:rsidRPr="00441DB5" w:rsidRDefault="001421B9" w:rsidP="00DC7C02">
      <w:pPr>
        <w:pStyle w:val="ProtocolHeading2"/>
      </w:pPr>
      <w:r w:rsidRPr="00441DB5">
        <w:t>R</w:t>
      </w:r>
      <w:r w:rsidR="00D5686E" w:rsidRPr="00441DB5">
        <w:t>esearch objectives</w:t>
      </w:r>
    </w:p>
    <w:p w14:paraId="6F9B7BAB" w14:textId="77777777" w:rsidR="00D5686E" w:rsidRPr="00441DB5" w:rsidRDefault="00D5686E" w:rsidP="00DC7C02">
      <w:pPr>
        <w:pStyle w:val="PNormal"/>
      </w:pPr>
    </w:p>
    <w:p w14:paraId="3AE434F3" w14:textId="7C015938" w:rsidR="00D5686E" w:rsidRPr="00441DB5" w:rsidRDefault="00D5686E" w:rsidP="00DC7C02">
      <w:pPr>
        <w:pStyle w:val="PNormal"/>
      </w:pPr>
      <w:r w:rsidRPr="00441DB5">
        <w:t xml:space="preserve">The objective of our research is to investigate drug effects on the prevention and treatment of Alzheimer’s </w:t>
      </w:r>
      <w:r w:rsidR="00BD0495" w:rsidRPr="00441DB5">
        <w:t xml:space="preserve">disease </w:t>
      </w:r>
      <w:r w:rsidRPr="00441DB5">
        <w:t xml:space="preserve">and </w:t>
      </w:r>
      <w:r w:rsidR="00BD0495" w:rsidRPr="00441DB5">
        <w:t xml:space="preserve">the </w:t>
      </w:r>
      <w:r w:rsidRPr="00441DB5">
        <w:t>neurodegenerative disease</w:t>
      </w:r>
      <w:r w:rsidR="00986704" w:rsidRPr="00441DB5">
        <w:t>s Parkins</w:t>
      </w:r>
      <w:r w:rsidR="00BD0495" w:rsidRPr="00441DB5">
        <w:t xml:space="preserve">on’s disease and </w:t>
      </w:r>
      <w:r w:rsidR="00592DD8" w:rsidRPr="00441DB5">
        <w:t>amyotrophic lateral sclerosis</w:t>
      </w:r>
      <w:r w:rsidR="00986704" w:rsidRPr="00441DB5">
        <w:t xml:space="preserve">. </w:t>
      </w:r>
      <w:r w:rsidRPr="00441DB5">
        <w:t>This will be done by considering the following specific aims.</w:t>
      </w:r>
    </w:p>
    <w:p w14:paraId="5FD0226C" w14:textId="77777777" w:rsidR="00D5686E" w:rsidRPr="00441DB5" w:rsidRDefault="00D5686E" w:rsidP="00DC7C02">
      <w:pPr>
        <w:pStyle w:val="PNormal"/>
      </w:pPr>
    </w:p>
    <w:p w14:paraId="4EC56266" w14:textId="77777777" w:rsidR="00D5686E" w:rsidRPr="00441DB5" w:rsidRDefault="00D5686E" w:rsidP="00DC7C02">
      <w:pPr>
        <w:pStyle w:val="ProtocolHeading2"/>
      </w:pPr>
      <w:r w:rsidRPr="00441DB5">
        <w:t>Specific aims</w:t>
      </w:r>
    </w:p>
    <w:p w14:paraId="055CC2BE" w14:textId="77777777" w:rsidR="00D5686E" w:rsidRPr="00441DB5" w:rsidRDefault="00D5686E" w:rsidP="00456A78">
      <w:pPr>
        <w:pStyle w:val="PNormal"/>
      </w:pPr>
    </w:p>
    <w:p w14:paraId="52A7A4C6" w14:textId="4A36C81A" w:rsidR="00F26F69" w:rsidRPr="00441DB5" w:rsidRDefault="00D5686E" w:rsidP="00456A78">
      <w:pPr>
        <w:pStyle w:val="PNormal"/>
        <w:numPr>
          <w:ilvl w:val="0"/>
          <w:numId w:val="5"/>
        </w:numPr>
        <w:ind w:left="431" w:hanging="431"/>
      </w:pPr>
      <w:r w:rsidRPr="00441DB5">
        <w:t>To investigate whether commonly prescribed medications</w:t>
      </w:r>
      <w:r w:rsidR="00883FEC" w:rsidRPr="00441DB5">
        <w:t xml:space="preserve">, previously identified as potentially cerebroprotective, </w:t>
      </w:r>
      <w:r w:rsidRPr="00441DB5">
        <w:t>are associated with the incidence of neurodegenerative disease.</w:t>
      </w:r>
    </w:p>
    <w:p w14:paraId="04693126" w14:textId="06821E6F" w:rsidR="00F26F69" w:rsidRPr="00441DB5" w:rsidRDefault="00D5686E" w:rsidP="00456A78">
      <w:pPr>
        <w:pStyle w:val="PNormal"/>
        <w:numPr>
          <w:ilvl w:val="0"/>
          <w:numId w:val="5"/>
        </w:numPr>
        <w:ind w:left="431" w:hanging="431"/>
      </w:pPr>
      <w:r w:rsidRPr="00441DB5">
        <w:t>To investigate whether commonly prescribed medications</w:t>
      </w:r>
      <w:r w:rsidR="00883FEC" w:rsidRPr="00441DB5">
        <w:t>, previously identified as potentially cerebroprotective</w:t>
      </w:r>
      <w:r w:rsidR="00B363BB" w:rsidRPr="00441DB5">
        <w:t>, are</w:t>
      </w:r>
      <w:r w:rsidRPr="00441DB5">
        <w:t xml:space="preserve"> associated with the post-diagnosis survival of people with neurodegenerative disease.</w:t>
      </w:r>
    </w:p>
    <w:p w14:paraId="528F43E3" w14:textId="364329BB" w:rsidR="00D5686E" w:rsidRPr="00441DB5" w:rsidRDefault="00D5686E" w:rsidP="00456A78">
      <w:pPr>
        <w:pStyle w:val="PNormal"/>
        <w:numPr>
          <w:ilvl w:val="0"/>
          <w:numId w:val="5"/>
        </w:numPr>
        <w:ind w:left="431" w:hanging="431"/>
      </w:pPr>
      <w:r w:rsidRPr="00441DB5">
        <w:t xml:space="preserve">To investigate the </w:t>
      </w:r>
      <w:r w:rsidR="00BD0495" w:rsidRPr="00441DB5">
        <w:t xml:space="preserve">additional effects of </w:t>
      </w:r>
      <w:r w:rsidR="00B363BB" w:rsidRPr="00441DB5">
        <w:t xml:space="preserve">commonly prescribed medications, previously identified as potentially cerebroprotective, </w:t>
      </w:r>
      <w:r w:rsidR="00BD0495" w:rsidRPr="00441DB5">
        <w:t xml:space="preserve">when co-administered with </w:t>
      </w:r>
      <w:r w:rsidRPr="00441DB5">
        <w:t xml:space="preserve">drugs for dementia </w:t>
      </w:r>
      <w:r w:rsidR="00BD0495" w:rsidRPr="00441DB5">
        <w:t xml:space="preserve">in relation to </w:t>
      </w:r>
      <w:r w:rsidRPr="00441DB5">
        <w:t>post diagnosis survival of patients with dementia</w:t>
      </w:r>
      <w:r w:rsidR="0037191C" w:rsidRPr="00441DB5">
        <w:t>,</w:t>
      </w:r>
      <w:r w:rsidRPr="00441DB5">
        <w:t xml:space="preserve"> and test whether there is evidence of: a) dose and duration responses; and b) interaction with the drugs described in aims 1 and 2.</w:t>
      </w:r>
    </w:p>
    <w:p w14:paraId="5D2C476F" w14:textId="684B3EA7" w:rsidR="00D5686E" w:rsidRPr="00441DB5" w:rsidRDefault="00D5686E" w:rsidP="00456A78">
      <w:pPr>
        <w:pStyle w:val="PNormal"/>
        <w:numPr>
          <w:ilvl w:val="0"/>
          <w:numId w:val="5"/>
        </w:numPr>
        <w:ind w:left="431" w:hanging="431"/>
      </w:pPr>
      <w:r w:rsidRPr="00441DB5">
        <w:t xml:space="preserve">To investigate whether the withdrawal of support for the prescription of cholinesterase inhibitors is associated with a reduced rate of prescription of these drugs and, if so, a change in the survival or service use of patients with Alzheimer’s disease and </w:t>
      </w:r>
      <w:r w:rsidR="00592DD8" w:rsidRPr="00441DB5">
        <w:t xml:space="preserve">to inform potential use in other neurodegenerative conditions with </w:t>
      </w:r>
      <w:r w:rsidRPr="00441DB5">
        <w:t>dementia.</w:t>
      </w:r>
    </w:p>
    <w:p w14:paraId="06BD63B7" w14:textId="77777777" w:rsidR="0032176C" w:rsidRPr="00441DB5" w:rsidRDefault="0032176C" w:rsidP="0032176C">
      <w:pPr>
        <w:pStyle w:val="PNormal"/>
        <w:ind w:left="431"/>
      </w:pPr>
    </w:p>
    <w:p w14:paraId="2AA716A8" w14:textId="45F4A6C0" w:rsidR="00D5686E" w:rsidRPr="00441DB5" w:rsidRDefault="00D5686E" w:rsidP="00DC7C02">
      <w:pPr>
        <w:pStyle w:val="PNormal"/>
      </w:pPr>
      <w:r w:rsidRPr="00441DB5">
        <w:t>Our investigations will focus on the following commonly prescribed medications:</w:t>
      </w:r>
    </w:p>
    <w:p w14:paraId="671D0731" w14:textId="77777777" w:rsidR="00D5686E" w:rsidRPr="00441DB5" w:rsidRDefault="00D5686E" w:rsidP="00F30F82">
      <w:pPr>
        <w:pStyle w:val="PNormal"/>
        <w:numPr>
          <w:ilvl w:val="0"/>
          <w:numId w:val="6"/>
        </w:numPr>
      </w:pPr>
      <w:r w:rsidRPr="00441DB5">
        <w:t>Treatments for hypertension</w:t>
      </w:r>
    </w:p>
    <w:p w14:paraId="5FA9CCAC" w14:textId="77777777" w:rsidR="00D5686E" w:rsidRPr="00441DB5" w:rsidRDefault="00D5686E" w:rsidP="00F30F82">
      <w:pPr>
        <w:pStyle w:val="PNormal"/>
        <w:numPr>
          <w:ilvl w:val="0"/>
          <w:numId w:val="6"/>
        </w:numPr>
      </w:pPr>
      <w:r w:rsidRPr="00441DB5">
        <w:t>Treatments for hypercholesterolemia</w:t>
      </w:r>
    </w:p>
    <w:p w14:paraId="101DD594" w14:textId="77777777" w:rsidR="00D5686E" w:rsidRPr="00441DB5" w:rsidRDefault="00D5686E" w:rsidP="00F30F82">
      <w:pPr>
        <w:pStyle w:val="PNormal"/>
        <w:numPr>
          <w:ilvl w:val="0"/>
          <w:numId w:val="6"/>
        </w:numPr>
      </w:pPr>
      <w:r w:rsidRPr="00441DB5">
        <w:t>Treatments for type 2 diabetes</w:t>
      </w:r>
    </w:p>
    <w:p w14:paraId="6397423D" w14:textId="77777777" w:rsidR="00D5686E" w:rsidRPr="00441DB5" w:rsidRDefault="00D5686E" w:rsidP="00DC7C02">
      <w:pPr>
        <w:pStyle w:val="PNormal"/>
      </w:pPr>
    </w:p>
    <w:p w14:paraId="3CD51632" w14:textId="77777777" w:rsidR="00D5686E" w:rsidRPr="00441DB5" w:rsidRDefault="00D5686E" w:rsidP="00DC7C02">
      <w:pPr>
        <w:pStyle w:val="PNormal"/>
      </w:pPr>
      <w:r w:rsidRPr="00441DB5">
        <w:t>Along with the following neurodegenerative diseases:</w:t>
      </w:r>
    </w:p>
    <w:p w14:paraId="55C1558D" w14:textId="77777777" w:rsidR="00D5686E" w:rsidRPr="00441DB5" w:rsidRDefault="00D5686E" w:rsidP="00F30F82">
      <w:pPr>
        <w:pStyle w:val="PNormal"/>
        <w:numPr>
          <w:ilvl w:val="0"/>
          <w:numId w:val="7"/>
        </w:numPr>
      </w:pPr>
      <w:r w:rsidRPr="00441DB5">
        <w:t>Alzheimer’s disease</w:t>
      </w:r>
    </w:p>
    <w:p w14:paraId="74FBF6CF" w14:textId="77777777" w:rsidR="00D5686E" w:rsidRPr="00441DB5" w:rsidRDefault="00D5686E" w:rsidP="00F30F82">
      <w:pPr>
        <w:pStyle w:val="PNormal"/>
        <w:numPr>
          <w:ilvl w:val="0"/>
          <w:numId w:val="7"/>
        </w:numPr>
      </w:pPr>
      <w:r w:rsidRPr="00441DB5">
        <w:t>Other dementia</w:t>
      </w:r>
    </w:p>
    <w:p w14:paraId="01385552" w14:textId="77777777" w:rsidR="00D5686E" w:rsidRPr="00441DB5" w:rsidRDefault="00D5686E" w:rsidP="00F30F82">
      <w:pPr>
        <w:pStyle w:val="PNormal"/>
        <w:numPr>
          <w:ilvl w:val="0"/>
          <w:numId w:val="7"/>
        </w:numPr>
      </w:pPr>
      <w:r w:rsidRPr="00441DB5">
        <w:t>Amyotrophic lateral sclerosis</w:t>
      </w:r>
    </w:p>
    <w:p w14:paraId="692DD07A" w14:textId="77777777" w:rsidR="00D5686E" w:rsidRPr="00441DB5" w:rsidRDefault="00D5686E" w:rsidP="00F30F82">
      <w:pPr>
        <w:pStyle w:val="PNormal"/>
        <w:numPr>
          <w:ilvl w:val="0"/>
          <w:numId w:val="7"/>
        </w:numPr>
      </w:pPr>
      <w:r w:rsidRPr="00441DB5">
        <w:t>Parkinson’s disease</w:t>
      </w:r>
    </w:p>
    <w:p w14:paraId="1DA3C02D" w14:textId="77777777" w:rsidR="00F26F69" w:rsidRPr="00441DB5" w:rsidRDefault="00F26F69" w:rsidP="00F26F69">
      <w:pPr>
        <w:pStyle w:val="PNormal"/>
        <w:ind w:left="720"/>
      </w:pPr>
    </w:p>
    <w:p w14:paraId="2E1033D9" w14:textId="77777777" w:rsidR="00D5686E" w:rsidRPr="00441DB5" w:rsidRDefault="00D5686E" w:rsidP="00DC7C02">
      <w:pPr>
        <w:pStyle w:val="ProtocolHeading2"/>
      </w:pPr>
      <w:bookmarkStart w:id="24" w:name="_Toc434320909"/>
      <w:r w:rsidRPr="00441DB5">
        <w:t>Rationale</w:t>
      </w:r>
      <w:bookmarkEnd w:id="24"/>
    </w:p>
    <w:p w14:paraId="3EA1D9D5" w14:textId="77777777" w:rsidR="00D5686E" w:rsidRPr="00441DB5" w:rsidRDefault="00D5686E" w:rsidP="00DC7C02">
      <w:pPr>
        <w:pStyle w:val="PNormal"/>
      </w:pPr>
    </w:p>
    <w:p w14:paraId="622E9D97" w14:textId="61DBC415" w:rsidR="00F26F69" w:rsidRPr="00441DB5" w:rsidRDefault="00D5686E" w:rsidP="0032176C">
      <w:pPr>
        <w:pStyle w:val="PNormal"/>
        <w:rPr>
          <w:rFonts w:eastAsia="ScalaLancetPro" w:cs="Arial"/>
          <w:szCs w:val="22"/>
        </w:rPr>
      </w:pPr>
      <w:r w:rsidRPr="00441DB5">
        <w:t xml:space="preserve">In aims 1 and 2 we will identify whether </w:t>
      </w:r>
      <w:r w:rsidR="0084608F" w:rsidRPr="00441DB5">
        <w:t xml:space="preserve">specific </w:t>
      </w:r>
      <w:r w:rsidR="006A6B93" w:rsidRPr="00441DB5">
        <w:t xml:space="preserve">drugs </w:t>
      </w:r>
      <w:r w:rsidR="007A4821" w:rsidRPr="00441DB5">
        <w:t>identified as potentially</w:t>
      </w:r>
      <w:r w:rsidR="006A6B93" w:rsidRPr="00441DB5">
        <w:t xml:space="preserve"> cere</w:t>
      </w:r>
      <w:r w:rsidR="007D3864" w:rsidRPr="00441DB5">
        <w:t>bro</w:t>
      </w:r>
      <w:r w:rsidR="006A6B93" w:rsidRPr="00441DB5">
        <w:t xml:space="preserve">protective </w:t>
      </w:r>
      <w:r w:rsidRPr="00441DB5">
        <w:t xml:space="preserve">may, in addition to improving the condition they are intended for, also be associated with </w:t>
      </w:r>
      <w:r w:rsidR="006A6B93" w:rsidRPr="00441DB5">
        <w:t xml:space="preserve">changes to the </w:t>
      </w:r>
      <w:r w:rsidRPr="00441DB5">
        <w:t xml:space="preserve">incidence and survival in dementia and other neurodegenerative diseases. If we find robust evidence of differences in incidence or survival between patients prescribed different medications then this </w:t>
      </w:r>
      <w:r w:rsidR="006A6B93" w:rsidRPr="00441DB5">
        <w:t>w</w:t>
      </w:r>
      <w:r w:rsidRPr="00441DB5">
        <w:t xml:space="preserve">ould provide </w:t>
      </w:r>
      <w:r w:rsidRPr="00441DB5">
        <w:lastRenderedPageBreak/>
        <w:t xml:space="preserve">evidence </w:t>
      </w:r>
      <w:r w:rsidR="006A6B93" w:rsidRPr="00441DB5">
        <w:t xml:space="preserve">to support the </w:t>
      </w:r>
      <w:r w:rsidRPr="00441DB5">
        <w:t xml:space="preserve">potential </w:t>
      </w:r>
      <w:r w:rsidR="006A6B93" w:rsidRPr="00441DB5">
        <w:t xml:space="preserve">of these </w:t>
      </w:r>
      <w:r w:rsidRPr="00441DB5">
        <w:t xml:space="preserve">drugs </w:t>
      </w:r>
      <w:r w:rsidR="006A6B93" w:rsidRPr="00441DB5">
        <w:t>towards</w:t>
      </w:r>
      <w:r w:rsidRPr="00441DB5">
        <w:t xml:space="preserve"> </w:t>
      </w:r>
      <w:r w:rsidR="006A6B93" w:rsidRPr="00441DB5">
        <w:t xml:space="preserve">repurposing that would need to be </w:t>
      </w:r>
      <w:r w:rsidRPr="00441DB5">
        <w:t>formal</w:t>
      </w:r>
      <w:r w:rsidR="006A6B93" w:rsidRPr="00441DB5">
        <w:t>ly</w:t>
      </w:r>
      <w:r w:rsidRPr="00441DB5">
        <w:t xml:space="preserve"> </w:t>
      </w:r>
      <w:r w:rsidR="006A6B93" w:rsidRPr="00441DB5">
        <w:t xml:space="preserve">tested </w:t>
      </w:r>
      <w:r w:rsidRPr="00441DB5">
        <w:t>by clinical trials of patients at risk of, or with these conditions. D</w:t>
      </w:r>
      <w:r w:rsidRPr="00441DB5">
        <w:rPr>
          <w:rFonts w:eastAsia="ScalaLancetPro" w:cs="Arial"/>
          <w:szCs w:val="22"/>
        </w:rPr>
        <w:t xml:space="preserve">rug </w:t>
      </w:r>
      <w:r w:rsidR="006A6B93" w:rsidRPr="00441DB5">
        <w:rPr>
          <w:rFonts w:eastAsia="ScalaLancetPro" w:cs="Arial"/>
          <w:szCs w:val="22"/>
        </w:rPr>
        <w:t xml:space="preserve">repurposing </w:t>
      </w:r>
      <w:r w:rsidRPr="00441DB5">
        <w:rPr>
          <w:rFonts w:eastAsia="ScalaLancetPro" w:cs="Arial"/>
          <w:szCs w:val="22"/>
        </w:rPr>
        <w:t>(a</w:t>
      </w:r>
      <w:r w:rsidR="006A6B93" w:rsidRPr="00441DB5">
        <w:rPr>
          <w:rFonts w:eastAsia="ScalaLancetPro" w:cs="Arial"/>
          <w:szCs w:val="22"/>
        </w:rPr>
        <w:t>lso referred to as drug repositioning</w:t>
      </w:r>
      <w:r w:rsidRPr="00441DB5">
        <w:rPr>
          <w:rFonts w:eastAsia="ScalaLancetPro" w:cs="Arial"/>
          <w:szCs w:val="22"/>
        </w:rPr>
        <w:t>) has been the basis of successful therapies in many clinical areas including cancer, stress incontinence, irritable bowel syndrome, obesity, smoking cessation, psychosis and attention deficit disorder.</w:t>
      </w:r>
      <w:r w:rsidRPr="00441DB5">
        <w:rPr>
          <w:rFonts w:eastAsia="ScalaLancetPro" w:cs="Arial"/>
          <w:szCs w:val="22"/>
        </w:rPr>
        <w:fldChar w:fldCharType="begin"/>
      </w:r>
      <w:r w:rsidRPr="00441DB5">
        <w:rPr>
          <w:rFonts w:eastAsia="ScalaLancetPro" w:cs="Arial"/>
          <w:szCs w:val="22"/>
        </w:rPr>
        <w:instrText xml:space="preserve"> ADDIN ZOTERO_ITEM CSL_CITATION {"citationID":"1qbfp0chf0","properties":{"formattedCitation":"{\\rtf \\super 1,3\\nosupersub{}}","plainCitation":"1,3"},"citationItems":[{"id":3732,"uris":["http://zotero.org/users/117866/items/Z6Z9MF27"],"uri":["http://zotero.org/users/117866/items/Z6Z9MF27"],"itemData":{"id":3732,"type":"article-journal","title":"Drug repositioning: identifying and developing new uses for existing drugs","container-title":"Nature Reviews Drug Discovery","page":"673-683","volume":"3","issue":"8","source":"CrossRef","DOI":"10.1038/nrd1468","ISSN":"1474-1776, 1474-1784","shortTitle":"Drug repositioning","author":[{"family":"Ashburn","given":"Ted T."},{"family":"Thor","given":"Karl B."}],"issued":{"date-parts":[["2004",8]]}}},{"id":3733,"uris":["http://zotero.org/users/117866/items/ANZUHDU8"],"uri":["http://zotero.org/users/117866/items/ANZUHDU8"],"itemData":{"id":3733,"type":"article-journal","title":"Amantadine: The journey from fighting flu to treating Parkinson disease","container-title":"Neurology","page":"1096-1099","volume":"78","issue":"14","source":"CrossRef","DOI":"10.1212/WNL.0b013e31824e8f0d","ISSN":"0028-3878, 1526-632X","shortTitle":"Amantadine","language":"en","author":[{"family":"Hubsher","given":"G."},{"family":"Haider","given":"M."},{"family":"Okun","given":"M. S."}],"issued":{"date-parts":[["2012",4,3]]}}}],"schema":"https://github.com/citation-style-language/schema/raw/master/csl-citation.json"} </w:instrText>
      </w:r>
      <w:r w:rsidRPr="00441DB5">
        <w:rPr>
          <w:rFonts w:eastAsia="ScalaLancetPro" w:cs="Arial"/>
          <w:szCs w:val="22"/>
        </w:rPr>
        <w:fldChar w:fldCharType="separate"/>
      </w:r>
      <w:r w:rsidRPr="00441DB5">
        <w:rPr>
          <w:vertAlign w:val="superscript"/>
          <w:lang w:val="en-US"/>
        </w:rPr>
        <w:t>1,3</w:t>
      </w:r>
      <w:r w:rsidRPr="00441DB5">
        <w:rPr>
          <w:rFonts w:eastAsia="ScalaLancetPro" w:cs="Arial"/>
          <w:szCs w:val="22"/>
        </w:rPr>
        <w:fldChar w:fldCharType="end"/>
      </w:r>
    </w:p>
    <w:p w14:paraId="31608232" w14:textId="77777777" w:rsidR="0032176C" w:rsidRPr="00441DB5" w:rsidRDefault="0032176C"/>
    <w:p w14:paraId="5E6F97EC" w14:textId="16FB127D" w:rsidR="00D5686E" w:rsidRPr="00441DB5" w:rsidRDefault="00D5686E" w:rsidP="00DC7C02">
      <w:pPr>
        <w:pStyle w:val="PNormal"/>
      </w:pPr>
      <w:r w:rsidRPr="00441DB5">
        <w:t xml:space="preserve">Aims 3 and 4 will explore the </w:t>
      </w:r>
      <w:r w:rsidR="006A6B93" w:rsidRPr="00441DB5">
        <w:t xml:space="preserve">level of interaction </w:t>
      </w:r>
      <w:r w:rsidR="00BB35D7" w:rsidRPr="00441DB5">
        <w:t xml:space="preserve">when the </w:t>
      </w:r>
      <w:r w:rsidR="001B6A85" w:rsidRPr="00441DB5">
        <w:t>proposed</w:t>
      </w:r>
      <w:r w:rsidR="00BB35D7" w:rsidRPr="00441DB5">
        <w:t xml:space="preserve"> cerebroprotective drugs are </w:t>
      </w:r>
      <w:r w:rsidR="006A6B93" w:rsidRPr="00441DB5">
        <w:t>co-</w:t>
      </w:r>
      <w:r w:rsidR="00BB35D7" w:rsidRPr="00441DB5">
        <w:t>administered with</w:t>
      </w:r>
      <w:r w:rsidR="006A6B93" w:rsidRPr="00441DB5">
        <w:t xml:space="preserve"> </w:t>
      </w:r>
      <w:r w:rsidRPr="00441DB5">
        <w:t>dementia medications</w:t>
      </w:r>
      <w:r w:rsidR="00BB35D7" w:rsidRPr="00441DB5">
        <w:t>. This</w:t>
      </w:r>
      <w:r w:rsidR="006A6B93" w:rsidRPr="00441DB5">
        <w:t xml:space="preserve"> may identify additive </w:t>
      </w:r>
      <w:r w:rsidR="00975753" w:rsidRPr="00441DB5">
        <w:t xml:space="preserve">interaction </w:t>
      </w:r>
      <w:r w:rsidR="006A6B93" w:rsidRPr="00441DB5">
        <w:t xml:space="preserve">effects with respect to  rates of </w:t>
      </w:r>
      <w:r w:rsidRPr="00441DB5">
        <w:t>survival of patients in general practice</w:t>
      </w:r>
      <w:r w:rsidRPr="00441DB5">
        <w:fldChar w:fldCharType="begin"/>
      </w:r>
      <w:r w:rsidRPr="00441DB5">
        <w:instrText xml:space="preserve"> ADDIN ZOTERO_ITEM CSL_CITATION {"citationID":"2fmvdbkfou","properties":{"formattedCitation":"{\\rtf \\super 4\\uc0\\u8211{}6\\nosupersub{}}","plainCitation":"4–6"},"citationItems":[{"id":3736,"uris":["http://zotero.org/users/117866/items/HCCAEFV5"],"uri":["http://zotero.org/users/117866/items/HCCAEFV5"],"itemData":{"id":3736,"type":"article-journal","title":"Persistent treatment with cholinesterase inhibitors and/or memantine slows clinical progression of Alzheimer disease","container-title":"Alzheimer's Research &amp; Therapy","page":"7","volume":"1","issue":"2","source":"CrossRef","DOI":"10.1186/alzrt7","ISSN":"1758-9193","language":"en","author":[{"family":"Rountree","given":"Susan D"},{"family":"Chan","given":"Wenyaw"},{"family":"Pavlik","given":"Valory N"},{"family":"Darby","given":"Eveleen J"},{"family":"Siddiqui","given":"Samina"},{"family":"Doody","given":"Rachelle S"}],"issued":{"date-parts":[["2009"]]}}},{"id":3735,"uris":["http://zotero.org/users/117866/items/HIBJQ72Z"],"uri":["http://zotero.org/users/117866/items/HIBJQ72Z"],"itemData":{"id":3735,"type":"article-journal","title":"Response to cholinesterase inhibitors affects lifespan in Alzheimer’s disease","container-title":"BMC Neurology","volume":"14","issue":"1","source":"CrossRef","URL":"http://www.biomedcentral.com/1471-2377/14/173","DOI":"10.1186/s12883-014-0173-4","ISSN":"1471-2377","language":"en","author":[{"family":"Wattmo","given":"Carina"},{"family":"Londos","given":"Elisabet"},{"family":"Minthon","given":"Lennart"}],"issued":{"date-parts":[["2014",12]]},"accessed":{"date-parts":[["2015",8,19]]}}},{"id":3734,"uris":["http://zotero.org/users/117866/items/NFUJ2QSH"],"uri":["http://zotero.org/users/117866/items/NFUJ2QSH"],"itemData":{"id":3734,"type":"article-journal","title":"Cholinesterase Inhibitors for Alzheimer Disease: Do They Provide More Than Symptomatic Benefits?","container-title":"The American Journal of Geriatric Psychiatry","page":"266-273","volume":"19","issue":"3","source":"CrossRef","DOI":"10.1097/JGP.0b013e3181e56d30","ISSN":"10647481","shortTitle":"Cholinesterase Inhibitors for Alzheimer Disease","language":"en","author":[{"family":"Suh","given":"Guk-Hee"},{"family":"Ryu","given":"Seung-Ho"},{"family":"Lee","given":"Dong-Woo"},{"family":"Han","given":"Changsu"},{"family":"Ju","given":"Young-Su"},{"family":"Kee","given":"Baik Seok"},{"family":"Lee","given":"Joon-Noh"},{"family":"Bae","given":"Jae Nam"},{"family":"Choi","given":"Jong-Hyuk"},{"family":"Kim","given":"Dai-Jin"},{"family":"Lee","given":"Nam-Jin"},{"family":"Lee","given":"Jun-Young"},{"family":"Go","given":"Hyo-Jin"},{"family":"Yi","given":"Jung-Seo"},{"family":"Cho","given":"Seong-Jin"},{"family":"Jeon","given":"Yang-Whan"}],"issued":{"date-parts":[["2011",3]]}}}],"schema":"https://github.com/citation-style-language/schema/raw/master/csl-citation.json"} </w:instrText>
      </w:r>
      <w:r w:rsidRPr="00441DB5">
        <w:fldChar w:fldCharType="separate"/>
      </w:r>
      <w:r w:rsidRPr="00441DB5">
        <w:rPr>
          <w:vertAlign w:val="superscript"/>
          <w:lang w:val="en-US"/>
        </w:rPr>
        <w:t>4–6</w:t>
      </w:r>
      <w:r w:rsidRPr="00441DB5">
        <w:fldChar w:fldCharType="end"/>
      </w:r>
      <w:r w:rsidRPr="00441DB5">
        <w:t xml:space="preserve">. </w:t>
      </w:r>
      <w:r w:rsidR="006A6B93" w:rsidRPr="00441DB5">
        <w:t xml:space="preserve">We are conscious that </w:t>
      </w:r>
      <w:r w:rsidR="001B6A85" w:rsidRPr="00441DB5">
        <w:t>the</w:t>
      </w:r>
      <w:r w:rsidR="006A6B93" w:rsidRPr="00441DB5">
        <w:t xml:space="preserve"> analysis o</w:t>
      </w:r>
      <w:r w:rsidR="001B6A85" w:rsidRPr="00441DB5">
        <w:t xml:space="preserve">f interaction may be limited </w:t>
      </w:r>
      <w:r w:rsidR="006A6B93" w:rsidRPr="00441DB5">
        <w:t xml:space="preserve">by </w:t>
      </w:r>
      <w:r w:rsidR="001B6A85" w:rsidRPr="00441DB5">
        <w:t>the</w:t>
      </w:r>
      <w:r w:rsidR="006A6B93" w:rsidRPr="00441DB5">
        <w:t xml:space="preserve"> temporar</w:t>
      </w:r>
      <w:r w:rsidR="001B6A85" w:rsidRPr="00441DB5">
        <w:t>y</w:t>
      </w:r>
      <w:r w:rsidR="006A6B93" w:rsidRPr="00441DB5">
        <w:t xml:space="preserve"> withdrawal</w:t>
      </w:r>
      <w:r w:rsidR="001B6A85" w:rsidRPr="00441DB5">
        <w:t xml:space="preserve"> of support</w:t>
      </w:r>
      <w:r w:rsidR="006A6B93" w:rsidRPr="00441DB5">
        <w:t xml:space="preserve"> by </w:t>
      </w:r>
      <w:r w:rsidRPr="00441DB5">
        <w:t xml:space="preserve">NICE for the prescription of cholinesterase inhibitors, </w:t>
      </w:r>
      <w:r w:rsidR="001B6A85" w:rsidRPr="00441DB5">
        <w:t>resulting from a</w:t>
      </w:r>
      <w:r w:rsidRPr="00441DB5">
        <w:t xml:space="preserve"> perceived lack of cost-effectiveness</w:t>
      </w:r>
      <w:r w:rsidR="006A6B93" w:rsidRPr="00441DB5">
        <w:t xml:space="preserve"> in dementia. </w:t>
      </w:r>
      <w:r w:rsidR="001B6A85" w:rsidRPr="00441DB5">
        <w:t xml:space="preserve">The true extent to which the </w:t>
      </w:r>
      <w:r w:rsidR="006A6B93" w:rsidRPr="00441DB5">
        <w:t xml:space="preserve">withdrawal </w:t>
      </w:r>
      <w:r w:rsidR="001B6A85" w:rsidRPr="00441DB5">
        <w:t>of support affected</w:t>
      </w:r>
      <w:r w:rsidR="006A6B93" w:rsidRPr="00441DB5">
        <w:t xml:space="preserve"> prescription rates for these drugs</w:t>
      </w:r>
      <w:r w:rsidR="001B6A85" w:rsidRPr="00441DB5">
        <w:t xml:space="preserve"> remains unknown</w:t>
      </w:r>
      <w:r w:rsidR="00946431" w:rsidRPr="00441DB5">
        <w:t>,</w:t>
      </w:r>
      <w:r w:rsidR="001B6A85" w:rsidRPr="00441DB5">
        <w:t xml:space="preserve"> however </w:t>
      </w:r>
      <w:r w:rsidR="00975753" w:rsidRPr="00441DB5">
        <w:t xml:space="preserve">new </w:t>
      </w:r>
      <w:r w:rsidR="001B6A85" w:rsidRPr="00441DB5">
        <w:t xml:space="preserve">data </w:t>
      </w:r>
      <w:r w:rsidR="006A6B93" w:rsidRPr="00441DB5">
        <w:t>will naturally emerg</w:t>
      </w:r>
      <w:r w:rsidR="00946431" w:rsidRPr="00441DB5">
        <w:t>e as a result of this ana</w:t>
      </w:r>
      <w:r w:rsidR="001B6A85" w:rsidRPr="00441DB5">
        <w:t>lysis. This</w:t>
      </w:r>
      <w:r w:rsidR="00946431" w:rsidRPr="00441DB5">
        <w:t xml:space="preserve"> could provide important secondary insights into the potential impact of this temporary change </w:t>
      </w:r>
      <w:r w:rsidRPr="00441DB5">
        <w:t>on rates of prescription, survival and service use.</w:t>
      </w:r>
      <w:r w:rsidRPr="00441DB5">
        <w:fldChar w:fldCharType="begin"/>
      </w:r>
      <w:r w:rsidRPr="00441DB5">
        <w:instrText xml:space="preserve"> ADDIN ZOTERO_ITEM CSL_CITATION {"citationID":"1knqd16910","properties":{"formattedCitation":"{\\rtf \\super 7\\nosupersub{}}","plainCitation":"7"},"citationItems":[{"id":3737,"uris":["http://zotero.org/users/117866/items/SSCRCMS8"],"uri":["http://zotero.org/users/117866/items/SSCRCMS8"],"itemData":{"id":3737,"type":"article-journal","title":"NICE cost-effectiveness appraisal of cholinesterase inhibitors: was the right question posed? Were the best tools used?","container-title":"PharmacoEconomics","page":"997-1006","volume":"25","issue":"12","source":"PubMed","abstract":"The National Institute for Health and Clinical Excellence (NICE) recently issued updated guidance on the use of cholinesterase inhibitors in the treatment of Alzheimer's disease. NICE initially recommended that cholinesterase inhibitors no longer be used, but final guidance restricted treatment to patients with disease of a moderately severe stage. This decision was based largely on results from a heavily criticised economic evaluation that used an adaptation of the Assessment of Health Economics in Alzheimer's Disease (AHEAD) model. As the developers of the AHEAD model, we examined the appropriateness of NICE's economic analyses and presentation of results. We attempted to replicate NICE's results by modifying the original AHEAD model. Sensitivity analyses were then run using the modified AHEAD model to evaluate the extent of uncertainty in predictions. The AHEAD(NICE) analyses resulted in an incremental cost-effectiveness ratio for galantamine of 82,000 pound per QALY gained (year 2003 values) from the perspective of the UK NHS and Personal Social Services. This was later revised to 46,000 pound per QALY, compared with &lt; 9000 pound per discounted QALY gained (year 2001 values) in the original AHEAD model. Using our modified AHEAD with effectiveness estimates matching those of AHEAD(NICE), we show that NICE's choice and presentation of sensitivity analyses obscured the instability of their estimates. In the final NICE evaluation, the recommendation to delay treatment with cholinesterase inhibitors until patients have moderately severe disease was based on critical assumptions in the economic analyses that had little evidence to support them. The case of NICE's guidance on cholinesterase inhibitors highlights the importance of transparent and valid economic evaluations and the dangers of using inappropriate modelling technologies, basing analyses on a limited subset of the available data, and insufficiently reflecting the uncertainty in estimates that are intended to inform decision makers.","ISSN":"1170-7690","note":"PMID: 18047386","shortTitle":"NICE cost-effectiveness appraisal of cholinesterase inhibitors","journalAbbreviation":"Pharmacoeconomics","language":"eng","author":[{"family":"Getsios","given":"Denis"},{"family":"Migliaccio-Walle","given":"Kristen"},{"family":"Caro","given":"Jaime J."}],"issued":{"date-parts":[["2007"]]},"PMID":"18047386"}}],"schema":"https://github.com/citation-style-language/schema/raw/master/csl-citation.json"} </w:instrText>
      </w:r>
      <w:r w:rsidRPr="00441DB5">
        <w:fldChar w:fldCharType="separate"/>
      </w:r>
      <w:r w:rsidRPr="00441DB5">
        <w:rPr>
          <w:vertAlign w:val="superscript"/>
          <w:lang w:val="en-US"/>
        </w:rPr>
        <w:t>7</w:t>
      </w:r>
      <w:r w:rsidRPr="00441DB5">
        <w:fldChar w:fldCharType="end"/>
      </w:r>
    </w:p>
    <w:p w14:paraId="7A2417D1" w14:textId="77777777" w:rsidR="00D5686E" w:rsidRPr="00441DB5" w:rsidRDefault="00D5686E" w:rsidP="00DC7C02">
      <w:pPr>
        <w:pStyle w:val="PNormal"/>
      </w:pPr>
    </w:p>
    <w:p w14:paraId="55B29A05" w14:textId="77777777" w:rsidR="00D5686E" w:rsidRPr="00441DB5" w:rsidRDefault="00D5686E" w:rsidP="00DC7C02">
      <w:pPr>
        <w:pStyle w:val="PHeading1"/>
      </w:pPr>
      <w:bookmarkStart w:id="25" w:name="_Toc434319879"/>
      <w:bookmarkStart w:id="26" w:name="_Toc434320910"/>
      <w:r w:rsidRPr="00441DB5">
        <w:t>Background</w:t>
      </w:r>
      <w:bookmarkEnd w:id="25"/>
      <w:bookmarkEnd w:id="26"/>
    </w:p>
    <w:p w14:paraId="3FCB9DA3" w14:textId="77777777" w:rsidR="00D5686E" w:rsidRPr="00441DB5" w:rsidRDefault="00D5686E" w:rsidP="00DC7C02">
      <w:pPr>
        <w:pStyle w:val="PNormal"/>
      </w:pPr>
    </w:p>
    <w:p w14:paraId="016B5EAB" w14:textId="77777777" w:rsidR="00D5686E" w:rsidRPr="00441DB5" w:rsidRDefault="00D5686E" w:rsidP="00DC7C02">
      <w:pPr>
        <w:pStyle w:val="PNormal"/>
      </w:pPr>
      <w:r w:rsidRPr="00441DB5">
        <w:t>Epidemiological evidence links cardio-metabolic diseases, including hypertension, hypercholesterolemia, cardio-thrombosis and diabetes to the aetiology of Alzheimer’s disease.</w:t>
      </w:r>
      <w:r w:rsidRPr="00441DB5">
        <w:fldChar w:fldCharType="begin"/>
      </w:r>
      <w:r w:rsidRPr="00441DB5">
        <w:instrText xml:space="preserve"> ADDIN ZOTERO_ITEM CSL_CITATION {"citationID":"Sv9ruYbJ","properties":{"formattedCitation":"{\\rtf \\super 8\\uc0\\u8211{}10\\nosupersub{}}","plainCitation":"8–10"},"citationItems":[{"id":3739,"uris":["http://zotero.org/users/117866/items/CTGVM7GG"],"uri":["http://zotero.org/users/117866/items/CTGVM7GG"],"itemData":{"id":3739,"type":"article-journal","title":"Epidemiology of Alzheimer's disease: occurrence, determinants, and strategies toward intervention","container-title":"Dialogues in Clinical Neuroscience","page":"111-128","volume":"11","issue":"2","source":"PubMed","abstract":"More than 25 million people in the world today are affected by dementia, most suffering from Alzheimer's disease. In both developed and developing nations, Alzheimer's disease has had tremendous impact on the affected individuals, caregivers, and society. The etiological factors, other than older age and genetic susceptibility, remain to be determined. Nevertheless, increasing evidence strongly points to the potential risk roles of vascular risk factors and disorders (eg, cigarette smoking, midlife high blood pressure and obesity, diabetes, and cerebrovascular lesions) and the possible beneficial roles of psychosocial factors (eg, high education, active social engagement, physical exercise, and mentally stimulating activity) in the pathogenetic process and clinical manifestation of the dementing disorders. The long-term multidomain interventions toward the optimal control of multiple vascular risk factors and the maintenance of socially integrated lifestyles and mentally stimulating activities are expected to reduce the risk or postpone the clinical onset of dementia, including Alzheimer's disease.","ISSN":"1294-8322","note":"PMID: 19585947\nPMCID: PMC3181909","shortTitle":"Epidemiology of Alzheimer's disease","journalAbbreviation":"Dialogues Clin Neurosci","language":"eng","author":[{"family":"Qiu","given":"Chengxuan"},{"family":"Kivipelto","given":"Miia"},{"family":"Strauss","given":"Eva","non-dropping-particle":"von"}],"issued":{"date-parts":[["2009"]]},"PMID":"19585947","PMCID":"PMC3181909"}},{"id":3766,"uris":["http://zotero.org/users/117866/items/8F23EHQI"],"uri":["http://zotero.org/users/117866/items/8F23EHQI"],"itemData":{"id":3766,"type":"article-journal","title":"Dementia, stroke, and vascular risk factors; a review","container-title":"International Journal of Stroke","page":"61-73","volume":"7","issue":"1","source":"CrossRef","DOI":"10.1111/j.1747-4949.2011.00731.x","ISSN":"17474930","language":"en","author":[{"family":"Sahathevan","given":"Ramesh"},{"family":"Brodtmann","given":"Amy"},{"family":"Donnan","given":"Geoffrey A."}],"issued":{"date-parts":[["2012",1]]}}},{"id":3767,"uris":["http://zotero.org/users/117866/items/6DFKQ4GV"],"uri":["http://zotero.org/users/117866/items/6DFKQ4GV"],"itemData":{"id":3767,"type":"article-journal","title":"Midlife vascular risk factors and their association with dementia deaths: Results from a Norwegian prospective study followed up for 35years","container-title":"Journal of the Neurological Sciences","page":"124-130","volume":"324","issue":"1-2","source":"CrossRef","DOI":"10.1016/j.jns.2012.10.018","ISSN":"0022510X","shortTitle":"Midlife vascular risk factors and their association with dementia deaths","language":"en","author":[{"family":"Strand","given":"Bjørn Heine"},{"family":"Langballe","given":"Ellen Melbye"},{"family":"Hjellvik","given":"Vidar"},{"family":"Handal","given":"Marte"},{"family":"Næss","given":"Øyvind"},{"family":"Knudsen","given":"Gunn Peggy"},{"family":"Refsum","given":"Helga"},{"family":"Tambs","given":"Kristian"},{"family":"Nafstad","given":"Per"},{"family":"Schirmer","given":"Henrik"},{"family":"Bergem","given":"Astrid Liv Mina"},{"family":"Selmer","given":"Randi"},{"family":"Engedal","given":"Knut"},{"family":"Magnus","given":"Per"},{"family":"Bjertness","given":"Espen"}],"issued":{"date-parts":[["2013",1]]}}}],"schema":"https://github.com/citation-style-language/schema/raw/master/csl-citation.json"} </w:instrText>
      </w:r>
      <w:r w:rsidRPr="00441DB5">
        <w:fldChar w:fldCharType="separate"/>
      </w:r>
      <w:r w:rsidRPr="00441DB5">
        <w:rPr>
          <w:vertAlign w:val="superscript"/>
          <w:lang w:val="en-US"/>
        </w:rPr>
        <w:t>8–10</w:t>
      </w:r>
      <w:r w:rsidRPr="00441DB5">
        <w:fldChar w:fldCharType="end"/>
      </w:r>
      <w:r w:rsidRPr="00441DB5">
        <w:t xml:space="preserve"> Furthermore, Alzheimer’s disease prognosis is associated with drugs prescribed for mental health problems, cardiovascular diseases and hypertension.</w:t>
      </w:r>
      <w:r w:rsidRPr="00441DB5">
        <w:fldChar w:fldCharType="begin"/>
      </w:r>
      <w:r w:rsidRPr="00441DB5">
        <w:instrText xml:space="preserve"> ADDIN ZOTERO_ITEM CSL_CITATION {"citationID":"hCMNdytz","properties":{"formattedCitation":"{\\rtf \\super 11,12\\nosupersub{}}","plainCitation":"11,12"},"citationItems":[{"id":3743,"uris":["http://zotero.org/users/117866/items/Z4ID5XCU"],"uri":["http://zotero.org/users/117866/items/Z4ID5XCU"],"itemData":{"id":3743,"type":"article-journal","title":"Vascular risk factors, cognitive decline, and dementia","container-title":"Vascular Health and Risk Management","page":"363-381","volume":"4","issue":"2","source":"PubMed","abstract":"Dementia is one of the most important neurological disorders in the elderly. Aging is associated with a large increase in the prevalence and incidence of degenerative (Alzheimer's disease) and vascular dementia, leading to a devastating loss of autonomy. In view of the increasing longevity of populations worldwide, prevention of dementia has turned into a major public health challenge. In the past decade, several vascular risk factors have been found to be associated with vascular dementia but also Alzheimer's disease. Some longitudinal studies, have found significant associations between hypertension, diabetus mellitus, and metabolic syndrome, assessed at middle age, and dementia. Studies assessing the link between hypercholesterolemia, atrial fibrillation, smoking, and dementia have given more conflicting results. Furthermore, some studies have highlighted the possible protective effect of antihypertensive therapy on cognition and some trials are evaluating the effects of statins and treatments for insulin resistance. Vascular risk factors and their treatments are a promising avenue of research for prevention of dementia, and further long-term, placebo-controlled, randomized studies, need to be performed.","ISSN":"1176-6344","note":"PMID: 18561512\nPMCID: PMC2496986","journalAbbreviation":"Vasc Health Risk Manag","language":"eng","author":[{"family":"Duron","given":"E."},{"family":"Hanon","given":"Olivier"}],"issued":{"date-parts":[["2008"]]},"PMID":"18561512","PMCID":"PMC2496986"}},{"id":3175,"uris":["http://zotero.org/users/117866/items/F3QSISHG"],"uri":["http://zotero.org/users/117866/items/F3QSISHG"],"itemData":{"id":3175,"type":"article-journal","title":"Associations of Angiotensin Targeting Antihypertensive Drugs with Mortality and Hospitalization in Primary Care Patients with Dementia","container-title":"Journal of Alzheimer's disease: JAD","page":"999-1008","volume":"33","issue":"4","source":"NCBI PubMed","abstract":"We investigated whether angiotensin II receptor blockers and angiotensin converting enzyme inhibitors were associated with risk of mortality or inpatient hospitalization for patients with dementia compared to other antihypertensive medications. We extracted a clinical cohort of 6,290 patients with dementia from the United Kingdom General Practice Research Database, prescribed antihypertensive medication at diagnosis of dementia with around 10 years follow-up. Using survival analysis we estimated associations of exposure to antihypertensive medication with subsequent hospitalization and mortality risk, stratified by dementia type (Alzheimer's disease, vascular and other dementias). Angiotensin converting enzyme inhibitors (but not angiotensin II receptor blockers) were associated with an increased risk of mortality in patients with Alzheimer's disease (adjusted hazard ratio: 1.19; 95% CI 1.07, 1.33, p = 0.002), but no convincing evidence of increased hospitalization. Angiotensin II receptor blockers were inversely associated with hospitalization for any form of dementia, but after adjustment for covariates, these associations became consistent with chance. Further evidence is required to either support or refute the observation that exposure to angiotensin converting enzyme inhibitors in patients with dementia is associated with increased mortality.","DOI":"10.3233/JAD-2012-121090","ISSN":"1875-8908","note":"PMID: 23076074","journalAbbreviation":"J. Alzheimers Dis.","language":"eng","author":[{"family":"Kehoe","given":"Patrick Gavin"},{"family":"Davies","given":"Neil Martin"},{"family":"Martin","given":"Richard Michael"},{"family":"Ben-Shlomo","given":"Yoav"}],"issued":{"date-parts":[["2013"]]},"PMID":"23076074"}}],"schema":"https://github.com/citation-style-language/schema/raw/master/csl-citation.json"} </w:instrText>
      </w:r>
      <w:r w:rsidRPr="00441DB5">
        <w:fldChar w:fldCharType="separate"/>
      </w:r>
      <w:r w:rsidRPr="00441DB5">
        <w:rPr>
          <w:vertAlign w:val="superscript"/>
          <w:lang w:val="en-US"/>
        </w:rPr>
        <w:t>11,12</w:t>
      </w:r>
      <w:r w:rsidRPr="00441DB5">
        <w:fldChar w:fldCharType="end"/>
      </w:r>
    </w:p>
    <w:p w14:paraId="0F1B818B" w14:textId="77777777" w:rsidR="00D5686E" w:rsidRPr="00441DB5" w:rsidRDefault="00D5686E" w:rsidP="00DC7C02">
      <w:pPr>
        <w:pStyle w:val="PNormal"/>
      </w:pPr>
    </w:p>
    <w:p w14:paraId="2D45668C" w14:textId="77777777" w:rsidR="00D5686E" w:rsidRPr="00441DB5" w:rsidRDefault="00D5686E" w:rsidP="00DC7C02">
      <w:pPr>
        <w:pStyle w:val="PNormal"/>
      </w:pPr>
      <w:r w:rsidRPr="00441DB5">
        <w:t>Although the cause of Alzheimer’s disease is still unknown, the level of knowledge of the epidemiology of Alzheimer’s disease contrasts markedly with that of some other less common forms of dementia or neurodegenerative disease. Alzheimer’s disease is the most common form of neurodegenerative disease.</w:t>
      </w:r>
      <w:r w:rsidRPr="00441DB5">
        <w:fldChar w:fldCharType="begin"/>
      </w:r>
      <w:r w:rsidRPr="00441DB5">
        <w:instrText xml:space="preserve"> ADDIN ZOTERO_ITEM CSL_CITATION {"citationID":"2er3hcte94","properties":{"formattedCitation":"{\\rtf \\super 13,14\\nosupersub{}}","plainCitation":"13,14"},"citationItems":[{"id":3745,"uris":["http://zotero.org/users/117866/items/EPCZR6VJ"],"uri":["http://zotero.org/users/117866/items/EPCZR6VJ"],"itemData":{"id":3745,"type":"article-journal","title":"Global prevalence of dementia: a Delphi consensus study","container-title":"The Lancet","page":"2112-2117","volume":"366","issue":"9503","source":"CrossRef","DOI":"10.1016/S0140-6736(05)67889-0","ISSN":"01406736","shortTitle":"Global prevalence of dementia","language":"en","author":[{"family":"Ferri","given":"Cleusa P"},{"family":"Prince","given":"Martin"},{"family":"Brayne","given":"Carol"},{"family":"Brodaty","given":"Henry"},{"family":"Fratiglioni","given":"Laura"},{"family":"Ganguli","given":"Mary"},{"family":"Hall","given":"Kathleen"},{"family":"Hasegawa","given":"Kazuo"},{"family":"Hendrie","given":"Hugh"},{"family":"Huang","given":"Yueqin"},{"family":"Jorm","given":"Anthony"},{"family":"Mathers","given":"Colin"},{"family":"Menezes","given":"Paulo R"},{"family":"Rimmer","given":"Elizabeth"},{"family":"Scazufca","given":"Marcia"}],"issued":{"date-parts":[["2005",12]]}}},{"id":3746,"uris":["http://zotero.org/users/117866/items/HX27WKWH"],"uri":["http://zotero.org/users/117866/items/HX27WKWH"],"itemData":{"id":3746,"type":"article-journal","title":"A two-decade comparison of prevalence of dementia in individuals aged 65 years and older from three geographical areas of England: results of the Cognitive Function and Ageing Study I and II","container-title":"The Lancet","page":"1405-1412","volume":"382","issue":"9902","source":"CrossRef","DOI":"10.1016/S0140-6736(13)61570-6","ISSN":"01406736","shortTitle":"A two-decade comparison of prevalence of dementia in individuals aged 65 years and older from three geographical areas of England","language":"en","author":[{"family":"Matthews","given":"Fiona E"},{"family":"Arthur","given":"Antony"},{"family":"Barnes","given":"Linda E"},{"family":"Bond","given":"John"},{"family":"Jagger","given":"Carol"},{"family":"Robinson","given":"Louise"},{"family":"Brayne","given":"Carol"}],"issued":{"date-parts":[["2013",10]]}}}],"schema":"https://github.com/citation-style-language/schema/raw/master/csl-citation.json"} </w:instrText>
      </w:r>
      <w:r w:rsidRPr="00441DB5">
        <w:fldChar w:fldCharType="separate"/>
      </w:r>
      <w:r w:rsidRPr="00441DB5">
        <w:rPr>
          <w:vertAlign w:val="superscript"/>
          <w:lang w:val="en-US"/>
        </w:rPr>
        <w:t>13,14</w:t>
      </w:r>
      <w:r w:rsidRPr="00441DB5">
        <w:fldChar w:fldCharType="end"/>
      </w:r>
      <w:r w:rsidRPr="00441DB5">
        <w:t xml:space="preserve"> There are no known cures for any form of dementia or neurodegenerative disease. Alzheimer’s disease also has similar neuropathology to other forms of neurodegenerative disease, such as Parkinson’s disease dementia, Lewy body dementia, and amyotrophic lateral sclerosis. There is some evidence that there are common risk factors across different forms of neurodegenerative disease. For instance hypertension appears to be a risk factor for Alzheimer’s disease and vascular dementia but also possibly Parkinson’s disease</w:t>
      </w:r>
      <w:r w:rsidRPr="00441DB5">
        <w:fldChar w:fldCharType="begin"/>
      </w:r>
      <w:r w:rsidRPr="00441DB5">
        <w:instrText xml:space="preserve"> ADDIN ZOTERO_ITEM CSL_CITATION {"citationID":"aqVnv8rz","properties":{"formattedCitation":"{\\rtf \\super 15\\uc0\\u8211{}17\\nosupersub{}}","plainCitation":"15–17"},"citationItems":[{"id":3747,"uris":["http://zotero.org/users/117866/items/6WTVDET3"],"uri":["http://zotero.org/users/117866/items/6WTVDET3"],"itemData":{"id":3747,"type":"article-journal","title":"Early Abnormalities of Vascular and Cardiac Autonomic Control in Parkinson's Disease Without Orthostatic Hypotension","container-title":"Hypertension","page":"120-126","volume":"49","issue":"1","source":"CrossRef","DOI":"10.1161/01.HYP.0000250939.71343.7c","ISSN":"0194-911X, 1524-4563","language":"en","author":[{"family":"Barbic","given":"F."},{"family":"Perego","given":"F."},{"family":"Canesi","given":"M."},{"family":"Gianni","given":"M."},{"family":"Biagiotti","given":"S."},{"family":"Costantino","given":"G."},{"family":"Pezzoli","given":"G."},{"family":"Porta","given":"A."},{"family":"Malliani","given":"A."},{"family":"Furlan","given":"R."}],"issued":{"date-parts":[["2007",1,1]]}}},{"id":3748,"uris":["http://zotero.org/users/117866/items/S3RFPQ3Z"],"uri":["http://zotero.org/users/117866/items/S3RFPQ3Z"],"itemData":{"id":3748,"type":"article-journal","title":"Parkinson's Disease: Autonomic Neuronopathy With Impaired Cardiovascular Regulation","container-title":"Hypertension","page":"21-22","volume":"49","issue":"1","source":"CrossRef","DOI":"10.1161/01.HYP.0000250920.38461.ed","ISSN":"0194-911X, 1524-4563","shortTitle":"Parkinson's Disease","language":"en","author":[{"family":"Biaggioni","given":"I."}],"issued":{"date-parts":[["2007",1,1]]}}},{"id":3751,"uris":["http://zotero.org/users/117866/items/JCITG6T2"],"uri":["http://zotero.org/users/117866/items/JCITG6T2"],"itemData":{"id":3751,"type":"article-journal","title":"The angiotensin converting enzyme (ACE) inhibitor, perindopril, modifies the clinical features of Parkinson's disease","container-title":"Australian and New Zealand Journal of Medicine","page":"48-53","volume":"30","issue":"1","source":"PubMed","abstract":"BACKGROUND: Animal studies have demonstrated an interaction within the striatum between the angiotensin and dopaminergic systems. In rats, the angiotensin converting enzyme (ACE) inhibitor, perindopril, crosses the blood brain barrier and increases striatal dopamine synthesis and release. In humans, angiotensin type 1 receptors have been found on dopaminergic neurons in the substantia nigra and striatum. In Parkinson's disease, there is a marked reduction of these receptors associated with the nigrostriatal dopaminergic neuron loss.\nAIMS: We performed a double blind placebo controlled crossover pilot study in seven patients to investigate the effect of the ACE inhibitor, perindopril on the clinical features of moderately severe Parkinson's disease.\nRESULTS: After a four week treatment period with perindopril, patients had a faster onset in their motor response to L-dopa and a reduction in 'on phase' peak dyskinesia, p=0.021 and p=0.014 respectively. Patients also reported more 'on' periods during their waking day in their movement diary, p=0.007. Perindopril was well tolerated without any significant postural hypotension or renal dysfunction.\nCONCLUSIONS: These results suggest that ACE inhibitors such as perindopril may have a place in the management of motor fluctuations and dyskinesia in Parkinson's disease and justify further study.","ISSN":"0004-8291","note":"PMID: 10800878","journalAbbreviation":"Aust N Z J Med","language":"eng","author":[{"family":"Reardon","given":"K. A."},{"family":"Mendelsohn","given":"F. A."},{"family":"Chai","given":"S. Y."},{"family":"Horne","given":"M. K."}],"issued":{"date-parts":[["2000",2]]},"PMID":"10800878"}}],"schema":"https://github.com/citation-style-language/schema/raw/master/csl-citation.json"} </w:instrText>
      </w:r>
      <w:r w:rsidRPr="00441DB5">
        <w:fldChar w:fldCharType="separate"/>
      </w:r>
      <w:r w:rsidRPr="00441DB5">
        <w:rPr>
          <w:vertAlign w:val="superscript"/>
          <w:lang w:val="en-US"/>
        </w:rPr>
        <w:t>15–17</w:t>
      </w:r>
      <w:r w:rsidRPr="00441DB5">
        <w:fldChar w:fldCharType="end"/>
      </w:r>
      <w:r w:rsidRPr="00441DB5">
        <w:t xml:space="preserve"> and amyotrophic lateral sclerosis.</w:t>
      </w:r>
      <w:r w:rsidRPr="00441DB5">
        <w:fldChar w:fldCharType="begin"/>
      </w:r>
      <w:r w:rsidRPr="00441DB5">
        <w:instrText xml:space="preserve"> ADDIN ZOTERO_ITEM CSL_CITATION {"citationID":"1kc8iavf8g","properties":{"formattedCitation":"{\\rtf \\super 18\\nosupersub{}}","plainCitation":"18"},"citationItems":[{"id":3749,"uris":["http://zotero.org/users/117866/items/DVMWVNAX"],"uri":["http://zotero.org/users/117866/items/DVMWVNAX"],"itemData":{"id":3749,"type":"article-journal","title":"Modifying effect of arterial hypertension on amyotrophic lateral sclerosis","container-title":"Amyotrophic Lateral Sclerosis: Official Publication of the World Federation of Neurology Research Group on Motor Neuron Diseases","page":"194-201","volume":"13","issue":"2","source":"PubMed","abstract":"Given the high oxygen consumption of motor neurons, we sought to assess the frequency and prognostic value of arterial hypertension (affecting brain's oxygen supply) in amyotrophic lateral sclerosis (ALS). We consecutively and prospectively included all ALS patients with regular medical follow-up and documented blood pressure measurements and monitored them until death. Vascular factors diagnosed prior to the onset of motor signs in ALS patients were compared with those in a stratified, age- and gender-matched case-control population. The severity of leukoaraiosis on magnetic resonance imaging (MRI) was blindly assessed. Post mortem examinations were performed when authorized. Compared with controls (n = 408), the 102 ALS patients were significantly more likely to display hypertension (41-57%) and current smoking (15-26%). The number of years of hypertension was associated with survival (HR = 1.04 (1.01-1.07)). In a multivariate analysis, leukoaraiosis severity (HR = 1.214 (1.096-1.344)), current smoking (HR = 1.766 (1.085-2.872)) and low vital capacity (HR = 2.422 (1.266-4.633)) remained independent predictors of survival. Post mortem examinations revealed a greater frequency of leukoaraiosis in ALS patients (p = 0.02). In conclusion, the effect of chronic hypertension on survival might be exerted through abnormal neural perfusion. The higher frequency of recent hypertension in ALS patients may be due to a compensatory increase in blood pressure in response to a lower oxygen supply.","DOI":"10.3109/17482968.2011.610110","ISSN":"1471-180X","note":"PMID: 21913867","journalAbbreviation":"Amyotroph Lateral Scler","language":"eng","author":[{"family":"Moreau","given":"Caroline"},{"family":"Brunaud-Danel","given":"Véronique"},{"family":"Dallongeville","given":"Jean"},{"family":"Duhamel","given":"Alain"},{"family":"Laurier-Grymonprez","given":"Laurence"},{"family":"Reuck","given":"Jacques","non-dropping-particle":"de"},{"family":"Wiart","given":"Anne Charlotte"},{"family":"Perez","given":"Thierry"},{"family":"Richard","given":"Florence"},{"family":"Amouyel","given":"Philippe"},{"family":"Bordet","given":"Régis"},{"family":"Defebvre","given":"Luc"},{"family":"Destée","given":"Alain"},{"family":"Devos","given":"David"}],"issued":{"date-parts":[["2012",2]]},"PMID":"21913867"}}],"schema":"https://github.com/citation-style-language/schema/raw/master/csl-citation.json"} </w:instrText>
      </w:r>
      <w:r w:rsidRPr="00441DB5">
        <w:fldChar w:fldCharType="separate"/>
      </w:r>
      <w:r w:rsidRPr="00441DB5">
        <w:rPr>
          <w:vertAlign w:val="superscript"/>
          <w:lang w:val="en-US"/>
        </w:rPr>
        <w:t>18</w:t>
      </w:r>
      <w:r w:rsidRPr="00441DB5">
        <w:fldChar w:fldCharType="end"/>
      </w:r>
      <w:r w:rsidRPr="00441DB5">
        <w:t xml:space="preserve"> Furthermore hypertensive patients prescribed angiotensin converting enzyme inhibitors or angiotensin receptor blockers, have been reported to have a lower risk of Alzheimer’s disease.</w:t>
      </w:r>
      <w:r w:rsidRPr="00441DB5">
        <w:fldChar w:fldCharType="begin"/>
      </w:r>
      <w:r w:rsidRPr="00441DB5">
        <w:instrText xml:space="preserve"> ADDIN ZOTERO_ITEM CSL_CITATION {"citationID":"7feBPvyv","properties":{"formattedCitation":"{\\rtf \\super 19\\uc0\\u8211{}21\\nosupersub{}}","plainCitation":"19–21"},"citationItems":[{"id":3753,"uris":["http://zotero.org/users/117866/items/P9E6X3Q8"],"uri":["http://zotero.org/users/117866/items/P9E6X3Q8"],"itemData":{"id":3753,"type":"article-journal","title":"Effects of centrally acting angiotensin converting enzyme inhibitors on functional decline in patients with Alzheimer's disease","container-title":"Journal of Alzheimer's disease: JAD","page":"595-603","volume":"40","issue":"3","source":"PubMed","abstract":"BACKGROUND: Centrally acting angiotensin converting enzyme inhibitors (CACE-Is) are associated with reduced rates of cognitive decline in patients with dementia. CACE-Is may also improve exercise tolerance in functionally impaired older adults with normal cognition, suggesting that CACE-Is may positively influence activities of daily living (ADL) in dementia.\nOBJECTIVE: To compare rates of decline in patients with mild to moderate Alzheimer's disease (AD) receiving CACE-Is to those not currently treated with CACE-Is (NoCACE-I), included in the Doxycycline and Rifampicin for Alzheimer's Disease study (n = 406).\nMETHODS: Patients were included if baseline and end-point (twelve months apart) scores were available for measures including the Standardized Alzheimer's Disease Assessment Scale - Cognitive Subscale; Quick Mild Cognitive Impairment screen; Clinical Dementia Rating Scale (CDR-SB), and Lawton-Brody ADL Scale.\nRESULTS: There was a significant, 25% difference (median one-point) in the 12-month rate of decline in ADL scores in patients taking CACE-Is (n = 91), compared to the NoCACE-I group (n = 274), p = 0.024. This remained significant after adjusting for age, gender, education, and blood pressure, p = 0.034. When individual CACE-Is were compared to the NoCACE-I group, a significant reduction in the rate of decline in ADLs (median one versus four points), were only observed for perindopril, p = 0.01. The CDR-SB was also reduced (median one-point) for the perindopril compared to the NoCACE-I group, p = 0.04.\nCONCLUSION: This observational study suggests that CACE-Is, and potentially perindopril in particular, are associated with a reduced rate of functional decline in patients with AD, without an association with mood or behavior. This suggests that CACE-Is may slow disease progression in AD.","DOI":"10.3233/JAD-131694","ISSN":"1875-8908","note":"PMID: 24496072","journalAbbreviation":"J. Alzheimers Dis.","language":"eng","author":[{"family":"O'Caoimh","given":"Rónán"},{"family":"Healy","given":"Liam"},{"family":"Gao","given":"Yang"},{"family":"Svendrovski","given":"Anton"},{"family":"Kerins","given":"David M."},{"family":"Eustace","given":"Joseph"},{"family":"Kehoe","given":"Patrick Gavin"},{"family":"Guyatt","given":"Gordon"},{"family":"Molloy","given":"D. William"}],"issued":{"date-parts":[["2014"]]},"PMID":"24496072"}},{"id":1151,"uris":["http://zotero.org/users/117866/items/M995R3ZC"],"uri":["http://zotero.org/users/117866/items/M995R3ZC"],"itemData":{"id":1151,"type":"article-journal","title":"Use of angiotensin receptor blockers and risk of dementia in a predominantly male population: prospective cohort analysis","container-title":"British Medical Journal","page":"b5465","volume":"340","issue":"jan12 1","journalAbbreviation":"BMJ","author":[{"family":"Li","given":"NC"},{"family":"Lee","given":"A"},{"family":"Whitmer","given":"RA"},{"family":"Kivipelto","given":"M"},{"family":"Lawler","given":"E"},{"family":"Kazis","given":"LE"},{"family":"Wolozin","given":"B"}],"issued":{"date-parts":[["2010"]]}}},{"id":553,"uris":["http://zotero.org/users/117866/items/B4PVMCS6"],"uri":["http://zotero.org/users/117866/items/B4PVMCS6"],"itemData":{"id":553,"type":"article-journal","title":"Associations of anti-hypertensive treatments with Alzheimer's disease, vascular dementia, and other dementias","container-title":"Journal of Alzheimer's Disease: JAD","page":"699-708","volume":"26","issue":"4","source":"NCBI PubMed","abstract":"We investigated whether angiotensin II receptor blockers (ARBs) and angiotensin converting enzyme inhibitors (ACE-Is) are more strongly associated with Alzheimer's disease (AD), vascular dementia (VaD), and other dementias, than other anti-hypertensive drugs. We conducted a nested case-control analysis within the UK general practice research database, with prospectively recorded anti-hypertensive prescribing data. We sampled cases aged ≥60 years and diagnosed between 1997-2008 (5,797 with AD, 2,186 with VaD, 1,214 with unspecified/other dementia) which were matched to up to four controls by age, general practice and gender. We computed odds-ratios and dose response effects for AD, vascular and unspecified/other dementia, comparing those prescribed ARBs or ACE-Is for at least six months with patients prescribed other anti-hypertensives. We controlled for matching factors, co-morbidities, smoking status, an area measure of socioeconomic status, consultation rate and blood pressure and accounted for reverse causality by introducing time-lags of up to eight years prior to diagnosis/index date. Patients diagnosed with AD, vascular and unspecified/other dementia had fewer prescriptions for ARBs and ACE-Is. Inverse associations with AD were strongest for ARBs (odds-ratio; 0.47, 95%CI, 0.37-0.58) compared with ACE-Is (odds-ratio; 0.76, 95%CI, 0.69-0.84) (pdifference &lt; 0.001). Associations of ARBs with AD were stronger than for vascular dementia (pdifference = 0.01) and unspecified/other dementia (pdifference = 0.23). There were inverse dose-response relationships between ARBs and ACE-Is with AD (both ptrend &lt; 0.01). The inverse association of ACE-Is with AD diminished when using longer time lags but the ARB-AD association persisted. Patients with AD were around half as likely to be prescribed ARBs. Further randomized controlled trial evidence is required to rigorously test these findings.","DOI":"10.3233/JAD-2011-110347","ISSN":"1875-8908","note":"PMID: 21709373","journalAbbreviation":"J. Alzheimers Dis","author":[{"family":"Davies","given":"Neil M"},{"family":"Kehoe","given":"Patrick G"},{"family":"Ben-Shlomo","given":"Yoav"},{"family":"Martin","given":"Richard M"}],"issued":{"date-parts":[["2011",1,1]]},"PMID":"21709373"}}],"schema":"https://github.com/citation-style-language/schema/raw/master/csl-citation.json"} </w:instrText>
      </w:r>
      <w:r w:rsidRPr="00441DB5">
        <w:fldChar w:fldCharType="separate"/>
      </w:r>
      <w:r w:rsidRPr="00441DB5">
        <w:rPr>
          <w:vertAlign w:val="superscript"/>
          <w:lang w:val="en-US"/>
        </w:rPr>
        <w:t>19–21</w:t>
      </w:r>
      <w:r w:rsidRPr="00441DB5">
        <w:fldChar w:fldCharType="end"/>
      </w:r>
      <w:r w:rsidRPr="00441DB5">
        <w:t xml:space="preserve">  The reported evidence-base includes our own previous study using CPRD data (ISAC 08_101).</w:t>
      </w:r>
      <w:r w:rsidRPr="00441DB5">
        <w:fldChar w:fldCharType="begin"/>
      </w:r>
      <w:r w:rsidRPr="00441DB5">
        <w:instrText xml:space="preserve"> ADDIN ZOTERO_ITEM CSL_CITATION {"citationID":"1nv0030j5d","properties":{"formattedCitation":"{\\rtf \\super 21\\nosupersub{}}","plainCitation":"21"},"citationItems":[{"id":553,"uris":["http://zotero.org/users/117866/items/B4PVMCS6"],"uri":["http://zotero.org/users/117866/items/B4PVMCS6"],"itemData":{"id":553,"type":"article-journal","title":"Associations of anti-hypertensive treatments with Alzheimer's disease, vascular dementia, and other dementias","container-title":"Journal of Alzheimer's Disease: JAD","page":"699-708","volume":"26","issue":"4","source":"NCBI PubMed","abstract":"We investigated whether angiotensin II receptor blockers (ARBs) and angiotensin converting enzyme inhibitors (ACE-Is) are more strongly associated with Alzheimer's disease (AD), vascular dementia (VaD), and other dementias, than other anti-hypertensive drugs. We conducted a nested case-control analysis within the UK general practice research database, with prospectively recorded anti-hypertensive prescribing data. We sampled cases aged ≥60 years and diagnosed between 1997-2008 (5,797 with AD, 2,186 with VaD, 1,214 with unspecified/other dementia) which were matched to up to four controls by age, general practice and gender. We computed odds-ratios and dose response effects for AD, vascular and unspecified/other dementia, comparing those prescribed ARBs or ACE-Is for at least six months with patients prescribed other anti-hypertensives. We controlled for matching factors, co-morbidities, smoking status, an area measure of socioeconomic status, consultation rate and blood pressure and accounted for reverse causality by introducing time-lags of up to eight years prior to diagnosis/index date. Patients diagnosed with AD, vascular and unspecified/other dementia had fewer prescriptions for ARBs and ACE-Is. Inverse associations with AD were strongest for ARBs (odds-ratio; 0.47, 95%CI, 0.37-0.58) compared with ACE-Is (odds-ratio; 0.76, 95%CI, 0.69-0.84) (pdifference &lt; 0.001). Associations of ARBs with AD were stronger than for vascular dementia (pdifference = 0.01) and unspecified/other dementia (pdifference = 0.23). There were inverse dose-response relationships between ARBs and ACE-Is with AD (both ptrend &lt; 0.01). The inverse association of ACE-Is with AD diminished when using longer time lags but the ARB-AD association persisted. Patients with AD were around half as likely to be prescribed ARBs. Further randomized controlled trial evidence is required to rigorously test these findings.","DOI":"10.3233/JAD-2011-110347","ISSN":"1875-8908","note":"PMID: 21709373","journalAbbreviation":"J. Alzheimers Dis","author":[{"family":"Davies","given":"Neil M"},{"family":"Kehoe","given":"Patrick G"},{"family":"Ben-Shlomo","given":"Yoav"},{"family":"Martin","given":"Richard M"}],"issued":{"date-parts":[["2011",1,1]]},"PMID":"21709373"}}],"schema":"https://github.com/citation-style-language/schema/raw/master/csl-citation.json"} </w:instrText>
      </w:r>
      <w:r w:rsidRPr="00441DB5">
        <w:fldChar w:fldCharType="separate"/>
      </w:r>
      <w:r w:rsidRPr="00441DB5">
        <w:rPr>
          <w:vertAlign w:val="superscript"/>
          <w:lang w:val="en-US"/>
        </w:rPr>
        <w:t>21</w:t>
      </w:r>
      <w:r w:rsidRPr="00441DB5">
        <w:fldChar w:fldCharType="end"/>
      </w:r>
      <w:r w:rsidRPr="00441DB5">
        <w:t xml:space="preserve"> Anti-hypertensive medications have also been implicated in amyotrophic lateral sclerosis</w:t>
      </w:r>
      <w:r w:rsidRPr="00441DB5">
        <w:fldChar w:fldCharType="begin"/>
      </w:r>
      <w:r w:rsidRPr="00441DB5">
        <w:instrText xml:space="preserve"> ADDIN ZOTERO_ITEM CSL_CITATION {"citationID":"k62e2v6if","properties":{"formattedCitation":"{\\rtf \\super 22\\nosupersub{}}","plainCitation":"22"},"citationItems":[{"id":3755,"uris":["http://zotero.org/users/117866/items/K8UNW5VI"],"uri":["http://zotero.org/users/117866/items/K8UNW5VI"],"itemData":{"id":3755,"type":"article-journal","title":"Angiotensin-converting enzyme inhibitors and amyotrophic lateral sclerosis risk: a total population-based case-control study","container-title":"JAMA neurology","page":"40-48","volume":"72","issue":"1","source":"PubMed","abstract":"IMPORTANCE: Although several studies have shown that use of angiotensin-converting enzyme inhibitors (ACEIs) potentially decreased amyotrophic lateral sclerosis (ALS) risk in animal models, to our knowledge, there has been no human study in the literature discussing this issue.\nOBJECTIVE: To investigate the association between the use of ACEIs and the risk for developing ALS.\nDESIGN, SETTING, AND PARTICIPANTS: This case-control study was conducted using the total population of Taiwanese citizens seen in general medical practice; therefore, the findings can be applied to the general population. The case group comprised 729 patients with newly diagnosed ALS and a severely disabling disease certificate between January 1, 2002, and December 31, 2008. These cases were compared with 14,580 sex-, age-, residence-, and insurance premium-matched control individuals.\nEXPOSURES: Use of ACEIs was analyzed using a conditional logistic regression model that controlled for other antihypertensives, aspirin, steroids, nonsteroidal anti-inflammatory drugs, Charlson Comorbidity Index score, length of hospital stay, and number of outpatient visits. The cumulative defined daily dose (cDDD), which indicates the exposed duration of drug use, was estimated as the sum of dispensed DDD of drug and compared with the risk for ALS.\nMAIN OUTCOMES AND MEASURES: All patients with ALS fulfilled El Escorial criteria in this study. Medical claim data past 1 to 5 years of ALS first diagnosis date for patients and claim data from their matched control individuals were included in the analysis.\nRESULTS: There was a dose-dependent inverse association between ACEI use and the risk for developing ALS. When compared with patients who did not use ACEIs, the adjusted odds ratios were 0.83 (95% CI, 0.65-1.07; P = .15) for the group prescribed ACEIs lower than 449.5 of the cDDD and 0.43 cDDD (95% CI, 0.26-0.72; P = .001) for the group with a cumulative ACEI use of greater than 449.5 cDDD. The association was most predominant in men older than 55 years.\nCONCLUSIONS AND RELEVANCE: Use of ACEIs exhibited a dose-dependent inverse association with ALS. This study demonstrated a 57% risk reduction in the chance for developing ALS in people who used ACEIs greater than 449.5 cDDD in 4 years.","DOI":"10.1001/jamaneurol.2014.3367","ISSN":"2168-6157","note":"PMID: 25383557","shortTitle":"Angiotensin-converting enzyme inhibitors and amyotrophic lateral sclerosis risk","journalAbbreviation":"JAMA Neurol","language":"eng","author":[{"family":"Lin","given":"Feng-Cheng"},{"family":"Tsai","given":"Ching-Piao"},{"family":"Kuang-Wu Lee","given":"Johnny"},{"family":"Wu","given":"Ming-Tsang"},{"family":"Tzu-Chi Lee","given":"Charles"}],"issued":{"date-parts":[["2015",1]]},"PMID":"25383557"}}],"schema":"https://github.com/citation-style-language/schema/raw/master/csl-citation.json"} </w:instrText>
      </w:r>
      <w:r w:rsidRPr="00441DB5">
        <w:fldChar w:fldCharType="separate"/>
      </w:r>
      <w:r w:rsidRPr="00441DB5">
        <w:rPr>
          <w:vertAlign w:val="superscript"/>
          <w:lang w:val="en-US"/>
        </w:rPr>
        <w:t>22</w:t>
      </w:r>
      <w:r w:rsidRPr="00441DB5">
        <w:fldChar w:fldCharType="end"/>
      </w:r>
      <w:r w:rsidRPr="00441DB5">
        <w:t xml:space="preserve"> and Parkinson’s disease.</w:t>
      </w:r>
      <w:r w:rsidRPr="00441DB5">
        <w:fldChar w:fldCharType="begin"/>
      </w:r>
      <w:r w:rsidRPr="00441DB5">
        <w:instrText xml:space="preserve"> ADDIN ZOTERO_ITEM CSL_CITATION {"citationID":"artcr8fk0","properties":{"formattedCitation":"{\\rtf \\super 17\\nosupersub{}}","plainCitation":"17"},"citationItems":[{"id":3751,"uris":["http://zotero.org/users/117866/items/JCITG6T2"],"uri":["http://zotero.org/users/117866/items/JCITG6T2"],"itemData":{"id":3751,"type":"article-journal","title":"The angiotensin converting enzyme (ACE) inhibitor, perindopril, modifies the clinical features of Parkinson's disease","container-title":"Australian and New Zealand Journal of Medicine","page":"48-53","volume":"30","issue":"1","source":"PubMed","abstract":"BACKGROUND: Animal studies have demonstrated an interaction within the striatum between the angiotensin and dopaminergic systems. In rats, the angiotensin converting enzyme (ACE) inhibitor, perindopril, crosses the blood brain barrier and increases striatal dopamine synthesis and release. In humans, angiotensin type 1 receptors have been found on dopaminergic neurons in the substantia nigra and striatum. In Parkinson's disease, there is a marked reduction of these receptors associated with the nigrostriatal dopaminergic neuron loss.\nAIMS: We performed a double blind placebo controlled crossover pilot study in seven patients to investigate the effect of the ACE inhibitor, perindopril on the clinical features of moderately severe Parkinson's disease.\nRESULTS: After a four week treatment period with perindopril, patients had a faster onset in their motor response to L-dopa and a reduction in 'on phase' peak dyskinesia, p=0.021 and p=0.014 respectively. Patients also reported more 'on' periods during their waking day in their movement diary, p=0.007. Perindopril was well tolerated without any significant postural hypotension or renal dysfunction.\nCONCLUSIONS: These results suggest that ACE inhibitors such as perindopril may have a place in the management of motor fluctuations and dyskinesia in Parkinson's disease and justify further study.","ISSN":"0004-8291","note":"PMID: 10800878","journalAbbreviation":"Aust N Z J Med","language":"eng","author":[{"family":"Reardon","given":"K. A."},{"family":"Mendelsohn","given":"F. A."},{"family":"Chai","given":"S. Y."},{"family":"Horne","given":"M. K."}],"issued":{"date-parts":[["2000",2]]},"PMID":"10800878"}}],"schema":"https://github.com/citation-style-language/schema/raw/master/csl-citation.json"} </w:instrText>
      </w:r>
      <w:r w:rsidRPr="00441DB5">
        <w:fldChar w:fldCharType="separate"/>
      </w:r>
      <w:r w:rsidRPr="00441DB5">
        <w:rPr>
          <w:vertAlign w:val="superscript"/>
          <w:lang w:val="en-US"/>
        </w:rPr>
        <w:t>17</w:t>
      </w:r>
      <w:r w:rsidRPr="00441DB5">
        <w:fldChar w:fldCharType="end"/>
      </w:r>
      <w:r w:rsidRPr="00441DB5">
        <w:t xml:space="preserve"> Yet there are no associations between hypertension and frontotemporal dementia</w:t>
      </w:r>
      <w:r w:rsidRPr="00441DB5">
        <w:fldChar w:fldCharType="begin"/>
      </w:r>
      <w:r w:rsidRPr="00441DB5">
        <w:instrText xml:space="preserve"> ADDIN ZOTERO_ITEM CSL_CITATION {"citationID":"2jj2jkonnr","properties":{"formattedCitation":"{\\rtf \\super 23\\nosupersub{}}","plainCitation":"23"},"citationItems":[{"id":3759,"uris":["http://zotero.org/users/117866/items/32EFFX9X"],"uri":["http://zotero.org/users/117866/items/32EFFX9X"],"itemData":{"id":3759,"type":"article-journal","title":"Cardiovascular risk factors and frontotemporal dementia: a case–control study","container-title":"Translational Neurodegeneration","page":"13","volume":"3","issue":"1","source":"CrossRef","DOI":"10.1186/2047-9158-3-13","ISSN":"2047-9158","shortTitle":"Cardiovascular risk factors and frontotemporal dementia","language":"en","author":[{"family":"Golimstok","given":"Angel"},{"family":"Cámpora","given":"Nuria"},{"family":"Rojas","given":"Juan I"},{"family":"Fernandez","given":"María C"},{"family":"Elizondo","given":"Cristina"},{"family":"Soriano","given":"Enrique"},{"family":"Cristiano","given":"Edgardo"}],"issued":{"date-parts":[["2014"]]}}}],"schema":"https://github.com/citation-style-language/schema/raw/master/csl-citation.json"} </w:instrText>
      </w:r>
      <w:r w:rsidRPr="00441DB5">
        <w:fldChar w:fldCharType="separate"/>
      </w:r>
      <w:r w:rsidRPr="00441DB5">
        <w:rPr>
          <w:vertAlign w:val="superscript"/>
          <w:lang w:val="en-US"/>
        </w:rPr>
        <w:t>23</w:t>
      </w:r>
      <w:r w:rsidRPr="00441DB5">
        <w:fldChar w:fldCharType="end"/>
      </w:r>
      <w:r w:rsidRPr="00441DB5">
        <w:t xml:space="preserve"> or progressive supranuclear palsy.</w:t>
      </w:r>
      <w:r w:rsidRPr="00441DB5">
        <w:fldChar w:fldCharType="begin"/>
      </w:r>
      <w:r w:rsidRPr="00441DB5">
        <w:instrText xml:space="preserve"> ADDIN ZOTERO_ITEM CSL_CITATION {"citationID":"uqa9actki","properties":{"formattedCitation":"{\\rtf \\super 24\\nosupersub{}}","plainCitation":"24"},"citationItems":[{"id":3760,"uris":["http://zotero.org/users/117866/items/HKNVGGNW"],"uri":["http://zotero.org/users/117866/items/HKNVGGNW"],"itemData":{"id":3760,"type":"article-journal","title":"Lack of association between progressive supranuclear palsy and arterial hypertension: a clinicopathological study","container-title":"Movement Disorders: Official Journal of the Movement Disorder Society","page":"694-697","volume":"18","issue":"6","source":"PubMed","abstract":"It has been reported that up to 80% of patients clinically diagnosed as having progressive supranuclear palsy (PSP) may have arterial hypertension (HT). Because previous studies were performed on patients with presumed diagnosis of PSP, we tried to replicate these studies in a series of pathologically confirmed patients. Seventy-three patients with a neuropathological diagnosis of PSP autopsied at the Queen Square Brain Bank for Neurological Disorders in London were collected between 1989 and 1999. For the purpose of this study, patients were considered hypertensive if a blood pressure above 140/90 mm Hg was found in the clinical records. The prevalence of HT in PSP patients at the first and at the last visit during their neurological disease was compared with that found in a series of 21 normal controls who donated their brain to the same institution. Overall, 29 of 73 (39.7%) of the patients were recorded as having HT at the first visit during the disease course; this ratio increased to 42 of 73 (57.5%) at the last visit before death. When these figures were compared to the 21 normal controls (11 of 21 with HT, 52.4%), we were unable to find an increased prevalence of HT in PSP (odds ratio, 0.60; 95% confidence interval, 0.20-1.76). Therefore, HT does not represent an important clinical feature of this neurodegenerative disorder, although cerebrovascular disease can masquerade clinically as PSP.","DOI":"10.1002/mds.10392","ISSN":"0885-3185","note":"PMID: 12784275","shortTitle":"Lack of association between progressive supranuclear palsy and arterial hypertension","journalAbbreviation":"Mov. Disord.","language":"eng","author":[{"family":"Colosimo","given":"Carlo"},{"family":"Osaki","given":"Yasushi"},{"family":"Vanacore","given":"Nicola"},{"family":"Lees","given":"Andrew J."}],"issued":{"date-parts":[["2003",6]]},"PMID":"12784275"}}],"schema":"https://github.com/citation-style-language/schema/raw/master/csl-citation.json"} </w:instrText>
      </w:r>
      <w:r w:rsidRPr="00441DB5">
        <w:fldChar w:fldCharType="separate"/>
      </w:r>
      <w:r w:rsidRPr="00441DB5">
        <w:rPr>
          <w:vertAlign w:val="superscript"/>
          <w:lang w:val="en-US"/>
        </w:rPr>
        <w:t>24</w:t>
      </w:r>
      <w:r w:rsidRPr="00441DB5">
        <w:fldChar w:fldCharType="end"/>
      </w:r>
      <w:r w:rsidRPr="00441DB5">
        <w:t xml:space="preserve"> Diabetes is a risk factor for Alzheimer’s disease, frontotemporal dementia</w:t>
      </w:r>
      <w:r w:rsidRPr="00441DB5">
        <w:fldChar w:fldCharType="begin"/>
      </w:r>
      <w:r w:rsidRPr="00441DB5">
        <w:instrText xml:space="preserve"> ADDIN ZOTERO_ITEM CSL_CITATION {"citationID":"tk7sm1q8o","properties":{"formattedCitation":"{\\rtf \\super 23\\nosupersub{}}","plainCitation":"23"},"citationItems":[{"id":3759,"uris":["http://zotero.org/users/117866/items/32EFFX9X"],"uri":["http://zotero.org/users/117866/items/32EFFX9X"],"itemData":{"id":3759,"type":"article-journal","title":"Cardiovascular risk factors and frontotemporal dementia: a case–control study","container-title":"Translational Neurodegeneration","page":"13","volume":"3","issue":"1","source":"CrossRef","DOI":"10.1186/2047-9158-3-13","ISSN":"2047-9158","shortTitle":"Cardiovascular risk factors and frontotemporal dementia","language":"en","author":[{"family":"Golimstok","given":"Angel"},{"family":"Cámpora","given":"Nuria"},{"family":"Rojas","given":"Juan I"},{"family":"Fernandez","given":"María C"},{"family":"Elizondo","given":"Cristina"},{"family":"Soriano","given":"Enrique"},{"family":"Cristiano","given":"Edgardo"}],"issued":{"date-parts":[["2014"]]}}}],"schema":"https://github.com/citation-style-language/schema/raw/master/csl-citation.json"} </w:instrText>
      </w:r>
      <w:r w:rsidRPr="00441DB5">
        <w:fldChar w:fldCharType="separate"/>
      </w:r>
      <w:r w:rsidRPr="00441DB5">
        <w:rPr>
          <w:vertAlign w:val="superscript"/>
          <w:lang w:val="en-US"/>
        </w:rPr>
        <w:t>23</w:t>
      </w:r>
      <w:r w:rsidRPr="00441DB5">
        <w:fldChar w:fldCharType="end"/>
      </w:r>
      <w:r w:rsidRPr="00441DB5">
        <w:t xml:space="preserve"> and Parkinson’s disease,</w:t>
      </w:r>
      <w:r w:rsidRPr="00441DB5">
        <w:fldChar w:fldCharType="begin"/>
      </w:r>
      <w:r w:rsidRPr="00441DB5">
        <w:instrText xml:space="preserve"> ADDIN ZOTERO_ITEM CSL_CITATION {"citationID":"1oleukrjcd","properties":{"formattedCitation":"{\\rtf \\super 25\\nosupersub{}}","plainCitation":"25"},"citationItems":[{"id":3763,"uris":["http://zotero.org/users/117866/items/WGM75DZP"],"uri":["http://zotero.org/users/117866/items/WGM75DZP"],"itemData":{"id":3763,"type":"article-journal","title":"Diabetes and Risk of Parkinson's Disease: A systematic review and meta-analysis","container-title":"Diabetes Care","page":"2614-2623","volume":"34","issue":"12","source":"CrossRef","DOI":"10.2337/dc11-1584","ISSN":"0149-5992, 1935-5548","shortTitle":"Diabetes and Risk of Parkinson's Disease","language":"en","author":[{"family":"Cereda","given":"E."},{"family":"Barichella","given":"M."},{"family":"Pedrolli","given":"C."},{"family":"Klersy","given":"C."},{"family":"Cassani","given":"E."},{"family":"Caccialanza","given":"R."},{"family":"Pezzoli","given":"G."}],"issued":{"date-parts":[["2011",12,1]]}}}],"schema":"https://github.com/citation-style-language/schema/raw/master/csl-citation.json"} </w:instrText>
      </w:r>
      <w:r w:rsidRPr="00441DB5">
        <w:fldChar w:fldCharType="separate"/>
      </w:r>
      <w:r w:rsidRPr="00441DB5">
        <w:rPr>
          <w:vertAlign w:val="superscript"/>
          <w:lang w:val="en-US"/>
        </w:rPr>
        <w:t>25</w:t>
      </w:r>
      <w:r w:rsidRPr="00441DB5">
        <w:fldChar w:fldCharType="end"/>
      </w:r>
      <w:r w:rsidRPr="00441DB5">
        <w:t xml:space="preserve"> whereas diabetes may protect against amyotrophic lateral sclerosis.</w:t>
      </w:r>
      <w:r w:rsidRPr="00441DB5">
        <w:fldChar w:fldCharType="begin"/>
      </w:r>
      <w:r w:rsidRPr="00441DB5">
        <w:instrText xml:space="preserve"> ADDIN ZOTERO_ITEM CSL_CITATION {"citationID":"bj03io6h9","properties":{"formattedCitation":"{\\rtf \\super 26\\nosupersub{}}","plainCitation":"26"},"citationItems":[{"id":3764,"uris":["http://zotero.org/users/117866/items/ZPKQ4F5F"],"uri":["http://zotero.org/users/117866/items/ZPKQ4F5F"],"itemData":{"id":3764,"type":"article-journal","title":"ALS disease onset may occur later in patients with pre-morbid diabetes mellitus","container-title":"European Journal of Neurology: The Official Journal of the European Federation of Neurological Societies","page":"733-739","volume":"17","issue":"5","source":"PubMed","abstract":"BACKGROUND: Several metabolic derangements associated with diabetes mellitus type 2 (DM) have been associated with a better outcome in amyotrophic lateral sclerosis (ALS), including hyperlipidemia and obesity. Here, we tested the hypothesis that DM would have a positive effect on the motor and cognitive findings of ALS.\nMETHODS: We compared data from ALS patients with pre-morbid DM (ALS-DM; n = 175) versus without DM (ALS; n = 2196) with regard to the age of onset, rate of motor progression, survival, and neuropsychological test performance.\nRESULTS: The age of onset was later for women, Caucasians and patients with bulbar-onset ALS. However, we also found that after adjusting for gender, ethnicity and site of onset, DM was associated with a 4-year later onset of ALS (ALS = 56.3, ALS-DM = 60.3, P &lt; 0.05).\nCONCLUSION: Diabetes mellitus type 2 may delay the onset of motor symptoms in ALS. These findings support other studies suggesting a relationship between the pathophysiology of ALS and metabolic derangements. Further investigations are needed to ascertain whether manipulating metabolic parameters would improve outcomes in ALS.","DOI":"10.1111/j.1468-1331.2009.02923.x","ISSN":"1468-1331","note":"PMID: 20074230","journalAbbreviation":"Eur. J. Neurol.","language":"eng","author":[{"family":"Jawaid","given":"A."},{"family":"Salamone","given":"A. R."},{"family":"Strutt","given":"A. M."},{"family":"Murthy","given":"S. B."},{"family":"Wheaton","given":"M."},{"family":"McDowell","given":"E. J."},{"family":"Simpson","given":"E."},{"family":"Appel","given":"S. H."},{"family":"York","given":"M. K."},{"family":"Schulz","given":"P. E."}],"issued":{"date-parts":[["2010",5]]},"PMID":"20074230"}}],"schema":"https://github.com/citation-style-language/schema/raw/master/csl-citation.json"} </w:instrText>
      </w:r>
      <w:r w:rsidRPr="00441DB5">
        <w:fldChar w:fldCharType="separate"/>
      </w:r>
      <w:r w:rsidRPr="00441DB5">
        <w:rPr>
          <w:vertAlign w:val="superscript"/>
          <w:lang w:val="en-US"/>
        </w:rPr>
        <w:t>26</w:t>
      </w:r>
      <w:r w:rsidRPr="00441DB5">
        <w:fldChar w:fldCharType="end"/>
      </w:r>
    </w:p>
    <w:p w14:paraId="5A7BDEEA" w14:textId="77777777" w:rsidR="00D5686E" w:rsidRPr="00441DB5" w:rsidRDefault="00D5686E" w:rsidP="00DC7C02">
      <w:pPr>
        <w:pStyle w:val="PNormal"/>
      </w:pPr>
    </w:p>
    <w:p w14:paraId="5D23953B" w14:textId="31059BC5" w:rsidR="00D5686E" w:rsidRPr="00441DB5" w:rsidRDefault="00D5686E" w:rsidP="00DC7C02">
      <w:pPr>
        <w:pStyle w:val="PNormal"/>
      </w:pPr>
      <w:r w:rsidRPr="00441DB5">
        <w:t xml:space="preserve">The overlap of different forms of neurodegenerative disease, seemingly dependent on the sharing of various risk factors, would suggest that there may be scope to translate existing or newly identified interventions for testing in neurodegenerative diseases where similarities exist. </w:t>
      </w:r>
      <w:r w:rsidR="00A271D4" w:rsidRPr="00441DB5">
        <w:t xml:space="preserve">Indeed there is evidence that various cardio-metabolic diseases such as hypertension, hypercholesterolemia, cardio-thrombosis and diabetes contribute </w:t>
      </w:r>
      <w:r w:rsidR="00A271D4" w:rsidRPr="00441DB5">
        <w:lastRenderedPageBreak/>
        <w:t>to the pathogenesis of Alzheimer’s disease,</w:t>
      </w:r>
      <w:r w:rsidR="00205935" w:rsidRPr="00441DB5">
        <w:t xml:space="preserve"> while</w:t>
      </w:r>
      <w:r w:rsidR="00A271D4" w:rsidRPr="00441DB5">
        <w:t xml:space="preserve"> </w:t>
      </w:r>
      <w:r w:rsidR="00205935" w:rsidRPr="00441DB5">
        <w:t>there</w:t>
      </w:r>
      <w:r w:rsidR="00A271D4" w:rsidRPr="00441DB5">
        <w:t xml:space="preserve"> is</w:t>
      </w:r>
      <w:r w:rsidR="00205935" w:rsidRPr="00441DB5">
        <w:t xml:space="preserve"> also</w:t>
      </w:r>
      <w:r w:rsidR="00A271D4" w:rsidRPr="00441DB5">
        <w:t xml:space="preserve"> some evidence that effective treatment of these may also have some ‘cerebroprotective’ (</w:t>
      </w:r>
      <w:r w:rsidR="008B2DFE" w:rsidRPr="00441DB5">
        <w:t>protective to the brain and its vasculature)</w:t>
      </w:r>
      <w:r w:rsidR="00A271D4" w:rsidRPr="00441DB5">
        <w:t xml:space="preserve"> benefit with respect to </w:t>
      </w:r>
      <w:r w:rsidR="008B2DFE" w:rsidRPr="00441DB5">
        <w:t xml:space="preserve">Alzheimer’s disease. </w:t>
      </w:r>
      <w:r w:rsidRPr="00441DB5">
        <w:t xml:space="preserve">Since Alzheimer’s disease is the most common form of neurodegenerative disease, it can act as the basis by which we can explore the existence of currently available drugs, ordinarily prescribed for other conditions, that may serve to modify the development (e.g. delay or bring forward the onset) and/or progression (e.g. decrease or increase the rate) of Alzheimer’s disease mortality. The potential impact of these could then also be explored in other forms of neurodegenerative disease, to test: (i) the specificity of any observed associations; (ii) whether any candidate drugs have previously unrecognised broader neuroprotective effects; or (iii) identify certain types of drug that may adversely affect other forms of neurodegenerative disease that would themselves represent a modifiable risk factor. </w:t>
      </w:r>
    </w:p>
    <w:p w14:paraId="3920CEE7" w14:textId="77777777" w:rsidR="00F26F69" w:rsidRPr="00441DB5" w:rsidRDefault="00F26F69">
      <w:pPr>
        <w:rPr>
          <w:b/>
        </w:rPr>
      </w:pPr>
      <w:bookmarkStart w:id="27" w:name="_Toc434319881"/>
      <w:bookmarkStart w:id="28" w:name="_Toc434320912"/>
    </w:p>
    <w:p w14:paraId="3AAE3EEC" w14:textId="77777777" w:rsidR="00D5686E" w:rsidRPr="00441DB5" w:rsidRDefault="00D5686E" w:rsidP="00DC7C02">
      <w:pPr>
        <w:pStyle w:val="PHeading1"/>
      </w:pPr>
      <w:r w:rsidRPr="00441DB5">
        <w:t>and    F.</w:t>
      </w:r>
      <w:r w:rsidRPr="00441DB5">
        <w:tab/>
        <w:t xml:space="preserve">Study </w:t>
      </w:r>
      <w:bookmarkEnd w:id="27"/>
      <w:bookmarkEnd w:id="28"/>
      <w:r w:rsidRPr="00441DB5">
        <w:t>type and design</w:t>
      </w:r>
    </w:p>
    <w:p w14:paraId="49B0B6C1" w14:textId="77777777" w:rsidR="00D5686E" w:rsidRPr="00441DB5" w:rsidRDefault="00D5686E" w:rsidP="00DC7C02">
      <w:pPr>
        <w:pStyle w:val="PNormal"/>
      </w:pPr>
    </w:p>
    <w:p w14:paraId="1B5FEDD8" w14:textId="7F6368B1" w:rsidR="00D5686E" w:rsidRPr="00441DB5" w:rsidRDefault="00D5686E" w:rsidP="00DC7C02">
      <w:pPr>
        <w:pStyle w:val="PNormal"/>
      </w:pPr>
      <w:r w:rsidRPr="00441DB5">
        <w:t>We will conduct a hypothesis testing longitudinal observational cohort study of disease incidence and progression</w:t>
      </w:r>
      <w:r w:rsidR="001A048E" w:rsidRPr="00441DB5">
        <w:t>, driven by existing literature indicating the potential cerebroprotective benefits of our chosen commonly prescribed medications</w:t>
      </w:r>
      <w:r w:rsidR="00D82DEB" w:rsidRPr="00441DB5">
        <w:fldChar w:fldCharType="begin"/>
      </w:r>
      <w:r w:rsidR="00F06A00" w:rsidRPr="00441DB5">
        <w:instrText xml:space="preserve"> ADDIN ZOTERO_ITEM CSL_CITATION {"citationID":"EJJjDuVz","properties":{"formattedCitation":"{\\rtf \\super 2,27\\uc0\\u8211{}30\\nosupersub{}}","plainCitation":"2,27–30"},"citationItems":[{"id":"BGHc1czM/rdqr2g7C","uris":["http://zotero.org/users/117866/items/JJ4DTV3C"],"uri":["http://zotero.org/users/117866/items/JJ4DTV3C"],"itemData":{"id":"BGHc1czM/rdqr2g7C","type":"article-journal","title":"Drug repositioning for Alzheimer's disease","container-title":"Nature Reviews Drug Discovery","page":"833-846","volume":"11","issue":"11","source":"CrossRef","DOI":"10.1038/nrd3869","ISSN":"1474-1776, 1474-1784","author":[{"family":"Corbett","given":"Anne"},{"family":"Pickett","given":"James"},{"family":"Burns","given":"Alistair"},{"family":"Corcoran","given":"Jonathan"},{"family":"Dunnett","given":"Stephen B."},{"family":"Edison","given":"Paul"},{"family":"Hagan","given":"Jim J."},{"family":"Holmes","given":"Clive"},{"family":"Jones","given":"Emma"},{"family":"Katona","given":"Cornelius"},{"family":"Kearns","given":"Ian"},{"family":"Kehoe","given":"Patrick"},{"family":"Mudher","given":"Amrit"},{"family":"Passmore","given":"Anthony"},{"family":"Shepherd","given":"Nicola"},{"family":"Walsh","given":"Frank"},{"family":"Ballard","given":"Clive"}],"issued":{"year":2012,"month":11,"day":5},"page-first":"833","container-title-short":"Nat. Rev. Drug Discov."}},{"id":384,"uris":["http://zotero.org/users/2782891/items/RG29JKZ3"],"uri":["http://zotero.org/users/2782891/items/RG29JKZ3"],"itemData":{"id":384,"type":"article-journal","title":"Risk of Fatal Stroke in Patients With Treated Familial Hypercholesterolemia A Prospective Registry Study","container-title":"Stroke","page":"22-25","volume":"34","issue":"1","source":"stroke.ahajournals.org","abstract":"Background and Purpose— Although it is recognized that in heterozygous familial hypercholesterolemia, large extracranial carotid vessels are affected by atherosclerosis, the risk of fatal stroke after treatment with cholesterol-lowering therapy remains uncertain. The goal of this study was to determine the risk of fatal stroke in patients with treated familial hypercholesterolemia.\nMethods— A cohort of 1405 men and 1466 women with definite or possible heterozygous familial hypercholesterolemia was recruited from 21 outpatient lipid clinics in the United Kingdom. Patients were followed up prospectively from 1980 to 1998 for 22 992 person-years for a median duration of 7.9 years (interquartile range, 4.9 to 12.0 years). The mortality rate was calculated, and the standardized mortality ratio for men and women 20 to 79 years of age was derived from the ratio of the observed deaths to the number expected in the general population of England and Wales (standardized mortality ratio=100 for the standard population).\nResults— A total of 169 deaths occurred; 9 (5.3%) were a result of stroke. The mortality rate from stroke was 0.39 per 1000 person-years (95% confidence interval, 0.18 to 0.74), and the standardized mortality ratio for fatal stroke was nonsignificantly lower than in the general population (79; 95% CI, 36 to 150).\nConclusions— The results suggest that patients with treated familial hypercholesterolemia are not at increased risk of fatal stroke. However, the possibility cannot be excluded that untreated individuals are at increased risk, which would be consistent with the evidence that familial hypercholesterolemia is a panvascular disease.","DOI":"10.1161/01.STR.0000047123.14312.3E","ISSN":"0039-2499, 1524-4628","note":"PMID: 12511745","journalAbbreviation":"Stroke","language":"en","author":[{"family":"Huxley","given":"R. R."},{"family":"Hawkins","given":"M. H."},{"family":"Humphries","given":"S. E."},{"family":"Karpe","given":"F."},{"family":"Neil","given":"H. a. W."},{"family":"Committee","given":"for the Simon Broome Familial Hyperlipidaemia Register Group and Scientific Steering"}],"issued":{"date-parts":[["2003",1,1]]},"PMID":"12511745"}},{"id":391,"uris":["http://zotero.org/users/2782891/items/W3P6GSSB"],"uri":["http://zotero.org/users/2782891/items/W3P6GSSB"],"itemData":{"id":391,"type":"article-journal","title":"Metformin attenuates blood-brain barrier disruption in mice following middle cerebral artery occlusion","container-title":"Journal of Neuroinflammation","volume":"11","source":"PubMed Central","abstract":"Background\nMetformin, a widely used hypoglycemic drug, reduces stroke incidence and alleviates chronic inflammation in clinical trials. However, the effect of metformin in ischemic stroke is unclear. Here, we investigated the effect of metformin on ischemic stroke in mice and further explored the possible underlying mechanisms.\n\nMethods\nNinety-eight adult male CD-1 mice underwent 90-minute transient middle cerebral artery occlusion (tMCAO). Metformin (200 mg/kg) was administrated for up to 14 days. Neurobehavioral outcomes, brain infarct volume, inflammatory factors, blood-brain barrier (BBB) permeability and AMPK signaling pathways were evaluated following tMCAO. Oxygen glucose deprivation was performed on bEND.3 cells to explore the mechanisms of metformin in inhibiting inflammatory signaling pathways.\n\nResults\nInfarct volume was reduced in metformin-treated mice compared to the control group following tMCAO (P &lt; 0.05). Neurobehavioral outcomes were greatly improved in metformin-treated mice (P &lt; 0.05). MPO+ cells, Gr1+ cells, MPO activity and BBB permeability were decreased after metformin administration (P &lt; 0.05). In addition, metformin activated AMPK phosphorylation, inhibited NF-κB activation, down-regulated cytokine (IL-1β, IL-6, TNF-α) and ICAM-1 expression following tMCAO (P &lt; 0.05). Furthermore, metformin activated AMPK signaling pathway and alleviated oxygen-glucose deprivation-induced ICAM-1 expression in bEND.3 cells (P &lt; 0.05). Compound C, a selective AMPK inhibitor, eliminated this promotional effect.\n\nConclusions\nMetformin down-regulated ICAM-1 in an AMPK-dependent manner, which could effectively prevent ischemia-induced brain injury by alleviating neutrophil infiltration, suggesting that metformin is a promising therapeutic agent in stroke therapy.\n\nElectronic supplementary material\nThe online version of this article (doi:10.1186/s12974-014-0177-4) contains supplementary material, which is available to authorized users.","URL":"http://www.ncbi.nlm.nih.gov/pmc/articles/PMC4201919/","DOI":"10.1186/s12974-014-0177-4","ISSN":"1742-2094","note":"PMID: 25315906\nPMCID: PMC4201919","journalAbbreviation":"J Neuroinflammation","author":[{"family":"Liu","given":"Yanqun"},{"family":"Tang","given":"Guanghui"},{"family":"Li","given":"Yaning"},{"family":"Wang","given":"Yang"},{"family":"Chen","given":"Xiaoyan"},{"family":"Gu","given":"Xiang"},{"family":"Zhang","given":"Zhijun"},{"family":"Wang","given":"Yongting"},{"family":"Yang","given":"Guo-Yuan"}],"issued":{"date-parts":[["2014",10,15]]},"accessed":{"date-parts":[["2016",1,26]]},"PMID":"25315906","PMCID":"PMC4201919"}},{"id":381,"uris":["http://zotero.org/users/2782891/items/2Q8TSSS7"],"uri":["http://zotero.org/users/2782891/items/2Q8TSSS7"],"itemData":{"id":381,"type":"article-journal","title":"Comparing the cerebroprotective properties of antihypertensive drugs in terms of their effects on angiotensin","container-title":"Nature Clinical Practice Nephrology","page":"12-13","volume":"4","issue":"1","source":"www.nature.com","abstract":"Nature Clinical Practice Nephrology will deliver timely interpretations of key research developments, translating the latest findings into clinical practice. Our Editor-in-Chief and international Advisory Board will ensure comprehensive coverage of topical issues throughout the year, with the highest standards of editorial quality and integrity that are hallmarks of Nature Publishing Group.","DOI":"10.1038/ncpneph0672","ISSN":"1745-8323","language":"en","author":[{"family":"Unger","given":"Thomas"}],"issued":{"date-parts":[["2008"]]}}},{"id":388,"uris":["http://zotero.org/users/2782891/items/RHZ8J4F8"],"uri":["http://zotero.org/users/2782891/items/RHZ8J4F8"],"itemData":{"id":388,"type":"article-journal","title":"Protective Effects of Statins after Embolic Focal Cerebral Ischemia in Endothelial Nitric Oxide Synthase Knockout Mice","container-title":"Journal of cerebral blood flow and metabolism : official journal of the International Society of Cerebral Blood Flow and Metabolism","page":"722-729","volume":"25","issue":"6","source":"PubMed Central","abstract":"Previous studies have shown that 3-hydroxy-3-methylglutaryl coenzyme A (HMG-CoA) reductase inhibitors (statins) protect brain against ischemic injury by upregulating endothelial nitric oxide synthase (eNOS). Here, we tested the hypothesis that statins provide additional beneficial effects by upregulating endogenous tissue plasminogen activator (tPA) and by enhancing clot lysis in a model of embolic focal ischemia. Heterologous blood clots (0.2 mm) were injected into the distal internal carotid artery to occlude blood flow in the middle cerebral artery territory after chronic (14 days) simvastatin, atorvastatin or vehicle treatment . Ischemic lesion volume, neurologic deficits, as well as residual blood clots were measured at 22 hrs. RT-PCR assessed mRNA levels of eNOS, tPA, and the endogenous plasminogen activator inhibitor PAI-1. To show that statins protect via eNOS-independent mechanisms, experiments were also performed in eNOS null mice. Ischemic lesion volumes and neurologic deficits were significantly reduced in wild type mice by both simvastatin and atorvastatin. The protective effect was present regardless of whether clots were prepared from untreated or statin-treated mice, although the integrity and extent of the residual blood clot was less when statins were given as pretreatment. Statins increased eNOS and tPA mRNA levels but did not change mRNA levels of PAI-1. In eNOS knockout mice, atorvastatin reduced the volume of ischemic tissue and improved neurologic outcomes following vascular occlusion by blood clot emboli. These results suggest that statins protect against embolic stroke by mechanisms that appear eNOS independent. The beneficial actions may relate in part, to enhanced clot lysis due to upregulation of endogenous tPA levels and/or decreased thrombosis.","DOI":"10.1038/sj.jcbfm.9600070","ISSN":"0271-678X","note":"PMID: 15716855\nPMCID: PMC2742229","journalAbbreviation":"J Cereb Blood Flow Metab","author":[{"family":"Asahi","given":"Minoru"},{"family":"Thomas","given":"Sunu"},{"family":"Yoshimura","given":"Shin-ichi"},{"family":"Sumii","given":"Toshihisa"},{"family":"Mori","given":"Tatsuro"},{"family":"Qiu","given":"Jianhua"},{"family":"Amin-Hanjani","given":"Sepideh"},{"family":"Huang","given":"Paul L."},{"family":"Liao","given":"James K."},{"family":"Lo","given":"Eng H."},{"family":"Moskowitz","given":"Michael A."}],"issued":{"date-parts":[["2005",6]]},"PMID":"15716855","PMCID":"PMC2742229"}}],"schema":"https://github.com/citation-style-language/schema/raw/master/csl-citation.json"} </w:instrText>
      </w:r>
      <w:r w:rsidR="00D82DEB" w:rsidRPr="00441DB5">
        <w:fldChar w:fldCharType="separate"/>
      </w:r>
      <w:r w:rsidR="00F06A00" w:rsidRPr="00441DB5">
        <w:rPr>
          <w:vertAlign w:val="superscript"/>
        </w:rPr>
        <w:t>2,27–30</w:t>
      </w:r>
      <w:r w:rsidR="00D82DEB" w:rsidRPr="00441DB5">
        <w:fldChar w:fldCharType="end"/>
      </w:r>
      <w:r w:rsidR="001A048E" w:rsidRPr="00441DB5">
        <w:t>. Our study will employ both conventional regression and more advanced causal analysis methods. For the statistical analysis of disease incidence we will use Cox-regression adjusted for a range of baseline confounders, propensity score matched regression, instrumental variable analysis, and marginal structural models.  For survival analysis, we will use Cox-regression models adjusted for a range of baseline confounders and propensity score matched Cox-regression. We will evaluate physicians’ prescribing preferences as potential instrumental variable for the prescriptions issued</w:t>
      </w:r>
      <w:r w:rsidR="001A048E" w:rsidRPr="00441DB5">
        <w:fldChar w:fldCharType="begin"/>
      </w:r>
      <w:r w:rsidR="00F06A00" w:rsidRPr="00441DB5">
        <w:instrText xml:space="preserve"> ADDIN ZOTERO_ITEM CSL_CITATION {"citationID":"1a074dkmlo","properties":{"formattedCitation":"{\\rtf \\super 31,32\\nosupersub{}}","plainCitation":"31,32"},"citationItems":[{"id":533,"uris":["http://zotero.org/users/117866/items/ASE4U75D"],"uri":["http://zotero.org/users/117866/items/ASE4U75D"],"itemData":{"id":533,"type":"article-journal","title":"Evaluating short-term drug effects using a physician-specific prescribing preference as an instrumental variable","container-title":"Epidemiology","page":"268-275","volume":"17","issue":"3","source":"NCBI PubMed","abstract":"BACKGROUND Postmarketing observational studies of the safety and effectiveness of prescription medications are critically important but fraught with methodological problems. The data sources available for such research often lack information on indications and other important confounders for the drug exposure under study. Instrumental variable methods have been proposed as a potential approach to control confounding by indication in nonexperimental studies of treatment effects; however, good instruments are hard to find. METHODS We propose an instrument for use in pharmacoepidemiology that is based on a time-varying estimate of the prescribing physician's preference for one drug relative to a competing therapy. The use of this instrument is illustrated in a study comparing the effect of exposure to COX-2 inhibitors with nonselective, nonsteroidal antiinflammatory medications on gastrointestinal complications. RESULTS Using conventional multivariable regression adjusting for 17 potential confounders, we found no protective effect due to COX-2 use within 120 days from the initial exposure (risk difference = -0.06 per 100 patients; 95% confidence interval = -0.26 to 0.14). However, the proposed instrumental variable method attributed a protective effect to COX-2 exposure (-1.31 per 100 patients; -2.42 to -0.20) compatible with randomized trial results (-0.65 per 100 patients; -1.08 to -0.22). CONCLUSIONS The instrumental variable method that we have proposed appears to have substantially reduced the bias due to unobserved confounding. However, more work needs to be done to understand the sensitivity of this approach to possible violations of the instrumental variable assumptions.","DOI":"10.1097/01.ede.0000193606.58671.c5","ISSN":"1044-3983","note":"PMID: 16617275","journalAbbreviation":"Epidemiology","author":[{"family":"Brookhart","given":"M Alan"},{"family":"Wang","given":"Philip S"},{"family":"Solomon","given":"Daniel H"},{"family":"Schneeweiss","given":"Sebastian"}],"issued":{"date-parts":[["2006",5]]},"PMID":"16617275"}},{"id":188,"uris":["http://zotero.org/users/117866/items/5DGFGHTP"],"uri":["http://zotero.org/users/117866/items/5DGFGHTP"],"itemData":{"id":188,"type":"article-journal","title":"COX-2 Selective Nonsteroidal Anti-inflammatory Drugs and Risk of Gastrointestinal Tract Complications and Myocardial Infarction: An Instrumental Variable Analysis","container-title":"Epidemiology","page":"352-362","volume":"24","issue":"3","source":"NCBI PubMed","abstract":"OBJECTIVE: : Instrumental variable analysis can estimate treatment effects in the presence of residual or unmeasured confounding. We compared ordinary least squares regression versus instrumental variable estimates of the effects of selective cyclooxygenase-2 inhibitors (COX-2s) relative to nonselective nonsteroidal anti-inflammatory drug (NSAID) prescriptions on incidence of upper gastrointestinal complications and myocardial infarction (MI).\nMETHODS: : We sampled a cohort of 62,933 first-time users of COX-2s or nonselective NSAIDs older than 60 years in the Clinical Practice Research Datalink. The instruments were physicians' previous prescriptions of COX-2s or nonselective NSAIDs, which are surrogates for physician preferences. We estimated risk differences of incident upper gastrointestinal complications and MI within 180 days of first COX-2 versus nonselective NSAID prescription.\nRESULTS: : Using ordinary least squares regression, adjusted for baseline confounders, we observed little association of COX-2 prescriptions with incident upper gastrointestinal complications (risk difference = -0.08 [95% confidence interval = -0.20 to 0.04]) or MI (0.06 [-0.06 to 0.17]) per 100 patients treated. Our adjusted instrumental variable results suggested 0.46 per 100 (-0.15 to 1.07) fewer upper gastrointestinal complications and little difference in acute MIs (0.08 per 100 [-0.61 to 0.76]), within 180 days of being prescribed COX-2s. Estimates were more precise when we used 20 previous prescriptions; the instrumental variable analysis implied 0.74 (0.28 to 1.19) fewer MIs per 100 patients prescribed COX-2s.\nCONCLUSIONS: : Using instrumental variable analysis, we found some evidence that COX-2 prescriptions reduced the risk of upper gastrointestinal complications, consistent with randomized controlled trials. Our results using multiple instruments suggest that COX-2s may have heterogeneous within-class effects on MI.","DOI":"10.1097/EDE.0b013e318289e024","ISSN":"1531-5487","call-number":"0001","note":"PMID: 23532054","shortTitle":"COX-2 Selective Nonsteroidal Anti-inflammatory Drugs and Risk of Gastrointestinal Tract Complications and Myocardial Infarction","journalAbbreviation":"Epidemiology","language":"eng","author":[{"family":"Davies","given":"Neil M"},{"family":"Davey Smith","given":"George"},{"family":"Windmeijer","given":"Frank"},{"family":"Martin","given":"Richard M"}],"issued":{"date-parts":[["2013",5]]},"PMID":"23532054"},"locator":"-2"}],"schema":"https://github.com/citation-style-language/schema/raw/master/csl-citation.json"} </w:instrText>
      </w:r>
      <w:r w:rsidR="001A048E" w:rsidRPr="00441DB5">
        <w:fldChar w:fldCharType="separate"/>
      </w:r>
      <w:r w:rsidR="00F06A00" w:rsidRPr="00441DB5">
        <w:rPr>
          <w:vertAlign w:val="superscript"/>
        </w:rPr>
        <w:t>31,32</w:t>
      </w:r>
      <w:r w:rsidR="001A048E" w:rsidRPr="00441DB5">
        <w:fldChar w:fldCharType="end"/>
      </w:r>
      <w:r w:rsidR="001A048E" w:rsidRPr="00441DB5">
        <w:t xml:space="preserve"> and investigate whether marginal structural models can account for time dependent confounding and treatment switching.</w:t>
      </w:r>
      <w:r w:rsidR="001A048E" w:rsidRPr="00441DB5">
        <w:fldChar w:fldCharType="begin"/>
      </w:r>
      <w:r w:rsidR="00F06A00" w:rsidRPr="00441DB5">
        <w:instrText xml:space="preserve"> ADDIN ZOTERO_ITEM CSL_CITATION {"citationID":"eqc428vcj","properties":{"formattedCitation":"{\\rtf \\super 33\\nosupersub{}}","plainCitation":"33"},"citationItems":[{"id":1085,"uris":["http://zotero.org/users/117866/items/K4U8PAM6"],"uri":["http://zotero.org/users/117866/items/K4U8PAM6"],"itemData":{"id":1085,"type":"article-journal","title":"Marginal Structural Models to Estimate the Joint Causal Effect of Nonrandomized Treatments","container-title":"Journal of the American Statistical Association","page":"440-448","volume":"96","issue":"454","source":"CrossRef","DOI":"10.1198/016214501753168154","ISSN":"0162-1459","journalAbbreviation":"Journal of the American Statistical Association","author":[{"family":"Hernán","given":"Miguel A"},{"family":"Brumback","given":"Babette"},{"family":"Robins","given":"James M"}],"issued":{"date-parts":[["2001",6]]}}}],"schema":"https://github.com/citation-style-language/schema/raw/master/csl-citation.json"} </w:instrText>
      </w:r>
      <w:r w:rsidR="001A048E" w:rsidRPr="00441DB5">
        <w:fldChar w:fldCharType="separate"/>
      </w:r>
      <w:r w:rsidR="00F06A00" w:rsidRPr="00441DB5">
        <w:rPr>
          <w:vertAlign w:val="superscript"/>
        </w:rPr>
        <w:t>33</w:t>
      </w:r>
      <w:r w:rsidR="001A048E" w:rsidRPr="00441DB5">
        <w:fldChar w:fldCharType="end"/>
      </w:r>
    </w:p>
    <w:p w14:paraId="4A34483E" w14:textId="77777777" w:rsidR="00D5686E" w:rsidRPr="00441DB5" w:rsidRDefault="00D5686E" w:rsidP="00DC7C02">
      <w:pPr>
        <w:pStyle w:val="PNormal"/>
      </w:pPr>
    </w:p>
    <w:p w14:paraId="58489724" w14:textId="4CB1768A" w:rsidR="00ED1E52" w:rsidRPr="00441DB5" w:rsidRDefault="00D5686E" w:rsidP="00ED1E52">
      <w:pPr>
        <w:pStyle w:val="PHeading1"/>
        <w:numPr>
          <w:ilvl w:val="0"/>
          <w:numId w:val="8"/>
        </w:numPr>
      </w:pPr>
      <w:r w:rsidRPr="00441DB5">
        <w:t>Sample Size</w:t>
      </w:r>
    </w:p>
    <w:p w14:paraId="5AB270C1" w14:textId="77777777" w:rsidR="00ED1E52" w:rsidRPr="00441DB5" w:rsidRDefault="00ED1E52" w:rsidP="00ED1E52"/>
    <w:p w14:paraId="3B164E85" w14:textId="2107CFA5" w:rsidR="009C01AC" w:rsidRPr="00441DB5" w:rsidRDefault="009C01AC" w:rsidP="00D24D30">
      <w:pPr>
        <w:jc w:val="both"/>
      </w:pPr>
      <w:r w:rsidRPr="00441DB5">
        <w:t xml:space="preserve">The table below </w:t>
      </w:r>
      <w:r w:rsidR="00B94AED" w:rsidRPr="00441DB5">
        <w:t xml:space="preserve">(Table 1) </w:t>
      </w:r>
      <w:r w:rsidRPr="00441DB5">
        <w:t>details our e</w:t>
      </w:r>
      <w:r w:rsidR="00CC4CEF" w:rsidRPr="00441DB5">
        <w:t>stimates of the sample size and</w:t>
      </w:r>
      <w:r w:rsidR="00D24D30" w:rsidRPr="00441DB5">
        <w:t xml:space="preserve"> </w:t>
      </w:r>
      <w:r w:rsidR="00D87838" w:rsidRPr="00441DB5">
        <w:t xml:space="preserve">minimum </w:t>
      </w:r>
      <w:r w:rsidR="00BC37B1" w:rsidRPr="00441DB5">
        <w:t>detectable hazard ratio</w:t>
      </w:r>
      <w:r w:rsidRPr="00441DB5">
        <w:t xml:space="preserve"> </w:t>
      </w:r>
      <w:r w:rsidR="00CC4CEF" w:rsidRPr="00441DB5">
        <w:t xml:space="preserve">(alpha=0.05, beta=0.80) </w:t>
      </w:r>
      <w:r w:rsidRPr="00441DB5">
        <w:t>for coho</w:t>
      </w:r>
      <w:r w:rsidR="003800F6" w:rsidRPr="00441DB5">
        <w:t xml:space="preserve">rts B and C. </w:t>
      </w:r>
      <w:r w:rsidR="00BC37B1" w:rsidRPr="00441DB5">
        <w:t>The minimum detectable hazard ratio is taken to be the detectable hazard ratio for the smallest exposed group tested against the control group.</w:t>
      </w:r>
      <w:r w:rsidRPr="00441DB5">
        <w:t xml:space="preserve"> It is difficult to provide </w:t>
      </w:r>
      <w:r w:rsidR="00BC37B1" w:rsidRPr="00441DB5">
        <w:t xml:space="preserve">sample size and minimum detectable hazard ratios </w:t>
      </w:r>
      <w:r w:rsidRPr="00441DB5">
        <w:t>for cohort A due to its novel design</w:t>
      </w:r>
      <w:r w:rsidR="00D24D30" w:rsidRPr="00441DB5">
        <w:t xml:space="preserve"> that </w:t>
      </w:r>
      <w:r w:rsidRPr="00441DB5">
        <w:t xml:space="preserve">includes patients who are ‘at risk of’ </w:t>
      </w:r>
      <w:r w:rsidR="00D24D30" w:rsidRPr="00441DB5">
        <w:t>the condition the treatment is used for</w:t>
      </w:r>
      <w:r w:rsidRPr="00441DB5">
        <w:t>.</w:t>
      </w:r>
      <w:r w:rsidR="00D24D30" w:rsidRPr="00441DB5">
        <w:t xml:space="preserve"> </w:t>
      </w:r>
      <w:r w:rsidR="00F70C9A" w:rsidRPr="00441DB5">
        <w:t>We can however consider the</w:t>
      </w:r>
      <w:r w:rsidR="00D87838" w:rsidRPr="00441DB5">
        <w:t xml:space="preserve"> sample size</w:t>
      </w:r>
      <w:r w:rsidR="00F70C9A" w:rsidRPr="00441DB5">
        <w:t xml:space="preserve"> estimates for cohort B to be conservative estimates for cohort A</w:t>
      </w:r>
      <w:r w:rsidR="00D24D30" w:rsidRPr="00441DB5">
        <w:t xml:space="preserve"> </w:t>
      </w:r>
      <w:r w:rsidRPr="00441DB5">
        <w:t xml:space="preserve">as </w:t>
      </w:r>
      <w:r w:rsidR="00D24D30" w:rsidRPr="00441DB5">
        <w:t>all</w:t>
      </w:r>
      <w:r w:rsidRPr="00441DB5">
        <w:t xml:space="preserve"> patients </w:t>
      </w:r>
      <w:r w:rsidR="00D24D30" w:rsidRPr="00441DB5">
        <w:t xml:space="preserve">in </w:t>
      </w:r>
      <w:r w:rsidR="00F70C9A" w:rsidRPr="00441DB5">
        <w:t>c</w:t>
      </w:r>
      <w:r w:rsidR="00D24D30" w:rsidRPr="00441DB5">
        <w:t>ohort B</w:t>
      </w:r>
      <w:r w:rsidR="00F70C9A" w:rsidRPr="00441DB5">
        <w:t xml:space="preserve"> are included in cohort A</w:t>
      </w:r>
      <w:r w:rsidR="00FC305D" w:rsidRPr="00441DB5">
        <w:t xml:space="preserve"> by definition</w:t>
      </w:r>
      <w:r w:rsidR="00F70C9A" w:rsidRPr="00441DB5">
        <w:t xml:space="preserve">. </w:t>
      </w:r>
      <w:r w:rsidR="00CC4CEF" w:rsidRPr="00441DB5">
        <w:t>Further details concerning the sample size and detectable hazard ratios (alpha=0.05, beta=0.80) for specific comparisons within cohorts B and C can be found in Appendices 6 and 7.</w:t>
      </w:r>
    </w:p>
    <w:p w14:paraId="45D26872" w14:textId="26ED9D9D" w:rsidR="00456A78" w:rsidRPr="00441DB5" w:rsidRDefault="00456A78">
      <w:pPr>
        <w:rPr>
          <w:b/>
        </w:rPr>
      </w:pPr>
    </w:p>
    <w:p w14:paraId="26D71B68" w14:textId="000E7606" w:rsidR="004175C2" w:rsidRPr="00441DB5" w:rsidRDefault="004175C2" w:rsidP="004175C2">
      <w:pPr>
        <w:rPr>
          <w:b/>
        </w:rPr>
      </w:pPr>
      <w:r w:rsidRPr="00441DB5">
        <w:rPr>
          <w:b/>
        </w:rPr>
        <w:t>Table 1: The sample size and minimum detectable hazard ratios for cohorts B and C.</w:t>
      </w:r>
    </w:p>
    <w:tbl>
      <w:tblPr>
        <w:tblStyle w:val="TableGrid"/>
        <w:tblW w:w="0" w:type="auto"/>
        <w:tblLayout w:type="fixed"/>
        <w:tblLook w:val="04A0" w:firstRow="1" w:lastRow="0" w:firstColumn="1" w:lastColumn="0" w:noHBand="0" w:noVBand="1"/>
      </w:tblPr>
      <w:tblGrid>
        <w:gridCol w:w="988"/>
        <w:gridCol w:w="3827"/>
        <w:gridCol w:w="1559"/>
        <w:gridCol w:w="1922"/>
      </w:tblGrid>
      <w:tr w:rsidR="00F32A3B" w:rsidRPr="00441DB5" w14:paraId="27727F60" w14:textId="77777777" w:rsidTr="00441DB5">
        <w:trPr>
          <w:trHeight w:val="221"/>
        </w:trPr>
        <w:tc>
          <w:tcPr>
            <w:tcW w:w="988" w:type="dxa"/>
            <w:shd w:val="clear" w:color="auto" w:fill="auto"/>
            <w:vAlign w:val="center"/>
          </w:tcPr>
          <w:p w14:paraId="7A0FF891" w14:textId="4535ABA6" w:rsidR="00E837C4" w:rsidRPr="00441DB5" w:rsidRDefault="00F70C9A" w:rsidP="00E837C4">
            <w:pPr>
              <w:rPr>
                <w:b/>
              </w:rPr>
            </w:pPr>
            <w:r w:rsidRPr="00441DB5">
              <w:rPr>
                <w:b/>
              </w:rPr>
              <w:t>Cohort</w:t>
            </w:r>
          </w:p>
        </w:tc>
        <w:tc>
          <w:tcPr>
            <w:tcW w:w="3827" w:type="dxa"/>
            <w:shd w:val="clear" w:color="auto" w:fill="auto"/>
            <w:vAlign w:val="center"/>
          </w:tcPr>
          <w:p w14:paraId="6603EA01" w14:textId="6660E95F" w:rsidR="00E837C4" w:rsidRPr="00441DB5" w:rsidRDefault="009E68A6" w:rsidP="00E837C4">
            <w:pPr>
              <w:rPr>
                <w:b/>
              </w:rPr>
            </w:pPr>
            <w:r w:rsidRPr="00441DB5">
              <w:rPr>
                <w:b/>
              </w:rPr>
              <w:t>Start of Follow Up</w:t>
            </w:r>
          </w:p>
        </w:tc>
        <w:tc>
          <w:tcPr>
            <w:tcW w:w="1559" w:type="dxa"/>
            <w:shd w:val="clear" w:color="auto" w:fill="auto"/>
            <w:vAlign w:val="center"/>
          </w:tcPr>
          <w:p w14:paraId="3F352352" w14:textId="240159C5" w:rsidR="00E837C4" w:rsidRPr="00441DB5" w:rsidRDefault="00E837C4" w:rsidP="00E837C4">
            <w:pPr>
              <w:rPr>
                <w:b/>
              </w:rPr>
            </w:pPr>
            <w:r w:rsidRPr="00441DB5">
              <w:rPr>
                <w:b/>
              </w:rPr>
              <w:t>Sample Size</w:t>
            </w:r>
          </w:p>
        </w:tc>
        <w:tc>
          <w:tcPr>
            <w:tcW w:w="1922" w:type="dxa"/>
            <w:shd w:val="clear" w:color="auto" w:fill="auto"/>
            <w:vAlign w:val="center"/>
          </w:tcPr>
          <w:p w14:paraId="25C7C1AE" w14:textId="52F2A6C5" w:rsidR="00F32A3B" w:rsidRPr="00441DB5" w:rsidRDefault="00F70C9A" w:rsidP="00E837C4">
            <w:pPr>
              <w:rPr>
                <w:b/>
              </w:rPr>
            </w:pPr>
            <w:r w:rsidRPr="00441DB5">
              <w:rPr>
                <w:b/>
              </w:rPr>
              <w:t xml:space="preserve">Detectable </w:t>
            </w:r>
          </w:p>
          <w:p w14:paraId="7498DD66" w14:textId="7B5DEACD" w:rsidR="00E837C4" w:rsidRPr="00441DB5" w:rsidRDefault="00E837C4" w:rsidP="00E837C4">
            <w:pPr>
              <w:rPr>
                <w:b/>
              </w:rPr>
            </w:pPr>
            <w:r w:rsidRPr="00441DB5">
              <w:rPr>
                <w:b/>
              </w:rPr>
              <w:t>Hazard Ratio</w:t>
            </w:r>
          </w:p>
        </w:tc>
      </w:tr>
      <w:tr w:rsidR="009C01AC" w:rsidRPr="00441DB5" w14:paraId="03F4538B" w14:textId="77777777" w:rsidTr="00441DB5">
        <w:trPr>
          <w:trHeight w:val="311"/>
        </w:trPr>
        <w:tc>
          <w:tcPr>
            <w:tcW w:w="988" w:type="dxa"/>
            <w:vMerge w:val="restart"/>
            <w:shd w:val="clear" w:color="auto" w:fill="auto"/>
            <w:vAlign w:val="center"/>
          </w:tcPr>
          <w:p w14:paraId="4623DDD5" w14:textId="5DB6F041" w:rsidR="004175C2" w:rsidRPr="00441DB5" w:rsidRDefault="009C01AC" w:rsidP="009C01AC">
            <w:r w:rsidRPr="00441DB5">
              <w:t>B</w:t>
            </w:r>
          </w:p>
        </w:tc>
        <w:tc>
          <w:tcPr>
            <w:tcW w:w="3827" w:type="dxa"/>
            <w:shd w:val="clear" w:color="auto" w:fill="auto"/>
            <w:vAlign w:val="center"/>
          </w:tcPr>
          <w:p w14:paraId="6E8D6050" w14:textId="3E0E4082" w:rsidR="009C01AC" w:rsidRPr="00441DB5" w:rsidRDefault="009C01AC" w:rsidP="009C01AC">
            <w:r w:rsidRPr="00441DB5">
              <w:t>Treatment for hypertension</w:t>
            </w:r>
          </w:p>
        </w:tc>
        <w:tc>
          <w:tcPr>
            <w:tcW w:w="1559" w:type="dxa"/>
            <w:shd w:val="clear" w:color="auto" w:fill="auto"/>
            <w:vAlign w:val="center"/>
          </w:tcPr>
          <w:p w14:paraId="40B4C01E" w14:textId="02C4479F" w:rsidR="009C01AC" w:rsidRPr="00441DB5" w:rsidRDefault="009C01AC" w:rsidP="009C01AC">
            <w:r w:rsidRPr="00441DB5">
              <w:rPr>
                <w:color w:val="000000"/>
              </w:rPr>
              <w:t>1,018,519</w:t>
            </w:r>
          </w:p>
        </w:tc>
        <w:tc>
          <w:tcPr>
            <w:tcW w:w="1922" w:type="dxa"/>
            <w:shd w:val="clear" w:color="auto" w:fill="auto"/>
            <w:vAlign w:val="center"/>
          </w:tcPr>
          <w:p w14:paraId="713B1DD4" w14:textId="442F8785" w:rsidR="009C01AC" w:rsidRPr="00441DB5" w:rsidRDefault="009C01AC" w:rsidP="00D87838">
            <w:r w:rsidRPr="00441DB5">
              <w:t>0.9676923</w:t>
            </w:r>
          </w:p>
        </w:tc>
      </w:tr>
      <w:tr w:rsidR="009C01AC" w:rsidRPr="00441DB5" w14:paraId="26750E06" w14:textId="77777777" w:rsidTr="00441DB5">
        <w:trPr>
          <w:trHeight w:val="221"/>
        </w:trPr>
        <w:tc>
          <w:tcPr>
            <w:tcW w:w="988" w:type="dxa"/>
            <w:vMerge/>
            <w:shd w:val="clear" w:color="auto" w:fill="auto"/>
            <w:vAlign w:val="center"/>
          </w:tcPr>
          <w:p w14:paraId="0D8C7BAB" w14:textId="77777777" w:rsidR="009C01AC" w:rsidRPr="00441DB5" w:rsidRDefault="009C01AC" w:rsidP="009C01AC"/>
        </w:tc>
        <w:tc>
          <w:tcPr>
            <w:tcW w:w="3827" w:type="dxa"/>
            <w:shd w:val="clear" w:color="auto" w:fill="auto"/>
            <w:vAlign w:val="center"/>
          </w:tcPr>
          <w:p w14:paraId="4F35A2FC" w14:textId="7361EA32" w:rsidR="009C01AC" w:rsidRPr="00441DB5" w:rsidRDefault="009C01AC" w:rsidP="009C01AC">
            <w:r w:rsidRPr="00441DB5">
              <w:t>Treatment for hypercholesterolaemia</w:t>
            </w:r>
          </w:p>
        </w:tc>
        <w:tc>
          <w:tcPr>
            <w:tcW w:w="1559" w:type="dxa"/>
            <w:shd w:val="clear" w:color="auto" w:fill="auto"/>
            <w:vAlign w:val="center"/>
          </w:tcPr>
          <w:p w14:paraId="57BA6CD2" w14:textId="731966BE" w:rsidR="009C01AC" w:rsidRPr="00441DB5" w:rsidRDefault="009C01AC" w:rsidP="009C01AC">
            <w:r w:rsidRPr="00441DB5">
              <w:rPr>
                <w:color w:val="000000"/>
              </w:rPr>
              <w:t>808,687</w:t>
            </w:r>
          </w:p>
        </w:tc>
        <w:tc>
          <w:tcPr>
            <w:tcW w:w="1922" w:type="dxa"/>
            <w:shd w:val="clear" w:color="auto" w:fill="auto"/>
            <w:vAlign w:val="center"/>
          </w:tcPr>
          <w:p w14:paraId="25ED94E0" w14:textId="6E6EE0B5" w:rsidR="009C01AC" w:rsidRPr="00441DB5" w:rsidRDefault="009C01AC" w:rsidP="00D87838">
            <w:r w:rsidRPr="00441DB5">
              <w:t xml:space="preserve">0.8436064 </w:t>
            </w:r>
          </w:p>
        </w:tc>
      </w:tr>
      <w:tr w:rsidR="009C01AC" w:rsidRPr="00441DB5" w14:paraId="423B9FF4" w14:textId="77777777" w:rsidTr="00441DB5">
        <w:trPr>
          <w:trHeight w:val="221"/>
        </w:trPr>
        <w:tc>
          <w:tcPr>
            <w:tcW w:w="988" w:type="dxa"/>
            <w:vMerge/>
            <w:shd w:val="clear" w:color="auto" w:fill="auto"/>
            <w:vAlign w:val="center"/>
          </w:tcPr>
          <w:p w14:paraId="6EDD1906" w14:textId="77777777" w:rsidR="009C01AC" w:rsidRPr="00441DB5" w:rsidRDefault="009C01AC" w:rsidP="009C01AC"/>
        </w:tc>
        <w:tc>
          <w:tcPr>
            <w:tcW w:w="3827" w:type="dxa"/>
            <w:shd w:val="clear" w:color="auto" w:fill="auto"/>
            <w:vAlign w:val="center"/>
          </w:tcPr>
          <w:p w14:paraId="3315E44E" w14:textId="45E3897F" w:rsidR="009C01AC" w:rsidRPr="00441DB5" w:rsidRDefault="009C01AC" w:rsidP="009C01AC">
            <w:r w:rsidRPr="00441DB5">
              <w:t>Treatment for type 2 diabetes</w:t>
            </w:r>
          </w:p>
        </w:tc>
        <w:tc>
          <w:tcPr>
            <w:tcW w:w="1559" w:type="dxa"/>
            <w:shd w:val="clear" w:color="auto" w:fill="auto"/>
            <w:vAlign w:val="center"/>
          </w:tcPr>
          <w:p w14:paraId="69E4582E" w14:textId="58E8BE93" w:rsidR="009C01AC" w:rsidRPr="00441DB5" w:rsidRDefault="009C01AC" w:rsidP="009C01AC">
            <w:pPr>
              <w:rPr>
                <w:color w:val="000000"/>
              </w:rPr>
            </w:pPr>
            <w:r w:rsidRPr="00441DB5">
              <w:rPr>
                <w:color w:val="000000"/>
              </w:rPr>
              <w:t>200,800</w:t>
            </w:r>
          </w:p>
        </w:tc>
        <w:tc>
          <w:tcPr>
            <w:tcW w:w="1922" w:type="dxa"/>
            <w:shd w:val="clear" w:color="auto" w:fill="auto"/>
            <w:vAlign w:val="center"/>
          </w:tcPr>
          <w:p w14:paraId="7817C05D" w14:textId="1993DC61" w:rsidR="009C01AC" w:rsidRPr="00441DB5" w:rsidRDefault="009C01AC" w:rsidP="00D87838">
            <w:r w:rsidRPr="00441DB5">
              <w:t>0.9432468</w:t>
            </w:r>
          </w:p>
        </w:tc>
      </w:tr>
    </w:tbl>
    <w:p w14:paraId="04C46130" w14:textId="77777777" w:rsidR="00456A78" w:rsidRPr="00441DB5" w:rsidRDefault="00456A78"/>
    <w:tbl>
      <w:tblPr>
        <w:tblStyle w:val="TableGrid"/>
        <w:tblW w:w="0" w:type="auto"/>
        <w:tblLayout w:type="fixed"/>
        <w:tblLook w:val="04A0" w:firstRow="1" w:lastRow="0" w:firstColumn="1" w:lastColumn="0" w:noHBand="0" w:noVBand="1"/>
      </w:tblPr>
      <w:tblGrid>
        <w:gridCol w:w="988"/>
        <w:gridCol w:w="3827"/>
        <w:gridCol w:w="1559"/>
        <w:gridCol w:w="1922"/>
      </w:tblGrid>
      <w:tr w:rsidR="009C01AC" w:rsidRPr="00441DB5" w14:paraId="3F66C4A4" w14:textId="77777777" w:rsidTr="00441DB5">
        <w:trPr>
          <w:trHeight w:val="221"/>
        </w:trPr>
        <w:tc>
          <w:tcPr>
            <w:tcW w:w="988" w:type="dxa"/>
            <w:vMerge w:val="restart"/>
            <w:shd w:val="clear" w:color="auto" w:fill="auto"/>
            <w:vAlign w:val="center"/>
          </w:tcPr>
          <w:p w14:paraId="5FF9777D" w14:textId="1D188E5E" w:rsidR="009C01AC" w:rsidRPr="00441DB5" w:rsidRDefault="009C01AC" w:rsidP="009C01AC">
            <w:r w:rsidRPr="00441DB5">
              <w:lastRenderedPageBreak/>
              <w:t>C</w:t>
            </w:r>
          </w:p>
        </w:tc>
        <w:tc>
          <w:tcPr>
            <w:tcW w:w="3827" w:type="dxa"/>
            <w:shd w:val="clear" w:color="auto" w:fill="auto"/>
            <w:vAlign w:val="center"/>
          </w:tcPr>
          <w:p w14:paraId="0069D3B3" w14:textId="519CD48F" w:rsidR="00D24D30" w:rsidRPr="00441DB5" w:rsidRDefault="009C01AC" w:rsidP="009C01AC">
            <w:r w:rsidRPr="00441DB5">
              <w:t>Dementia</w:t>
            </w:r>
          </w:p>
        </w:tc>
        <w:tc>
          <w:tcPr>
            <w:tcW w:w="1559" w:type="dxa"/>
            <w:shd w:val="clear" w:color="auto" w:fill="auto"/>
            <w:vAlign w:val="center"/>
          </w:tcPr>
          <w:p w14:paraId="76EB32F8" w14:textId="087F22B9" w:rsidR="009C01AC" w:rsidRPr="00441DB5" w:rsidRDefault="009C01AC" w:rsidP="009C01AC">
            <w:pPr>
              <w:rPr>
                <w:color w:val="000000"/>
              </w:rPr>
            </w:pPr>
            <w:r w:rsidRPr="00441DB5">
              <w:t>105,471</w:t>
            </w:r>
          </w:p>
        </w:tc>
        <w:tc>
          <w:tcPr>
            <w:tcW w:w="1922" w:type="dxa"/>
            <w:shd w:val="clear" w:color="auto" w:fill="auto"/>
            <w:vAlign w:val="center"/>
          </w:tcPr>
          <w:p w14:paraId="380F5619" w14:textId="64B1C109" w:rsidR="009C01AC" w:rsidRPr="00441DB5" w:rsidRDefault="009C01AC" w:rsidP="00D87838">
            <w:r w:rsidRPr="00441DB5">
              <w:t>0.9816402</w:t>
            </w:r>
          </w:p>
        </w:tc>
      </w:tr>
      <w:tr w:rsidR="009C01AC" w:rsidRPr="00441DB5" w14:paraId="05375948" w14:textId="77777777" w:rsidTr="00441DB5">
        <w:trPr>
          <w:trHeight w:val="221"/>
        </w:trPr>
        <w:tc>
          <w:tcPr>
            <w:tcW w:w="988" w:type="dxa"/>
            <w:vMerge/>
            <w:shd w:val="clear" w:color="auto" w:fill="auto"/>
            <w:vAlign w:val="center"/>
          </w:tcPr>
          <w:p w14:paraId="14567865" w14:textId="77777777" w:rsidR="009C01AC" w:rsidRPr="00441DB5" w:rsidRDefault="009C01AC" w:rsidP="009C01AC"/>
        </w:tc>
        <w:tc>
          <w:tcPr>
            <w:tcW w:w="3827" w:type="dxa"/>
            <w:shd w:val="clear" w:color="auto" w:fill="auto"/>
            <w:vAlign w:val="center"/>
          </w:tcPr>
          <w:p w14:paraId="54557F7A" w14:textId="15544EB7" w:rsidR="00D24D30" w:rsidRPr="00441DB5" w:rsidRDefault="009C01AC" w:rsidP="00F70C9A">
            <w:r w:rsidRPr="00441DB5">
              <w:t xml:space="preserve">Parkinson’s </w:t>
            </w:r>
            <w:r w:rsidR="00F70C9A" w:rsidRPr="00441DB5">
              <w:t>d</w:t>
            </w:r>
            <w:r w:rsidRPr="00441DB5">
              <w:t>isease</w:t>
            </w:r>
          </w:p>
        </w:tc>
        <w:tc>
          <w:tcPr>
            <w:tcW w:w="1559" w:type="dxa"/>
            <w:shd w:val="clear" w:color="auto" w:fill="auto"/>
            <w:vAlign w:val="center"/>
          </w:tcPr>
          <w:p w14:paraId="6F083B6B" w14:textId="1063D226" w:rsidR="009C01AC" w:rsidRPr="00441DB5" w:rsidRDefault="009C01AC" w:rsidP="009C01AC">
            <w:pPr>
              <w:rPr>
                <w:color w:val="000000"/>
              </w:rPr>
            </w:pPr>
            <w:r w:rsidRPr="00441DB5">
              <w:rPr>
                <w:color w:val="000000"/>
              </w:rPr>
              <w:t>20,686</w:t>
            </w:r>
          </w:p>
        </w:tc>
        <w:tc>
          <w:tcPr>
            <w:tcW w:w="1922" w:type="dxa"/>
            <w:shd w:val="clear" w:color="auto" w:fill="auto"/>
            <w:vAlign w:val="center"/>
          </w:tcPr>
          <w:p w14:paraId="29DC5861" w14:textId="55C1E95E" w:rsidR="009C01AC" w:rsidRPr="00441DB5" w:rsidRDefault="009C01AC" w:rsidP="00D87838">
            <w:r w:rsidRPr="00441DB5">
              <w:t>0.9587554</w:t>
            </w:r>
          </w:p>
        </w:tc>
      </w:tr>
      <w:tr w:rsidR="009C01AC" w:rsidRPr="00441DB5" w14:paraId="687A8208" w14:textId="77777777" w:rsidTr="00441DB5">
        <w:trPr>
          <w:trHeight w:val="221"/>
        </w:trPr>
        <w:tc>
          <w:tcPr>
            <w:tcW w:w="988" w:type="dxa"/>
            <w:vMerge/>
            <w:shd w:val="clear" w:color="auto" w:fill="auto"/>
            <w:vAlign w:val="center"/>
          </w:tcPr>
          <w:p w14:paraId="0A7FB0C5" w14:textId="77777777" w:rsidR="009C01AC" w:rsidRPr="00441DB5" w:rsidRDefault="009C01AC" w:rsidP="009C01AC"/>
        </w:tc>
        <w:tc>
          <w:tcPr>
            <w:tcW w:w="3827" w:type="dxa"/>
            <w:shd w:val="clear" w:color="auto" w:fill="auto"/>
            <w:vAlign w:val="center"/>
          </w:tcPr>
          <w:p w14:paraId="5FAD297D" w14:textId="0C31126F" w:rsidR="009C01AC" w:rsidRPr="00441DB5" w:rsidRDefault="009C01AC" w:rsidP="009C01AC">
            <w:r w:rsidRPr="00441DB5">
              <w:t>Amyotrophic lateral sclerosis</w:t>
            </w:r>
          </w:p>
        </w:tc>
        <w:tc>
          <w:tcPr>
            <w:tcW w:w="1559" w:type="dxa"/>
            <w:shd w:val="clear" w:color="auto" w:fill="auto"/>
            <w:vAlign w:val="center"/>
          </w:tcPr>
          <w:p w14:paraId="111D9BE5" w14:textId="6081C575" w:rsidR="009C01AC" w:rsidRPr="00441DB5" w:rsidRDefault="009C01AC" w:rsidP="009C01AC">
            <w:pPr>
              <w:rPr>
                <w:color w:val="000000"/>
              </w:rPr>
            </w:pPr>
            <w:r w:rsidRPr="00441DB5">
              <w:rPr>
                <w:color w:val="000000"/>
              </w:rPr>
              <w:t>2,227</w:t>
            </w:r>
          </w:p>
        </w:tc>
        <w:tc>
          <w:tcPr>
            <w:tcW w:w="1922" w:type="dxa"/>
            <w:shd w:val="clear" w:color="auto" w:fill="auto"/>
            <w:vAlign w:val="center"/>
          </w:tcPr>
          <w:p w14:paraId="37F260DB" w14:textId="0B9C7BA9" w:rsidR="009C01AC" w:rsidRPr="00441DB5" w:rsidRDefault="009C01AC" w:rsidP="00D87838">
            <w:r w:rsidRPr="00441DB5">
              <w:t>0.600025</w:t>
            </w:r>
          </w:p>
        </w:tc>
      </w:tr>
    </w:tbl>
    <w:p w14:paraId="06827637" w14:textId="2EFBF55D" w:rsidR="00205935" w:rsidRPr="00441DB5" w:rsidRDefault="00205935">
      <w:pPr>
        <w:rPr>
          <w:b/>
        </w:rPr>
      </w:pPr>
      <w:bookmarkStart w:id="29" w:name="_Toc434319895"/>
      <w:bookmarkStart w:id="30" w:name="_Toc434320931"/>
    </w:p>
    <w:p w14:paraId="15DD9F77" w14:textId="3F359ADA" w:rsidR="00D5686E" w:rsidRPr="00441DB5" w:rsidRDefault="00D5686E" w:rsidP="00DC7C02">
      <w:pPr>
        <w:pStyle w:val="PHeading1"/>
      </w:pPr>
      <w:r w:rsidRPr="00441DB5">
        <w:t>Data Linkage Required</w:t>
      </w:r>
      <w:bookmarkEnd w:id="29"/>
      <w:bookmarkEnd w:id="30"/>
    </w:p>
    <w:p w14:paraId="723B5645" w14:textId="77777777" w:rsidR="00D5686E" w:rsidRPr="00441DB5" w:rsidRDefault="00D5686E" w:rsidP="00A822C9">
      <w:pPr>
        <w:pStyle w:val="PNormal"/>
      </w:pPr>
    </w:p>
    <w:p w14:paraId="69697E30" w14:textId="77852D55" w:rsidR="00D5686E" w:rsidRPr="00441DB5" w:rsidRDefault="00D5686E" w:rsidP="00A822C9">
      <w:pPr>
        <w:pStyle w:val="PNormal"/>
      </w:pPr>
      <w:r w:rsidRPr="00441DB5">
        <w:t>Having established that for cause-specific mortality the linked Office of National Statistics (ONS) data are more accurate than CPRD data from general practices,</w:t>
      </w:r>
      <w:r w:rsidRPr="00441DB5">
        <w:fldChar w:fldCharType="begin"/>
      </w:r>
      <w:r w:rsidR="00F06A00" w:rsidRPr="00441DB5">
        <w:instrText xml:space="preserve"> ADDIN ZOTERO_ITEM CSL_CITATION {"citationID":"crso582dl","properties":{"formattedCitation":"{\\rtf \\super 34\\nosupersub{}}","plainCitation":"34"},"citationItems":[{"id":778,"uris":["http://zotero.org/users/117866/items/EM5T74BW"],"uri":["http://zotero.org/users/117866/items/EM5T74BW"],"itemData":{"id":778,"type":"article-journal","title":"Validation of Suicide and Self-harm records in the Clinical Practice Research Datalink","container-title":"British Journal of Clinical Pharmacology","source":"NCBI PubMed","abstract":"AIMS: The UK's Clinical Practice Research Datalink (CPRD) is increasingly used to investigate suicide- related adverse drug reactions. No studies have comprehensively validated the recording of suicide and non-fatal self-harm in the CPRD. We validated GP's recording of these outcomes using linked Office for National Statistics (ONS) mortality and hospital episode statistics (HES) admission data. METHODS: We identified cases of suicide and self-harm recorded using appropriate Read codes in the CPRD between 1998 and 2010 in patients aged ≥ 15 years. Suicides were defined as patients with Read codes for suicide recorded within 95 days of their death. ICD codes were used to identify suicides/hospital admissions for self-harm in the linked ONS and HES datasets. We compared CPRD derived cases/incidence of suicide and self-harm with those identified from linked ONS mortality and HES data, national suicide incidence rates and published self-harm incidence data. RESULTS: Only 26.1% (n=590) of the 'true' (ONS-confirmed) suicides were identified using Read codes. Furthermore, only 55.5% of Read code identified suicides were confirmed as suicide by the ONS data. 68.4% of HES-identified cases of self-harm were identified in the CPRD using Read codes. CPRD self-harm rates based on Read codes had similar age and sex distributions to rates observed in self-harm hospital registers although rates were underestimated in all age groups. CONCLUSIONS: CPRD recording of suicide using Read codes is unreliable, with significant inaccuracy (over and under-reporting). Future CPRD suicide studies should use linked ONS mortality data. The under-reporting of self-harm appears to be less marked.","DOI":"10.1111/bcp.12059","ISSN":"1365-2125","note":"PMID: 23216533","journalAbbreviation":"Br J Clin Pharmacol","author":[{"family":"Thomas","given":"Kyla H"},{"family":"Davies","given":"Neil"},{"family":"Metcalfe","given":"Chris"},{"family":"Windmeijer","given":"Frank"},{"family":"Martin","given":"Richard M"},{"family":"Gunnell","given":"David"}],"issued":{"date-parts":[["2012",12,6]]},"PMID":"23216533"}}],"schema":"https://github.com/citation-style-language/schema/raw/master/csl-citation.json"} </w:instrText>
      </w:r>
      <w:r w:rsidRPr="00441DB5">
        <w:fldChar w:fldCharType="separate"/>
      </w:r>
      <w:r w:rsidR="00F06A00" w:rsidRPr="00441DB5">
        <w:rPr>
          <w:vertAlign w:val="superscript"/>
        </w:rPr>
        <w:t>34</w:t>
      </w:r>
      <w:r w:rsidRPr="00441DB5">
        <w:fldChar w:fldCharType="end"/>
      </w:r>
      <w:r w:rsidRPr="00441DB5">
        <w:t xml:space="preserve"> we will use the ONS database to identify date and cause of death.  We will, therefore, test our hypotheses relating to mortality using data from linked practices only. We will also be investigating differences in service use between individuals prescribed dementia drugs, and those who were not prescribed them</w:t>
      </w:r>
      <w:r w:rsidR="0009334C" w:rsidRPr="00441DB5">
        <w:t xml:space="preserve">. We will define ‘use’ as the number of visits to: i) primary care and ii) secondary care following diagnosis. </w:t>
      </w:r>
      <w:r w:rsidRPr="00441DB5">
        <w:t xml:space="preserve">To define this </w:t>
      </w:r>
      <w:r w:rsidR="008606C1" w:rsidRPr="00441DB5">
        <w:t xml:space="preserve">outcome we will use linked data from the </w:t>
      </w:r>
      <w:bookmarkStart w:id="31" w:name="_GoBack"/>
      <w:bookmarkEnd w:id="31"/>
      <w:r w:rsidR="008606C1" w:rsidRPr="00441DB5">
        <w:t>Hospital Episodes Statistics (HES) database - specifically we are interested in</w:t>
      </w:r>
      <w:r w:rsidRPr="00441DB5">
        <w:t xml:space="preserve"> </w:t>
      </w:r>
      <w:r w:rsidR="008606C1" w:rsidRPr="00441DB5">
        <w:t xml:space="preserve">the diagnoses and </w:t>
      </w:r>
      <w:r w:rsidR="00A405C5" w:rsidRPr="00441DB5">
        <w:t>any dates relating</w:t>
      </w:r>
      <w:r w:rsidR="008606C1" w:rsidRPr="00441DB5">
        <w:t xml:space="preserve"> to appointments </w:t>
      </w:r>
      <w:r w:rsidR="00A405C5" w:rsidRPr="00441DB5">
        <w:t xml:space="preserve">or </w:t>
      </w:r>
      <w:r w:rsidR="008606C1" w:rsidRPr="00441DB5">
        <w:t>hospital admissions contained within the database.</w:t>
      </w:r>
    </w:p>
    <w:p w14:paraId="0F1AF1A6" w14:textId="77777777" w:rsidR="00D5686E" w:rsidRPr="00441DB5" w:rsidRDefault="00D5686E" w:rsidP="00DC7C02">
      <w:pPr>
        <w:rPr>
          <w:b/>
          <w:szCs w:val="20"/>
        </w:rPr>
      </w:pPr>
      <w:bookmarkStart w:id="32" w:name="_Toc434319882"/>
      <w:bookmarkStart w:id="33" w:name="_Toc434320913"/>
    </w:p>
    <w:p w14:paraId="17B52A99" w14:textId="77777777" w:rsidR="00D5686E" w:rsidRPr="00441DB5" w:rsidRDefault="00D5686E" w:rsidP="00DC7C02">
      <w:pPr>
        <w:pStyle w:val="PHeading1"/>
      </w:pPr>
      <w:r w:rsidRPr="00441DB5">
        <w:t>Study population</w:t>
      </w:r>
      <w:bookmarkEnd w:id="32"/>
      <w:bookmarkEnd w:id="33"/>
    </w:p>
    <w:p w14:paraId="1C2FF964" w14:textId="77777777" w:rsidR="00D5686E" w:rsidRPr="00441DB5" w:rsidRDefault="00D5686E" w:rsidP="00DC7C02">
      <w:pPr>
        <w:pStyle w:val="PNormal"/>
      </w:pPr>
    </w:p>
    <w:p w14:paraId="777F2194" w14:textId="034C22A8" w:rsidR="00D5686E" w:rsidRPr="00441DB5" w:rsidRDefault="00021120" w:rsidP="00DC7C02">
      <w:pPr>
        <w:pStyle w:val="PNormal"/>
      </w:pPr>
      <w:r w:rsidRPr="00441DB5">
        <w:rPr>
          <w:b/>
        </w:rPr>
        <w:t>Inclusion criteria:</w:t>
      </w:r>
      <w:r w:rsidR="000B70DA" w:rsidRPr="00441DB5">
        <w:t xml:space="preserve"> </w:t>
      </w:r>
      <w:r w:rsidR="00D5686E" w:rsidRPr="00441DB5">
        <w:t xml:space="preserve">Men and women older than 40, </w:t>
      </w:r>
      <w:r w:rsidR="008A49BD" w:rsidRPr="00441DB5">
        <w:t>with at least 12</w:t>
      </w:r>
      <w:r w:rsidR="00D5686E" w:rsidRPr="00441DB5">
        <w:t xml:space="preserve"> consecutive months of records classified as ‘acceptable’ by the CPRD from </w:t>
      </w:r>
      <w:r w:rsidR="00D5686E" w:rsidRPr="00441DB5">
        <w:rPr>
          <w:b/>
        </w:rPr>
        <w:t>all</w:t>
      </w:r>
      <w:r w:rsidR="00D5686E" w:rsidRPr="00441DB5">
        <w:t xml:space="preserve"> “up to standard” practices.</w:t>
      </w:r>
    </w:p>
    <w:p w14:paraId="63382A11" w14:textId="77777777" w:rsidR="00D5686E" w:rsidRPr="00441DB5" w:rsidRDefault="00021120" w:rsidP="00DC7C02">
      <w:pPr>
        <w:pStyle w:val="PNormal"/>
      </w:pPr>
      <w:r w:rsidRPr="00441DB5">
        <w:rPr>
          <w:b/>
          <w:bCs/>
          <w:iCs/>
        </w:rPr>
        <w:t>Exclusion criteria:</w:t>
      </w:r>
      <w:r w:rsidR="005D3034" w:rsidRPr="00441DB5">
        <w:t xml:space="preserve"> </w:t>
      </w:r>
      <w:r w:rsidR="00D5686E" w:rsidRPr="00441DB5">
        <w:t>Patients registered at a practice less than 365 days before their 40</w:t>
      </w:r>
      <w:r w:rsidR="00D5686E" w:rsidRPr="00441DB5">
        <w:rPr>
          <w:vertAlign w:val="superscript"/>
        </w:rPr>
        <w:t>th</w:t>
      </w:r>
      <w:r w:rsidR="00D5686E" w:rsidRPr="00441DB5">
        <w:t xml:space="preserve"> birthday, or those with a first record of one of the index drug classes of interest before their 40</w:t>
      </w:r>
      <w:r w:rsidR="00D5686E" w:rsidRPr="00441DB5">
        <w:rPr>
          <w:vertAlign w:val="superscript"/>
        </w:rPr>
        <w:t>th</w:t>
      </w:r>
      <w:r w:rsidR="00D5686E" w:rsidRPr="00441DB5">
        <w:t xml:space="preserve"> birthday. This will ensure high quality assessment of baseline data and possible confounders. </w:t>
      </w:r>
    </w:p>
    <w:p w14:paraId="7CB2BF64" w14:textId="77777777" w:rsidR="00F26F69" w:rsidRPr="00441DB5" w:rsidRDefault="00F26F69">
      <w:pPr>
        <w:rPr>
          <w:b/>
        </w:rPr>
      </w:pPr>
      <w:bookmarkStart w:id="34" w:name="_Toc434319885"/>
      <w:bookmarkStart w:id="35" w:name="_Toc434320916"/>
    </w:p>
    <w:p w14:paraId="70654AC6" w14:textId="77777777" w:rsidR="00D5686E" w:rsidRPr="00441DB5" w:rsidRDefault="00D5686E" w:rsidP="00952383">
      <w:pPr>
        <w:pStyle w:val="PHeading1"/>
      </w:pPr>
      <w:r w:rsidRPr="00441DB5">
        <w:t>Selection of comparison group(s) or controls</w:t>
      </w:r>
      <w:bookmarkEnd w:id="34"/>
      <w:bookmarkEnd w:id="35"/>
    </w:p>
    <w:p w14:paraId="78F27A0C" w14:textId="77777777" w:rsidR="00D5686E" w:rsidRPr="00441DB5" w:rsidRDefault="00D5686E" w:rsidP="00DC7C02">
      <w:pPr>
        <w:pStyle w:val="PNormal"/>
      </w:pPr>
    </w:p>
    <w:p w14:paraId="22DF44D2" w14:textId="2F334D02" w:rsidR="00ED49B0" w:rsidRPr="00441DB5" w:rsidRDefault="00DF09B3" w:rsidP="00DC7C02">
      <w:pPr>
        <w:pStyle w:val="PNormal"/>
      </w:pPr>
      <w:r w:rsidRPr="00441DB5">
        <w:t xml:space="preserve">We will investigate both the incidence and progression of Alzheimer’s disease, other dementia and other neurodegenerative disease. </w:t>
      </w:r>
      <w:r w:rsidR="00D5686E" w:rsidRPr="00441DB5">
        <w:t>Our investigations into the incidence will focus</w:t>
      </w:r>
      <w:r w:rsidR="001A048E" w:rsidRPr="00441DB5">
        <w:t xml:space="preserve"> on</w:t>
      </w:r>
      <w:r w:rsidR="00D5686E" w:rsidRPr="00441DB5">
        <w:t xml:space="preserve"> </w:t>
      </w:r>
      <w:r w:rsidR="001A048E" w:rsidRPr="00441DB5">
        <w:t>three</w:t>
      </w:r>
      <w:r w:rsidR="00A37877" w:rsidRPr="00441DB5">
        <w:t xml:space="preserve"> treatments</w:t>
      </w:r>
      <w:r w:rsidR="001A048E" w:rsidRPr="00441DB5">
        <w:t>,</w:t>
      </w:r>
      <w:r w:rsidR="00A37877" w:rsidRPr="00441DB5">
        <w:t xml:space="preserve"> </w:t>
      </w:r>
      <w:r w:rsidR="001A048E" w:rsidRPr="00441DB5">
        <w:t>which</w:t>
      </w:r>
      <w:r w:rsidR="00A37877" w:rsidRPr="00441DB5">
        <w:t xml:space="preserve"> </w:t>
      </w:r>
      <w:r w:rsidR="001A048E" w:rsidRPr="00441DB5">
        <w:t>are</w:t>
      </w:r>
      <w:r w:rsidR="00A37877" w:rsidRPr="00441DB5">
        <w:t xml:space="preserve"> potentially cerebroprotective</w:t>
      </w:r>
      <w:r w:rsidR="00205935" w:rsidRPr="00441DB5">
        <w:t>,</w:t>
      </w:r>
      <w:r w:rsidR="00D5686E" w:rsidRPr="00441DB5">
        <w:t xml:space="preserve"> namely: treatments for hypertension</w:t>
      </w:r>
      <w:r w:rsidR="00900454" w:rsidRPr="00441DB5">
        <w:fldChar w:fldCharType="begin"/>
      </w:r>
      <w:r w:rsidR="00D82DEB" w:rsidRPr="00441DB5">
        <w:instrText xml:space="preserve"> ADDIN ZOTERO_ITEM CSL_CITATION {"citationID":"1cn03mkou0","properties":{"formattedCitation":"{\\rtf \\super 29\\nosupersub{}}","plainCitation":"29"},"citationItems":[{"id":381,"uris":["http://zotero.org/users/2782891/items/2Q8TSSS7"],"uri":["http://zotero.org/users/2782891/items/2Q8TSSS7"],"itemData":{"id":381,"type":"article-journal","title":"Comparing the cerebroprotective properties of antihypertensive drugs in terms of their effects on angiotensin","container-title":"Nature Clinical Practice Nephrology","page":"12-13","volume":"4","issue":"1","source":"www.nature.com","abstract":"Nature Clinical Practice Nephrology will deliver timely interpretations of key research developments, translating the latest findings into clinical practice. Our Editor-in-Chief and international Advisory Board will ensure comprehensive coverage of topical issues throughout the year, with the highest standards of editorial quality and integrity that are hallmarks of Nature Publishing Group.","DOI":"10.1038/ncpneph0672","ISSN":"1745-8323","language":"en","author":[{"family":"Unger","given":"Thomas"}],"issued":{"date-parts":[["2008"]]}}}],"schema":"https://github.com/citation-style-language/schema/raw/master/csl-citation.json"} </w:instrText>
      </w:r>
      <w:r w:rsidR="00900454" w:rsidRPr="00441DB5">
        <w:fldChar w:fldCharType="separate"/>
      </w:r>
      <w:r w:rsidR="00D82DEB" w:rsidRPr="00441DB5">
        <w:rPr>
          <w:vertAlign w:val="superscript"/>
        </w:rPr>
        <w:t>29</w:t>
      </w:r>
      <w:r w:rsidR="00900454" w:rsidRPr="00441DB5">
        <w:fldChar w:fldCharType="end"/>
      </w:r>
      <w:r w:rsidR="00900454" w:rsidRPr="00441DB5">
        <w:t xml:space="preserve">, </w:t>
      </w:r>
      <w:r w:rsidR="00D5686E" w:rsidRPr="00441DB5">
        <w:t>treatments for hypercholesterolaemia</w:t>
      </w:r>
      <w:r w:rsidR="00900454" w:rsidRPr="00441DB5">
        <w:fldChar w:fldCharType="begin"/>
      </w:r>
      <w:r w:rsidR="00EE5D97" w:rsidRPr="00441DB5">
        <w:instrText xml:space="preserve"> ADDIN ZOTERO_ITEM CSL_CITATION {"citationID":"nno0gr7d9","properties":{"formattedCitation":"{\\rtf \\super 27,30\\nosupersub{}}","plainCitation":"27,30"},"citationItems":[{"id":388,"uris":["http://zotero.org/users/2782891/items/RHZ8J4F8"],"uri":["http://zotero.org/users/2782891/items/RHZ8J4F8"],"itemData":{"id":388,"type":"article-journal","title":"Protective Effects of Statins after Embolic Focal Cerebral Ischemia in Endothelial Nitric Oxide Synthase Knockout Mice","container-title":"Journal of cerebral blood flow and metabolism : official journal of the International Society of Cerebral Blood Flow and Metabolism","page":"722-729","volume":"25","issue":"6","source":"PubMed Central","abstract":"Previous studies have shown that 3-hydroxy-3-methylglutaryl coenzyme A (HMG-CoA) reductase inhibitors (statins) protect brain against ischemic injury by upregulating endothelial nitric oxide synthase (eNOS). Here, we tested the hypothesis that statins provide additional beneficial effects by upregulating endogenous tissue plasminogen activator (tPA) and by enhancing clot lysis in a model of embolic focal ischemia. Heterologous blood clots (0.2 mm) were injected into the distal internal carotid artery to occlude blood flow in the middle cerebral artery territory after chronic (14 days) simvastatin, atorvastatin or vehicle treatment . Ischemic lesion volume, neurologic deficits, as well as residual blood clots were measured at 22 hrs. RT-PCR assessed mRNA levels of eNOS, tPA, and the endogenous plasminogen activator inhibitor PAI-1. To show that statins protect via eNOS-independent mechanisms, experiments were also performed in eNOS null mice. Ischemic lesion volumes and neurologic deficits were significantly reduced in wild type mice by both simvastatin and atorvastatin. The protective effect was present regardless of whether clots were prepared from untreated or statin-treated mice, although the integrity and extent of the residual blood clot was less when statins were given as pretreatment. Statins increased eNOS and tPA mRNA levels but did not change mRNA levels of PAI-1. In eNOS knockout mice, atorvastatin reduced the volume of ischemic tissue and improved neurologic outcomes following vascular occlusion by blood clot emboli. These results suggest that statins protect against embolic stroke by mechanisms that appear eNOS independent. The beneficial actions may relate in part, to enhanced clot lysis due to upregulation of endogenous tPA levels and/or decreased thrombosis.","DOI":"10.1038/sj.jcbfm.9600070","ISSN":"0271-678X","note":"PMID: 15716855\nPMCID: PMC2742229","journalAbbreviation":"J Cereb Blood Flow Metab","author":[{"family":"Asahi","given":"Minoru"},{"family":"Thomas","given":"Sunu"},{"family":"Yoshimura","given":"Shin-ichi"},{"family":"Sumii","given":"Toshihisa"},{"family":"Mori","given":"Tatsuro"},{"family":"Qiu","given":"Jianhua"},{"family":"Amin-Hanjani","given":"Sepideh"},{"family":"Huang","given":"Paul L."},{"family":"Liao","given":"James K."},{"family":"Lo","given":"Eng H."},{"family":"Moskowitz","given":"Michael A."}],"issued":{"date-parts":[["2005",6]]},"PMID":"15716855","PMCID":"PMC2742229"}},{"id":384,"uris":["http://zotero.org/users/2782891/items/RG29JKZ3"],"uri":["http://zotero.org/users/2782891/items/RG29JKZ3"],"itemData":{"id":384,"type":"article-journal","title":"Risk of Fatal Stroke in Patients With Treated Familial Hypercholesterolemia A Prospective Registry Study","container-title":"Stroke","page":"22-25","volume":"34","issue":"1","source":"stroke.ahajournals.org","abstract":"Background and Purpose— Although it is recognized that in heterozygous familial hypercholesterolemia, large extracranial carotid vessels are affected by atherosclerosis, the risk of fatal stroke after treatment with cholesterol-lowering therapy remains uncertain. The goal of this study was to determine the risk of fatal stroke in patients with treated familial hypercholesterolemia.\nMethods— A cohort of 1405 men and 1466 women with definite or possible heterozygous familial hypercholesterolemia was recruited from 21 outpatient lipid clinics in the United Kingdom. Patients were followed up prospectively from 1980 to 1998 for 22 992 person-years for a median duration of 7.9 years (interquartile range, 4.9 to 12.0 years). The mortality rate was calculated, and the standardized mortality ratio for men and women 20 to 79 years of age was derived from the ratio of the observed deaths to the number expected in the general population of England and Wales (standardized mortality ratio=100 for the standard population).\nResults— A total of 169 deaths occurred; 9 (5.3%) were a result of stroke. The mortality rate from stroke was 0.39 per 1000 person-years (95% confidence interval, 0.18 to 0.74), and the standardized mortality ratio for fatal stroke was nonsignificantly lower than in the general population (79; 95% CI, 36 to 150).\nConclusions— The results suggest that patients with treated familial hypercholesterolemia are not at increased risk of fatal stroke. However, the possibility cannot be excluded that untreated individuals are at increased risk, which would be consistent with the evidence that familial hypercholesterolemia is a panvascular disease.","DOI":"10.1161/01.STR.0000047123.14312.3E","ISSN":"0039-2499, 1524-4628","note":"PMID: 12511745","journalAbbreviation":"Stroke","language":"en","author":[{"family":"Huxley","given":"R. R."},{"family":"Hawkins","given":"M. H."},{"family":"Humphries","given":"S. E."},{"family":"Karpe","given":"F."},{"family":"Neil","given":"H. a. W."},{"family":"Committee","given":"for the Simon Broome Familial Hyperlipidaemia Register Group and Scientific Steering"}],"issued":{"date-parts":[["2003",1,1]]},"PMID":"12511745"}}],"schema":"https://github.com/citation-style-language/schema/raw/master/csl-citation.json"} </w:instrText>
      </w:r>
      <w:r w:rsidR="00900454" w:rsidRPr="00441DB5">
        <w:fldChar w:fldCharType="separate"/>
      </w:r>
      <w:r w:rsidR="00EE5D97" w:rsidRPr="00441DB5">
        <w:rPr>
          <w:vertAlign w:val="superscript"/>
        </w:rPr>
        <w:t>27,30</w:t>
      </w:r>
      <w:r w:rsidR="00900454" w:rsidRPr="00441DB5">
        <w:fldChar w:fldCharType="end"/>
      </w:r>
      <w:r w:rsidR="00900454" w:rsidRPr="00441DB5">
        <w:t xml:space="preserve"> </w:t>
      </w:r>
      <w:r w:rsidR="00D5686E" w:rsidRPr="00441DB5">
        <w:t>and treatments for type 2 diabetes</w:t>
      </w:r>
      <w:r w:rsidR="00900454" w:rsidRPr="00441DB5">
        <w:fldChar w:fldCharType="begin"/>
      </w:r>
      <w:r w:rsidR="00D82DEB" w:rsidRPr="00441DB5">
        <w:instrText xml:space="preserve"> ADDIN ZOTERO_ITEM CSL_CITATION {"citationID":"12umkq796d","properties":{"formattedCitation":"{\\rtf \\super 28\\nosupersub{}}","plainCitation":"28"},"citationItems":[{"id":391,"uris":["http://zotero.org/users/2782891/items/W3P6GSSB"],"uri":["http://zotero.org/users/2782891/items/W3P6GSSB"],"itemData":{"id":391,"type":"article-journal","title":"Metformin attenuates blood-brain barrier disruption in mice following middle cerebral artery occlusion","container-title":"Journal of Neuroinflammation","volume":"11","source":"PubMed Central","abstract":"Background\nMetformin, a widely used hypoglycemic drug, reduces stroke incidence and alleviates chronic inflammation in clinical trials. However, the effect of metformin in ischemic stroke is unclear. Here, we investigated the effect of metformin on ischemic stroke in mice and further explored the possible underlying mechanisms.\n\nMethods\nNinety-eight adult male CD-1 mice underwent 90-minute transient middle cerebral artery occlusion (tMCAO). Metformin (200 mg/kg) was administrated for up to 14 days. Neurobehavioral outcomes, brain infarct volume, inflammatory factors, blood-brain barrier (BBB) permeability and AMPK signaling pathways were evaluated following tMCAO. Oxygen glucose deprivation was performed on bEND.3 cells to explore the mechanisms of metformin in inhibiting inflammatory signaling pathways.\n\nResults\nInfarct volume was reduced in metformin-treated mice compared to the control group following tMCAO (P &lt; 0.05). Neurobehavioral outcomes were greatly improved in metformin-treated mice (P &lt; 0.05). MPO+ cells, Gr1+ cells, MPO activity and BBB permeability were decreased after metformin administration (P &lt; 0.05). In addition, metformin activated AMPK phosphorylation, inhibited NF-κB activation, down-regulated cytokine (IL-1β, IL-6, TNF-α) and ICAM-1 expression following tMCAO (P &lt; 0.05). Furthermore, metformin activated AMPK signaling pathway and alleviated oxygen-glucose deprivation-induced ICAM-1 expression in bEND.3 cells (P &lt; 0.05). Compound C, a selective AMPK inhibitor, eliminated this promotional effect.\n\nConclusions\nMetformin down-regulated ICAM-1 in an AMPK-dependent manner, which could effectively prevent ischemia-induced brain injury by alleviating neutrophil infiltration, suggesting that metformin is a promising therapeutic agent in stroke therapy.\n\nElectronic supplementary material\nThe online version of this article (doi:10.1186/s12974-014-0177-4) contains supplementary material, which is available to authorized users.","URL":"http://www.ncbi.nlm.nih.gov/pmc/articles/PMC4201919/","DOI":"10.1186/s12974-014-0177-4","ISSN":"1742-2094","note":"PMID: 25315906\nPMCID: PMC4201919","journalAbbreviation":"J Neuroinflammation","author":[{"family":"Liu","given":"Yanqun"},{"family":"Tang","given":"Guanghui"},{"family":"Li","given":"Yaning"},{"family":"Wang","given":"Yang"},{"family":"Chen","given":"Xiaoyan"},{"family":"Gu","given":"Xiang"},{"family":"Zhang","given":"Zhijun"},{"family":"Wang","given":"Yongting"},{"family":"Yang","given":"Guo-Yuan"}],"issued":{"date-parts":[["2014",10,15]]},"accessed":{"date-parts":[["2016",1,26]]},"PMID":"25315906","PMCID":"PMC4201919"}}],"schema":"https://github.com/citation-style-language/schema/raw/master/csl-citation.json"} </w:instrText>
      </w:r>
      <w:r w:rsidR="00900454" w:rsidRPr="00441DB5">
        <w:fldChar w:fldCharType="separate"/>
      </w:r>
      <w:r w:rsidR="00D82DEB" w:rsidRPr="00441DB5">
        <w:rPr>
          <w:vertAlign w:val="superscript"/>
        </w:rPr>
        <w:t>28</w:t>
      </w:r>
      <w:r w:rsidR="00900454" w:rsidRPr="00441DB5">
        <w:fldChar w:fldCharType="end"/>
      </w:r>
      <w:r w:rsidR="00D5686E" w:rsidRPr="00441DB5">
        <w:t xml:space="preserve">. For each treatment, we will conduct two analyses. The first will compare treated to untreated individuals with similar indications – this is cohort A. The second will compare the outcomes of individuals given different sub-classes of specific medications – this is cohort B.  Our investigations into progression will use a third cohort, cohort C. Using this cohort, we will look into the effects of the three possible new treatments in people diagnosed with at least one of the index neurodegenerative diseases of interest. To fully investigate the potential of these treatments, we will include both patients on these drugs at the time of diagnosis and those prescribed these drugs post-diagnosis. Cohort C will also be used to investigate the progression of dementia and service use of individuals prescribed the existing drugs for dementia. </w:t>
      </w:r>
      <w:r w:rsidR="008A49BD" w:rsidRPr="00441DB5">
        <w:t>For all cohorts</w:t>
      </w:r>
      <w:r w:rsidR="00367302" w:rsidRPr="00441DB5">
        <w:t>, individuals</w:t>
      </w:r>
      <w:r w:rsidR="008A49BD" w:rsidRPr="00441DB5">
        <w:t xml:space="preserve"> with less than 12 consecutive months of records prior to cohort entry will be excluded. </w:t>
      </w:r>
      <w:r w:rsidR="00D5686E" w:rsidRPr="00441DB5">
        <w:t xml:space="preserve">All </w:t>
      </w:r>
      <w:bookmarkStart w:id="36" w:name="_Toc434319886"/>
      <w:bookmarkStart w:id="37" w:name="_Toc434320917"/>
      <w:r w:rsidR="00C84AC5" w:rsidRPr="00441DB5">
        <w:t>read code lists c</w:t>
      </w:r>
      <w:r w:rsidR="00AC1C65" w:rsidRPr="00441DB5">
        <w:t>an be</w:t>
      </w:r>
      <w:r w:rsidR="00E43A87" w:rsidRPr="00441DB5">
        <w:t xml:space="preserve"> found in Appendices 1, 2 and 3 and a</w:t>
      </w:r>
      <w:r w:rsidR="00C84AC5" w:rsidRPr="00441DB5">
        <w:t>ll product code lists</w:t>
      </w:r>
      <w:r w:rsidR="00AC1C65" w:rsidRPr="00441DB5">
        <w:t xml:space="preserve"> can be found in Appendices</w:t>
      </w:r>
      <w:r w:rsidR="00C84AC5" w:rsidRPr="00441DB5">
        <w:t xml:space="preserve"> 4</w:t>
      </w:r>
      <w:r w:rsidR="00AC1C65" w:rsidRPr="00441DB5">
        <w:t xml:space="preserve"> and 5</w:t>
      </w:r>
      <w:r w:rsidR="00C84AC5" w:rsidRPr="00441DB5">
        <w:t>.</w:t>
      </w:r>
      <w:r w:rsidR="008A49BD" w:rsidRPr="00441DB5">
        <w:t xml:space="preserve"> </w:t>
      </w:r>
    </w:p>
    <w:p w14:paraId="2E9503F8" w14:textId="33FDB3F5" w:rsidR="00B94AED" w:rsidRPr="00441DB5" w:rsidRDefault="00B94AED">
      <w:pPr>
        <w:rPr>
          <w:b/>
          <w:bCs/>
          <w:iCs/>
        </w:rPr>
      </w:pPr>
    </w:p>
    <w:p w14:paraId="1E3A0810" w14:textId="77777777" w:rsidR="009B55CA" w:rsidRPr="00441DB5" w:rsidRDefault="009B55CA">
      <w:pPr>
        <w:rPr>
          <w:b/>
          <w:bCs/>
          <w:iCs/>
        </w:rPr>
      </w:pPr>
      <w:r w:rsidRPr="00441DB5">
        <w:br w:type="page"/>
      </w:r>
    </w:p>
    <w:p w14:paraId="6A5FE5AF" w14:textId="62B6E9F3" w:rsidR="00D5686E" w:rsidRPr="00441DB5" w:rsidRDefault="00D5686E" w:rsidP="00952383">
      <w:pPr>
        <w:pStyle w:val="PHeading2"/>
      </w:pPr>
      <w:r w:rsidRPr="00441DB5">
        <w:lastRenderedPageBreak/>
        <w:t>Cohort A</w:t>
      </w:r>
      <w:bookmarkEnd w:id="36"/>
      <w:bookmarkEnd w:id="37"/>
    </w:p>
    <w:p w14:paraId="7BFB49A8" w14:textId="77777777" w:rsidR="00D5686E" w:rsidRPr="00441DB5" w:rsidRDefault="00D5686E" w:rsidP="00DC7C02">
      <w:pPr>
        <w:pStyle w:val="PNormal"/>
      </w:pPr>
    </w:p>
    <w:p w14:paraId="72459F20" w14:textId="3A4871F5" w:rsidR="00D5686E" w:rsidRPr="00441DB5" w:rsidRDefault="00D5686E" w:rsidP="00DC7C02">
      <w:pPr>
        <w:pStyle w:val="PNormal"/>
      </w:pPr>
      <w:r w:rsidRPr="00441DB5">
        <w:t>For each treatment, we will create a cohort of patients who are diagnosed with the condition the treatment is used for or ‘at risk of’ that condition. This will be determined by the indications and t</w:t>
      </w:r>
      <w:r w:rsidR="004175C2" w:rsidRPr="00441DB5">
        <w:t>est results described in Table 2</w:t>
      </w:r>
      <w:r w:rsidRPr="00441DB5">
        <w:t xml:space="preserve">. We will split each cohort </w:t>
      </w:r>
      <w:r w:rsidR="00A93AEB" w:rsidRPr="00441DB5">
        <w:t>into ‘exposed’ and</w:t>
      </w:r>
      <w:r w:rsidRPr="00441DB5">
        <w:t xml:space="preserve"> ‘unexposed’ group</w:t>
      </w:r>
      <w:r w:rsidR="00A93AEB" w:rsidRPr="00441DB5">
        <w:t>s</w:t>
      </w:r>
      <w:r w:rsidRPr="00441DB5">
        <w:t>. The ‘exposed’ group will consist of patients who received a treatment of interest within 6 months of initial diagnosis of the condition. The ‘unexposed’ group will consist of all others in the cohort. Patients will be identified as having received a treatment of interest by product codes (see Appendi</w:t>
      </w:r>
      <w:r w:rsidR="00AC1C65" w:rsidRPr="00441DB5">
        <w:t>x 5</w:t>
      </w:r>
      <w:r w:rsidRPr="00441DB5">
        <w:t>). Therefore in this analysis we will compare an ‘exposed’ group of individuals who were prescribed the treatment to an ‘unexposed’ group of individuals who received similar test results, but did not receive the treatment, as illustrated in Figure 1. The aim of this approach is to address confounding by indication which could cause bias if the ‘unexposed’ group is drawn from the full population, who are likely to be healthier. We will also explore the effects of more complex treatment patterns using marginal structural models.</w:t>
      </w:r>
      <w:bookmarkStart w:id="38" w:name="_Toc434320918"/>
    </w:p>
    <w:bookmarkEnd w:id="38"/>
    <w:p w14:paraId="73F67A72" w14:textId="77777777" w:rsidR="00D5686E" w:rsidRPr="00441DB5" w:rsidRDefault="00D5686E" w:rsidP="00952383">
      <w:pPr>
        <w:pStyle w:val="PNormal"/>
      </w:pPr>
    </w:p>
    <w:p w14:paraId="51C44FF0" w14:textId="3EB70E55" w:rsidR="00021120" w:rsidRPr="00441DB5" w:rsidRDefault="00D5686E" w:rsidP="00952383">
      <w:pPr>
        <w:pStyle w:val="PNormal"/>
      </w:pPr>
      <w:r w:rsidRPr="00441DB5">
        <w:t>Follow-up for cohort A will start either when a patient is indicated as ‘at risk of condition’ or, in the case of no period ‘at risk’, diagnosed with the condition itself. The date from which a patient is considered ‘at risk’ will be determined by the first elevated test result (see Tab</w:t>
      </w:r>
      <w:r w:rsidR="004175C2" w:rsidRPr="00441DB5">
        <w:t>le 2</w:t>
      </w:r>
      <w:r w:rsidRPr="00441DB5">
        <w:t>) or read code indicating they are ‘at risk of’</w:t>
      </w:r>
      <w:r w:rsidR="00AC1C65" w:rsidRPr="00441DB5">
        <w:t xml:space="preserve"> the condition (see Appendix 2</w:t>
      </w:r>
      <w:r w:rsidR="008E2F1C" w:rsidRPr="00441DB5">
        <w:t>)</w:t>
      </w:r>
      <w:r w:rsidRPr="00441DB5">
        <w:t xml:space="preserve">. If there is no period ‘at risk’, follow-up will start on the diagnosis date as determined by the </w:t>
      </w:r>
      <w:r w:rsidR="00871D8E" w:rsidRPr="00441DB5">
        <w:t xml:space="preserve">first </w:t>
      </w:r>
      <w:r w:rsidRPr="00441DB5">
        <w:t>record of a rele</w:t>
      </w:r>
      <w:r w:rsidR="00AC1C65" w:rsidRPr="00441DB5">
        <w:t>vant read code (see Appendix 3</w:t>
      </w:r>
      <w:r w:rsidRPr="00441DB5">
        <w:t>)</w:t>
      </w:r>
      <w:r w:rsidR="00DB1A35" w:rsidRPr="00441DB5">
        <w:t xml:space="preserve"> or a test result </w:t>
      </w:r>
      <w:r w:rsidR="00862B63" w:rsidRPr="00441DB5">
        <w:t>indicating</w:t>
      </w:r>
      <w:r w:rsidR="00DB1A35" w:rsidRPr="00441DB5">
        <w:t xml:space="preserve"> the condition (see Table </w:t>
      </w:r>
      <w:r w:rsidR="004175C2" w:rsidRPr="00441DB5">
        <w:t>2</w:t>
      </w:r>
      <w:r w:rsidR="00DB1A35" w:rsidRPr="00441DB5">
        <w:t>)</w:t>
      </w:r>
      <w:r w:rsidRPr="00441DB5">
        <w:t>. Follow-up will end with the earliest of a relevant neurodegenerative disease diagnosis or censoring due to the end of registration at a CPRD general practice. The diagnosis date of the neurodegenerative disease will be determined by the first record of a relev</w:t>
      </w:r>
      <w:r w:rsidR="00AC1C65" w:rsidRPr="00441DB5">
        <w:t>ant read code (see Appendix 1</w:t>
      </w:r>
      <w:r w:rsidRPr="00441DB5">
        <w:t>).</w:t>
      </w:r>
    </w:p>
    <w:p w14:paraId="733B9302" w14:textId="77777777" w:rsidR="008606C1" w:rsidRPr="00441DB5" w:rsidRDefault="008606C1" w:rsidP="00952383">
      <w:pPr>
        <w:pStyle w:val="PNormal"/>
      </w:pPr>
    </w:p>
    <w:p w14:paraId="4F83B859" w14:textId="3EEAB5E1" w:rsidR="00D5686E" w:rsidRPr="00441DB5" w:rsidRDefault="00D5686E" w:rsidP="00D5686E">
      <w:pPr>
        <w:rPr>
          <w:b/>
        </w:rPr>
      </w:pPr>
      <w:r w:rsidRPr="00441DB5">
        <w:rPr>
          <w:b/>
        </w:rPr>
        <w:t xml:space="preserve">Table </w:t>
      </w:r>
      <w:r w:rsidR="004175C2" w:rsidRPr="00441DB5">
        <w:rPr>
          <w:b/>
        </w:rPr>
        <w:t>2</w:t>
      </w:r>
      <w:r w:rsidRPr="00441DB5">
        <w:rPr>
          <w:b/>
        </w:rPr>
        <w:t>: The cohorts of type A, one for each treatment of interest.</w:t>
      </w:r>
    </w:p>
    <w:tbl>
      <w:tblPr>
        <w:tblStyle w:val="TableGrid"/>
        <w:tblW w:w="5000" w:type="pct"/>
        <w:tblLayout w:type="fixed"/>
        <w:tblLook w:val="04A0" w:firstRow="1" w:lastRow="0" w:firstColumn="1" w:lastColumn="0" w:noHBand="0" w:noVBand="1"/>
      </w:tblPr>
      <w:tblGrid>
        <w:gridCol w:w="1696"/>
        <w:gridCol w:w="6600"/>
      </w:tblGrid>
      <w:tr w:rsidR="00D5686E" w:rsidRPr="00441DB5" w14:paraId="5C9EFEFE" w14:textId="77777777" w:rsidTr="00ED49B0">
        <w:trPr>
          <w:cantSplit/>
          <w:trHeight w:val="20"/>
        </w:trPr>
        <w:tc>
          <w:tcPr>
            <w:tcW w:w="1022" w:type="pct"/>
            <w:vAlign w:val="center"/>
          </w:tcPr>
          <w:p w14:paraId="0B441BA8" w14:textId="77777777" w:rsidR="00D5686E" w:rsidRPr="00441DB5" w:rsidRDefault="00D5686E" w:rsidP="00D5686E">
            <w:pPr>
              <w:rPr>
                <w:b/>
              </w:rPr>
            </w:pPr>
            <w:r w:rsidRPr="00441DB5">
              <w:rPr>
                <w:b/>
              </w:rPr>
              <w:t>Treatment</w:t>
            </w:r>
          </w:p>
        </w:tc>
        <w:tc>
          <w:tcPr>
            <w:tcW w:w="3978" w:type="pct"/>
            <w:vAlign w:val="center"/>
          </w:tcPr>
          <w:p w14:paraId="4EE5B008" w14:textId="77777777" w:rsidR="00D5686E" w:rsidRPr="00441DB5" w:rsidRDefault="00D5686E" w:rsidP="00D5686E">
            <w:pPr>
              <w:rPr>
                <w:b/>
              </w:rPr>
            </w:pPr>
            <w:r w:rsidRPr="00441DB5">
              <w:rPr>
                <w:b/>
              </w:rPr>
              <w:t>Cohort</w:t>
            </w:r>
          </w:p>
        </w:tc>
      </w:tr>
      <w:tr w:rsidR="00D5686E" w:rsidRPr="00441DB5" w14:paraId="031BC96B" w14:textId="77777777" w:rsidTr="00ED49B0">
        <w:trPr>
          <w:cantSplit/>
          <w:trHeight w:val="20"/>
        </w:trPr>
        <w:tc>
          <w:tcPr>
            <w:tcW w:w="1022" w:type="pct"/>
            <w:vAlign w:val="center"/>
          </w:tcPr>
          <w:p w14:paraId="5AA9392D" w14:textId="77777777" w:rsidR="00D5686E" w:rsidRPr="00441DB5" w:rsidRDefault="00D5686E" w:rsidP="00D5686E">
            <w:r w:rsidRPr="00441DB5">
              <w:t>Treatments for hypertension</w:t>
            </w:r>
          </w:p>
        </w:tc>
        <w:tc>
          <w:tcPr>
            <w:tcW w:w="3978" w:type="pct"/>
            <w:vAlign w:val="center"/>
          </w:tcPr>
          <w:p w14:paraId="29036A8F" w14:textId="6AE88BF9" w:rsidR="00367302" w:rsidRPr="00441DB5" w:rsidRDefault="00D5686E" w:rsidP="00A93AEB">
            <w:pPr>
              <w:pStyle w:val="PNormal"/>
            </w:pPr>
            <w:r w:rsidRPr="00441DB5">
              <w:t>Patients ‘at risk of hypertension’ as indicate</w:t>
            </w:r>
            <w:r w:rsidR="00AC1C65" w:rsidRPr="00441DB5">
              <w:t>d by a read code (see Appendix 2.1</w:t>
            </w:r>
            <w:r w:rsidRPr="00441DB5">
              <w:t>) or blood pressure test result between 120/80 mm/Hg and 140/90 mm/Hg. In the case of no period ‘at risk’, patients with hypertension as indicate</w:t>
            </w:r>
            <w:r w:rsidR="00AC1C65" w:rsidRPr="00441DB5">
              <w:t>d by a read code (see Appendix 3.1</w:t>
            </w:r>
            <w:r w:rsidRPr="00441DB5">
              <w:t>) or a blood press</w:t>
            </w:r>
            <w:r w:rsidR="009B485A" w:rsidRPr="00441DB5">
              <w:t>ure test result in excess of 140/9</w:t>
            </w:r>
            <w:r w:rsidRPr="00441DB5">
              <w:t>0 mm/Hg</w:t>
            </w:r>
            <w:r w:rsidR="00A93AEB" w:rsidRPr="00441DB5">
              <w:t>.</w:t>
            </w:r>
          </w:p>
        </w:tc>
      </w:tr>
      <w:tr w:rsidR="00D5686E" w:rsidRPr="00441DB5" w14:paraId="545E8289" w14:textId="77777777" w:rsidTr="00ED49B0">
        <w:trPr>
          <w:cantSplit/>
          <w:trHeight w:val="20"/>
        </w:trPr>
        <w:tc>
          <w:tcPr>
            <w:tcW w:w="1022" w:type="pct"/>
            <w:vAlign w:val="center"/>
          </w:tcPr>
          <w:p w14:paraId="5C0ABCB3" w14:textId="77777777" w:rsidR="00D5686E" w:rsidRPr="00441DB5" w:rsidRDefault="00D5686E" w:rsidP="00D5686E">
            <w:r w:rsidRPr="00441DB5">
              <w:t>Treatments for hypercholesterolaemia</w:t>
            </w:r>
          </w:p>
        </w:tc>
        <w:tc>
          <w:tcPr>
            <w:tcW w:w="3978" w:type="pct"/>
            <w:vAlign w:val="center"/>
          </w:tcPr>
          <w:p w14:paraId="22F60D07" w14:textId="77777777" w:rsidR="00D5686E" w:rsidRPr="00441DB5" w:rsidRDefault="00D5686E" w:rsidP="00A93AEB">
            <w:pPr>
              <w:pStyle w:val="PNormal"/>
            </w:pPr>
            <w:r w:rsidRPr="00441DB5">
              <w:t>Patients ‘at risk of hypercholesterolaemia’ as indicate</w:t>
            </w:r>
            <w:r w:rsidR="00AC1C65" w:rsidRPr="00441DB5">
              <w:t>d by a read code (see Appendix 2.2</w:t>
            </w:r>
            <w:r w:rsidRPr="00441DB5">
              <w:t xml:space="preserve">) or a test result where total cholesterol level is between 4-5 mmol/L or LDL level is between 2-3 mmol/L. In the case of no period ‘at risk’, patients with hypercholesterolaemia as indicated </w:t>
            </w:r>
            <w:r w:rsidR="00AC1C65" w:rsidRPr="00441DB5">
              <w:t>by a read code (see Appendix 3.2</w:t>
            </w:r>
            <w:r w:rsidRPr="00441DB5">
              <w:t>) or a test result where total cholesterol level exceeds 5 mmol/L or LDL level exceeds 3 mmol/L</w:t>
            </w:r>
            <w:r w:rsidR="00A93AEB" w:rsidRPr="00441DB5">
              <w:t>.</w:t>
            </w:r>
          </w:p>
        </w:tc>
      </w:tr>
      <w:tr w:rsidR="00D5686E" w:rsidRPr="00441DB5" w14:paraId="6910F6B7" w14:textId="77777777" w:rsidTr="00ED49B0">
        <w:trPr>
          <w:cantSplit/>
          <w:trHeight w:val="20"/>
        </w:trPr>
        <w:tc>
          <w:tcPr>
            <w:tcW w:w="1022" w:type="pct"/>
            <w:vAlign w:val="center"/>
          </w:tcPr>
          <w:p w14:paraId="48C29610" w14:textId="77777777" w:rsidR="00D5686E" w:rsidRPr="00441DB5" w:rsidRDefault="00D5686E" w:rsidP="00D5686E">
            <w:r w:rsidRPr="00441DB5">
              <w:t xml:space="preserve">Treatments for </w:t>
            </w:r>
          </w:p>
          <w:p w14:paraId="6C03CAE9" w14:textId="77777777" w:rsidR="00D5686E" w:rsidRPr="00441DB5" w:rsidRDefault="00D5686E" w:rsidP="00D5686E">
            <w:r w:rsidRPr="00441DB5">
              <w:t>type 2 diabetes</w:t>
            </w:r>
          </w:p>
        </w:tc>
        <w:tc>
          <w:tcPr>
            <w:tcW w:w="3978" w:type="pct"/>
            <w:vAlign w:val="center"/>
          </w:tcPr>
          <w:p w14:paraId="688C4A72" w14:textId="77777777" w:rsidR="00D5686E" w:rsidRPr="00441DB5" w:rsidRDefault="00D5686E" w:rsidP="00AC1C65">
            <w:pPr>
              <w:pStyle w:val="PNormal"/>
            </w:pPr>
            <w:r w:rsidRPr="00441DB5">
              <w:t xml:space="preserve">Patients with impaired glucose tolerance or ‘at risk of diabetes’ as indicated </w:t>
            </w:r>
            <w:r w:rsidR="00AC1C65" w:rsidRPr="00441DB5">
              <w:t>by a read code (see Appendix 2.3</w:t>
            </w:r>
            <w:r w:rsidRPr="00441DB5">
              <w:t>) or a test result where blood glucose level is 6-7 mmol/l before the test and 7.9-11mmol/l two hours after the test. In the case of no period ‘at risk’, patients with t</w:t>
            </w:r>
            <w:r w:rsidR="00AC1C65" w:rsidRPr="00441DB5">
              <w:t>ype 2 diabetes (see Appendix 3.3</w:t>
            </w:r>
            <w:r w:rsidRPr="00441DB5">
              <w:t>) or a test result where blood glucose level exceeds 7 mmol/l before the test and 11mmol/l two hours after the test.</w:t>
            </w:r>
          </w:p>
        </w:tc>
      </w:tr>
    </w:tbl>
    <w:p w14:paraId="59C7875A" w14:textId="25C60DBF" w:rsidR="00197BBF" w:rsidRPr="00441DB5" w:rsidRDefault="00197BBF">
      <w:pPr>
        <w:rPr>
          <w:b/>
        </w:rPr>
      </w:pPr>
    </w:p>
    <w:p w14:paraId="048BA73F" w14:textId="5D8F33EA" w:rsidR="00D5686E" w:rsidRPr="00441DB5" w:rsidRDefault="00D5686E" w:rsidP="00D5686E">
      <w:pPr>
        <w:rPr>
          <w:b/>
          <w:lang w:val="en-US"/>
        </w:rPr>
      </w:pPr>
      <w:r w:rsidRPr="00441DB5">
        <w:rPr>
          <w:b/>
        </w:rPr>
        <w:lastRenderedPageBreak/>
        <w:t xml:space="preserve">Figure 1: </w:t>
      </w:r>
      <w:r w:rsidRPr="00441DB5">
        <w:rPr>
          <w:b/>
          <w:lang w:val="en-US"/>
        </w:rPr>
        <w:t>The cohort construction for cohort type A, designed to eliminate immortal time bias. For those without a period ‘at risk’, cohort entry will occur when they are diagnosed with the condition.</w:t>
      </w:r>
    </w:p>
    <w:bookmarkStart w:id="39" w:name="_Toc434319887"/>
    <w:bookmarkStart w:id="40" w:name="_Toc434320919"/>
    <w:p w14:paraId="7C9BBF40" w14:textId="77777777" w:rsidR="0032176C" w:rsidRPr="00441DB5" w:rsidRDefault="003B5F61">
      <w:r w:rsidRPr="00441DB5">
        <w:rPr>
          <w:noProof/>
          <w:lang w:val="en-US" w:eastAsia="en-US"/>
        </w:rPr>
        <mc:AlternateContent>
          <mc:Choice Requires="wpg">
            <w:drawing>
              <wp:anchor distT="0" distB="0" distL="114300" distR="114300" simplePos="0" relativeHeight="251659264" behindDoc="0" locked="0" layoutInCell="1" allowOverlap="1" wp14:anchorId="038E94FD" wp14:editId="0FF669EE">
                <wp:simplePos x="0" y="0"/>
                <wp:positionH relativeFrom="column">
                  <wp:posOffset>-379095</wp:posOffset>
                </wp:positionH>
                <wp:positionV relativeFrom="paragraph">
                  <wp:posOffset>175260</wp:posOffset>
                </wp:positionV>
                <wp:extent cx="6124655" cy="2049416"/>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6124655" cy="2049416"/>
                          <a:chOff x="0" y="0"/>
                          <a:chExt cx="6124655" cy="2049416"/>
                        </a:xfrm>
                      </wpg:grpSpPr>
                      <wpg:grpSp>
                        <wpg:cNvPr id="31" name="Group 31"/>
                        <wpg:cNvGrpSpPr/>
                        <wpg:grpSpPr>
                          <a:xfrm>
                            <a:off x="2079152" y="0"/>
                            <a:ext cx="1962785" cy="441960"/>
                            <a:chOff x="-169" y="0"/>
                            <a:chExt cx="1962785" cy="441960"/>
                          </a:xfrm>
                        </wpg:grpSpPr>
                        <wps:wsp>
                          <wps:cNvPr id="2" name="TextBox 24"/>
                          <wps:cNvSpPr txBox="1"/>
                          <wps:spPr>
                            <a:xfrm>
                              <a:off x="-169" y="0"/>
                              <a:ext cx="1962785" cy="441960"/>
                            </a:xfrm>
                            <a:prstGeom prst="rect">
                              <a:avLst/>
                            </a:prstGeom>
                            <a:noFill/>
                            <a:ln>
                              <a:solidFill>
                                <a:schemeClr val="dk1"/>
                              </a:solidFill>
                            </a:ln>
                          </wps:spPr>
                          <wps:txbx>
                            <w:txbxContent>
                              <w:p w14:paraId="79CB50F2" w14:textId="77777777" w:rsidR="00F94F54" w:rsidRPr="00845145" w:rsidRDefault="00F94F54" w:rsidP="00D5686E">
                                <w:pPr>
                                  <w:pStyle w:val="NormalWeb"/>
                                  <w:spacing w:before="0" w:beforeAutospacing="0" w:after="0" w:afterAutospacing="0"/>
                                </w:pPr>
                                <w:r w:rsidRPr="00845145">
                                  <w:rPr>
                                    <w:color w:val="000000" w:themeColor="text1"/>
                                    <w:kern w:val="24"/>
                                  </w:rPr>
                                  <w:t>Exposed</w:t>
                                </w:r>
                              </w:p>
                              <w:p w14:paraId="07ED3DDE" w14:textId="77777777" w:rsidR="00F94F54" w:rsidRPr="00845145" w:rsidRDefault="00F94F54" w:rsidP="00D5686E">
                                <w:pPr>
                                  <w:pStyle w:val="NormalWeb"/>
                                  <w:spacing w:before="0" w:beforeAutospacing="0" w:after="0" w:afterAutospacing="0"/>
                                </w:pPr>
                                <w:r w:rsidRPr="00845145">
                                  <w:rPr>
                                    <w:color w:val="000000" w:themeColor="text1"/>
                                    <w:kern w:val="24"/>
                                  </w:rPr>
                                  <w:t>Unexposed</w:t>
                                </w:r>
                              </w:p>
                            </w:txbxContent>
                          </wps:txbx>
                          <wps:bodyPr wrap="square" rtlCol="0">
                            <a:spAutoFit/>
                          </wps:bodyPr>
                        </wps:wsp>
                        <wps:wsp>
                          <wps:cNvPr id="3" name="Straight Connector 3"/>
                          <wps:cNvCnPr/>
                          <wps:spPr>
                            <a:xfrm>
                              <a:off x="1014609" y="263047"/>
                              <a:ext cx="81407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1014609" y="121085"/>
                              <a:ext cx="814204"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33" name="Group 33"/>
                        <wpg:cNvGrpSpPr/>
                        <wpg:grpSpPr>
                          <a:xfrm>
                            <a:off x="0" y="1014609"/>
                            <a:ext cx="6124594" cy="500239"/>
                            <a:chOff x="0" y="0"/>
                            <a:chExt cx="6124933" cy="500279"/>
                          </a:xfrm>
                        </wpg:grpSpPr>
                        <wps:wsp>
                          <wps:cNvPr id="5" name="TextBox 102"/>
                          <wps:cNvSpPr txBox="1"/>
                          <wps:spPr>
                            <a:xfrm>
                              <a:off x="0" y="58284"/>
                              <a:ext cx="1440260" cy="441995"/>
                            </a:xfrm>
                            <a:prstGeom prst="rect">
                              <a:avLst/>
                            </a:prstGeom>
                            <a:noFill/>
                          </wps:spPr>
                          <wps:txbx>
                            <w:txbxContent>
                              <w:p w14:paraId="2EFCA4A5"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‘precondition’</w:t>
                                </w:r>
                              </w:p>
                            </w:txbxContent>
                          </wps:txbx>
                          <wps:bodyPr wrap="square" rtlCol="0" anchor="ctr">
                            <a:spAutoFit/>
                          </wps:bodyPr>
                        </wps:wsp>
                        <wps:wsp>
                          <wps:cNvPr id="6" name="TextBox 104"/>
                          <wps:cNvSpPr txBox="1"/>
                          <wps:spPr>
                            <a:xfrm>
                              <a:off x="4684673" y="58284"/>
                              <a:ext cx="1440260" cy="266721"/>
                            </a:xfrm>
                            <a:prstGeom prst="rect">
                              <a:avLst/>
                            </a:prstGeom>
                            <a:noFill/>
                          </wps:spPr>
                          <wps:txbx>
                            <w:txbxContent>
                              <w:p w14:paraId="4EACD101"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Outcome</w:t>
                                </w:r>
                              </w:p>
                            </w:txbxContent>
                          </wps:txbx>
                          <wps:bodyPr wrap="square" rtlCol="0" anchor="ctr">
                            <a:spAutoFit/>
                          </wps:bodyPr>
                        </wps:wsp>
                        <wps:wsp>
                          <wps:cNvPr id="7" name="TextBox 106"/>
                          <wps:cNvSpPr txBox="1"/>
                          <wps:spPr>
                            <a:xfrm>
                              <a:off x="1640888" y="58284"/>
                              <a:ext cx="1439625" cy="441995"/>
                            </a:xfrm>
                            <a:prstGeom prst="rect">
                              <a:avLst/>
                            </a:prstGeom>
                            <a:noFill/>
                          </wps:spPr>
                          <wps:txbx>
                            <w:txbxContent>
                              <w:p w14:paraId="27A8371E"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condition</w:t>
                                </w:r>
                              </w:p>
                            </w:txbxContent>
                          </wps:txbx>
                          <wps:bodyPr wrap="square" rtlCol="0" anchor="ctr">
                            <a:spAutoFit/>
                          </wps:bodyPr>
                        </wps:wsp>
                        <wps:wsp>
                          <wps:cNvPr id="9" name="Straight Connector 9"/>
                          <wps:cNvCnPr/>
                          <wps:spPr>
                            <a:xfrm rot="2700000">
                              <a:off x="2308964" y="4176"/>
                              <a:ext cx="108000" cy="1080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 name="Isosceles Triangle 10"/>
                          <wps:cNvSpPr/>
                          <wps:spPr>
                            <a:xfrm rot="5400000">
                              <a:off x="655529" y="0"/>
                              <a:ext cx="108000" cy="10800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1" name="Oval 11"/>
                          <wps:cNvSpPr/>
                          <wps:spPr>
                            <a:xfrm>
                              <a:off x="5340263" y="4176"/>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2" name="Straight Arrow Connector 12"/>
                          <wps:cNvCnPr/>
                          <wps:spPr>
                            <a:xfrm>
                              <a:off x="718159" y="58455"/>
                              <a:ext cx="1640873" cy="0"/>
                            </a:xfrm>
                            <a:prstGeom prst="straightConnector1">
                              <a:avLst/>
                            </a:prstGeom>
                            <a:ln w="12700">
                              <a:prstDash val="dash"/>
                              <a:headEnd type="none" w="lg" len="lg"/>
                              <a:tailEnd type="none" w="lg" len="lg"/>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359068" y="58455"/>
                              <a:ext cx="3042792" cy="0"/>
                            </a:xfrm>
                            <a:prstGeom prst="line">
                              <a:avLst/>
                            </a:prstGeom>
                            <a:ln w="12700">
                              <a:prstDash val="dash"/>
                              <a:headEnd type="none" w="lg" len="lg"/>
                              <a:tailEnd type="none" w="lg" len="lg"/>
                            </a:ln>
                          </wps:spPr>
                          <wps:style>
                            <a:lnRef idx="1">
                              <a:schemeClr val="dk1"/>
                            </a:lnRef>
                            <a:fillRef idx="0">
                              <a:schemeClr val="dk1"/>
                            </a:fillRef>
                            <a:effectRef idx="0">
                              <a:schemeClr val="dk1"/>
                            </a:effectRef>
                            <a:fontRef idx="minor">
                              <a:schemeClr val="tx1"/>
                            </a:fontRef>
                          </wps:style>
                          <wps:bodyPr/>
                        </wps:wsp>
                      </wpg:grpSp>
                      <wpg:grpSp>
                        <wpg:cNvPr id="32" name="Group 32"/>
                        <wpg:cNvGrpSpPr/>
                        <wpg:grpSpPr>
                          <a:xfrm>
                            <a:off x="0" y="475989"/>
                            <a:ext cx="6124655" cy="504504"/>
                            <a:chOff x="0" y="0"/>
                            <a:chExt cx="6124655" cy="504504"/>
                          </a:xfrm>
                        </wpg:grpSpPr>
                        <wps:wsp>
                          <wps:cNvPr id="14" name="TextBox 64"/>
                          <wps:cNvSpPr txBox="1"/>
                          <wps:spPr>
                            <a:xfrm>
                              <a:off x="0" y="62544"/>
                              <a:ext cx="1440180" cy="441960"/>
                            </a:xfrm>
                            <a:prstGeom prst="rect">
                              <a:avLst/>
                            </a:prstGeom>
                            <a:noFill/>
                          </wps:spPr>
                          <wps:txbx>
                            <w:txbxContent>
                              <w:p w14:paraId="5C0CBB2E"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‘precondition’</w:t>
                                </w:r>
                              </w:p>
                            </w:txbxContent>
                          </wps:txbx>
                          <wps:bodyPr wrap="square" rtlCol="0" anchor="ctr">
                            <a:spAutoFit/>
                          </wps:bodyPr>
                        </wps:wsp>
                        <wps:wsp>
                          <wps:cNvPr id="15" name="TextBox 65"/>
                          <wps:cNvSpPr txBox="1"/>
                          <wps:spPr>
                            <a:xfrm>
                              <a:off x="4684475" y="62544"/>
                              <a:ext cx="1440180" cy="266700"/>
                            </a:xfrm>
                            <a:prstGeom prst="rect">
                              <a:avLst/>
                            </a:prstGeom>
                            <a:noFill/>
                          </wps:spPr>
                          <wps:txbx>
                            <w:txbxContent>
                              <w:p w14:paraId="14C89B45"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Outcome</w:t>
                                </w:r>
                              </w:p>
                            </w:txbxContent>
                          </wps:txbx>
                          <wps:bodyPr wrap="square" rtlCol="0" anchor="ctr">
                            <a:spAutoFit/>
                          </wps:bodyPr>
                        </wps:wsp>
                        <wps:wsp>
                          <wps:cNvPr id="16" name="Isosceles Triangle 16"/>
                          <wps:cNvSpPr/>
                          <wps:spPr>
                            <a:xfrm rot="5400000">
                              <a:off x="655529" y="4176"/>
                              <a:ext cx="108000" cy="10800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7" name="Oval 17"/>
                          <wps:cNvSpPr/>
                          <wps:spPr>
                            <a:xfrm>
                              <a:off x="5340263" y="0"/>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8" name="Straight Connector 18"/>
                          <wps:cNvCnPr/>
                          <wps:spPr>
                            <a:xfrm>
                              <a:off x="718159" y="62630"/>
                              <a:ext cx="4683665" cy="0"/>
                            </a:xfrm>
                            <a:prstGeom prst="line">
                              <a:avLst/>
                            </a:prstGeom>
                            <a:ln w="12700" cmpd="sng">
                              <a:prstDash val="dash"/>
                              <a:headEnd type="none" w="lg" len="lg"/>
                              <a:tailEnd type="none" w="lg" len="lg"/>
                            </a:ln>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0" y="1549052"/>
                            <a:ext cx="6124655" cy="500364"/>
                            <a:chOff x="0" y="0"/>
                            <a:chExt cx="6124655" cy="500364"/>
                          </a:xfrm>
                        </wpg:grpSpPr>
                        <wps:wsp>
                          <wps:cNvPr id="19" name="TextBox 35"/>
                          <wps:cNvSpPr txBox="1"/>
                          <wps:spPr>
                            <a:xfrm>
                              <a:off x="0" y="58198"/>
                              <a:ext cx="1440180" cy="441960"/>
                            </a:xfrm>
                            <a:prstGeom prst="rect">
                              <a:avLst/>
                            </a:prstGeom>
                            <a:noFill/>
                          </wps:spPr>
                          <wps:txbx>
                            <w:txbxContent>
                              <w:p w14:paraId="72625355"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‘precondition’</w:t>
                                </w:r>
                              </w:p>
                            </w:txbxContent>
                          </wps:txbx>
                          <wps:bodyPr wrap="square" rtlCol="0" anchor="ctr">
                            <a:spAutoFit/>
                          </wps:bodyPr>
                        </wps:wsp>
                        <wps:wsp>
                          <wps:cNvPr id="20" name="TextBox 36"/>
                          <wps:cNvSpPr txBox="1"/>
                          <wps:spPr>
                            <a:xfrm>
                              <a:off x="4684475" y="58404"/>
                              <a:ext cx="1440180" cy="266700"/>
                            </a:xfrm>
                            <a:prstGeom prst="rect">
                              <a:avLst/>
                            </a:prstGeom>
                            <a:noFill/>
                          </wps:spPr>
                          <wps:txbx>
                            <w:txbxContent>
                              <w:p w14:paraId="1867D196"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Outcome</w:t>
                                </w:r>
                              </w:p>
                            </w:txbxContent>
                          </wps:txbx>
                          <wps:bodyPr wrap="square" rtlCol="0" anchor="ctr">
                            <a:spAutoFit/>
                          </wps:bodyPr>
                        </wps:wsp>
                        <wps:wsp>
                          <wps:cNvPr id="21" name="TextBox 68"/>
                          <wps:cNvSpPr txBox="1"/>
                          <wps:spPr>
                            <a:xfrm>
                              <a:off x="1640888" y="58404"/>
                              <a:ext cx="1440180" cy="441960"/>
                            </a:xfrm>
                            <a:prstGeom prst="rect">
                              <a:avLst/>
                            </a:prstGeom>
                            <a:noFill/>
                          </wps:spPr>
                          <wps:txbx>
                            <w:txbxContent>
                              <w:p w14:paraId="6F57782A"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condition</w:t>
                                </w:r>
                              </w:p>
                            </w:txbxContent>
                          </wps:txbx>
                          <wps:bodyPr wrap="square" rtlCol="0" anchor="ctr">
                            <a:spAutoFit/>
                          </wps:bodyPr>
                        </wps:wsp>
                        <wps:wsp>
                          <wps:cNvPr id="22" name="TextBox 69"/>
                          <wps:cNvSpPr txBox="1"/>
                          <wps:spPr>
                            <a:xfrm>
                              <a:off x="3348581" y="58242"/>
                              <a:ext cx="1440180" cy="266700"/>
                            </a:xfrm>
                            <a:prstGeom prst="rect">
                              <a:avLst/>
                            </a:prstGeom>
                            <a:noFill/>
                          </wps:spPr>
                          <wps:txbx>
                            <w:txbxContent>
                              <w:p w14:paraId="55CFD44E"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First drug use</w:t>
                                </w:r>
                              </w:p>
                            </w:txbxContent>
                          </wps:txbx>
                          <wps:bodyPr wrap="square" rtlCol="0" anchor="ctr">
                            <a:spAutoFit/>
                          </wps:bodyPr>
                        </wps:wsp>
                        <wps:wsp>
                          <wps:cNvPr id="23" name="Straight Arrow Connector 23"/>
                          <wps:cNvCnPr/>
                          <wps:spPr>
                            <a:xfrm>
                              <a:off x="718159" y="58455"/>
                              <a:ext cx="1640873" cy="0"/>
                            </a:xfrm>
                            <a:prstGeom prst="straightConnector1">
                              <a:avLst/>
                            </a:prstGeom>
                            <a:ln w="12700">
                              <a:prstDash val="dash"/>
                              <a:headEnd type="none" w="lg" len="lg"/>
                              <a:tailEnd type="none" w="lg" len="lg"/>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359068" y="58455"/>
                              <a:ext cx="1708234" cy="0"/>
                            </a:xfrm>
                            <a:prstGeom prst="line">
                              <a:avLst/>
                            </a:prstGeom>
                            <a:ln w="12700">
                              <a:prstDash val="dash"/>
                              <a:headEnd type="none" w="lg" len="lg"/>
                              <a:tailEnd type="none" w="lg" len="lg"/>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4070959" y="58455"/>
                              <a:ext cx="1334558" cy="0"/>
                            </a:xfrm>
                            <a:prstGeom prst="line">
                              <a:avLst/>
                            </a:prstGeom>
                            <a:ln w="12700">
                              <a:headEnd type="none" w="lg" len="lg"/>
                              <a:tailEnd type="none" w="lg" len="lg"/>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rot="2700000">
                              <a:off x="2308965" y="4175"/>
                              <a:ext cx="108000" cy="1080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Isosceles Triangle 27"/>
                          <wps:cNvSpPr/>
                          <wps:spPr>
                            <a:xfrm rot="5400000">
                              <a:off x="655529" y="8351"/>
                              <a:ext cx="108000" cy="10800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8" name="Oval 28"/>
                          <wps:cNvSpPr/>
                          <wps:spPr>
                            <a:xfrm>
                              <a:off x="5340263" y="0"/>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9" name="Straight Connector 29"/>
                          <wps:cNvCnPr/>
                          <wps:spPr>
                            <a:xfrm rot="2700000">
                              <a:off x="4016680" y="4175"/>
                              <a:ext cx="108000" cy="108000"/>
                            </a:xfrm>
                            <a:prstGeom prst="line">
                              <a:avLst/>
                            </a:prstGeom>
                            <a:ln w="1270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38E94FD" id="Group 34" o:spid="_x0000_s1026" style="position:absolute;margin-left:-29.85pt;margin-top:13.8pt;width:482.25pt;height:161.35pt;z-index:251659264" coordsize="61246,2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">
                <v:group id="Group 31" o:spid="_x0000_s1027" style="position:absolute;left:20791;width:19628;height:4419" coordorigin="-1" coordsize="19627,4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Box 24" o:spid="_x0000_s1028" type="#_x0000_t202" style="position:absolute;left:-1;width:19627;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G0rsA&#10;AADaAAAADwAAAGRycy9kb3ducmV2LnhtbERPSwrCMBDdC94hjOBGNFWkSDWKFARXij/cDs3YFptJ&#10;aaLW2xtBcPl4/8WqNZV4UuNKywrGowgEcWZ1ybmC82kznIFwHlljZZkUvMnBatntLDDR9sUHeh59&#10;LkIIuwQVFN7XiZQuK8igG9maOHA32xj0ATa51A2+Qrip5CSKYmmw5NBQYE1pQdn9+DBhxmmfTqNd&#10;LQfby/46iNc6fqReqX6vXc9BeGr9X/xzb7WCCXyvBD/I5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EmhtK7AAAA2gAAAA8AAAAAAAAAAAAAAAAAmAIAAGRycy9kb3ducmV2Lnht&#10;bFBLBQYAAAAABAAEAPUAAACAAwAAAAA=&#10;" filled="f" strokecolor="black [3200]">
                    <v:textbox style="mso-fit-shape-to-text:t">
                      <w:txbxContent>
                        <w:p w14:paraId="79CB50F2" w14:textId="77777777" w:rsidR="00F94F54" w:rsidRPr="00845145" w:rsidRDefault="00F94F54" w:rsidP="00D5686E">
                          <w:pPr>
                            <w:pStyle w:val="NormalWeb"/>
                            <w:spacing w:before="0" w:beforeAutospacing="0" w:after="0" w:afterAutospacing="0"/>
                          </w:pPr>
                          <w:r w:rsidRPr="00845145">
                            <w:rPr>
                              <w:color w:val="000000" w:themeColor="text1"/>
                              <w:kern w:val="24"/>
                            </w:rPr>
                            <w:t>Exposed</w:t>
                          </w:r>
                        </w:p>
                        <w:p w14:paraId="07ED3DDE" w14:textId="77777777" w:rsidR="00F94F54" w:rsidRPr="00845145" w:rsidRDefault="00F94F54" w:rsidP="00D5686E">
                          <w:pPr>
                            <w:pStyle w:val="NormalWeb"/>
                            <w:spacing w:before="0" w:beforeAutospacing="0" w:after="0" w:afterAutospacing="0"/>
                          </w:pPr>
                          <w:r w:rsidRPr="00845145">
                            <w:rPr>
                              <w:color w:val="000000" w:themeColor="text1"/>
                              <w:kern w:val="24"/>
                            </w:rPr>
                            <w:t>Unexposed</w:t>
                          </w:r>
                        </w:p>
                      </w:txbxContent>
                    </v:textbox>
                  </v:shape>
                  <v:line id="Straight Connector 3" o:spid="_x0000_s1029" style="position:absolute;visibility:visible;mso-wrap-style:square" from="10146,2630" to="1828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tLo8AAAADaAAAADwAAAGRycy9kb3ducmV2LnhtbESPQWvCQBSE7wX/w/IKXkrdVKHY6CpW&#10;ULwaRa+P7DMbmn0bsk+N/94tFHocZuYbZr7sfaNu1MU6sIGPUQaKuAy25srA8bB5n4KKgmyxCUwG&#10;HhRhuRi8zDG34c57uhVSqQThmKMBJ9LmWsfSkcc4Ci1x8i6h8yhJdpW2Hd4T3Dd6nGWf2mPNacFh&#10;S2tH5U9x9Qa+9hNywjbIQc7buno7Fd/Z2Jjha7+agRLq5T/8195ZAxP4vZJugF4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7S6PAAAAA2gAAAA8AAAAAAAAAAAAAAAAA&#10;oQIAAGRycy9kb3ducmV2LnhtbFBLBQYAAAAABAAEAPkAAACOAwAAAAA=&#10;" strokecolor="black [3040]" strokeweight="1pt">
                    <v:stroke dashstyle="dash"/>
                  </v:line>
                  <v:line id="Straight Connector 4" o:spid="_x0000_s1030" style="position:absolute;visibility:visible;mso-wrap-style:square" from="10146,1210" to="18288,1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4sIcMAAADaAAAADwAAAGRycy9kb3ducmV2LnhtbESPUWvCMBSF3wf7D+EO9jbTiQzpTMsQ&#10;BX0orLofcNfcNdHmpjaZdv9+EQQfD+ec73AW5eg6caYhWM8KXicZCOLGa8utgq/9+mUOIkRkjZ1n&#10;UvBHAcri8WGBufYXrum8i61IEA45KjAx9rmUoTHkMEx8T5y8Hz84jEkOrdQDXhLcdXKaZW/SoeW0&#10;YLCnpaHmuPt1Cg6fU78aw9ZsT7Pvammz2lZVrdTz0/jxDiLSGO/hW3ujFczgeiXdAF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LCHDAAAA2gAAAA8AAAAAAAAAAAAA&#10;AAAAoQIAAGRycy9kb3ducmV2LnhtbFBLBQYAAAAABAAEAPkAAACRAwAAAAA=&#10;" strokecolor="black [3040]" strokeweight="1pt"/>
                </v:group>
                <v:group id="Group 33" o:spid="_x0000_s1031" style="position:absolute;top:10146;width:61245;height:5002" coordsize="61249,5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Box 102" o:spid="_x0000_s1032" type="#_x0000_t202" style="position:absolute;top:582;width:14402;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KPMQA&#10;AADaAAAADwAAAGRycy9kb3ducmV2LnhtbESPQWvCQBSE7wX/w/IEb3Wj0CKpq2ihWGsvJvXg7ZF9&#10;JtHs25Bdk/jvXaHgcZiZb5j5sjeVaKlxpWUFk3EEgjizuuRcwV/69ToD4TyyxsoyKbiRg+Vi8DLH&#10;WNuO99QmPhcBwi5GBYX3dSylywoy6Ma2Jg7eyTYGfZBNLnWDXYCbSk6j6F0aLDksFFjTZ0HZJbka&#10;BTY9pbNNdD5210O23u5+2+NPJZUaDfvVBwhPvX+G/9vfWsEbPK6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rijzEAAAA2gAAAA8AAAAAAAAAAAAAAAAAmAIAAGRycy9k&#10;b3ducmV2LnhtbFBLBQYAAAAABAAEAPUAAACJAwAAAAA=&#10;" filled="f" stroked="f">
                    <v:textbox style="mso-fit-shape-to-text:t">
                      <w:txbxContent>
                        <w:p w14:paraId="2EFCA4A5"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‘precondition’</w:t>
                          </w:r>
                        </w:p>
                      </w:txbxContent>
                    </v:textbox>
                  </v:shape>
                  <v:shape id="TextBox 104" o:spid="_x0000_s1033" type="#_x0000_t202" style="position:absolute;left:46846;top:582;width:14403;height: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US8UA&#10;AADaAAAADwAAAGRycy9kb3ducmV2LnhtbESPT2vCQBTE7wW/w/KE3ppNe5AQs4oWSv/YSxM9eHtk&#10;n0k0+zZk1yT99m6h4HGYmd8w2XoyrRiod41lBc9RDIK4tLrhSsG+eHtKQDiPrLG1TAp+ycF6NXvI&#10;MNV25B8acl+JAGGXooLa+y6V0pU1GXSR7YiDd7K9QR9kX0nd4xjgppUvcbyQBhsOCzV29FpTecmv&#10;RoEtTkXyHp+P4/VQbj9338Pxq5VKPc6nzRKEp8nfw//tD61gAX9Xw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RLxQAAANoAAAAPAAAAAAAAAAAAAAAAAJgCAABkcnMv&#10;ZG93bnJldi54bWxQSwUGAAAAAAQABAD1AAAAigMAAAAA&#10;" filled="f" stroked="f">
                    <v:textbox style="mso-fit-shape-to-text:t">
                      <w:txbxContent>
                        <w:p w14:paraId="4EACD101"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Outcome</w:t>
                          </w:r>
                        </w:p>
                      </w:txbxContent>
                    </v:textbox>
                  </v:shape>
                  <v:shape id="TextBox 106" o:spid="_x0000_s1034" type="#_x0000_t202" style="position:absolute;left:16408;top:582;width:14397;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x0MQA&#10;AADaAAAADwAAAGRycy9kb3ducmV2LnhtbESPQWvCQBSE7wX/w/IEb3Wjh1ZSV9FCsdZeTOrB2yP7&#10;TKLZtyG7JvHfu0LB4zAz3zDzZW8q0VLjSssKJuMIBHFmdcm5gr/063UGwnlkjZVlUnAjB8vF4GWO&#10;sbYd76lNfC4ChF2MCgrv61hKlxVk0I1tTRy8k20M+iCbXOoGuwA3lZxG0Zs0WHJYKLCmz4KyS3I1&#10;Cmx6Smeb6Hzsrodsvd39tsefSio1GvarDxCeev8M/7e/tYJ3eFw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1sdDEAAAA2gAAAA8AAAAAAAAAAAAAAAAAmAIAAGRycy9k&#10;b3ducmV2LnhtbFBLBQYAAAAABAAEAPUAAACJAwAAAAA=&#10;" filled="f" stroked="f">
                    <v:textbox style="mso-fit-shape-to-text:t">
                      <w:txbxContent>
                        <w:p w14:paraId="27A8371E"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condition</w:t>
                          </w:r>
                        </w:p>
                      </w:txbxContent>
                    </v:textbox>
                  </v:shape>
                  <v:line id="Straight Connector 9" o:spid="_x0000_s1035" style="position:absolute;rotation:45;visibility:visible;mso-wrap-style:square" from="23089,41" to="24169,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qms8MAAADaAAAADwAAAGRycy9kb3ducmV2LnhtbESPQWvCQBSE74L/YXkFb7ppDtamrhK1&#10;Fgn0UFt6fmSfSeju25DdmuTfu4WCx2FmvmHW28EacaXON44VPC4SEMSl0w1XCr4+j/MVCB+QNRrH&#10;pGAkD9vNdLLGTLueP+h6DpWIEPYZKqhDaDMpfVmTRb9wLXH0Lq6zGKLsKqk77CPcGpkmyVJabDgu&#10;1NjSvqby5/xrFRyW9jvdERb5ZWyezOtYmPc3VGr2MOQvIAIN4R7+b5+0gmf4uxJv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prPDAAAA2gAAAA8AAAAAAAAAAAAA&#10;AAAAoQIAAGRycy9kb3ducmV2LnhtbFBLBQYAAAAABAAEAPkAAACRAwAAAAA=&#10;" strokecolor="black [304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36" type="#_x0000_t5" style="position:absolute;left:6555;width:1080;height:10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A1X8UA&#10;AADbAAAADwAAAGRycy9kb3ducmV2LnhtbESPQWvCQBCF7wX/wzKCt7ppI1KiqxRFELGHpu3B25gd&#10;k7TZ2TS7avz3nUPB2wzvzXvfzJe9a9SFulB7NvA0TkARF97WXBr4/Ng8voAKEdli45kM3CjAcjF4&#10;mGNm/ZXf6ZLHUkkIhwwNVDG2mdahqMhhGPuWWLST7xxGWbtS2w6vEu4a/ZwkU+2wZmmosKVVRcVP&#10;fnYG3g6TNK912a9/v47f+5ju0pBMjRkN+9cZqEh9vJv/r7dW8IVefpEB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VfxQAAANsAAAAPAAAAAAAAAAAAAAAAAJgCAABkcnMv&#10;ZG93bnJldi54bWxQSwUGAAAAAAQABAD1AAAAigMAAAAA&#10;" fillcolor="black [3200]" strokecolor="black [1600]" strokeweight="2pt"/>
                  <v:oval id="Oval 11" o:spid="_x0000_s1037" style="position:absolute;left:53402;top:4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9ub8A&#10;AADbAAAADwAAAGRycy9kb3ducmV2LnhtbERPTYvCMBC9L/gfwix4W1P3oFKNsisIRU9WvY/N2HRt&#10;JqXJ1vrvjSB4m8f7nMWqt7XoqPWVYwXjUQKCuHC64lLB8bD5moHwAVlj7ZgU3MnDajn4WGCq3Y33&#10;1OWhFDGEfYoKTAhNKqUvDFn0I9cQR+7iWoshwraUusVbDLe1/E6SibRYcWww2NDaUHHN/60Ct9md&#10;9dQcrtnpL+PqnP9224tRavjZ/8xBBOrDW/xyZzrOH8Pzl3iA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Vf25vwAAANsAAAAPAAAAAAAAAAAAAAAAAJgCAABkcnMvZG93bnJl&#10;di54bWxQSwUGAAAAAAQABAD1AAAAhAMAAAAA&#10;" fillcolor="black [3200]" strokecolor="black [1600]" strokeweight="2pt"/>
                  <v:shapetype id="_x0000_t32" coordsize="21600,21600" o:spt="32" o:oned="t" path="m,l21600,21600e" filled="f">
                    <v:path arrowok="t" fillok="f" o:connecttype="none"/>
                    <o:lock v:ext="edit" shapetype="t"/>
                  </v:shapetype>
                  <v:shape id="Straight Arrow Connector 12" o:spid="_x0000_s1038" type="#_x0000_t32" style="position:absolute;left:7181;top:584;width:16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1i/sMAAADbAAAADwAAAGRycy9kb3ducmV2LnhtbERPS2sCMRC+F/wPYQQvRbNaFVmNopai&#10;XoovEG/DZvaBm8mySXX996ZQ6G0+vufMFo0pxZ1qV1hW0O9FIIgTqwvOFJxPX90JCOeRNZaWScGT&#10;HCzmrbcZxto++ED3o89ECGEXo4Lc+yqW0iU5GXQ9WxEHLrW1QR9gnUld4yOEm1IOomgsDRYcGnKs&#10;aJ1Tcjv+GAXRx+dQDr9XxXiUZpddsr++b9KdUp12s5yC8NT4f/Gfe6vD/AH8/hIO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Yv7DAAAA2wAAAA8AAAAAAAAAAAAA&#10;AAAAoQIAAGRycy9kb3ducmV2LnhtbFBLBQYAAAAABAAEAPkAAACRAwAAAAA=&#10;" strokecolor="black [3040]" strokeweight="1pt">
                    <v:stroke dashstyle="dash" startarrowwidth="wide" startarrowlength="long" endarrowwidth="wide" endarrowlength="long"/>
                  </v:shape>
                  <v:line id="Straight Connector 13" o:spid="_x0000_s1039" style="position:absolute;visibility:visible;mso-wrap-style:square" from="23590,584" to="540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C2cAAAADbAAAADwAAAGRycy9kb3ducmV2LnhtbERP32vCMBB+H/g/hBP2NlNXGFKNpYgD&#10;X+2Esbdbc7bF5hKTqJ1/vRkM9nYf389blaMZxJV86C0rmM8yEMSN1T23Cg4f7y8LECEiaxwsk4If&#10;ClCuJ08rLLS98Z6udWxFCuFQoIIuRldIGZqODIaZdcSJO1pvMCboW6k93lK4GeRrlr1Jgz2nhg4d&#10;bTpqTvXFKMhxuNTfX97d+SAX289wzl11Vup5OlZLEJHG+C/+c+90mp/D7y/pAL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4CQtnAAAAA2wAAAA8AAAAAAAAAAAAAAAAA&#10;oQIAAGRycy9kb3ducmV2LnhtbFBLBQYAAAAABAAEAPkAAACOAwAAAAA=&#10;" strokecolor="black [3040]" strokeweight="1pt">
                    <v:stroke dashstyle="dash" startarrowwidth="wide" startarrowlength="long" endarrowwidth="wide" endarrowlength="long"/>
                  </v:line>
                </v:group>
                <v:group id="Group 32" o:spid="_x0000_s1040" style="position:absolute;top:4759;width:61246;height:5045" coordsize="61246,5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Box 64" o:spid="_x0000_s1041" type="#_x0000_t202" style="position:absolute;top:625;width:14401;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dMIA&#10;AADbAAAADwAAAGRycy9kb3ducmV2LnhtbERPTWvCQBC9F/wPywje6kYpRVJX0UKx1l5M6sHbkB2T&#10;aHY2ZNck/ntXKHibx/uc+bI3lWipcaVlBZNxBII4s7rkXMFf+vU6A+E8ssbKMim4kYPlYvAyx1jb&#10;jvfUJj4XIYRdjAoK7+tYSpcVZNCNbU0cuJNtDPoAm1zqBrsQbio5jaJ3abDk0FBgTZ8FZZfkahTY&#10;9JTONtH52F0P2Xq7+22PP5VUajTsVx8gPPX+Kf53f+sw/w0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w10wgAAANsAAAAPAAAAAAAAAAAAAAAAAJgCAABkcnMvZG93&#10;bnJldi54bWxQSwUGAAAAAAQABAD1AAAAhwMAAAAA&#10;" filled="f" stroked="f">
                    <v:textbox style="mso-fit-shape-to-text:t">
                      <w:txbxContent>
                        <w:p w14:paraId="5C0CBB2E"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‘precondition’</w:t>
                          </w:r>
                        </w:p>
                      </w:txbxContent>
                    </v:textbox>
                  </v:shape>
                  <v:shape id="TextBox 65" o:spid="_x0000_s1042" type="#_x0000_t202" style="position:absolute;left:46844;top:625;width:1440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eo78IA&#10;AADbAAAADwAAAGRycy9kb3ducmV2LnhtbERPTWvCQBC9F/wPywje6kahRVJX0UKx1l5M6sHbkB2T&#10;aHY2ZNck/ntXKHibx/uc+bI3lWipcaVlBZNxBII4s7rkXMFf+vU6A+E8ssbKMim4kYPlYvAyx1jb&#10;jvfUJj4XIYRdjAoK7+tYSpcVZNCNbU0cuJNtDPoAm1zqBrsQbio5jaJ3abDk0FBgTZ8FZZfkahTY&#10;9JTONtH52F0P2Xq7+22PP5VUajTsVx8gPPX+Kf53f+sw/w0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6jvwgAAANsAAAAPAAAAAAAAAAAAAAAAAJgCAABkcnMvZG93&#10;bnJldi54bWxQSwUGAAAAAAQABAD1AAAAhwMAAAAA&#10;" filled="f" stroked="f">
                    <v:textbox style="mso-fit-shape-to-text:t">
                      <w:txbxContent>
                        <w:p w14:paraId="14C89B45"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Outcome</w:t>
                          </w:r>
                        </w:p>
                      </w:txbxContent>
                    </v:textbox>
                  </v:shape>
                  <v:shape id="Isosceles Triangle 16" o:spid="_x0000_s1043" type="#_x0000_t5" style="position:absolute;left:6555;top:41;width:1080;height:10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IsMIA&#10;AADbAAAADwAAAGRycy9kb3ducmV2LnhtbERPTWvCQBC9F/oflil4000bCSW6SmkRRPRgrAdvY3ZM&#10;YrOzMbtq/PeuIPQ2j/c542lnanGh1lWWFbwPIhDEudUVFwp+N7P+JwjnkTXWlknBjRxMJ68vY0y1&#10;vfKaLpkvRAhhl6KC0vsmldLlJRl0A9sQB+5gW4M+wLaQusVrCDe1/IiiRBqsODSU2NB3SflfdjYK&#10;VrthnFWy6H5O2/1x6eNF7KJEqd5b9zUC4anz/+Kne67D/AQev4Q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QiwwgAAANsAAAAPAAAAAAAAAAAAAAAAAJgCAABkcnMvZG93&#10;bnJldi54bWxQSwUGAAAAAAQABAD1AAAAhwMAAAAA&#10;" fillcolor="black [3200]" strokecolor="black [1600]" strokeweight="2pt"/>
                  <v:oval id="Oval 17" o:spid="_x0000_s1044" style="position:absolute;left:5340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sEA&#10;AADbAAAADwAAAGRycy9kb3ducmV2LnhtbERPPWvDMBDdC/kP4gLZGjkZkuJaNk0gYNqpTrpfrLPl&#10;xjoZS3Xcf18VCt3u8T4vK2bbi4lG3zlWsFknIIhrpztuFVzOp8cnED4ga+wdk4Jv8lDki4cMU+3u&#10;/E5TFVoRQ9inqMCEMKRS+tqQRb92A3HkGjdaDBGOrdQj3mO47eU2SXbSYsexweBAR0P1rfqyCtzp&#10;7ar35nwrPz5L7q7VYXptjFKr5fzyDCLQHP7Ff+5Sx/l7+P0lHi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wwFbBAAAA2wAAAA8AAAAAAAAAAAAAAAAAmAIAAGRycy9kb3du&#10;cmV2LnhtbFBLBQYAAAAABAAEAPUAAACGAwAAAAA=&#10;" fillcolor="black [3200]" strokecolor="black [1600]" strokeweight="2pt"/>
                  <v:line id="Straight Connector 18" o:spid="_x0000_s1045" style="position:absolute;visibility:visible;mso-wrap-style:square" from="7181,626" to="5401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bQqMIAAADbAAAADwAAAGRycy9kb3ducmV2LnhtbESPQWsCMRCF74X+hzAFbzWrgsjWKCIt&#10;eHUriLfpZrq7dDOJSdRtf33nIHib4b1575vlenC9ulJMnWcDk3EBirj2tuPGwOHz43UBKmVki71n&#10;MvBLCdar56clltbfeE/XKjdKQjiVaKDNOZRap7olh2nsA7Fo3z46zLLGRtuINwl3vZ4WxVw77Fga&#10;Wgy0ban+qS7OwAz7S/V1iuGPD3rxfkznWdicjRm9DJs3UJmG/DDfr3dW8AVWfpEB9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bQqMIAAADbAAAADwAAAAAAAAAAAAAA&#10;AAChAgAAZHJzL2Rvd25yZXYueG1sUEsFBgAAAAAEAAQA+QAAAJADAAAAAA==&#10;" strokecolor="black [3040]" strokeweight="1pt">
                    <v:stroke dashstyle="dash" startarrowwidth="wide" startarrowlength="long" endarrowwidth="wide" endarrowlength="long"/>
                  </v:line>
                </v:group>
                <v:group id="Group 30" o:spid="_x0000_s1046" style="position:absolute;top:15490;width:61246;height:5004" coordsize="61246,5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Box 35" o:spid="_x0000_s1047" type="#_x0000_t202" style="position:absolute;top:581;width:14401;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i6sMA&#10;AADbAAAADwAAAGRycy9kb3ducmV2LnhtbERPS2vCQBC+C/6HZQRvutFDsamr1EKxPi4m7cHbkB2T&#10;tNnZkF2T+O9doeBtPr7nLNe9qURLjSstK5hNIxDEmdUl5wq+08/JAoTzyBory6TgRg7Wq+FgibG2&#10;HZ+oTXwuQgi7GBUU3texlC4ryKCb2po4cBfbGPQBNrnUDXYh3FRyHkUv0mDJoaHAmj4Kyv6Sq1Fg&#10;00u62Ea/5+76k212h2N73ldSqfGof38D4an3T/G/+0uH+a/w+C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i6sMAAADbAAAADwAAAAAAAAAAAAAAAACYAgAAZHJzL2Rv&#10;d25yZXYueG1sUEsFBgAAAAAEAAQA9QAAAIgDAAAAAA==&#10;" filled="f" stroked="f">
                    <v:textbox style="mso-fit-shape-to-text:t">
                      <w:txbxContent>
                        <w:p w14:paraId="72625355"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‘precondition’</w:t>
                          </w:r>
                        </w:p>
                      </w:txbxContent>
                    </v:textbox>
                  </v:shape>
                  <v:shape id="TextBox 36" o:spid="_x0000_s1048" type="#_x0000_t202" style="position:absolute;left:46844;top:584;width:1440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BysAA&#10;AADbAAAADwAAAGRycy9kb3ducmV2LnhtbERPy4rCMBTdC/5DuII7TXUhUo0yI4jPzVhduLs017Yz&#10;zU1pYlv/3iyEWR7Oe7nuTCkaql1hWcFkHIEgTq0uOFNwTbajOQjnkTWWlknBixysV/3eEmNtW/6h&#10;5uIzEULYxagg976KpXRpTgbd2FbEgXvY2qAPsM6krrEN4aaU0yiaSYMFh4YcK9rklP5dnkaBTR7J&#10;fBf93tvnLf0+nM7N/VhKpYaD7msBwlPn/8Uf914rmIb14U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zBysAAAADbAAAADwAAAAAAAAAAAAAAAACYAgAAZHJzL2Rvd25y&#10;ZXYueG1sUEsFBgAAAAAEAAQA9QAAAIUDAAAAAA==&#10;" filled="f" stroked="f">
                    <v:textbox style="mso-fit-shape-to-text:t">
                      <w:txbxContent>
                        <w:p w14:paraId="1867D196"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Outcome</w:t>
                          </w:r>
                        </w:p>
                      </w:txbxContent>
                    </v:textbox>
                  </v:shape>
                  <v:shape id="TextBox 68" o:spid="_x0000_s1049" type="#_x0000_t202" style="position:absolute;left:16408;top:584;width:14402;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kUcMA&#10;AADbAAAADwAAAGRycy9kb3ducmV2LnhtbESPT4vCMBTE74LfITzBm6Z6EKlGUUHcP17W6sHbo3m2&#10;1ealNLHtfvuNsOBxmJnfMMt1Z0rRUO0Kywom4wgEcWp1wZmCc7IfzUE4j6yxtEwKfsnBetXvLTHW&#10;tuUfak4+EwHCLkYFufdVLKVLczLoxrYiDt7N1gZ9kHUmdY1tgJtSTqNoJg0WHBZyrGiXU/o4PY0C&#10;m9yS+SG6X9vnJd1+fh+b61cplRoOus0ChKfOv8P/7Q+tYDqB15fw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BkUcMAAADbAAAADwAAAAAAAAAAAAAAAACYAgAAZHJzL2Rv&#10;d25yZXYueG1sUEsFBgAAAAAEAAQA9QAAAIgDAAAAAA==&#10;" filled="f" stroked="f">
                    <v:textbox style="mso-fit-shape-to-text:t">
                      <w:txbxContent>
                        <w:p w14:paraId="6F57782A"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Diagnosis of condition</w:t>
                          </w:r>
                        </w:p>
                      </w:txbxContent>
                    </v:textbox>
                  </v:shape>
                  <v:shape id="TextBox 69" o:spid="_x0000_s1050" type="#_x0000_t202" style="position:absolute;left:33485;top:582;width:1440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6JsQA&#10;AADbAAAADwAAAGRycy9kb3ducmV2LnhtbESPT2vCQBTE70K/w/IKvemmORRJXUULpf67aPTg7ZF9&#10;JtHs25Bdk/jtXUHocZiZ3zCTWW8q0VLjSssKPkcRCOLM6pJzBYf0dzgG4TyyxsoyKbiTg9n0bTDB&#10;RNuOd9TufS4ChF2CCgrv60RKlxVk0I1sTRy8s20M+iCbXOoGuwA3lYyj6EsaLDksFFjTT0HZdX8z&#10;Cmx6Tsd/0eXU3Y7ZYrXZtqd1JZX6eO/n3yA89f4//GovtYI4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i+ibEAAAA2wAAAA8AAAAAAAAAAAAAAAAAmAIAAGRycy9k&#10;b3ducmV2LnhtbFBLBQYAAAAABAAEAPUAAACJAwAAAAA=&#10;" filled="f" stroked="f">
                    <v:textbox style="mso-fit-shape-to-text:t">
                      <w:txbxContent>
                        <w:p w14:paraId="55CFD44E" w14:textId="77777777" w:rsidR="00F94F54" w:rsidRPr="00845145" w:rsidRDefault="00F94F54" w:rsidP="00D5686E">
                          <w:pPr>
                            <w:pStyle w:val="NormalWeb"/>
                            <w:spacing w:before="0" w:beforeAutospacing="0" w:after="0" w:afterAutospacing="0"/>
                            <w:jc w:val="center"/>
                          </w:pPr>
                          <w:r w:rsidRPr="00845145">
                            <w:rPr>
                              <w:color w:val="000000" w:themeColor="text1"/>
                              <w:kern w:val="24"/>
                            </w:rPr>
                            <w:t>First drug use</w:t>
                          </w:r>
                        </w:p>
                      </w:txbxContent>
                    </v:textbox>
                  </v:shape>
                  <v:shape id="Straight Arrow Connector 23" o:spid="_x0000_s1051" type="#_x0000_t32" style="position:absolute;left:7181;top:584;width:16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N2MYAAADbAAAADwAAAGRycy9kb3ducmV2LnhtbESPS2sCQRCE70L+w9CBXERnfWSRjaOo&#10;IaiXkKgg3pqd3gfZ6Vl2Jrr+e0cQPBZV9RU1nbemEmdqXGlZwaAfgSBOrS45V3DYf/UmIJxH1lhZ&#10;JgVXcjCfvXSmmGh74V8673wuAoRdggoK7+tESpcWZND1bU0cvMw2Bn2QTS51g5cAN5UcRlEsDZYc&#10;FgqsaVVQ+rf7Nwqi0edYjr+XZfye5cdt+nPqrrOtUm+v7eIDhKfWP8OP9kYrGI7g/iX8AD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DdjGAAAA2wAAAA8AAAAAAAAA&#10;AAAAAAAAoQIAAGRycy9kb3ducmV2LnhtbFBLBQYAAAAABAAEAPkAAACUAwAAAAA=&#10;" strokecolor="black [3040]" strokeweight="1pt">
                    <v:stroke dashstyle="dash" startarrowwidth="wide" startarrowlength="long" endarrowwidth="wide" endarrowlength="long"/>
                  </v:shape>
                  <v:line id="Straight Connector 24" o:spid="_x0000_s1052" style="position:absolute;visibility:visible;mso-wrap-style:square" from="23590,584" to="40673,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cQEMIAAADbAAAADwAAAGRycy9kb3ducmV2LnhtbESPT2sCMRTE70K/Q3hCb5r1DyJbo0hp&#10;odeugnh73Tx3FzcvMYm69dMbQfA4zMxvmMWqM624kA+NZQWjYQaCuLS64UrBdvM9mIMIEVlja5kU&#10;/FOA1fKtt8Bc2yv/0qWIlUgQDjkqqGN0uZShrMlgGFpHnLyD9QZjkr6S2uM1wU0rx1k2kwYbTgs1&#10;OvqsqTwWZ6Nggu25+Nt7d+OtnH/twmni1iel3vvd+gNEpC6+ws/2j1YwnsLjS/o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cQEMIAAADbAAAADwAAAAAAAAAAAAAA&#10;AAChAgAAZHJzL2Rvd25yZXYueG1sUEsFBgAAAAAEAAQA+QAAAJADAAAAAA==&#10;" strokecolor="black [3040]" strokeweight="1pt">
                    <v:stroke dashstyle="dash" startarrowwidth="wide" startarrowlength="long" endarrowwidth="wide" endarrowlength="long"/>
                  </v:line>
                  <v:line id="Straight Connector 25" o:spid="_x0000_s1053" style="position:absolute;visibility:visible;mso-wrap-style:square" from="40709,584" to="5405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R1ucMAAADbAAAADwAAAGRycy9kb3ducmV2LnhtbESP0WrCQBRE3wv+w3KFvtWNKW0lZpUq&#10;iH0RqfoB1+w1G5K9m2bXGP/eLRT6OMzMGSZfDrYRPXW+cqxgOklAEBdOV1wqOB03LzMQPiBrbByT&#10;gjt5WC5GTzlm2t34m/pDKEWEsM9QgQmhzaT0hSGLfuJa4uhdXGcxRNmVUnd4i3DbyDRJ3qXFiuOC&#10;wZbWhor6cLUKrsm5HszrLsX9x5H2/cb8NNuVUs/j4XMOItAQ/sN/7S+tIH2D3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kdbnDAAAA2wAAAA8AAAAAAAAAAAAA&#10;AAAAoQIAAGRycy9kb3ducmV2LnhtbFBLBQYAAAAABAAEAPkAAACRAwAAAAA=&#10;" strokecolor="black [3040]" strokeweight="1pt">
                    <v:stroke startarrowwidth="wide" startarrowlength="long" endarrowwidth="wide" endarrowlength="long"/>
                  </v:line>
                  <v:line id="Straight Connector 26" o:spid="_x0000_s1054" style="position:absolute;rotation:45;visibility:visible;mso-wrap-style:square" from="23089,41" to="24169,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B/tsMAAADbAAAADwAAAGRycy9kb3ducmV2LnhtbESPS2vDMBCE74X8B7GB3ho5PrjBjRzS&#10;PEoJ5JAHPS/W+kGllbGUxP73VaHQ4zAz3zDL1WCNuFPvW8cK5rMEBHHpdMu1gutl/7IA4QOyRuOY&#10;FIzkYVVMnpaYa/fgE93PoRYRwj5HBU0IXS6lLxuy6GeuI45e5XqLIcq+lrrHR4RbI9MkyaTFluNC&#10;gx1tGiq/zzerYJvZr/Sd8LCuxvbV7MaDOX6gUs/TYf0GItAQ/sN/7U+tIM3g90v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Af7bDAAAA2wAAAA8AAAAAAAAAAAAA&#10;AAAAoQIAAGRycy9kb3ducmV2LnhtbFBLBQYAAAAABAAEAPkAAACRAwAAAAA=&#10;" strokecolor="black [3040]" strokeweight="1pt"/>
                  <v:shape id="Isosceles Triangle 27" o:spid="_x0000_s1055" type="#_x0000_t5" style="position:absolute;left:6555;top:83;width:1080;height:10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lsUA&#10;AADbAAAADwAAAGRycy9kb3ducmV2LnhtbESPQWvCQBSE74L/YXmCN91oikp0ldIilGIPjXrw9sw+&#10;k2j2bZrdavz3rlDocZiZb5jFqjWVuFLjSssKRsMIBHFmdcm5gt12PZiBcB5ZY2WZFNzJwWrZ7Sww&#10;0fbG33RNfS4ChF2CCgrv60RKlxVk0A1tTRy8k20M+iCbXOoGbwFuKjmOook0WHJYKLCmt4KyS/pr&#10;FHwdXuK0lHn7/rM/njc+/oxdNFGq32tf5yA8tf4//Nf+0ArGU3h+C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eWxQAAANsAAAAPAAAAAAAAAAAAAAAAAJgCAABkcnMv&#10;ZG93bnJldi54bWxQSwUGAAAAAAQABAD1AAAAigMAAAAA&#10;" fillcolor="black [3200]" strokecolor="black [1600]" strokeweight="2pt"/>
                  <v:oval id="Oval 28" o:spid="_x0000_s1056" style="position:absolute;left:5340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emcAA&#10;AADbAAAADwAAAGRycy9kb3ducmV2LnhtbERPPW/CMBDdK/EfrEPq1jgwtFWIQYCEFLVTE9iP+IgD&#10;8TmK3ST99/VQqePT+853s+3ESINvHStYJSkI4trplhsF5+r08g7CB2SNnWNS8EMedtvFU46ZdhN/&#10;0ViGRsQQ9hkqMCH0mZS+NmTRJ64njtzNDRZDhEMj9YBTDLedXKfpq7TYcmww2NPRUP0ov60Cd/q8&#10;6jdTPYrLveD2Wh7Gj5tR6nk57zcgAs3hX/znLrSCdRwb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OemcAAAADbAAAADwAAAAAAAAAAAAAAAACYAgAAZHJzL2Rvd25y&#10;ZXYueG1sUEsFBgAAAAAEAAQA9QAAAIUDAAAAAA==&#10;" fillcolor="black [3200]" strokecolor="black [1600]" strokeweight="2pt"/>
                  <v:line id="Straight Connector 29" o:spid="_x0000_s1057" style="position:absolute;rotation:45;visibility:visible;mso-wrap-style:square" from="40166,41" to="41246,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rxMMAAADbAAAADwAAAGRycy9kb3ducmV2LnhtbESPQWvCQBSE7wX/w/IEb3VjDlqjq2ir&#10;IkIPVfH8yD6T4O7bkF01+fduodDjMDPfMPNla414UOMrxwpGwwQEce50xYWC82n7/gHCB2SNxjEp&#10;6MjDctF7m2Om3ZN/6HEMhYgQ9hkqKEOoMyl9XpJFP3Q1cfSurrEYomwKqRt8Rrg1Mk2SsbRYcVwo&#10;sabPkvLb8W4VfI3tJV0THlbXrpqYTXcw3ztUatBvVzMQgdrwH/5r77WCdAq/X+IP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f68TDAAAA2wAAAA8AAAAAAAAAAAAA&#10;AAAAoQIAAGRycy9kb3ducmV2LnhtbFBLBQYAAAAABAAEAPkAAACRAwAAAAA=&#10;" strokecolor="black [3040]" strokeweight="1pt"/>
                </v:group>
                <w10:wrap type="topAndBottom"/>
              </v:group>
            </w:pict>
          </mc:Fallback>
        </mc:AlternateContent>
      </w:r>
    </w:p>
    <w:p w14:paraId="7E04F042" w14:textId="77777777" w:rsidR="00021120" w:rsidRPr="00441DB5" w:rsidRDefault="00021120" w:rsidP="00021120">
      <w:pPr>
        <w:pStyle w:val="PNormal"/>
      </w:pPr>
    </w:p>
    <w:p w14:paraId="1E82177A" w14:textId="13656B72" w:rsidR="003B5F61" w:rsidRPr="00441DB5" w:rsidRDefault="003B5F61" w:rsidP="003B5F61">
      <w:pPr>
        <w:pStyle w:val="PNormal"/>
        <w:pBdr>
          <w:top w:val="single" w:sz="4" w:space="1" w:color="auto"/>
          <w:left w:val="single" w:sz="4" w:space="4" w:color="auto"/>
          <w:bottom w:val="single" w:sz="4" w:space="1" w:color="auto"/>
          <w:right w:val="single" w:sz="4" w:space="4" w:color="auto"/>
        </w:pBdr>
      </w:pPr>
      <w:r w:rsidRPr="00441DB5">
        <w:t xml:space="preserve">A patient will enter the cohort for a given treatment when they become ‘at risk of’ the condition the treatment is used for or, in the case of no period ‘at risk’, when they are diagnosed with the condition (see Table </w:t>
      </w:r>
      <w:r w:rsidR="00B94AED" w:rsidRPr="00441DB5">
        <w:t>2</w:t>
      </w:r>
      <w:r w:rsidRPr="00441DB5">
        <w:t xml:space="preserve">). We define cohort entry in this way to avoid excluded immortal time bias </w:t>
      </w:r>
      <w:r w:rsidR="001349AD" w:rsidRPr="00441DB5">
        <w:t xml:space="preserve">that </w:t>
      </w:r>
      <w:r w:rsidRPr="00441DB5">
        <w:t>can occur when cohort entry is determined by treatment variation over time.</w:t>
      </w:r>
      <w:r w:rsidRPr="00441DB5">
        <w:fldChar w:fldCharType="begin"/>
      </w:r>
      <w:r w:rsidR="00900454" w:rsidRPr="00441DB5">
        <w:instrText xml:space="preserve"> ADDIN ZOTERO_ITEM CSL_CITATION {"citationID":"1oipmj4him","properties":{"formattedCitation":"{\\rtf \\super 35,36\\nosupersub{}}","plainCitation":"35,36"},"citationItems":[{"id":1811,"uris":["http://zotero.org/users/117866/items/XD98NHHZ"],"uri":["http://zotero.org/users/117866/items/XD98NHHZ"],"itemData":{"id":1811,"type":"article-journal","title":"Problem of immortal time bias in cohort studies: example using statins for preventing progression of diabetes","container-title":"British Medical Journal","page":"b5087-b5087","volume":"340","issue":"mar12 1","source":"CrossRef","DOI":"10.1136/bmj.b5087","ISSN":"0959-8138, 1468-5833","shortTitle":"Problem of immortal time bias in cohort studies","author":[{"family":"Levesque","given":"L. E"},{"family":"Hanley","given":"J. A"},{"family":"Kezouh","given":"A."},{"family":"Suissa","given":"S."}],"issued":{"date-parts":[["2010",3,12]]}}},{"id":226,"uris":["http://zotero.org/users/117866/items/5ZN8JTQT"],"uri":["http://zotero.org/users/117866/items/5ZN8JTQT"],"itemData":{"id":226,"type":"article-journal","title":"Immortal time bias in pharmacoepidemiology","container-title":"American journal of epidemiology","page":"492-499","volume":"167","issue":"4","call-number":"0000","journalAbbreviation":"Am. J. Epidemiol","author":[{"family":"Suissa","given":"S."}],"issued":{"date-parts":[["2008"]]}}}],"schema":"https://github.com/citation-style-language/schema/raw/master/csl-citation.json"} </w:instrText>
      </w:r>
      <w:r w:rsidRPr="00441DB5">
        <w:fldChar w:fldCharType="separate"/>
      </w:r>
      <w:r w:rsidR="00900454" w:rsidRPr="00441DB5">
        <w:rPr>
          <w:vertAlign w:val="superscript"/>
        </w:rPr>
        <w:t>35,36</w:t>
      </w:r>
      <w:r w:rsidRPr="00441DB5">
        <w:fldChar w:fldCharType="end"/>
      </w:r>
      <w:r w:rsidRPr="00441DB5">
        <w:t xml:space="preserve"> Immortal time is the period during follow-up when the outcome cannot occur. For example, suppose we started following patients from the date of their first prescription. This would make it </w:t>
      </w:r>
      <w:r w:rsidR="0094299F" w:rsidRPr="00441DB5">
        <w:t>impossible</w:t>
      </w:r>
      <w:r w:rsidRPr="00441DB5">
        <w:t xml:space="preserve"> for patients to have an outcome prior to their first prescription. This means that patients in the ‘exposed’ group all have a period before treatment, when an event could not occur. This period is their immortal time, and it must be correctly attributed to the ‘unexposed’ group i.e. if they have an event prior to the first prescription, they should be allocated to the ‘unexposed’ group.  To do this patients in the ‘exposed’ and ‘unexposed’ groups must be followed-up from the same start date. In this study we are following individuals either from first test result, first read code indicating ‘at risk of’ the condition or, in the case of no time spent ‘at risk’, first read code indicating the condition. Therefore, our results will not suffer from immortal time. </w:t>
      </w:r>
    </w:p>
    <w:p w14:paraId="7FCB74C4" w14:textId="77777777" w:rsidR="003B5F61" w:rsidRPr="00441DB5" w:rsidRDefault="003B5F61" w:rsidP="001E3BE5">
      <w:pPr>
        <w:pStyle w:val="PNormal"/>
      </w:pPr>
    </w:p>
    <w:p w14:paraId="3B4B6E0D" w14:textId="77777777" w:rsidR="00D5686E" w:rsidRPr="00441DB5" w:rsidRDefault="00D5686E" w:rsidP="00952383">
      <w:pPr>
        <w:pStyle w:val="PHeading2"/>
      </w:pPr>
      <w:r w:rsidRPr="00441DB5">
        <w:t>Cohort B</w:t>
      </w:r>
      <w:bookmarkEnd w:id="39"/>
      <w:bookmarkEnd w:id="40"/>
    </w:p>
    <w:p w14:paraId="57C9C376" w14:textId="77777777" w:rsidR="00D5686E" w:rsidRPr="00441DB5" w:rsidRDefault="00D5686E" w:rsidP="004B66B2">
      <w:pPr>
        <w:pStyle w:val="PNormal"/>
      </w:pPr>
    </w:p>
    <w:p w14:paraId="725C5E6E" w14:textId="4F8AF5E2" w:rsidR="004F3AB7" w:rsidRPr="00441DB5" w:rsidRDefault="00D5686E" w:rsidP="004F3AB7">
      <w:pPr>
        <w:pStyle w:val="PNormal"/>
      </w:pPr>
      <w:r w:rsidRPr="00441DB5">
        <w:t xml:space="preserve">In this analysis we will compare different drug sub-classes </w:t>
      </w:r>
      <w:r w:rsidR="001349AD" w:rsidRPr="00441DB5">
        <w:t xml:space="preserve">that exist </w:t>
      </w:r>
      <w:r w:rsidRPr="00441DB5">
        <w:t xml:space="preserve">for a given </w:t>
      </w:r>
      <w:r w:rsidR="00205935" w:rsidRPr="00441DB5">
        <w:t>treatment</w:t>
      </w:r>
      <w:r w:rsidRPr="00441DB5">
        <w:t xml:space="preserve">, as shown in Table </w:t>
      </w:r>
      <w:r w:rsidR="00B94AED" w:rsidRPr="00441DB5">
        <w:t>3</w:t>
      </w:r>
      <w:r w:rsidRPr="00441DB5">
        <w:t>. We will create a cohort of all patients who were prescribed the medication. We will categorise all the patients by the drug sub-class they initially received, and will compare the outcomes for each of these groups. For each medication, we have defined the most frequently prescribed sub-class as the control</w:t>
      </w:r>
      <w:r w:rsidR="00B94AED" w:rsidRPr="00441DB5">
        <w:t xml:space="preserve"> (indicated in Table 3</w:t>
      </w:r>
      <w:r w:rsidRPr="00441DB5">
        <w:t>)</w:t>
      </w:r>
      <w:r w:rsidR="004F3AB7" w:rsidRPr="00441DB5">
        <w:t>. In the primary analysis of this cohort we will exclude patients initially prescribed the control sub-class if they receive another sub-class of the same treatment at the same time, although we anticipate this will be rare. We will explore the outcomes of individuals prescribed multiple sub-classes, other than that specified above, in a sensitivity analysis.</w:t>
      </w:r>
    </w:p>
    <w:p w14:paraId="3D629046" w14:textId="09459CEF" w:rsidR="009B55CA" w:rsidRPr="00441DB5" w:rsidRDefault="009B55CA"/>
    <w:p w14:paraId="71624AEB" w14:textId="33542029" w:rsidR="00D5686E" w:rsidRPr="00441DB5" w:rsidRDefault="004F3AB7" w:rsidP="004B66B2">
      <w:pPr>
        <w:pStyle w:val="PNormal"/>
      </w:pPr>
      <w:r w:rsidRPr="00441DB5">
        <w:t>Exposure</w:t>
      </w:r>
      <w:r w:rsidR="00D5686E" w:rsidRPr="00441DB5">
        <w:t xml:space="preserve"> to multiple sub-classes of the same treatmen</w:t>
      </w:r>
      <w:r w:rsidRPr="00441DB5">
        <w:t xml:space="preserve">t can introduce </w:t>
      </w:r>
      <w:r w:rsidR="00D5686E" w:rsidRPr="00441DB5">
        <w:t xml:space="preserve">immortal time bias if the time between medications is misclassified. We will be using an intention-to-treat analysis so individuals initially prescribed a non-control medication, who later </w:t>
      </w:r>
      <w:r w:rsidR="00D5686E" w:rsidRPr="00441DB5">
        <w:lastRenderedPageBreak/>
        <w:t xml:space="preserve">stop that medication or switch to the control medication, will be allocated to the treatment group. Similarly, individuals initially prescribed the control medication will be allocated to the control group, regardless of what happens to them in the future. If we were to use other types of analysis, the time prior to receiving the second medication would become immortal as patients would need to survive long enough to change medications. Other analyses also have the potential for outcome-free follow-up for the first medication to be excluded from rate calculations. By using intention-to-treat, we will avoid this immortal time bias, regardless of </w:t>
      </w:r>
      <w:r w:rsidR="00C6187A" w:rsidRPr="00441DB5">
        <w:t>treatment switching.</w:t>
      </w:r>
    </w:p>
    <w:p w14:paraId="62E10E8F" w14:textId="77777777" w:rsidR="00D5686E" w:rsidRPr="00441DB5" w:rsidRDefault="00D5686E" w:rsidP="00C95412">
      <w:pPr>
        <w:pStyle w:val="PNormal"/>
      </w:pPr>
    </w:p>
    <w:p w14:paraId="6EF86115" w14:textId="77777777" w:rsidR="00D5686E" w:rsidRPr="00441DB5" w:rsidRDefault="00D5686E" w:rsidP="00C95412">
      <w:pPr>
        <w:pStyle w:val="PNormal"/>
      </w:pPr>
      <w:r w:rsidRPr="00441DB5">
        <w:t>Follow-up for cohort B will start on the date of first elig</w:t>
      </w:r>
      <w:r w:rsidR="004473F3" w:rsidRPr="00441DB5">
        <w:t>ible prescription (see Appendix 5</w:t>
      </w:r>
      <w:r w:rsidRPr="00441DB5">
        <w:t xml:space="preserve">). Follow-up will end with the earliest of a relevant neurodegenerative disease diagnosis or censoring due to the end of registration at a CPRD general practice. The diagnosis date of the neurodegenerative disease will be determined by the first record of a </w:t>
      </w:r>
      <w:r w:rsidR="004473F3" w:rsidRPr="00441DB5">
        <w:t>relevant read code (see Appendix 1</w:t>
      </w:r>
      <w:r w:rsidRPr="00441DB5">
        <w:t>).</w:t>
      </w:r>
      <w:bookmarkStart w:id="41" w:name="_Toc434320921"/>
    </w:p>
    <w:bookmarkEnd w:id="41"/>
    <w:p w14:paraId="49B15A5D" w14:textId="77777777" w:rsidR="00845145" w:rsidRPr="00441DB5" w:rsidRDefault="00845145">
      <w:pPr>
        <w:rPr>
          <w:b/>
        </w:rPr>
      </w:pPr>
    </w:p>
    <w:p w14:paraId="33E485D1" w14:textId="032592B2" w:rsidR="007E5A67" w:rsidRPr="00441DB5" w:rsidRDefault="007E5A67" w:rsidP="007E5A67">
      <w:pPr>
        <w:rPr>
          <w:b/>
        </w:rPr>
      </w:pPr>
      <w:r w:rsidRPr="00441DB5">
        <w:rPr>
          <w:b/>
        </w:rPr>
        <w:t xml:space="preserve">Table </w:t>
      </w:r>
      <w:r w:rsidR="004175C2" w:rsidRPr="00441DB5">
        <w:rPr>
          <w:b/>
        </w:rPr>
        <w:t>3</w:t>
      </w:r>
      <w:r w:rsidRPr="00441DB5">
        <w:rPr>
          <w:b/>
        </w:rPr>
        <w:t>: The drug sub-classes of interest for each treatment</w:t>
      </w:r>
      <w:r w:rsidR="00BC0309" w:rsidRPr="00441DB5">
        <w:rPr>
          <w:b/>
        </w:rPr>
        <w:t xml:space="preserve"> group</w:t>
      </w:r>
      <w:r w:rsidRPr="00441DB5">
        <w:rPr>
          <w:b/>
        </w:rPr>
        <w:t xml:space="preserve"> with the control treatments </w:t>
      </w:r>
      <w:r w:rsidR="0073442A" w:rsidRPr="00441DB5">
        <w:rPr>
          <w:b/>
        </w:rPr>
        <w:t>indicat</w:t>
      </w:r>
      <w:r w:rsidRPr="00441DB5">
        <w:rPr>
          <w:b/>
        </w:rPr>
        <w:t>ed.</w:t>
      </w:r>
    </w:p>
    <w:tbl>
      <w:tblPr>
        <w:tblStyle w:val="TableGrid"/>
        <w:tblW w:w="5000" w:type="pct"/>
        <w:jc w:val="center"/>
        <w:tblLook w:val="04A0" w:firstRow="1" w:lastRow="0" w:firstColumn="1" w:lastColumn="0" w:noHBand="0" w:noVBand="1"/>
      </w:tblPr>
      <w:tblGrid>
        <w:gridCol w:w="4672"/>
        <w:gridCol w:w="3624"/>
      </w:tblGrid>
      <w:tr w:rsidR="007E5A67" w:rsidRPr="00441DB5" w14:paraId="30CD2D40" w14:textId="77777777" w:rsidTr="00441DB5">
        <w:trPr>
          <w:trHeight w:val="2381"/>
          <w:jc w:val="center"/>
        </w:trPr>
        <w:tc>
          <w:tcPr>
            <w:tcW w:w="2816" w:type="pct"/>
            <w:vMerge w:val="restart"/>
            <w:shd w:val="clear" w:color="auto" w:fill="auto"/>
            <w:vAlign w:val="center"/>
          </w:tcPr>
          <w:p w14:paraId="60EE6935" w14:textId="45B9D094" w:rsidR="007E5A67" w:rsidRPr="00441DB5" w:rsidRDefault="00F32A3B" w:rsidP="003326AB">
            <w:pPr>
              <w:pStyle w:val="PNormal"/>
              <w:jc w:val="left"/>
              <w:rPr>
                <w:b/>
              </w:rPr>
            </w:pPr>
            <w:r w:rsidRPr="00441DB5">
              <w:rPr>
                <w:b/>
              </w:rPr>
              <w:t>Treatments for hypertension</w:t>
            </w:r>
          </w:p>
          <w:p w14:paraId="565A2417" w14:textId="316F3AA8" w:rsidR="0073442A" w:rsidRPr="00441DB5" w:rsidRDefault="0073442A" w:rsidP="003326AB">
            <w:pPr>
              <w:pStyle w:val="PNormal"/>
              <w:numPr>
                <w:ilvl w:val="0"/>
                <w:numId w:val="12"/>
              </w:numPr>
              <w:ind w:left="357" w:hanging="357"/>
              <w:jc w:val="left"/>
            </w:pPr>
            <w:r w:rsidRPr="00441DB5">
              <w:t>Beta-adrenoceptor blocking drugs (</w:t>
            </w:r>
            <w:r w:rsidR="000049E9" w:rsidRPr="00441DB5">
              <w:t>c</w:t>
            </w:r>
            <w:r w:rsidRPr="00441DB5">
              <w:t>ontrol)</w:t>
            </w:r>
          </w:p>
          <w:p w14:paraId="266E8E91" w14:textId="0727C2F7" w:rsidR="0073442A" w:rsidRPr="00441DB5" w:rsidRDefault="0073442A" w:rsidP="003326AB">
            <w:pPr>
              <w:pStyle w:val="PNormal"/>
              <w:numPr>
                <w:ilvl w:val="0"/>
                <w:numId w:val="12"/>
              </w:numPr>
              <w:ind w:left="357" w:hanging="357"/>
              <w:jc w:val="left"/>
            </w:pPr>
            <w:r w:rsidRPr="00441DB5">
              <w:t>Angiotensin-converting enzyme inhibitors</w:t>
            </w:r>
          </w:p>
          <w:p w14:paraId="3546FEA1" w14:textId="4A2A86A6" w:rsidR="007E5A67" w:rsidRPr="00441DB5" w:rsidRDefault="00F32A3B" w:rsidP="003326AB">
            <w:pPr>
              <w:pStyle w:val="PNormal"/>
              <w:numPr>
                <w:ilvl w:val="0"/>
                <w:numId w:val="12"/>
              </w:numPr>
              <w:ind w:left="357" w:hanging="357"/>
              <w:jc w:val="left"/>
            </w:pPr>
            <w:r w:rsidRPr="00441DB5">
              <w:t>Thiazides and related diuretics</w:t>
            </w:r>
          </w:p>
          <w:p w14:paraId="673A9335" w14:textId="52DF3982" w:rsidR="0073442A" w:rsidRPr="00441DB5" w:rsidRDefault="0073442A" w:rsidP="003326AB">
            <w:pPr>
              <w:pStyle w:val="PNormal"/>
              <w:numPr>
                <w:ilvl w:val="0"/>
                <w:numId w:val="12"/>
              </w:numPr>
              <w:ind w:left="357" w:hanging="357"/>
              <w:jc w:val="left"/>
            </w:pPr>
            <w:r w:rsidRPr="00441DB5">
              <w:t>Calcium channel blockers</w:t>
            </w:r>
          </w:p>
          <w:p w14:paraId="7FA3414C" w14:textId="2C779C52" w:rsidR="007E5A67" w:rsidRPr="00441DB5" w:rsidRDefault="00F32A3B" w:rsidP="003326AB">
            <w:pPr>
              <w:pStyle w:val="PNormal"/>
              <w:numPr>
                <w:ilvl w:val="0"/>
                <w:numId w:val="12"/>
              </w:numPr>
              <w:ind w:left="357" w:hanging="357"/>
              <w:jc w:val="left"/>
            </w:pPr>
            <w:r w:rsidRPr="00441DB5">
              <w:t>Loop diuretics</w:t>
            </w:r>
          </w:p>
          <w:p w14:paraId="1E06CF27" w14:textId="0645C3BE" w:rsidR="0073442A" w:rsidRPr="00441DB5" w:rsidRDefault="0073442A" w:rsidP="003326AB">
            <w:pPr>
              <w:pStyle w:val="PNormal"/>
              <w:numPr>
                <w:ilvl w:val="0"/>
                <w:numId w:val="12"/>
              </w:numPr>
              <w:ind w:left="357" w:hanging="357"/>
              <w:jc w:val="left"/>
            </w:pPr>
            <w:r w:rsidRPr="00441DB5">
              <w:t>Alpha-adrenoceptor blocking drugs</w:t>
            </w:r>
          </w:p>
          <w:p w14:paraId="30D28B80" w14:textId="77777777" w:rsidR="0073442A" w:rsidRPr="00441DB5" w:rsidRDefault="0073442A" w:rsidP="003326AB">
            <w:pPr>
              <w:pStyle w:val="PNormal"/>
              <w:numPr>
                <w:ilvl w:val="0"/>
                <w:numId w:val="12"/>
              </w:numPr>
              <w:ind w:left="357" w:hanging="357"/>
              <w:jc w:val="left"/>
            </w:pPr>
            <w:r w:rsidRPr="00441DB5">
              <w:t>Centrally acting antihypertensive drugs</w:t>
            </w:r>
          </w:p>
          <w:p w14:paraId="22ADD42F" w14:textId="1EB9DAA8" w:rsidR="0073442A" w:rsidRPr="00441DB5" w:rsidRDefault="0073442A" w:rsidP="003326AB">
            <w:pPr>
              <w:pStyle w:val="PNormal"/>
              <w:numPr>
                <w:ilvl w:val="0"/>
                <w:numId w:val="12"/>
              </w:numPr>
              <w:ind w:left="357" w:hanging="357"/>
              <w:jc w:val="left"/>
            </w:pPr>
            <w:r w:rsidRPr="00441DB5">
              <w:t>Angiotensin-II receptor antagonists</w:t>
            </w:r>
          </w:p>
          <w:p w14:paraId="30BF2A9D" w14:textId="2C7E5213" w:rsidR="0073442A" w:rsidRPr="00441DB5" w:rsidRDefault="0073442A" w:rsidP="003326AB">
            <w:pPr>
              <w:pStyle w:val="PNormal"/>
              <w:numPr>
                <w:ilvl w:val="0"/>
                <w:numId w:val="12"/>
              </w:numPr>
              <w:ind w:left="357" w:hanging="357"/>
              <w:jc w:val="left"/>
            </w:pPr>
            <w:r w:rsidRPr="00441DB5">
              <w:t>Vasodilator antihypertensive drugs</w:t>
            </w:r>
          </w:p>
          <w:p w14:paraId="48E71713" w14:textId="4A2DF467" w:rsidR="007E5A67" w:rsidRPr="00441DB5" w:rsidRDefault="00F32A3B" w:rsidP="003326AB">
            <w:pPr>
              <w:pStyle w:val="PNormal"/>
              <w:numPr>
                <w:ilvl w:val="0"/>
                <w:numId w:val="12"/>
              </w:numPr>
              <w:ind w:left="357" w:hanging="357"/>
              <w:jc w:val="left"/>
            </w:pPr>
            <w:r w:rsidRPr="00441DB5">
              <w:t>Potassium-sparing diuretics and aldosterone antagonists</w:t>
            </w:r>
          </w:p>
        </w:tc>
        <w:tc>
          <w:tcPr>
            <w:tcW w:w="2184" w:type="pct"/>
            <w:shd w:val="clear" w:color="auto" w:fill="auto"/>
            <w:vAlign w:val="center"/>
          </w:tcPr>
          <w:p w14:paraId="646D093E" w14:textId="2C654046" w:rsidR="007E5A67" w:rsidRPr="00441DB5" w:rsidRDefault="00F32A3B" w:rsidP="003326AB">
            <w:pPr>
              <w:rPr>
                <w:b/>
              </w:rPr>
            </w:pPr>
            <w:r w:rsidRPr="00441DB5">
              <w:rPr>
                <w:b/>
              </w:rPr>
              <w:t>Treatments for hypercholesterolaemia</w:t>
            </w:r>
          </w:p>
          <w:p w14:paraId="46088B74" w14:textId="4EB30F95" w:rsidR="007E5A67" w:rsidRPr="00441DB5" w:rsidRDefault="00F32A3B" w:rsidP="003326AB">
            <w:pPr>
              <w:pStyle w:val="PNormal"/>
              <w:numPr>
                <w:ilvl w:val="0"/>
                <w:numId w:val="14"/>
              </w:numPr>
              <w:ind w:left="357" w:hanging="357"/>
              <w:jc w:val="left"/>
            </w:pPr>
            <w:r w:rsidRPr="00441DB5">
              <w:t>Statins</w:t>
            </w:r>
            <w:r w:rsidR="0073442A" w:rsidRPr="00441DB5">
              <w:t xml:space="preserve"> (</w:t>
            </w:r>
            <w:r w:rsidR="000049E9" w:rsidRPr="00441DB5">
              <w:t>c</w:t>
            </w:r>
            <w:r w:rsidR="0073442A" w:rsidRPr="00441DB5">
              <w:t>ontrol)</w:t>
            </w:r>
          </w:p>
          <w:p w14:paraId="27507526" w14:textId="0FEFE76A" w:rsidR="000049E9" w:rsidRPr="00441DB5" w:rsidRDefault="000049E9" w:rsidP="003326AB">
            <w:pPr>
              <w:pStyle w:val="PNormal"/>
              <w:numPr>
                <w:ilvl w:val="0"/>
                <w:numId w:val="14"/>
              </w:numPr>
              <w:ind w:left="357" w:hanging="357"/>
              <w:jc w:val="left"/>
            </w:pPr>
            <w:r w:rsidRPr="00441DB5">
              <w:t>Fibrates</w:t>
            </w:r>
          </w:p>
          <w:p w14:paraId="50DACB9D" w14:textId="5DBD9301" w:rsidR="007E5A67" w:rsidRPr="00441DB5" w:rsidRDefault="00F32A3B" w:rsidP="003326AB">
            <w:pPr>
              <w:pStyle w:val="PNormal"/>
              <w:numPr>
                <w:ilvl w:val="0"/>
                <w:numId w:val="14"/>
              </w:numPr>
              <w:ind w:left="357" w:hanging="357"/>
              <w:jc w:val="left"/>
            </w:pPr>
            <w:r w:rsidRPr="00441DB5">
              <w:t>Bile acid sequestrants</w:t>
            </w:r>
          </w:p>
          <w:p w14:paraId="16230AE7" w14:textId="5965F83A" w:rsidR="000049E9" w:rsidRPr="00441DB5" w:rsidRDefault="000049E9" w:rsidP="003326AB">
            <w:pPr>
              <w:pStyle w:val="PNormal"/>
              <w:numPr>
                <w:ilvl w:val="0"/>
                <w:numId w:val="14"/>
              </w:numPr>
              <w:ind w:left="357" w:hanging="357"/>
              <w:jc w:val="left"/>
            </w:pPr>
            <w:r w:rsidRPr="00441DB5">
              <w:t>Omega-3 fatty acid compounds</w:t>
            </w:r>
          </w:p>
          <w:p w14:paraId="74C22424" w14:textId="1E06CFB2" w:rsidR="007E5A67" w:rsidRPr="00441DB5" w:rsidRDefault="00F32A3B" w:rsidP="003326AB">
            <w:pPr>
              <w:pStyle w:val="PNormal"/>
              <w:numPr>
                <w:ilvl w:val="0"/>
                <w:numId w:val="14"/>
              </w:numPr>
              <w:ind w:left="357" w:hanging="357"/>
              <w:jc w:val="left"/>
            </w:pPr>
            <w:r w:rsidRPr="00441DB5">
              <w:t>Ezetimibe</w:t>
            </w:r>
          </w:p>
          <w:p w14:paraId="61B9D27F" w14:textId="7779D0FE" w:rsidR="007E5A67" w:rsidRPr="00441DB5" w:rsidRDefault="000049E9" w:rsidP="003326AB">
            <w:pPr>
              <w:pStyle w:val="PNormal"/>
              <w:numPr>
                <w:ilvl w:val="0"/>
                <w:numId w:val="14"/>
              </w:numPr>
              <w:ind w:left="357" w:hanging="357"/>
              <w:jc w:val="left"/>
            </w:pPr>
            <w:r w:rsidRPr="00441DB5">
              <w:t>Nicotinic acid group</w:t>
            </w:r>
          </w:p>
        </w:tc>
      </w:tr>
      <w:tr w:rsidR="007E5A67" w:rsidRPr="00441DB5" w14:paraId="60DA3649" w14:textId="77777777" w:rsidTr="00441DB5">
        <w:trPr>
          <w:trHeight w:val="1131"/>
          <w:jc w:val="center"/>
        </w:trPr>
        <w:tc>
          <w:tcPr>
            <w:tcW w:w="2816" w:type="pct"/>
            <w:vMerge/>
            <w:shd w:val="clear" w:color="auto" w:fill="auto"/>
            <w:vAlign w:val="center"/>
          </w:tcPr>
          <w:p w14:paraId="4A4DC54B" w14:textId="77777777" w:rsidR="007E5A67" w:rsidRPr="00441DB5" w:rsidRDefault="007E5A67" w:rsidP="003326AB">
            <w:pPr>
              <w:rPr>
                <w:b/>
              </w:rPr>
            </w:pPr>
          </w:p>
        </w:tc>
        <w:tc>
          <w:tcPr>
            <w:tcW w:w="2184" w:type="pct"/>
            <w:shd w:val="clear" w:color="auto" w:fill="auto"/>
            <w:vAlign w:val="center"/>
          </w:tcPr>
          <w:p w14:paraId="2496AE4E" w14:textId="320DB2C2" w:rsidR="007E5A67" w:rsidRPr="00441DB5" w:rsidRDefault="000049E9" w:rsidP="003326AB">
            <w:pPr>
              <w:rPr>
                <w:b/>
              </w:rPr>
            </w:pPr>
            <w:r w:rsidRPr="00441DB5">
              <w:rPr>
                <w:b/>
              </w:rPr>
              <w:t>Tre</w:t>
            </w:r>
            <w:r w:rsidR="00F32A3B" w:rsidRPr="00441DB5">
              <w:rPr>
                <w:b/>
              </w:rPr>
              <w:t>atments for type 2 diabetes</w:t>
            </w:r>
          </w:p>
          <w:p w14:paraId="5DA0AC97" w14:textId="5F39C5C7" w:rsidR="000049E9" w:rsidRPr="00441DB5" w:rsidRDefault="000049E9" w:rsidP="003326AB">
            <w:pPr>
              <w:pStyle w:val="PNormal"/>
              <w:numPr>
                <w:ilvl w:val="0"/>
                <w:numId w:val="16"/>
              </w:numPr>
              <w:ind w:left="357" w:hanging="357"/>
              <w:jc w:val="left"/>
            </w:pPr>
            <w:r w:rsidRPr="00441DB5">
              <w:t>Biguanides (control)</w:t>
            </w:r>
          </w:p>
          <w:p w14:paraId="43A9BAEE" w14:textId="3B3EAC2D" w:rsidR="007E5A67" w:rsidRPr="00441DB5" w:rsidRDefault="00F32A3B" w:rsidP="003326AB">
            <w:pPr>
              <w:pStyle w:val="PNormal"/>
              <w:numPr>
                <w:ilvl w:val="0"/>
                <w:numId w:val="16"/>
              </w:numPr>
              <w:ind w:left="357" w:hanging="357"/>
              <w:jc w:val="left"/>
            </w:pPr>
            <w:r w:rsidRPr="00441DB5">
              <w:t>Sulphonylureas</w:t>
            </w:r>
          </w:p>
          <w:p w14:paraId="644FB4DC" w14:textId="205DD3E5" w:rsidR="007E5A67" w:rsidRPr="00441DB5" w:rsidRDefault="00F32A3B" w:rsidP="003326AB">
            <w:pPr>
              <w:pStyle w:val="PNormal"/>
              <w:numPr>
                <w:ilvl w:val="0"/>
                <w:numId w:val="16"/>
              </w:numPr>
              <w:ind w:left="357" w:hanging="357"/>
              <w:jc w:val="left"/>
              <w:rPr>
                <w:b/>
              </w:rPr>
            </w:pPr>
            <w:r w:rsidRPr="00441DB5">
              <w:t>Other antidiabetic drugs</w:t>
            </w:r>
          </w:p>
        </w:tc>
      </w:tr>
    </w:tbl>
    <w:p w14:paraId="2E616A9C" w14:textId="77777777" w:rsidR="00A93AEB" w:rsidRPr="00441DB5" w:rsidRDefault="00A93AEB" w:rsidP="00A93AEB">
      <w:pPr>
        <w:pStyle w:val="PNormal"/>
      </w:pPr>
      <w:bookmarkStart w:id="42" w:name="_Toc434319888"/>
      <w:bookmarkStart w:id="43" w:name="_Toc434320922"/>
    </w:p>
    <w:p w14:paraId="6A439F36" w14:textId="77777777" w:rsidR="00D5686E" w:rsidRPr="00441DB5" w:rsidRDefault="00D5686E" w:rsidP="00021120">
      <w:pPr>
        <w:pStyle w:val="PHeading2"/>
      </w:pPr>
      <w:r w:rsidRPr="00441DB5">
        <w:t>Cohort C</w:t>
      </w:r>
      <w:bookmarkEnd w:id="42"/>
      <w:bookmarkEnd w:id="43"/>
    </w:p>
    <w:p w14:paraId="3F3FD1D4" w14:textId="77777777" w:rsidR="00D5686E" w:rsidRPr="00441DB5" w:rsidRDefault="00D5686E" w:rsidP="00C95412">
      <w:pPr>
        <w:pStyle w:val="PNormal"/>
      </w:pPr>
    </w:p>
    <w:p w14:paraId="0E618B7C" w14:textId="121447DC" w:rsidR="00D5686E" w:rsidRPr="00441DB5" w:rsidRDefault="00D5686E" w:rsidP="00C95412">
      <w:pPr>
        <w:pStyle w:val="PNormal"/>
      </w:pPr>
      <w:r w:rsidRPr="00441DB5">
        <w:t xml:space="preserve">For each neurodegenerative disease of interest, we will create a cohort of individuals with a read code indicating this outcome (see </w:t>
      </w:r>
      <w:r w:rsidR="004473F3" w:rsidRPr="00441DB5">
        <w:t>Appendix 1</w:t>
      </w:r>
      <w:r w:rsidRPr="00441DB5">
        <w:t>). These cohorts will be used to investigate the association of neurodegenerative disease progression with exposure to o</w:t>
      </w:r>
      <w:r w:rsidR="009D281B" w:rsidRPr="00441DB5">
        <w:t>ne o</w:t>
      </w:r>
      <w:r w:rsidRPr="00441DB5">
        <w:t>f the three</w:t>
      </w:r>
      <w:r w:rsidR="00BC0309" w:rsidRPr="00441DB5">
        <w:t xml:space="preserve"> </w:t>
      </w:r>
      <w:r w:rsidRPr="00441DB5">
        <w:t>treatment</w:t>
      </w:r>
      <w:r w:rsidR="00BC0309" w:rsidRPr="00441DB5">
        <w:t xml:space="preserve"> groups</w:t>
      </w:r>
      <w:r w:rsidRPr="00441DB5">
        <w:t xml:space="preserve"> of interest: treatments for hypertension, treatments for hypercholesterolaemia and treatments for type 2 diabetes. To fully appreciate the potential of these treatments, we will consider both exposure before and after the diagnosis of a neurodegenerative disease. We will also use the cohorts relating to dementia to assess the progression of the disease after exposure to the existing treatments for dementia, as well as the service use of these individuals. We will define ‘service use’ by the number of visits to primary and secondary care following diagnosis. For all of the treatments we consider, each cohort will be split into ‘exposed’ and ‘unexposed’ groups. In the analysis, individuals in the ‘exposed’ group, i.e. those who were prescribed the treatment under investigation, will be compared with individuals in the ‘unexposed’ groups, i.e. those who did not receive the treatment.</w:t>
      </w:r>
    </w:p>
    <w:p w14:paraId="4F30C2E0" w14:textId="77777777" w:rsidR="00D5686E" w:rsidRPr="00441DB5" w:rsidRDefault="00D5686E" w:rsidP="00C95412">
      <w:pPr>
        <w:pStyle w:val="PNormal"/>
      </w:pPr>
    </w:p>
    <w:p w14:paraId="1CB0F95F" w14:textId="77777777" w:rsidR="00D5686E" w:rsidRPr="00441DB5" w:rsidRDefault="00021120" w:rsidP="00C95412">
      <w:pPr>
        <w:pStyle w:val="PNormal"/>
      </w:pPr>
      <w:r w:rsidRPr="00441DB5">
        <w:lastRenderedPageBreak/>
        <w:t>Follow-up for</w:t>
      </w:r>
      <w:r w:rsidR="00D5686E" w:rsidRPr="00441DB5">
        <w:t xml:space="preserve"> cohort C will be the first recorded read code indicating Alzheimer’s disease, other dementia or other neurodegenerative disease (see</w:t>
      </w:r>
      <w:r w:rsidR="004473F3" w:rsidRPr="00441DB5">
        <w:t xml:space="preserve"> Appendix 1</w:t>
      </w:r>
      <w:r w:rsidR="00D5686E" w:rsidRPr="00441DB5">
        <w:t>). Follow-up will end with the earliest of death</w:t>
      </w:r>
      <w:r w:rsidR="003E7E4D" w:rsidRPr="00441DB5">
        <w:t>, as determined by linked Office of National Statistics data,</w:t>
      </w:r>
      <w:r w:rsidR="00D5686E" w:rsidRPr="00441DB5">
        <w:t xml:space="preserve"> or censoring due to the end of registration at a CPRD general practice. </w:t>
      </w:r>
    </w:p>
    <w:p w14:paraId="4C5B7DDD" w14:textId="77777777" w:rsidR="00D5686E" w:rsidRPr="00441DB5" w:rsidRDefault="00D5686E" w:rsidP="00C95412">
      <w:pPr>
        <w:pStyle w:val="PNormal"/>
      </w:pPr>
    </w:p>
    <w:p w14:paraId="6CF864A5" w14:textId="77777777" w:rsidR="00D5686E" w:rsidRPr="00441DB5" w:rsidRDefault="00D5686E" w:rsidP="00C95412">
      <w:pPr>
        <w:pStyle w:val="PHeading2"/>
      </w:pPr>
      <w:r w:rsidRPr="00441DB5">
        <w:t>Summary</w:t>
      </w:r>
    </w:p>
    <w:p w14:paraId="1039F439" w14:textId="77777777" w:rsidR="00A044D2" w:rsidRPr="00441DB5" w:rsidRDefault="00A044D2" w:rsidP="00C95412">
      <w:pPr>
        <w:pStyle w:val="PNormal"/>
      </w:pPr>
    </w:p>
    <w:p w14:paraId="1A5ADFF0" w14:textId="77777777" w:rsidR="00050DEA" w:rsidRPr="00441DB5" w:rsidRDefault="00050DEA" w:rsidP="00050DEA">
      <w:pPr>
        <w:pStyle w:val="PNormal"/>
      </w:pPr>
      <w:r w:rsidRPr="00441DB5">
        <w:t>We can summarize the three types of cohort we will consider in the following table.</w:t>
      </w:r>
    </w:p>
    <w:p w14:paraId="2B4DBAA1" w14:textId="77777777" w:rsidR="00050DEA" w:rsidRPr="00441DB5" w:rsidRDefault="00050DEA" w:rsidP="00C95412">
      <w:pPr>
        <w:pStyle w:val="PNormal"/>
      </w:pPr>
    </w:p>
    <w:p w14:paraId="5FFD6E0E" w14:textId="748AB182" w:rsidR="00D5686E" w:rsidRPr="00441DB5" w:rsidRDefault="004175C2" w:rsidP="00D5686E">
      <w:pPr>
        <w:rPr>
          <w:b/>
        </w:rPr>
      </w:pPr>
      <w:r w:rsidRPr="00441DB5">
        <w:rPr>
          <w:b/>
        </w:rPr>
        <w:t>Table 4</w:t>
      </w:r>
      <w:r w:rsidR="00D5686E" w:rsidRPr="00441DB5">
        <w:rPr>
          <w:b/>
        </w:rPr>
        <w:t xml:space="preserve">: </w:t>
      </w:r>
      <w:r w:rsidR="00D5686E" w:rsidRPr="00441DB5">
        <w:rPr>
          <w:b/>
          <w:lang w:val="en-US"/>
        </w:rPr>
        <w:t>Comparison of the three cohort types.</w:t>
      </w:r>
    </w:p>
    <w:tbl>
      <w:tblPr>
        <w:tblStyle w:val="TableGrid"/>
        <w:tblW w:w="0" w:type="auto"/>
        <w:tblLayout w:type="fixed"/>
        <w:tblLook w:val="04A0" w:firstRow="1" w:lastRow="0" w:firstColumn="1" w:lastColumn="0" w:noHBand="0" w:noVBand="1"/>
      </w:tblPr>
      <w:tblGrid>
        <w:gridCol w:w="1838"/>
        <w:gridCol w:w="2152"/>
        <w:gridCol w:w="2153"/>
        <w:gridCol w:w="2153"/>
      </w:tblGrid>
      <w:tr w:rsidR="00D5686E" w:rsidRPr="00441DB5" w14:paraId="61DAF891" w14:textId="77777777" w:rsidTr="00483701">
        <w:trPr>
          <w:cantSplit/>
        </w:trPr>
        <w:tc>
          <w:tcPr>
            <w:tcW w:w="1838" w:type="dxa"/>
            <w:vAlign w:val="center"/>
          </w:tcPr>
          <w:p w14:paraId="1873F870" w14:textId="77777777" w:rsidR="00D5686E" w:rsidRPr="00441DB5" w:rsidRDefault="00D5686E" w:rsidP="00D5686E">
            <w:pPr>
              <w:rPr>
                <w:b/>
              </w:rPr>
            </w:pPr>
          </w:p>
        </w:tc>
        <w:tc>
          <w:tcPr>
            <w:tcW w:w="2152" w:type="dxa"/>
            <w:vAlign w:val="center"/>
          </w:tcPr>
          <w:p w14:paraId="340EA300" w14:textId="77777777" w:rsidR="00D5686E" w:rsidRPr="00441DB5" w:rsidRDefault="00D5686E" w:rsidP="00D5686E">
            <w:pPr>
              <w:rPr>
                <w:b/>
              </w:rPr>
            </w:pPr>
            <w:r w:rsidRPr="00441DB5">
              <w:rPr>
                <w:b/>
              </w:rPr>
              <w:t>Cohort A</w:t>
            </w:r>
          </w:p>
        </w:tc>
        <w:tc>
          <w:tcPr>
            <w:tcW w:w="2153" w:type="dxa"/>
            <w:vAlign w:val="center"/>
          </w:tcPr>
          <w:p w14:paraId="30900753" w14:textId="77777777" w:rsidR="00D5686E" w:rsidRPr="00441DB5" w:rsidRDefault="00D5686E" w:rsidP="00D5686E">
            <w:pPr>
              <w:rPr>
                <w:b/>
              </w:rPr>
            </w:pPr>
            <w:r w:rsidRPr="00441DB5">
              <w:rPr>
                <w:b/>
              </w:rPr>
              <w:t>Cohort B</w:t>
            </w:r>
          </w:p>
        </w:tc>
        <w:tc>
          <w:tcPr>
            <w:tcW w:w="2153" w:type="dxa"/>
            <w:vAlign w:val="center"/>
          </w:tcPr>
          <w:p w14:paraId="2075CA34" w14:textId="77777777" w:rsidR="00D5686E" w:rsidRPr="00441DB5" w:rsidRDefault="00D5686E" w:rsidP="00D5686E">
            <w:pPr>
              <w:rPr>
                <w:b/>
              </w:rPr>
            </w:pPr>
            <w:r w:rsidRPr="00441DB5">
              <w:rPr>
                <w:b/>
              </w:rPr>
              <w:t>Cohort C</w:t>
            </w:r>
          </w:p>
        </w:tc>
      </w:tr>
      <w:tr w:rsidR="00D5686E" w:rsidRPr="00441DB5" w14:paraId="68AD1ECE" w14:textId="77777777" w:rsidTr="00483701">
        <w:trPr>
          <w:cantSplit/>
        </w:trPr>
        <w:tc>
          <w:tcPr>
            <w:tcW w:w="1838" w:type="dxa"/>
            <w:vAlign w:val="center"/>
          </w:tcPr>
          <w:p w14:paraId="287EBE0D" w14:textId="77777777" w:rsidR="00D5686E" w:rsidRPr="00441DB5" w:rsidRDefault="00D5686E" w:rsidP="00D5686E">
            <w:pPr>
              <w:rPr>
                <w:b/>
              </w:rPr>
            </w:pPr>
            <w:r w:rsidRPr="00441DB5">
              <w:rPr>
                <w:b/>
              </w:rPr>
              <w:t>Purpose</w:t>
            </w:r>
          </w:p>
        </w:tc>
        <w:tc>
          <w:tcPr>
            <w:tcW w:w="2152" w:type="dxa"/>
            <w:vAlign w:val="center"/>
          </w:tcPr>
          <w:p w14:paraId="214DB75D" w14:textId="77777777" w:rsidR="00D5686E" w:rsidRPr="00441DB5" w:rsidRDefault="00D5686E" w:rsidP="00A044D2">
            <w:r w:rsidRPr="00441DB5">
              <w:t>To</w:t>
            </w:r>
            <w:r w:rsidR="00483701" w:rsidRPr="00441DB5">
              <w:t xml:space="preserve"> investigate incidence by comparing</w:t>
            </w:r>
            <w:r w:rsidRPr="00441DB5">
              <w:t xml:space="preserve"> treated and untreated individuals</w:t>
            </w:r>
            <w:r w:rsidR="00A044D2" w:rsidRPr="00441DB5">
              <w:t>.</w:t>
            </w:r>
          </w:p>
        </w:tc>
        <w:tc>
          <w:tcPr>
            <w:tcW w:w="2153" w:type="dxa"/>
            <w:vAlign w:val="center"/>
          </w:tcPr>
          <w:p w14:paraId="3D803EEE" w14:textId="77777777" w:rsidR="00D5686E" w:rsidRPr="00441DB5" w:rsidRDefault="00D5686E" w:rsidP="00A044D2">
            <w:r w:rsidRPr="00441DB5">
              <w:t xml:space="preserve">To </w:t>
            </w:r>
            <w:r w:rsidR="00483701" w:rsidRPr="00441DB5">
              <w:t xml:space="preserve">investigate incidence by comparing </w:t>
            </w:r>
            <w:r w:rsidR="005D3034" w:rsidRPr="00441DB5">
              <w:t>the different drug subclasses of each</w:t>
            </w:r>
            <w:r w:rsidRPr="00441DB5">
              <w:t xml:space="preserve"> treatment. </w:t>
            </w:r>
          </w:p>
        </w:tc>
        <w:tc>
          <w:tcPr>
            <w:tcW w:w="2153" w:type="dxa"/>
            <w:vAlign w:val="center"/>
          </w:tcPr>
          <w:p w14:paraId="7BFB099F" w14:textId="77777777" w:rsidR="00D5686E" w:rsidRPr="00441DB5" w:rsidRDefault="00D5686E" w:rsidP="00A044D2">
            <w:r w:rsidRPr="00441DB5">
              <w:t>To investigate the progression of neurodegenerative disease</w:t>
            </w:r>
            <w:r w:rsidR="00A044D2" w:rsidRPr="00441DB5">
              <w:t xml:space="preserve"> patients</w:t>
            </w:r>
            <w:r w:rsidRPr="00441DB5">
              <w:t xml:space="preserve"> and the service use of </w:t>
            </w:r>
            <w:r w:rsidR="00A044D2" w:rsidRPr="00441DB5">
              <w:t>dementia patients.</w:t>
            </w:r>
          </w:p>
        </w:tc>
      </w:tr>
      <w:tr w:rsidR="00D5686E" w:rsidRPr="00441DB5" w14:paraId="289CAFBF" w14:textId="77777777" w:rsidTr="00483701">
        <w:trPr>
          <w:cantSplit/>
        </w:trPr>
        <w:tc>
          <w:tcPr>
            <w:tcW w:w="1838" w:type="dxa"/>
            <w:vAlign w:val="center"/>
          </w:tcPr>
          <w:p w14:paraId="5483C364" w14:textId="77777777" w:rsidR="00D5686E" w:rsidRPr="00441DB5" w:rsidRDefault="00483701" w:rsidP="00D5686E">
            <w:pPr>
              <w:rPr>
                <w:b/>
              </w:rPr>
            </w:pPr>
            <w:r w:rsidRPr="00441DB5">
              <w:rPr>
                <w:b/>
              </w:rPr>
              <w:t>Relevant Aims</w:t>
            </w:r>
          </w:p>
        </w:tc>
        <w:tc>
          <w:tcPr>
            <w:tcW w:w="2152" w:type="dxa"/>
            <w:vAlign w:val="center"/>
          </w:tcPr>
          <w:p w14:paraId="5DEBA526" w14:textId="77777777" w:rsidR="00D5686E" w:rsidRPr="00441DB5" w:rsidRDefault="00D5686E" w:rsidP="00D5686E">
            <w:r w:rsidRPr="00441DB5">
              <w:t>1</w:t>
            </w:r>
          </w:p>
        </w:tc>
        <w:tc>
          <w:tcPr>
            <w:tcW w:w="2153" w:type="dxa"/>
            <w:vAlign w:val="center"/>
          </w:tcPr>
          <w:p w14:paraId="342B8A22" w14:textId="77777777" w:rsidR="00D5686E" w:rsidRPr="00441DB5" w:rsidRDefault="00D5686E" w:rsidP="00D5686E">
            <w:r w:rsidRPr="00441DB5">
              <w:t>1</w:t>
            </w:r>
          </w:p>
        </w:tc>
        <w:tc>
          <w:tcPr>
            <w:tcW w:w="2153" w:type="dxa"/>
            <w:vAlign w:val="center"/>
          </w:tcPr>
          <w:p w14:paraId="055F0057" w14:textId="77777777" w:rsidR="00D5686E" w:rsidRPr="00441DB5" w:rsidRDefault="00D5686E" w:rsidP="00D5686E">
            <w:r w:rsidRPr="00441DB5">
              <w:t>2, 3, 4</w:t>
            </w:r>
          </w:p>
        </w:tc>
      </w:tr>
      <w:tr w:rsidR="00D5686E" w:rsidRPr="00441DB5" w14:paraId="137DE81A" w14:textId="77777777" w:rsidTr="00483701">
        <w:trPr>
          <w:cantSplit/>
        </w:trPr>
        <w:tc>
          <w:tcPr>
            <w:tcW w:w="1838" w:type="dxa"/>
            <w:vAlign w:val="center"/>
          </w:tcPr>
          <w:p w14:paraId="1E0EF753" w14:textId="77777777" w:rsidR="00D5686E" w:rsidRPr="00441DB5" w:rsidRDefault="00D5686E" w:rsidP="00D5686E">
            <w:pPr>
              <w:rPr>
                <w:b/>
              </w:rPr>
            </w:pPr>
            <w:r w:rsidRPr="00441DB5">
              <w:rPr>
                <w:b/>
              </w:rPr>
              <w:t>Number of cohorts required</w:t>
            </w:r>
          </w:p>
        </w:tc>
        <w:tc>
          <w:tcPr>
            <w:tcW w:w="2152" w:type="dxa"/>
            <w:vAlign w:val="center"/>
          </w:tcPr>
          <w:p w14:paraId="3F32E2D3" w14:textId="77777777" w:rsidR="00D5686E" w:rsidRPr="00441DB5" w:rsidRDefault="00D5686E" w:rsidP="00D5686E">
            <w:r w:rsidRPr="00441DB5">
              <w:t>There will be three cohorts of this type, one for each treatment of interest.</w:t>
            </w:r>
          </w:p>
        </w:tc>
        <w:tc>
          <w:tcPr>
            <w:tcW w:w="2153" w:type="dxa"/>
            <w:vAlign w:val="center"/>
          </w:tcPr>
          <w:p w14:paraId="1E3490EC" w14:textId="77777777" w:rsidR="00D5686E" w:rsidRPr="00441DB5" w:rsidRDefault="00D5686E" w:rsidP="00D5686E">
            <w:r w:rsidRPr="00441DB5">
              <w:t>There will be three cohorts of this type, one for each treatment of interest.</w:t>
            </w:r>
          </w:p>
        </w:tc>
        <w:tc>
          <w:tcPr>
            <w:tcW w:w="2153" w:type="dxa"/>
            <w:vAlign w:val="center"/>
          </w:tcPr>
          <w:p w14:paraId="61A86029" w14:textId="77777777" w:rsidR="00D5686E" w:rsidRPr="00441DB5" w:rsidRDefault="00D5686E" w:rsidP="00D5686E">
            <w:r w:rsidRPr="00441DB5">
              <w:t>There will be three cohorts of this type, one for each of dementia, Parkinson’s disease and amyotrophic lateral sclerosis.</w:t>
            </w:r>
          </w:p>
        </w:tc>
      </w:tr>
      <w:tr w:rsidR="00D5686E" w:rsidRPr="00441DB5" w14:paraId="522BE45B" w14:textId="77777777" w:rsidTr="00483701">
        <w:trPr>
          <w:cantSplit/>
        </w:trPr>
        <w:tc>
          <w:tcPr>
            <w:tcW w:w="1838" w:type="dxa"/>
            <w:vAlign w:val="center"/>
          </w:tcPr>
          <w:p w14:paraId="603DF3CD" w14:textId="77777777" w:rsidR="00D5686E" w:rsidRPr="00441DB5" w:rsidRDefault="00D5686E" w:rsidP="00D5686E">
            <w:pPr>
              <w:rPr>
                <w:b/>
              </w:rPr>
            </w:pPr>
            <w:r w:rsidRPr="00441DB5">
              <w:rPr>
                <w:b/>
              </w:rPr>
              <w:t>Exposures</w:t>
            </w:r>
          </w:p>
        </w:tc>
        <w:tc>
          <w:tcPr>
            <w:tcW w:w="2152" w:type="dxa"/>
            <w:vAlign w:val="center"/>
          </w:tcPr>
          <w:p w14:paraId="43BEEED1" w14:textId="07AD929D" w:rsidR="00D5686E" w:rsidRPr="00441DB5" w:rsidRDefault="00D5686E" w:rsidP="00D5686E">
            <w:r w:rsidRPr="00441DB5">
              <w:t>Treatments for hype</w:t>
            </w:r>
            <w:r w:rsidR="00D464D2" w:rsidRPr="00441DB5">
              <w:t>rtension, hypercholesterolaemia</w:t>
            </w:r>
            <w:r w:rsidRPr="00441DB5">
              <w:t xml:space="preserve"> and type 2 diabetes.</w:t>
            </w:r>
          </w:p>
        </w:tc>
        <w:tc>
          <w:tcPr>
            <w:tcW w:w="2153" w:type="dxa"/>
            <w:vAlign w:val="center"/>
          </w:tcPr>
          <w:p w14:paraId="0EDC9E9F" w14:textId="514263E0" w:rsidR="00D5686E" w:rsidRPr="00441DB5" w:rsidRDefault="00D5686E" w:rsidP="00D464D2">
            <w:r w:rsidRPr="00441DB5">
              <w:t>Treatments for hype</w:t>
            </w:r>
            <w:r w:rsidR="00D464D2" w:rsidRPr="00441DB5">
              <w:t>rtension, hypercholesterolaemia</w:t>
            </w:r>
            <w:r w:rsidRPr="00441DB5">
              <w:t xml:space="preserve"> and type 2 diabetes.</w:t>
            </w:r>
          </w:p>
        </w:tc>
        <w:tc>
          <w:tcPr>
            <w:tcW w:w="2153" w:type="dxa"/>
            <w:vAlign w:val="center"/>
          </w:tcPr>
          <w:p w14:paraId="40BDF34F" w14:textId="77777777" w:rsidR="00D5686E" w:rsidRPr="00441DB5" w:rsidRDefault="00D5686E" w:rsidP="00D5686E">
            <w:r w:rsidRPr="00441DB5">
              <w:t>Treatments for hypertension, hypercholesterolaemia, type 2 diabetes and dementia.</w:t>
            </w:r>
          </w:p>
        </w:tc>
      </w:tr>
      <w:tr w:rsidR="00D5686E" w:rsidRPr="00441DB5" w14:paraId="5AC5C738" w14:textId="77777777" w:rsidTr="00483701">
        <w:trPr>
          <w:cantSplit/>
        </w:trPr>
        <w:tc>
          <w:tcPr>
            <w:tcW w:w="1838" w:type="dxa"/>
            <w:vAlign w:val="center"/>
          </w:tcPr>
          <w:p w14:paraId="78E45BE9" w14:textId="77777777" w:rsidR="0017313F" w:rsidRPr="00441DB5" w:rsidRDefault="00D5686E" w:rsidP="00D5686E">
            <w:pPr>
              <w:rPr>
                <w:b/>
              </w:rPr>
            </w:pPr>
            <w:r w:rsidRPr="00441DB5">
              <w:rPr>
                <w:b/>
              </w:rPr>
              <w:t xml:space="preserve">Start of </w:t>
            </w:r>
          </w:p>
          <w:p w14:paraId="6BA6E637" w14:textId="77777777" w:rsidR="00D5686E" w:rsidRPr="00441DB5" w:rsidRDefault="00D5686E" w:rsidP="00D5686E">
            <w:pPr>
              <w:rPr>
                <w:b/>
              </w:rPr>
            </w:pPr>
            <w:r w:rsidRPr="00441DB5">
              <w:rPr>
                <w:b/>
              </w:rPr>
              <w:t>follow-up</w:t>
            </w:r>
          </w:p>
        </w:tc>
        <w:tc>
          <w:tcPr>
            <w:tcW w:w="2152" w:type="dxa"/>
            <w:vAlign w:val="center"/>
          </w:tcPr>
          <w:p w14:paraId="7CDAAD75" w14:textId="77777777" w:rsidR="00D5686E" w:rsidRPr="00441DB5" w:rsidRDefault="004F3AB7" w:rsidP="003B5F61">
            <w:r w:rsidRPr="00441DB5">
              <w:t>At risk of the condition the treatment is used for or the condition itself if there is no period at risk.</w:t>
            </w:r>
          </w:p>
        </w:tc>
        <w:tc>
          <w:tcPr>
            <w:tcW w:w="2153" w:type="dxa"/>
            <w:vAlign w:val="center"/>
          </w:tcPr>
          <w:p w14:paraId="6C3D6DD8" w14:textId="77777777" w:rsidR="00D5686E" w:rsidRPr="00441DB5" w:rsidRDefault="004F3AB7" w:rsidP="004F3AB7">
            <w:r w:rsidRPr="00441DB5">
              <w:t>P</w:t>
            </w:r>
            <w:r w:rsidR="00D5686E" w:rsidRPr="00441DB5">
              <w:t>rescripti</w:t>
            </w:r>
            <w:r w:rsidRPr="00441DB5">
              <w:t>on of a treatment of interest.</w:t>
            </w:r>
          </w:p>
        </w:tc>
        <w:tc>
          <w:tcPr>
            <w:tcW w:w="2153" w:type="dxa"/>
            <w:vAlign w:val="center"/>
          </w:tcPr>
          <w:p w14:paraId="0BABD98E" w14:textId="77777777" w:rsidR="00D5686E" w:rsidRPr="00441DB5" w:rsidRDefault="004F3AB7" w:rsidP="004F3AB7">
            <w:r w:rsidRPr="00441DB5">
              <w:t>Diagnosis of neurodegenerative</w:t>
            </w:r>
            <w:r w:rsidR="00D5686E" w:rsidRPr="00441DB5">
              <w:t xml:space="preserve"> disease of interest</w:t>
            </w:r>
            <w:r w:rsidRPr="00441DB5">
              <w:t>.</w:t>
            </w:r>
          </w:p>
        </w:tc>
      </w:tr>
      <w:tr w:rsidR="00D5686E" w:rsidRPr="00441DB5" w14:paraId="354CE6C0" w14:textId="77777777" w:rsidTr="00441DB5">
        <w:trPr>
          <w:cantSplit/>
        </w:trPr>
        <w:tc>
          <w:tcPr>
            <w:tcW w:w="1838" w:type="dxa"/>
            <w:vAlign w:val="center"/>
          </w:tcPr>
          <w:p w14:paraId="707896BE" w14:textId="77777777" w:rsidR="00D5686E" w:rsidRPr="00441DB5" w:rsidRDefault="00D5686E" w:rsidP="00D5686E">
            <w:pPr>
              <w:rPr>
                <w:b/>
              </w:rPr>
            </w:pPr>
            <w:r w:rsidRPr="00441DB5">
              <w:rPr>
                <w:b/>
              </w:rPr>
              <w:t>Outcome</w:t>
            </w:r>
          </w:p>
        </w:tc>
        <w:tc>
          <w:tcPr>
            <w:tcW w:w="2152" w:type="dxa"/>
            <w:shd w:val="clear" w:color="auto" w:fill="auto"/>
            <w:vAlign w:val="center"/>
          </w:tcPr>
          <w:p w14:paraId="5D3BEA56" w14:textId="77777777" w:rsidR="00D5686E" w:rsidRPr="00441DB5" w:rsidRDefault="0063468D" w:rsidP="00845145">
            <w:r w:rsidRPr="00441DB5">
              <w:t>Diagnosis of neurodegenerative disease of interest.</w:t>
            </w:r>
          </w:p>
        </w:tc>
        <w:tc>
          <w:tcPr>
            <w:tcW w:w="2153" w:type="dxa"/>
            <w:shd w:val="clear" w:color="auto" w:fill="auto"/>
            <w:vAlign w:val="center"/>
          </w:tcPr>
          <w:p w14:paraId="5E99D40F" w14:textId="77777777" w:rsidR="00D5686E" w:rsidRPr="00441DB5" w:rsidRDefault="0063468D" w:rsidP="00D5686E">
            <w:r w:rsidRPr="00441DB5">
              <w:t>Diagnosis of neurodegenerative disease of interest.</w:t>
            </w:r>
          </w:p>
        </w:tc>
        <w:tc>
          <w:tcPr>
            <w:tcW w:w="2153" w:type="dxa"/>
            <w:shd w:val="clear" w:color="auto" w:fill="auto"/>
            <w:vAlign w:val="center"/>
          </w:tcPr>
          <w:p w14:paraId="4E693617" w14:textId="77777777" w:rsidR="00D5686E" w:rsidRPr="00441DB5" w:rsidRDefault="005D3034" w:rsidP="005D3034">
            <w:r w:rsidRPr="00441DB5">
              <w:t>Death.</w:t>
            </w:r>
          </w:p>
        </w:tc>
      </w:tr>
      <w:tr w:rsidR="00D5686E" w:rsidRPr="00441DB5" w14:paraId="0F29779A" w14:textId="77777777" w:rsidTr="00441DB5">
        <w:trPr>
          <w:cantSplit/>
        </w:trPr>
        <w:tc>
          <w:tcPr>
            <w:tcW w:w="1838" w:type="dxa"/>
            <w:vAlign w:val="center"/>
          </w:tcPr>
          <w:p w14:paraId="623D17C8" w14:textId="77777777" w:rsidR="00D5686E" w:rsidRPr="00441DB5" w:rsidRDefault="00D5686E" w:rsidP="00D5686E">
            <w:pPr>
              <w:rPr>
                <w:b/>
              </w:rPr>
            </w:pPr>
            <w:r w:rsidRPr="00441DB5">
              <w:rPr>
                <w:b/>
              </w:rPr>
              <w:t>Exclusion Criteria</w:t>
            </w:r>
          </w:p>
        </w:tc>
        <w:tc>
          <w:tcPr>
            <w:tcW w:w="2152" w:type="dxa"/>
            <w:shd w:val="clear" w:color="auto" w:fill="auto"/>
            <w:vAlign w:val="center"/>
          </w:tcPr>
          <w:p w14:paraId="5CC65129" w14:textId="21DE8343" w:rsidR="00D5686E" w:rsidRPr="00441DB5" w:rsidRDefault="00441DB5" w:rsidP="00367302">
            <w:r>
              <w:t xml:space="preserve">Individuals </w:t>
            </w:r>
            <w:r w:rsidRPr="00441DB5">
              <w:t>with less than 12 consecutive months of records prior to cohort entry.</w:t>
            </w:r>
          </w:p>
        </w:tc>
        <w:tc>
          <w:tcPr>
            <w:tcW w:w="2153" w:type="dxa"/>
            <w:shd w:val="clear" w:color="auto" w:fill="auto"/>
            <w:vAlign w:val="center"/>
          </w:tcPr>
          <w:p w14:paraId="3F247540" w14:textId="7492B1F2" w:rsidR="00D5686E" w:rsidRPr="00441DB5" w:rsidRDefault="00D5686E" w:rsidP="00367302">
            <w:r w:rsidRPr="00441DB5">
              <w:t xml:space="preserve">Individuals </w:t>
            </w:r>
            <w:r w:rsidR="00367302" w:rsidRPr="00441DB5">
              <w:t xml:space="preserve">prescribed both treatment and control medications at the same time or with less than 12 consecutive months of records prior to cohort entry. </w:t>
            </w:r>
          </w:p>
        </w:tc>
        <w:tc>
          <w:tcPr>
            <w:tcW w:w="2153" w:type="dxa"/>
            <w:shd w:val="clear" w:color="auto" w:fill="auto"/>
            <w:vAlign w:val="center"/>
          </w:tcPr>
          <w:p w14:paraId="74B2EC8B" w14:textId="0BC3F255" w:rsidR="00D5686E" w:rsidRPr="00441DB5" w:rsidRDefault="00441DB5" w:rsidP="00367302">
            <w:r>
              <w:t xml:space="preserve">Individuals </w:t>
            </w:r>
            <w:r w:rsidRPr="00441DB5">
              <w:t>with less than 12 consecutive months of records prior to cohort entry.</w:t>
            </w:r>
          </w:p>
        </w:tc>
      </w:tr>
      <w:tr w:rsidR="00D5686E" w:rsidRPr="00441DB5" w14:paraId="7BF2D10F" w14:textId="77777777" w:rsidTr="00483701">
        <w:trPr>
          <w:cantSplit/>
        </w:trPr>
        <w:tc>
          <w:tcPr>
            <w:tcW w:w="1838" w:type="dxa"/>
            <w:vAlign w:val="center"/>
          </w:tcPr>
          <w:p w14:paraId="44DE0006" w14:textId="77777777" w:rsidR="00D5686E" w:rsidRPr="00441DB5" w:rsidRDefault="00D5686E" w:rsidP="00D5686E">
            <w:pPr>
              <w:rPr>
                <w:b/>
              </w:rPr>
            </w:pPr>
            <w:r w:rsidRPr="00441DB5">
              <w:rPr>
                <w:b/>
              </w:rPr>
              <w:t>Data Linkage</w:t>
            </w:r>
          </w:p>
        </w:tc>
        <w:tc>
          <w:tcPr>
            <w:tcW w:w="2152" w:type="dxa"/>
            <w:vAlign w:val="center"/>
          </w:tcPr>
          <w:p w14:paraId="13B3BF0C" w14:textId="77777777" w:rsidR="00D5686E" w:rsidRPr="00441DB5" w:rsidRDefault="00845145" w:rsidP="00D5686E">
            <w:r w:rsidRPr="00441DB5">
              <w:t>ONS</w:t>
            </w:r>
          </w:p>
        </w:tc>
        <w:tc>
          <w:tcPr>
            <w:tcW w:w="2153" w:type="dxa"/>
            <w:vAlign w:val="center"/>
          </w:tcPr>
          <w:p w14:paraId="71B4F32B" w14:textId="77777777" w:rsidR="00D5686E" w:rsidRPr="00441DB5" w:rsidRDefault="00845145" w:rsidP="00D5686E">
            <w:r w:rsidRPr="00441DB5">
              <w:t>ONS</w:t>
            </w:r>
          </w:p>
        </w:tc>
        <w:tc>
          <w:tcPr>
            <w:tcW w:w="2153" w:type="dxa"/>
            <w:vAlign w:val="center"/>
          </w:tcPr>
          <w:p w14:paraId="45E1A139" w14:textId="77777777" w:rsidR="00D5686E" w:rsidRPr="00441DB5" w:rsidRDefault="00845145" w:rsidP="00D5686E">
            <w:r w:rsidRPr="00441DB5">
              <w:t>ONS and HES</w:t>
            </w:r>
          </w:p>
        </w:tc>
      </w:tr>
      <w:tr w:rsidR="00D5686E" w:rsidRPr="00441DB5" w14:paraId="22B8B49B" w14:textId="77777777" w:rsidTr="00483701">
        <w:trPr>
          <w:cantSplit/>
        </w:trPr>
        <w:tc>
          <w:tcPr>
            <w:tcW w:w="1838" w:type="dxa"/>
            <w:vAlign w:val="center"/>
          </w:tcPr>
          <w:p w14:paraId="2D4B25FC" w14:textId="77777777" w:rsidR="00D5686E" w:rsidRPr="00441DB5" w:rsidRDefault="00D5686E" w:rsidP="00D5686E">
            <w:pPr>
              <w:rPr>
                <w:b/>
              </w:rPr>
            </w:pPr>
            <w:r w:rsidRPr="00441DB5">
              <w:rPr>
                <w:b/>
              </w:rPr>
              <w:lastRenderedPageBreak/>
              <w:t>Statistical Analysis</w:t>
            </w:r>
          </w:p>
        </w:tc>
        <w:tc>
          <w:tcPr>
            <w:tcW w:w="2152" w:type="dxa"/>
            <w:vAlign w:val="center"/>
          </w:tcPr>
          <w:p w14:paraId="36FD0000" w14:textId="77777777" w:rsidR="00D5686E" w:rsidRPr="00441DB5" w:rsidRDefault="00D5686E" w:rsidP="00D5686E">
            <w:r w:rsidRPr="00441DB5">
              <w:t>Conventional regression, propensity score regression, instrumental variable analysis and marginal structural models.</w:t>
            </w:r>
          </w:p>
        </w:tc>
        <w:tc>
          <w:tcPr>
            <w:tcW w:w="2153" w:type="dxa"/>
            <w:vAlign w:val="center"/>
          </w:tcPr>
          <w:p w14:paraId="22F5D678" w14:textId="77777777" w:rsidR="00D5686E" w:rsidRPr="00441DB5" w:rsidRDefault="00D5686E" w:rsidP="00D5686E">
            <w:r w:rsidRPr="00441DB5">
              <w:t>Conventional regression, propensity score regression, instrumental variable analysis and marginal structural models.</w:t>
            </w:r>
          </w:p>
        </w:tc>
        <w:tc>
          <w:tcPr>
            <w:tcW w:w="2153" w:type="dxa"/>
            <w:vAlign w:val="center"/>
          </w:tcPr>
          <w:p w14:paraId="4C318499" w14:textId="77777777" w:rsidR="00D5686E" w:rsidRPr="00441DB5" w:rsidRDefault="00D5686E" w:rsidP="00D5686E">
            <w:r w:rsidRPr="00441DB5">
              <w:t>Conventional regression, propensity score regression and marginal structural models.</w:t>
            </w:r>
          </w:p>
        </w:tc>
      </w:tr>
    </w:tbl>
    <w:p w14:paraId="22F55BAD" w14:textId="77777777" w:rsidR="005D3034" w:rsidRPr="00441DB5" w:rsidRDefault="005D3034" w:rsidP="005D3034">
      <w:pPr>
        <w:pStyle w:val="PHeading1"/>
        <w:numPr>
          <w:ilvl w:val="0"/>
          <w:numId w:val="0"/>
        </w:numPr>
        <w:ind w:left="432" w:hanging="432"/>
      </w:pPr>
      <w:bookmarkStart w:id="44" w:name="_Toc434319891"/>
      <w:bookmarkStart w:id="45" w:name="_Toc434320925"/>
    </w:p>
    <w:p w14:paraId="39CACC9F" w14:textId="77777777" w:rsidR="00D5686E" w:rsidRPr="00441DB5" w:rsidRDefault="00D5686E" w:rsidP="005D3034">
      <w:pPr>
        <w:pStyle w:val="PHeading1"/>
      </w:pPr>
      <w:r w:rsidRPr="00441DB5">
        <w:t>Exposures</w:t>
      </w:r>
      <w:bookmarkEnd w:id="44"/>
      <w:bookmarkEnd w:id="45"/>
      <w:r w:rsidRPr="00441DB5">
        <w:t>, outcomes and covariates</w:t>
      </w:r>
    </w:p>
    <w:p w14:paraId="3418C242" w14:textId="77777777" w:rsidR="00D5686E" w:rsidRPr="00441DB5" w:rsidRDefault="00D5686E" w:rsidP="00C95412">
      <w:pPr>
        <w:pStyle w:val="PNormal"/>
      </w:pPr>
    </w:p>
    <w:p w14:paraId="34E1374B" w14:textId="77777777" w:rsidR="00D5686E" w:rsidRPr="00441DB5" w:rsidRDefault="00D5686E" w:rsidP="00C95412">
      <w:pPr>
        <w:pStyle w:val="PHeading2"/>
      </w:pPr>
      <w:r w:rsidRPr="00441DB5">
        <w:t>Exposures</w:t>
      </w:r>
    </w:p>
    <w:p w14:paraId="3F12FF81" w14:textId="77777777" w:rsidR="00D5686E" w:rsidRPr="00441DB5" w:rsidRDefault="00D5686E" w:rsidP="00C95412">
      <w:pPr>
        <w:pStyle w:val="PNormal"/>
      </w:pPr>
    </w:p>
    <w:p w14:paraId="56E0C7BC" w14:textId="60DE05F8" w:rsidR="00D5686E" w:rsidRPr="00441DB5" w:rsidRDefault="00D5686E" w:rsidP="00C95412">
      <w:pPr>
        <w:pStyle w:val="PNormal"/>
      </w:pPr>
      <w:r w:rsidRPr="00441DB5">
        <w:t>For our primary analysis we will define all exposures based on the first prescription observed in the database.</w:t>
      </w:r>
      <w:r w:rsidRPr="00441DB5">
        <w:fldChar w:fldCharType="begin"/>
      </w:r>
      <w:r w:rsidR="00900454" w:rsidRPr="00441DB5">
        <w:instrText xml:space="preserve"> ADDIN ZOTERO_ITEM CSL_CITATION {"citationID":"2at0sasv4g","properties":{"formattedCitation":"{\\rtf \\super 37\\nosupersub{}}","plainCitation":"37"},"citationItems":[{"id":265,"uris":["http://zotero.org/users/117866/items/6GWRK8RG"],"uri":["http://zotero.org/users/117866/items/6GWRK8RG"],"itemData":{"id":265,"type":"article-journal","title":"Observational studies analyzed like randomized experiments: an application to postmenopausal hormone therapy and coronary heart disease","container-title":"Epidemiology (Cambridge, Mass.)","page":"766-779","volume":"19","issue":"6","source":"NCBI PubMed","abstract":"BACKGROUND\n\nThe Women's Health Initiative randomized trial found greater coronary heart disease (CHD) risk in women assigned to estrogen/progestin therapy than in those assigned to placebo. Observational studies had previously suggested reduced CHD risk in hormone users.\n\n\nMETHODS\n\nUsing data from the observational Nurses' Health Study, we emulated the design and intention-to-treat (ITT) analysis of the randomized trial. The observational study was conceptualized as a sequence of \"trials,\" in which eligible women were classified as initiators or noninitiators of estrogen/progestin therapy.\n\n\nRESULTS\n\nThe ITT hazard ratios (HRs) (95% confidence intervals) of CHD for initiators versus noninitiators were 1.42 (0.92-2.20) for the first 2 years, and 0.96 (0.78-1.18) for the entire follow-up. The ITT HRs were 0.84 (0.61-1.14) in women within 10 years of menopause, and 1.12 (0.84-1.48) in the others (P value for interaction = 0.08). These ITT estimates are similar to those from the Women's Health Initiative. Because the ITT approach causes severe treatment misclassification, we also estimated adherence-adjusted effects by inverse probability weighting. The HRs were 1.61 (0.97-2.66) for the first 2 years, and 0.98 (0.66-1.49) for the entire follow-up. The HRs were 0.54 (0.19-1.51) in women within 10 years after menopause, and 1.20 (0.78-1.84) in others (P value for interaction = 0.01). We also present comparisons between these estimates and previously reported Nurses' Health Study estimates.\n\n\nCONCLUSIONS\n\nOur findings suggest that the discrepancies between the Women's Health Initiative and Nurses' Health Study ITT estimates could be largely explained by differences in the distribution of time since menopause and length of follow-up.","DOI":"10.1097/EDE.0b013e3181875e61","ISSN":"1531-5487","note":"PMID: 18854702","shortTitle":"Observational studies analyzed like randomized experiments","journalAbbreviation":"Epidemiology","author":[{"family":"Hernán","given":"Miguel A"},{"family":"Alonso","given":"Alvaro"},{"family":"Logan","given":"Roger"},{"family":"Grodstein","given":"Francine"},{"family":"Michels","given":"Karin B"},{"family":"Willett","given":"Walter C"},{"family":"Manson","given":"Joann E"},{"family":"Robins","given":"James M"}],"issued":{"date-parts":[["2008",11]]},"PMID":"18854702"}}],"schema":"https://github.com/citation-style-language/schema/raw/master/csl-citation.json"} </w:instrText>
      </w:r>
      <w:r w:rsidRPr="00441DB5">
        <w:fldChar w:fldCharType="separate"/>
      </w:r>
      <w:r w:rsidR="00900454" w:rsidRPr="00441DB5">
        <w:rPr>
          <w:vertAlign w:val="superscript"/>
        </w:rPr>
        <w:t>37</w:t>
      </w:r>
      <w:r w:rsidRPr="00441DB5">
        <w:fldChar w:fldCharType="end"/>
      </w:r>
      <w:r w:rsidRPr="00441DB5">
        <w:t xml:space="preserve"> This is so that the target parameter estimated in the observational study will be comparable to that estimated by a randomised controlled trial (RCT). This, combined with analysing the data using an intention-to-treat (based on first test or recording of a relevant read code) will minimise the risk of immortal time-bias because all time at risk will be correctly allocated to exposed or unexposed patients.</w:t>
      </w:r>
      <w:r w:rsidRPr="00441DB5">
        <w:fldChar w:fldCharType="begin"/>
      </w:r>
      <w:r w:rsidR="00900454" w:rsidRPr="00441DB5">
        <w:instrText xml:space="preserve"> ADDIN ZOTERO_ITEM CSL_CITATION {"citationID":"29rhcfvp5h","properties":{"formattedCitation":"{\\rtf \\super 36\\nosupersub{}}","plainCitation":"36"},"citationItems":[{"id":226,"uris":["http://zotero.org/users/117866/items/5ZN8JTQT"],"uri":["http://zotero.org/users/117866/items/5ZN8JTQT"],"itemData":{"id":226,"type":"article-journal","title":"Immortal time bias in pharmacoepidemiology","container-title":"American journal of epidemiology","page":"492-499","volume":"167","issue":"4","call-number":"0000","journalAbbreviation":"Am. J. Epidemiol","author":[{"family":"Suissa","given":"S."}],"issued":{"date-parts":[["2008"]]}}}],"schema":"https://github.com/citation-style-language/schema/raw/master/csl-citation.json"} </w:instrText>
      </w:r>
      <w:r w:rsidRPr="00441DB5">
        <w:fldChar w:fldCharType="separate"/>
      </w:r>
      <w:r w:rsidR="00900454" w:rsidRPr="00441DB5">
        <w:rPr>
          <w:vertAlign w:val="superscript"/>
        </w:rPr>
        <w:t>36</w:t>
      </w:r>
      <w:r w:rsidRPr="00441DB5">
        <w:fldChar w:fldCharType="end"/>
      </w:r>
      <w:r w:rsidRPr="00441DB5">
        <w:t xml:space="preserve"> Immortal time bias cannot occur if all patients are followed up from consistent index date such as a test result.</w:t>
      </w:r>
      <w:r w:rsidRPr="00441DB5">
        <w:fldChar w:fldCharType="begin"/>
      </w:r>
      <w:r w:rsidR="00900454" w:rsidRPr="00441DB5">
        <w:instrText xml:space="preserve"> ADDIN ZOTERO_ITEM CSL_CITATION {"citationID":"q6g92vgpo","properties":{"formattedCitation":"{\\rtf \\super 38\\nosupersub{}}","plainCitation":"38"},"citationItems":[{"id":182,"uris":["http://zotero.org/users/117866/items/S653UMQD"],"uri":["http://zotero.org/users/117866/items/S653UMQD"],"itemData":{"id":182,"type":"article-journal","title":"Metformin and the Risk of Cancer: Time-related biases in observational studies","container-title":"Diabetes Care","page":"2665-2673","volume":"35","issue":"12","source":"CrossRef","DOI":"10.2337/dc12-0788","ISSN":"0149-5992, 1935-5548","shortTitle":"Metformin and the Risk of Cancer","language":"en","author":[{"family":"Suissa","given":"S."},{"family":"Azoulay","given":"L."}],"issued":{"date-parts":[["2012",12,1]]}}}],"schema":"https://github.com/citation-style-language/schema/raw/master/csl-citation.json"} </w:instrText>
      </w:r>
      <w:r w:rsidRPr="00441DB5">
        <w:fldChar w:fldCharType="separate"/>
      </w:r>
      <w:r w:rsidR="00900454" w:rsidRPr="00441DB5">
        <w:rPr>
          <w:vertAlign w:val="superscript"/>
        </w:rPr>
        <w:t>38</w:t>
      </w:r>
      <w:r w:rsidRPr="00441DB5">
        <w:fldChar w:fldCharType="end"/>
      </w:r>
      <w:r w:rsidRPr="00441DB5">
        <w:t xml:space="preserve"> First time prescriptions of the medications of interest (treatment and control) will be defined as people who received at least one prescription of the product but who had no use of a related product during the 12 months before the start of follow-up. The prescriptions will be defined by the therapy file in the CPRD, which records the date each prescription was issued, the quantity of drug prescribed and the dosage.</w:t>
      </w:r>
      <w:r w:rsidR="00692FAB" w:rsidRPr="00441DB5">
        <w:t xml:space="preserve"> Patients initially receiving more than one prescription of a drug of interest will be included in our analysis in a group representing the specific combination of drugs they receive.</w:t>
      </w:r>
    </w:p>
    <w:p w14:paraId="74526AA3" w14:textId="062F29AE" w:rsidR="00692FAB" w:rsidRPr="00441DB5" w:rsidRDefault="00692FAB"/>
    <w:p w14:paraId="35E213BF" w14:textId="38D8E83E" w:rsidR="00D5686E" w:rsidRPr="00441DB5" w:rsidRDefault="00D5686E" w:rsidP="00C95412">
      <w:pPr>
        <w:pStyle w:val="PNormal"/>
      </w:pPr>
      <w:r w:rsidRPr="00441DB5">
        <w:t>Analogous to an intention-to-treat analysis in a RCT, patients initially prescribed a treatment medication (exposed), but later stop that medication or switch to a control drug (unexposed), will be allocated to treatment (i.e. classified as exposed, irrespective of what happens in the future) and vice-versa. We will use an intention to treat analysis in our primary analysis for two reasons. First, whilst there are theoretical statistical models for estimating the effects of treatment switching such as marginal structural models, these methods require the strong assumption that there are no unmeasured confounders. Second, to our knowledge there are no instrumental variable methods for estimating the effects of switching treatment. We will investigate treatment switching using marginal structural models in a secondary analysis.</w:t>
      </w:r>
    </w:p>
    <w:p w14:paraId="3D1C4926" w14:textId="77777777" w:rsidR="00021120" w:rsidRPr="00441DB5" w:rsidRDefault="00021120">
      <w:pPr>
        <w:rPr>
          <w:b/>
          <w:bCs/>
          <w:iCs/>
        </w:rPr>
      </w:pPr>
      <w:bookmarkStart w:id="46" w:name="_Toc434319892"/>
      <w:bookmarkStart w:id="47" w:name="_Toc434320926"/>
    </w:p>
    <w:p w14:paraId="012F0A94" w14:textId="77777777" w:rsidR="00D5686E" w:rsidRPr="00441DB5" w:rsidRDefault="00D5686E" w:rsidP="00C95412">
      <w:pPr>
        <w:pStyle w:val="PHeading2"/>
      </w:pPr>
      <w:r w:rsidRPr="00441DB5">
        <w:t>Outcomes</w:t>
      </w:r>
      <w:bookmarkEnd w:id="46"/>
      <w:bookmarkEnd w:id="47"/>
    </w:p>
    <w:p w14:paraId="04B58618" w14:textId="77777777" w:rsidR="00D5686E" w:rsidRPr="00441DB5" w:rsidRDefault="00D5686E" w:rsidP="00C95412">
      <w:pPr>
        <w:pStyle w:val="PNormal"/>
      </w:pPr>
    </w:p>
    <w:p w14:paraId="42E5EE48" w14:textId="77777777" w:rsidR="00D5686E" w:rsidRPr="00441DB5" w:rsidRDefault="00D5686E" w:rsidP="00C95412">
      <w:pPr>
        <w:pStyle w:val="PNormal"/>
      </w:pPr>
      <w:r w:rsidRPr="00441DB5">
        <w:t xml:space="preserve">For incidence, we will identify the neurodegenerative disease outcomes (Alzheimer’s disease, other types of dementia, amyotrophic lateral sclerosis, Parkinson’s disease) using the </w:t>
      </w:r>
      <w:r w:rsidR="004473F3" w:rsidRPr="00441DB5">
        <w:t>code lists described in Appendix 1</w:t>
      </w:r>
      <w:r w:rsidRPr="00441DB5">
        <w:t>. For progression, we will identify the outcome death using the linked Office of National Statistics data. For the investigations into service use, we will define ‘use’ as the number of visits to: i) primary care and ii) secondary care following diagnosis. Secondary care visits will be identified via linked Hospital Episode Statistics data.</w:t>
      </w:r>
      <w:bookmarkStart w:id="48" w:name="_Toc434319893"/>
      <w:bookmarkStart w:id="49" w:name="_Toc434320929"/>
    </w:p>
    <w:p w14:paraId="09F321E6" w14:textId="77777777" w:rsidR="00A93AEB" w:rsidRPr="00441DB5" w:rsidRDefault="00A93AEB">
      <w:pPr>
        <w:rPr>
          <w:b/>
          <w:bCs/>
          <w:iCs/>
        </w:rPr>
      </w:pPr>
    </w:p>
    <w:p w14:paraId="4F6831B2" w14:textId="77777777" w:rsidR="00D5686E" w:rsidRPr="00441DB5" w:rsidRDefault="00D5686E" w:rsidP="00C95412">
      <w:pPr>
        <w:pStyle w:val="PHeading2"/>
      </w:pPr>
      <w:r w:rsidRPr="00441DB5">
        <w:lastRenderedPageBreak/>
        <w:t>Covariates</w:t>
      </w:r>
      <w:bookmarkEnd w:id="48"/>
      <w:bookmarkEnd w:id="49"/>
    </w:p>
    <w:p w14:paraId="6B475BE5" w14:textId="77777777" w:rsidR="00D5686E" w:rsidRPr="00441DB5" w:rsidRDefault="00D5686E" w:rsidP="00C95412">
      <w:pPr>
        <w:pStyle w:val="PNormal"/>
      </w:pPr>
    </w:p>
    <w:p w14:paraId="2B9D3F0D" w14:textId="10E4B47D" w:rsidR="00D5686E" w:rsidRPr="00441DB5" w:rsidRDefault="00D5686E" w:rsidP="00C95412">
      <w:pPr>
        <w:pStyle w:val="PNormal"/>
      </w:pPr>
      <w:r w:rsidRPr="00441DB5">
        <w:t xml:space="preserve">We will include the following covariates matching on date of birth, sex, index date, general practice and years of recorded history in the database before the index date, we will control for the following factors: body mass index, smoking status, alcohol consumption, </w:t>
      </w:r>
      <w:r w:rsidRPr="00441DB5">
        <w:rPr>
          <w:lang w:val="en-US"/>
        </w:rPr>
        <w:t xml:space="preserve">consultation rate, a </w:t>
      </w:r>
      <w:r w:rsidRPr="00441DB5">
        <w:rPr>
          <w:color w:val="000000"/>
          <w:lang w:val="en-US"/>
        </w:rPr>
        <w:t xml:space="preserve">postcode-based </w:t>
      </w:r>
      <w:r w:rsidRPr="00441DB5">
        <w:rPr>
          <w:lang w:val="en-US"/>
        </w:rPr>
        <w:t xml:space="preserve">measure of socioeconomic position (a </w:t>
      </w:r>
      <w:r w:rsidRPr="00441DB5">
        <w:rPr>
          <w:color w:val="000000"/>
          <w:lang w:val="en-US"/>
        </w:rPr>
        <w:t xml:space="preserve">practice postcode-based indicator is available </w:t>
      </w:r>
      <w:r w:rsidRPr="00441DB5">
        <w:rPr>
          <w:lang w:val="en-US"/>
        </w:rPr>
        <w:t>for all CPRD</w:t>
      </w:r>
      <w:r w:rsidRPr="00441DB5">
        <w:rPr>
          <w:color w:val="000000"/>
          <w:lang w:val="en-US"/>
        </w:rPr>
        <w:t xml:space="preserve"> derived using the Index of Multiple Deprivation (IMD);</w:t>
      </w:r>
      <w:r w:rsidRPr="00441DB5">
        <w:rPr>
          <w:lang w:val="en-US"/>
        </w:rPr>
        <w:t xml:space="preserve"> a </w:t>
      </w:r>
      <w:r w:rsidRPr="00441DB5">
        <w:rPr>
          <w:color w:val="000000"/>
          <w:lang w:val="en-US"/>
        </w:rPr>
        <w:t>patient postcode-based indicator has been derived using Townsend scores and is available for patients registered with one of approximately 200 practices (50% of all) in England only</w:t>
      </w:r>
      <w:r w:rsidRPr="00441DB5">
        <w:rPr>
          <w:lang w:val="en-US"/>
        </w:rPr>
        <w:t xml:space="preserve">), </w:t>
      </w:r>
      <w:r w:rsidRPr="00441DB5">
        <w:t xml:space="preserve">previous history of coronary-artery disease, previous coronary-bypass surgery and cerebrovascular disease including stroke. We will also control for other major chronic illness (including cancer, arthritis) using the Charlson index </w:t>
      </w:r>
      <w:r w:rsidRPr="00441DB5">
        <w:fldChar w:fldCharType="begin"/>
      </w:r>
      <w:r w:rsidRPr="00441DB5">
        <w:instrText xml:space="preserve"> ADDIN ZOTERO_ITEM CSL_CITATION {"citationID":"OJSURv8U","properties":{"formattedCitation":"{\\rtf (\\i 25\\i0{}, \\i 26\\i0{})}","plainCitation":"(25, 26)","dontUpdate":true},"citationItems":[{"id":451,"uris":["http://zotero.org/users/117866/items/9RK3TTJG"],"uri":["http://zotero.org/users/117866/items/9RK3TTJG"],"itemData":{"id":451,"type":"article-journal","title":"A new method of classifying prognostic comorbidity in longitudinal studies: development and validation","container-title":"Journal of Chronic Diseases","page":"373-383","volume":"40","issue":"5","source":"NCBI PubMed","abstract":"The objective of this study was to develop a prospectively applicable method for classifying comorbid conditions which might alter the risk of mortality for use in longitudinal studies. A weighted index that takes into account the number and the seriousness of comorbid disease was developed in a cohort of 559 medical patients. The 1-yr mortality rates for the different scores were: \"0\", 12% (181); \"1-2\", 26% (225); \"3-4\", 52% (71); and \"greater than or equal to 5\", 85% (82). The index was tested for its ability to predict risk of death from comorbid disease in the second cohort of 685 patients during a 10-yr follow-up. The percent of patients who died of comorbid disease for the different scores were: \"0\", 8% (588); \"1\", 25% (54); \"2\", 48% (25); \"greater than or equal to 3\", 59% (18). With each increased level of the comorbidity index, there were stepwise increases in the cumulative mortality attributable to comorbid disease (log rank chi 2 = 165; p less than 0.0001). In this longer follow-up, age was also a predictor of mortality (p less than 0.001). The new index performed similarly to a previous system devised by Kaplan and Feinstein. The method of classifying comorbidity provides a simple, readily applicable and valid method of estimating risk of death from comorbid disease for use in longitudinal studies. Further work in larger populations is still required to refine the approach because the number of patients with any given condition in this study was relatively small.","ISSN":"0021-9681","note":"PMID: 3558716","shortTitle":"A new method of classifying prognostic comorbidity in longitudinal studies","journalAbbreviation":"J Chronic Dis","author":[{"family":"Charlson","given":"M E"},{"family":"Pompei","given":"P"},{"family":"Ales","given":"K L"},{"family":"MacKenzie","given":"C R"}],"issued":{"date-parts":[["1987"]]},"PMID":"3558716"}},{"id":3205,"uris":["http://zotero.org/users/117866/items/GNBF6VSJ"],"uri":["http://zotero.org/users/117866/items/GNBF6VSJ"],"itemData":{"id":3205,"type":"article-journal","title":"Adaptation and validation of the Charlson Index for Read/OXMIS coded databases","container-title":"BMC family practice","page":"1","volume":"11","source":"NCBI PubMed","abstract":"BACKGROUND: The Charlson comorbidity index is widely used in ICD-9 administrative data, however, there is no translation for Read/OXMIS coded data despite increasing use of the General Practice Research Database (GPRD). Our main objective was to translate the Charlson index for use with Read/OXMIS coded data such as the GPRD and test its association with mortality. We also aimed to provide a version of the comorbidity index for other researchers using similar datasets.\nMETHODS: Two clinicians translated the Charlson index into Read/OXMIS codes. We tested the association between comorbidity score and increased mortality in 146 441 patients from the GPRD using proportional hazards models.\nRESULTS: This Read/OXMIS translation of the Charlson index contains 3156 codes. Our validation showed a strong positive association between Charlson score and age. Cox proportional models show a positive increasing association with mortality and Charlson score. The discrimination of the logistic regression model for mortality was good (AUC = 0.853).\nCONCLUSION: We have translated a commonly used comorbidity index into Read/OXMIS for use in UK primary care databases. The translated index showed a good discrimination in our study population. This is the first study to develop a co-morbidity index for use with the Read/OXMIS coding system and the GPRD. A copy of the co-morbidity index is provided for other researchers using similar databases.","DOI":"10.1186/1471-2296-11-1","ISSN":"1471-2296","note":"PMID: 20051110 \nPMCID: PMC2820468","journalAbbreviation":"BMC Fam Pract","language":"eng","author":[{"family":"Khan","given":"Nada F."},{"family":"Perera","given":"Rafael"},{"family":"Harper","given":"Stephen"},{"family":"Rose","given":"Peter W."}],"issued":{"date-parts":[["2010"]]},"PMID":"20051110","PMCID":"PMC2820468"}}],"schema":"https://github.com/citation-style-language/schema/raw/master/csl-citation.json"} </w:instrText>
      </w:r>
      <w:r w:rsidRPr="00441DB5">
        <w:fldChar w:fldCharType="separate"/>
      </w:r>
      <w:r w:rsidRPr="00441DB5">
        <w:t xml:space="preserve">(for code lists see </w:t>
      </w:r>
      <w:r w:rsidRPr="00441DB5">
        <w:rPr>
          <w:i/>
          <w:iCs/>
        </w:rPr>
        <w:t>25</w:t>
      </w:r>
      <w:r w:rsidRPr="00441DB5">
        <w:t xml:space="preserve">, </w:t>
      </w:r>
      <w:r w:rsidRPr="00441DB5">
        <w:rPr>
          <w:i/>
          <w:iCs/>
        </w:rPr>
        <w:t>26</w:t>
      </w:r>
      <w:r w:rsidRPr="00441DB5">
        <w:t>)</w:t>
      </w:r>
      <w:r w:rsidRPr="00441DB5">
        <w:fldChar w:fldCharType="end"/>
      </w:r>
      <w:r w:rsidRPr="00441DB5">
        <w:t>. We will control for consultation rate because people who have more chronic conditions such as hypertension, diabetes or renal insufficiency may have higher rates of consultation,</w:t>
      </w:r>
      <w:r w:rsidRPr="00441DB5">
        <w:rPr>
          <w:vertAlign w:val="superscript"/>
        </w:rPr>
        <w:t xml:space="preserve"> </w:t>
      </w:r>
      <w:r w:rsidRPr="00441DB5">
        <w:t>which may also increase the opportunity for recording other</w:t>
      </w:r>
      <w:r w:rsidRPr="00441DB5">
        <w:rPr>
          <w:vertAlign w:val="superscript"/>
        </w:rPr>
        <w:t xml:space="preserve"> </w:t>
      </w:r>
      <w:r w:rsidRPr="00441DB5">
        <w:t>diagnoses such as dementia (‘ascertainment bias’).  Consultation rate will be calculated by dividing the</w:t>
      </w:r>
      <w:r w:rsidRPr="00441DB5">
        <w:rPr>
          <w:vertAlign w:val="superscript"/>
        </w:rPr>
        <w:t xml:space="preserve"> </w:t>
      </w:r>
      <w:r w:rsidRPr="00441DB5">
        <w:t>total number of clinic visits prior to the index date by the</w:t>
      </w:r>
      <w:r w:rsidRPr="00441DB5">
        <w:rPr>
          <w:vertAlign w:val="superscript"/>
        </w:rPr>
        <w:t xml:space="preserve"> </w:t>
      </w:r>
      <w:r w:rsidRPr="00441DB5">
        <w:t xml:space="preserve">length of each patient's follow-up. Collider bias could occur if we conditioned on events that happened as a result of the prescription the patient was issued. To prevent this bias from affecting our results, we will define each covariate using data inputted prior to the first prescription </w:t>
      </w:r>
      <w:r w:rsidRPr="00441DB5">
        <w:fldChar w:fldCharType="begin"/>
      </w:r>
      <w:r w:rsidR="00900454" w:rsidRPr="00441DB5">
        <w:instrText xml:space="preserve"> ADDIN ZOTERO_ITEM CSL_CITATION {"citationID":"l9tqo7uha","properties":{"formattedCitation":"{\\rtf \\super 41\\nosupersub{}}","plainCitation":"41"},"citationItems":[{"id":1712,"uris":["http://zotero.org/users/117866/items/VS6FJJWB"],"uri":["http://zotero.org/users/117866/items/VS6FJJWB"],"itemData":{"id":1712,"type":"article-journal","title":"Illustrating bias due to conditioning on a collider","container-title":"International Journal of Epidemiology","page":"417-420","volume":"39","issue":"2","source":"CrossRef","DOI":"10.1093/ije/dyp334","ISSN":"0300-5771","journalAbbreviation":"International Journal of Epidemiology","author":[{"family":"Cole","given":"S. R."},{"family":"Platt","given":"R. W."},{"family":"Schisterman","given":"E. F."},{"family":"Chu","given":"H."},{"family":"Westreich","given":"D."},{"family":"Richardson","given":"D."},{"family":"Poole","given":"C."}],"issued":{"date-parts":[["2009",11]]}}}],"schema":"https://github.com/citation-style-language/schema/raw/master/csl-citation.json"} </w:instrText>
      </w:r>
      <w:r w:rsidRPr="00441DB5">
        <w:fldChar w:fldCharType="separate"/>
      </w:r>
      <w:r w:rsidR="00900454" w:rsidRPr="00441DB5">
        <w:rPr>
          <w:vertAlign w:val="superscript"/>
        </w:rPr>
        <w:t>41</w:t>
      </w:r>
      <w:r w:rsidRPr="00441DB5">
        <w:fldChar w:fldCharType="end"/>
      </w:r>
      <w:r w:rsidRPr="00441DB5">
        <w:t>. If there are missing data in the covariates we will consider using multiple imputation.</w:t>
      </w:r>
    </w:p>
    <w:p w14:paraId="4A88AE10" w14:textId="77777777" w:rsidR="00E80A11" w:rsidRPr="00441DB5" w:rsidRDefault="00E80A11">
      <w:pPr>
        <w:rPr>
          <w:b/>
        </w:rPr>
      </w:pPr>
      <w:bookmarkStart w:id="50" w:name="_Toc434319896"/>
      <w:bookmarkStart w:id="51" w:name="_Toc434320932"/>
    </w:p>
    <w:p w14:paraId="788A7B91" w14:textId="77777777" w:rsidR="00D5686E" w:rsidRPr="00441DB5" w:rsidRDefault="00D5686E" w:rsidP="00C95412">
      <w:pPr>
        <w:pStyle w:val="PHeading1"/>
      </w:pPr>
      <w:r w:rsidRPr="00441DB5">
        <w:t>Statistical analysis</w:t>
      </w:r>
      <w:bookmarkEnd w:id="50"/>
      <w:bookmarkEnd w:id="51"/>
    </w:p>
    <w:p w14:paraId="73B36F1F" w14:textId="77777777" w:rsidR="00050DEA" w:rsidRPr="00441DB5" w:rsidRDefault="00050DEA" w:rsidP="00E80A11">
      <w:pPr>
        <w:pStyle w:val="PNormal"/>
      </w:pPr>
      <w:bookmarkStart w:id="52" w:name="_Toc434319897"/>
      <w:bookmarkStart w:id="53" w:name="_Toc434320933"/>
    </w:p>
    <w:p w14:paraId="469BC77C" w14:textId="07469CE0" w:rsidR="00692FAB" w:rsidRPr="00441DB5" w:rsidRDefault="00050DEA" w:rsidP="00C33448">
      <w:pPr>
        <w:pStyle w:val="PNormal"/>
      </w:pPr>
      <w:r w:rsidRPr="00441DB5">
        <w:t xml:space="preserve">We will use the following four statistical approaches to address confounding. </w:t>
      </w:r>
      <w:r w:rsidR="00C33448" w:rsidRPr="00441DB5">
        <w:t>We are committed to presenting the findings from all our analyses</w:t>
      </w:r>
      <w:r w:rsidR="00BC0309" w:rsidRPr="00441DB5">
        <w:t>, irrespective of the direction of findings,</w:t>
      </w:r>
      <w:r w:rsidR="00C33448" w:rsidRPr="00441DB5">
        <w:t xml:space="preserve"> and will handle discrepancies between them by assessing the merits of each method in the given situation.</w:t>
      </w:r>
      <w:r w:rsidR="00743FEB" w:rsidRPr="00441DB5">
        <w:t xml:space="preserve"> This project will involve a large sample of data and has considerable power to detect even relatively small effects. Therefore our statistical power will be more than adequate to test our proposed hypotheses, even under highly conservative Bonferroni corrections. We will account for multiple testing within each paper using permutation analysis where appropriate.</w:t>
      </w:r>
    </w:p>
    <w:p w14:paraId="437D5B1B" w14:textId="77777777" w:rsidR="00625118" w:rsidRPr="00441DB5" w:rsidRDefault="00625118" w:rsidP="00C33448">
      <w:pPr>
        <w:pStyle w:val="PNormal"/>
      </w:pPr>
    </w:p>
    <w:p w14:paraId="69004CF3" w14:textId="18D1E06F" w:rsidR="00D5686E" w:rsidRPr="00441DB5" w:rsidRDefault="00D5686E" w:rsidP="00C95412">
      <w:pPr>
        <w:pStyle w:val="PHeading2"/>
      </w:pPr>
      <w:r w:rsidRPr="00441DB5">
        <w:t>Conventional regression</w:t>
      </w:r>
      <w:bookmarkEnd w:id="52"/>
      <w:bookmarkEnd w:id="53"/>
    </w:p>
    <w:p w14:paraId="4B94E450" w14:textId="77777777" w:rsidR="00D5686E" w:rsidRPr="00441DB5" w:rsidRDefault="00D5686E" w:rsidP="00C95412">
      <w:pPr>
        <w:pStyle w:val="PNormal"/>
      </w:pPr>
    </w:p>
    <w:p w14:paraId="2A07A954" w14:textId="39F7BB74" w:rsidR="00D5686E" w:rsidRPr="00441DB5" w:rsidRDefault="00D5686E" w:rsidP="00C95412">
      <w:pPr>
        <w:pStyle w:val="PNormal"/>
      </w:pPr>
      <w:r w:rsidRPr="00441DB5">
        <w:t>In our first analyses, a conventional observational analysis, we will estimate the hazard ratios of incidence and survival using Cox-proportional hazards models. Both analyses will use the actual prescriptions issued to the patients.</w:t>
      </w:r>
      <w:r w:rsidRPr="00441DB5">
        <w:fldChar w:fldCharType="begin"/>
      </w:r>
      <w:r w:rsidR="00900454" w:rsidRPr="00441DB5">
        <w:instrText xml:space="preserve"> ADDIN ZOTERO_ITEM CSL_CITATION {"citationID":"u8blf2cam","properties":{"formattedCitation":"{\\rtf \\super 42\\nosupersub{}}","plainCitation":"42"},"citationItems":[{"id":3159,"uris":["http://zotero.org/users/117866/items/E9NGC2EJ"],"uri":["http://zotero.org/users/117866/items/E9NGC2EJ"],"itemData":{"id":3159,"type":"book","title":"Essential medical statistics","publisher":"Blackwell Science","publisher-place":"Malden, Mass","number-of-pages":"501","edition":"2nd ed","source":"Library of Congress ISBN","event-place":"Malden, Mass","ISBN":"0-86542-871-9","call-number":"R853.S7 K497 2003","author":[{"family":"Kirkwood","given":"Betty R."}],"issued":{"date-parts":[["2003"]]}}}],"schema":"https://github.com/citation-style-language/schema/raw/master/csl-citation.json"} </w:instrText>
      </w:r>
      <w:r w:rsidRPr="00441DB5">
        <w:fldChar w:fldCharType="separate"/>
      </w:r>
      <w:r w:rsidR="00900454" w:rsidRPr="00441DB5">
        <w:rPr>
          <w:vertAlign w:val="superscript"/>
        </w:rPr>
        <w:t>42</w:t>
      </w:r>
      <w:r w:rsidRPr="00441DB5">
        <w:fldChar w:fldCharType="end"/>
      </w:r>
      <w:r w:rsidRPr="00441DB5">
        <w:t xml:space="preserve"> We will report these associations adjusted for basic confounders (age and gender), and results adjusted for all measured covariates described above.</w:t>
      </w:r>
      <w:bookmarkStart w:id="54" w:name="_Toc434319898"/>
      <w:bookmarkStart w:id="55" w:name="_Toc434320934"/>
    </w:p>
    <w:p w14:paraId="02F7D44F" w14:textId="77777777" w:rsidR="00021120" w:rsidRPr="00441DB5" w:rsidRDefault="00021120" w:rsidP="00C95412">
      <w:pPr>
        <w:pStyle w:val="PNormal"/>
      </w:pPr>
    </w:p>
    <w:p w14:paraId="7898978A" w14:textId="77777777" w:rsidR="00D5686E" w:rsidRPr="00441DB5" w:rsidRDefault="00D5686E" w:rsidP="00C95412">
      <w:pPr>
        <w:pStyle w:val="PHeading2"/>
      </w:pPr>
      <w:r w:rsidRPr="00441DB5">
        <w:t>Propensity score regression</w:t>
      </w:r>
      <w:bookmarkEnd w:id="54"/>
      <w:bookmarkEnd w:id="55"/>
    </w:p>
    <w:p w14:paraId="10FA75DC" w14:textId="77777777" w:rsidR="00D5686E" w:rsidRPr="00441DB5" w:rsidRDefault="00D5686E" w:rsidP="00C95412">
      <w:pPr>
        <w:pStyle w:val="PNormal"/>
      </w:pPr>
    </w:p>
    <w:p w14:paraId="7388328A" w14:textId="37B5AD93" w:rsidR="00D5686E" w:rsidRPr="00441DB5" w:rsidRDefault="00D5686E" w:rsidP="00C95412">
      <w:pPr>
        <w:pStyle w:val="PNormal"/>
      </w:pPr>
      <w:r w:rsidRPr="00441DB5">
        <w:t>In our second analysis we will construct a sample of patients balanced on covariates and risk factors using a propensity score.</w:t>
      </w:r>
      <w:r w:rsidRPr="00441DB5">
        <w:fldChar w:fldCharType="begin"/>
      </w:r>
      <w:r w:rsidR="00900454" w:rsidRPr="00441DB5">
        <w:instrText xml:space="preserve"> ADDIN ZOTERO_ITEM CSL_CITATION {"citationID":"Sm3dRKdZ","properties":{"formattedCitation":"{\\rtf \\super 43\\uc0\\u8211{}46\\nosupersub{}}","plainCitation":"43–46"},"citationItems":[{"id":50,"uris":["http://zotero.org/users/117866/items/2RTHFFHU"],"uri":["http://zotero.org/users/117866/items/2RTHFFHU"],"itemData":{"id":50,"type":"article-journal","title":"Indications for propensity scores and review of their use in pharmacoepidemiology","container-title":"Basic &amp; Clinical Pharmacology &amp; Toxicology","page":"253-259","volume":"98","issue":"3","call-number":"0136","author":[{"family":"Glynn","given":"RJ"},{"family":"Schneeweiss","given":"S"},{"family":"Stürmer","given":"T"}],"issued":{"date-parts":[["2006"]]}}},{"id":1068,"uris":["http://zotero.org/users/117866/items/JTUWJ8KM"],"uri":["http://zotero.org/users/117866/items/JTUWJ8KM"],"itemData":{"id":1068,"type":"article-journal","title":"PSMATCH2: Stata module to perform full Mahalanobis and propensity score matching, common support graphing, and covariate imbalance testing","container-title":"Statistical Software Components","source":"Google Scholar","URL":"http://ideas.repec.org/c/boc/bocode/s432001.html","call-number":"1053","shortTitle":"PSMATCH2","author":[{"family":"Leuven","given":"Edwin"},{"family":"Sianesi","given":"Barbara"}],"issued":{"date-parts":[["2012"]]},"accessed":{"date-parts":[["2013",5,13]]}}},{"id":3029,"uris":["http://zotero.org/users/117866/items/6U7NZ2CZ"],"uri":["http://zotero.org/users/117866/items/6U7NZ2CZ"],"itemData":{"id":3029,"type":"article-journal","title":"Constructing a Control Group Using Multivariate Matched Sampling Methods That Incorporate the Propensity Score","container-title":"The American Statistician","page":"33","volume":"39","issue":"1","source":"CrossRef","DOI":"10.2307/2683903","ISSN":"00031305","author":[{"family":"Rosenbaum","given":"Paul R."},{"family":"Rubin","given":"Donald B."}],"issued":{"date-parts":[["1985",2]]}}},{"id":3088,"uris":["http://zotero.org/users/117866/items/AFNQXDV2"],"uri":["http://zotero.org/users/117866/items/AFNQXDV2"],"itemData":{"id":3088,"type":"article-journal","title":"The Central Role of the Propensity Score in Observational Studies for Causal Effects","container-title":"Biometrika","page":"41","volume":"70","issue":"1","source":"CrossRef","DOI":"10.2307/2335942","ISSN":"00063444","author":[{"family":"Rosenbaum","given":"Paul R."},{"family":"Rubin","given":"Donald B."}],"issued":{"date-parts":[["1983",4]]}}}],"schema":"https://github.com/citation-style-language/schema/raw/master/csl-citation.json"} </w:instrText>
      </w:r>
      <w:r w:rsidRPr="00441DB5">
        <w:fldChar w:fldCharType="separate"/>
      </w:r>
      <w:r w:rsidR="00900454" w:rsidRPr="00441DB5">
        <w:rPr>
          <w:vertAlign w:val="superscript"/>
        </w:rPr>
        <w:t>43–46</w:t>
      </w:r>
      <w:r w:rsidRPr="00441DB5">
        <w:fldChar w:fldCharType="end"/>
      </w:r>
      <w:r w:rsidRPr="00441DB5">
        <w:t xml:space="preserve"> We will construct propensity scores using a logistic regression of the actual treatment received on the covariates described above. Therefore, each participant’s propensity score will be their conditional probability (odds) of receiving treatment or not (Cohort types A and C), or receiving treatment versus control therapy (Cohort type B). We will match each patient receiving one </w:t>
      </w:r>
      <w:r w:rsidRPr="00441DB5">
        <w:lastRenderedPageBreak/>
        <w:t>treatment to another patient receiving the control treatment with the closest propensity score on a ratio of 1:1 using a nearest neighbour algorithm with no replacement, and matching will be restricted to the common support region. Patients outside the common support region are those prescribed the treatment therapy with propensity scores higher than any patient prescribed the control treatment and vice versa. We will estimate odds-ratios and hazard ratios of the outcomes using the propensity score matched sample using logistic and Cox-regressions.</w:t>
      </w:r>
    </w:p>
    <w:p w14:paraId="4B07CC1F" w14:textId="77777777" w:rsidR="00F5412F" w:rsidRPr="00441DB5" w:rsidRDefault="00F5412F" w:rsidP="00C95412">
      <w:pPr>
        <w:pStyle w:val="PNormal"/>
      </w:pPr>
    </w:p>
    <w:p w14:paraId="052EA200" w14:textId="77777777" w:rsidR="00D5686E" w:rsidRPr="00441DB5" w:rsidRDefault="00D5686E" w:rsidP="00C95412">
      <w:pPr>
        <w:pStyle w:val="PHeading2"/>
      </w:pPr>
      <w:bookmarkStart w:id="56" w:name="_Toc434319899"/>
      <w:bookmarkStart w:id="57" w:name="_Toc434320935"/>
      <w:r w:rsidRPr="00441DB5">
        <w:t>Instrumental variable analysis</w:t>
      </w:r>
      <w:bookmarkEnd w:id="56"/>
      <w:bookmarkEnd w:id="57"/>
    </w:p>
    <w:p w14:paraId="69097A38" w14:textId="77777777" w:rsidR="00D5686E" w:rsidRPr="00441DB5" w:rsidRDefault="00D5686E" w:rsidP="00C95412">
      <w:pPr>
        <w:pStyle w:val="PNormal"/>
      </w:pPr>
    </w:p>
    <w:p w14:paraId="2BA2943B" w14:textId="2297BDA4" w:rsidR="00D5686E" w:rsidRPr="00441DB5" w:rsidRDefault="00D5686E" w:rsidP="00C95412">
      <w:pPr>
        <w:pStyle w:val="PNormal"/>
      </w:pPr>
      <w:r w:rsidRPr="00441DB5">
        <w:t>In our third analysis, we will estimate the effects i) treatment or no treatment, and ii) the specific sub-class of medication prescribed using physicians’ prescribing preferences as instruments for the prescriptions the GPs issue to their patients. We cannot directly measure the physicians’ preferences; therefore, we will use the prescriptions they issued to their previous patients as a proxy for their preferences. For example, if the instrument were based on just one previous prescription, physicians who previously prescribed the treatment therapy would be categorised as a “treatment” prescriber otherwise they would be categorised as “control”. As with our previous studies we will use seven prior prescriptions to improve the strength of the instruments.</w:t>
      </w:r>
      <w:r w:rsidRPr="00441DB5">
        <w:fldChar w:fldCharType="begin"/>
      </w:r>
      <w:r w:rsidR="00F06A00" w:rsidRPr="00441DB5">
        <w:instrText xml:space="preserve"> ADDIN ZOTERO_ITEM CSL_CITATION {"citationID":"2g8cvn7lm","properties":{"formattedCitation":"{\\rtf \\super 32,47,48\\nosupersub{}}","plainCitation":"32,47,48"},"citationItems":[{"id":188,"uris":["http://zotero.org/users/117866/items/5DGFGHTP"],"uri":["http://zotero.org/users/117866/items/5DGFGHTP"],"itemData":{"id":188,"type":"article-journal","title":"COX-2 Selective Nonsteroidal Anti-inflammatory Drugs and Risk of Gastrointestinal Tract Complications and Myocardial Infarction: An Instrumental Variable Analysis","container-title":"Epidemiology","page":"352-362","volume":"24","issue":"3","source":"NCBI PubMed","abstract":"OBJECTIVE: : Instrumental variable analysis can estimate treatment effects in the presence of residual or unmeasured confounding. We compared ordinary least squares regression versus instrumental variable estimates of the effects of selective cyclooxygenase-2 inhibitors (COX-2s) relative to nonselective nonsteroidal anti-inflammatory drug (NSAID) prescriptions on incidence of upper gastrointestinal complications and myocardial infarction (MI).\nMETHODS: : We sampled a cohort of 62,933 first-time users of COX-2s or nonselective NSAIDs older than 60 years in the Clinical Practice Research Datalink. The instruments were physicians' previous prescriptions of COX-2s or nonselective NSAIDs, which are surrogates for physician preferences. We estimated risk differences of incident upper gastrointestinal complications and MI within 180 days of first COX-2 versus nonselective NSAID prescription.\nRESULTS: : Using ordinary least squares regression, adjusted for baseline confounders, we observed little association of COX-2 prescriptions with incident upper gastrointestinal complications (risk difference = -0.08 [95% confidence interval = -0.20 to 0.04]) or MI (0.06 [-0.06 to 0.17]) per 100 patients treated. Our adjusted instrumental variable results suggested 0.46 per 100 (-0.15 to 1.07) fewer upper gastrointestinal complications and little difference in acute MIs (0.08 per 100 [-0.61 to 0.76]), within 180 days of being prescribed COX-2s. Estimates were more precise when we used 20 previous prescriptions; the instrumental variable analysis implied 0.74 (0.28 to 1.19) fewer MIs per 100 patients prescribed COX-2s.\nCONCLUSIONS: : Using instrumental variable analysis, we found some evidence that COX-2 prescriptions reduced the risk of upper gastrointestinal complications, consistent with randomized controlled trials. Our results using multiple instruments suggest that COX-2s may have heterogeneous within-class effects on MI.","DOI":"10.1097/EDE.0b013e318289e024","ISSN":"1531-5487","call-number":"0001","note":"PMID: 23532054","shortTitle":"COX-2 Selective Nonsteroidal Anti-inflammatory Drugs and Risk of Gastrointestinal Tract Complications and Myocardial Infarction","journalAbbreviation":"Epidemiology","language":"eng","author":[{"family":"Davies","given":"Neil M"},{"family":"Davey Smith","given":"George"},{"family":"Windmeijer","given":"Frank"},{"family":"Martin","given":"Richard M"}],"issued":{"date-parts":[["2013",5]]},"PMID":"23532054"},"locator":"-2"},{"id":1158,"uris":["http://zotero.org/users/117866/items/MCQQ78HD"],"uri":["http://zotero.org/users/117866/items/MCQQ78HD"],"itemData":{"id":1158,"type":"article-journal","title":"Smoking cessation treatment and risk of depression, suicide, and self harm in the Clinical Practice Research Datalink: prospective cohort study","container-title":"BMJ","page":"f5704-f5704","volume":"347","issue":"oct11 1","source":"CrossRef","DOI":"10.1136/bmj.f5704","ISSN":"1756-1833","shortTitle":"Smoking cessation treatment and risk of depression, suicide, and self harm in the Clinical Practice Research Datalink","language":"en","author":[{"family":"Thomas","given":"K. H."},{"family":"Martin","given":"R. M."},{"family":"Davies","given":"N. M."},{"family":"Metcalfe","given":"C."},{"family":"Windmeijer","given":"F."},{"family":"Gunnell","given":"D."}],"issued":{"date-parts":[["2013",10,11]]}}},{"id":1439,"uris":["http://zotero.org/users/117866/items/RWQKDS26"],"uri":["http://zotero.org/users/117866/items/RWQKDS26"],"itemData":{"id":1439,"type":"article-journal","title":"Physicians' prescribing preferences were a potential instrument for patients' actual prescriptions of antidepressants","container-title":"Journal of Clinical Epidemiology","source":"CrossRef","URL":"http://linkinghub.elsevier.com/retrieve/pii/S0895435613002497","DOI":"10.1016/j.jclinepi.2013.06.008","ISSN":"08954356","call-number":"0000","author":[{"family":"Davies","given":"Neil M."},{"family":"Gunnell","given":"David"},{"family":"Thomas","given":"Kyla H."},{"family":"Metcalfe","given":"Chris"},{"family":"Windmeijer","given":"Frank"},{"family":"Martin","given":"Richard M."}],"issued":{"date-parts":[["2013",9]]},"accessed":{"date-parts":[["2013",10,21]]}}}],"schema":"https://github.com/citation-style-language/schema/raw/master/csl-citation.json"} </w:instrText>
      </w:r>
      <w:r w:rsidRPr="00441DB5">
        <w:fldChar w:fldCharType="separate"/>
      </w:r>
      <w:r w:rsidR="00F06A00" w:rsidRPr="00441DB5">
        <w:rPr>
          <w:vertAlign w:val="superscript"/>
        </w:rPr>
        <w:t>32,47,48</w:t>
      </w:r>
      <w:r w:rsidRPr="00441DB5">
        <w:fldChar w:fldCharType="end"/>
      </w:r>
      <w:r w:rsidRPr="00441DB5">
        <w:t xml:space="preserve"> Using multiple prior prescriptions will maximise power. We will report risk differences in the outcomes using additive structural mean models estimated via the generalised method of moments.</w:t>
      </w:r>
      <w:r w:rsidRPr="00441DB5">
        <w:fldChar w:fldCharType="begin"/>
      </w:r>
      <w:r w:rsidR="00900454" w:rsidRPr="00441DB5">
        <w:instrText xml:space="preserve"> ADDIN ZOTERO_ITEM CSL_CITATION {"citationID":"8PcGg5Df","properties":{"formattedCitation":"{\\rtf \\super 49\\uc0\\u8211{}51\\nosupersub{}}","plainCitation":"49–51"},"citationItems":[{"id":3299,"uris":["http://zotero.org/users/117866/items/P7TRAIKM"],"uri":["http://zotero.org/users/117866/items/P7TRAIKM"],"itemData":{"id":3299,"type":"article-journal","title":"Instrumental Variable Estimators for Binary Outcomes","container-title":"Journal of the American Statistical Association","page":"1638-1652","volume":"107","issue":"500","source":"CrossRef","DOI":"10.1080/01621459.2012.734171","ISSN":"0162-1459, 1537-274X","language":"en","author":[{"family":"Clarke","given":"Paul S."},{"family":"Windmeijer","given":"Frank"}],"issued":{"date-parts":[["2012",12]]}}},{"id":1136,"uris":["http://zotero.org/users/117866/items/M44454VT"],"uri":["http://zotero.org/users/117866/items/M44454VT"],"itemData":{"id":1136,"type":"article-journal","title":"Generalized instrumental variables estimation of nonlinear rational expectations models","container-title":"Econometrica","page":"1269-1286","volume":"50","issue":"5","author":[{"family":"Hansen","given":"LP"},{"family":"Singleton","given":"KJ"}],"issued":{"date-parts":[["1982"]]}}},{"id":1503,"uris":["http://zotero.org/users/117866/items/SZTPMHUW"],"uri":["http://zotero.org/users/117866/items/SZTPMHUW"],"itemData":{"id":1503,"type":"article-journal","title":"Identification of causal effects on binary outcomes using structural mean models","container-title":"Biostatistics","page":"756-770","volume":"11","issue":"4","source":"CrossRef","DOI":"10.1093/biostatistics/kxq024","ISSN":"1465-4644, 1468-4357","author":[{"family":"Clarke","given":"P. S."},{"family":"Windmeijer","given":"F."}],"issued":{"date-parts":[["2010",6,3]]}}}],"schema":"https://github.com/citation-style-language/schema/raw/master/csl-citation.json"} </w:instrText>
      </w:r>
      <w:r w:rsidRPr="00441DB5">
        <w:fldChar w:fldCharType="separate"/>
      </w:r>
      <w:r w:rsidR="00900454" w:rsidRPr="00441DB5">
        <w:rPr>
          <w:vertAlign w:val="superscript"/>
        </w:rPr>
        <w:t>49–51</w:t>
      </w:r>
      <w:r w:rsidRPr="00441DB5">
        <w:fldChar w:fldCharType="end"/>
      </w:r>
      <w:r w:rsidRPr="00441DB5">
        <w:t xml:space="preserve"> We will categorise each of the adverse event outcomes as occurring within 3, 6, 9, 12, 24 and 48 months of index date. Methods for estimating survival models using instrumental variables are not well developed. Therefore we will explore potential instrumental variable survival models in a secondary analysis.</w:t>
      </w:r>
      <w:r w:rsidRPr="00441DB5">
        <w:fldChar w:fldCharType="begin"/>
      </w:r>
      <w:r w:rsidR="00900454" w:rsidRPr="00441DB5">
        <w:instrText xml:space="preserve"> ADDIN ZOTERO_ITEM CSL_CITATION {"citationID":"14flu13h3k","properties":{"formattedCitation":"{\\rtf \\super 52\\nosupersub{}}","plainCitation":"52"},"citationItems":[{"id":3424,"uris":["http://zotero.org/users/117866/items/W2DJX3RE"],"uri":["http://zotero.org/users/117866/items/W2DJX3RE"],"itemData":{"id":3424,"type":"article-journal","title":"Instrumental Variable Estimation in a Survival Context","container-title":"Epidemiology (Cambridge, Mass.)","source":"NCBI PubMed","abstract":"Bias due to unobserved confounding can seldom be ruled out with certainty when estimating the causal effect of a nonrandomized treatment. The instrumental variable (IV) design offers, under certain assumptions, the opportunity to tame confounding bias, without directly observing all confounders. The IV approach is very well developed in the context of linear regression and also for certain generalized linear models with a nonlinear link function. However, IV methods are not as well developed for regression analysis with a censored survival outcome. In this article, we develop the IV approach for regression analysis in a survival context, primarily under an additive hazards model, for which we describe 2 simple methods for estimating causal effects. The first method is a straightforward 2-stage regression approach analogous to 2-stage least squares commonly used for IV analysis in linear regression. In this approach, the fitted value from a first-stage regression of the exposure on the IV is entered in place of the exposure in the second-stage hazard model to recover a valid estimate of the treatment effect of interest. The second method is a so-called control function approach, which entails adding to the additive hazards outcome model, the residual from a first-stage regression of the exposure on the IV. Formal conditions are given justifying each strategy, and the methods are illustrated in a novel application to a Mendelian randomization study to evaluate the effect of diabetes on mortality using data from the Health and Retirement Study. We also establish that analogous strategies can also be used under a proportional hazards model specification, provided the outcome is rare over the entire follow-up.","DOI":"10.1097/EDE.0000000000000262","ISSN":"1531-5487","note":"PMID: 25692223","journalAbbreviation":"Epidemiology","language":"ENG","author":[{"family":"Tchetgen Tchetgen","given":"Eric J."},{"family":"Walter","given":"Stefan"},{"family":"Vansteelandt","given":"Stijn"},{"family":"Martinussen","given":"Torben"},{"family":"Glymour","given":"Maria"}],"issued":{"date-parts":[["2015",2,16]]},"PMID":"25692223"}}],"schema":"https://github.com/citation-style-language/schema/raw/master/csl-citation.json"} </w:instrText>
      </w:r>
      <w:r w:rsidRPr="00441DB5">
        <w:fldChar w:fldCharType="separate"/>
      </w:r>
      <w:r w:rsidR="00900454" w:rsidRPr="00441DB5">
        <w:rPr>
          <w:vertAlign w:val="superscript"/>
        </w:rPr>
        <w:t>52</w:t>
      </w:r>
      <w:r w:rsidRPr="00441DB5">
        <w:fldChar w:fldCharType="end"/>
      </w:r>
      <w:r w:rsidRPr="00441DB5">
        <w:t xml:space="preserve"> </w:t>
      </w:r>
    </w:p>
    <w:p w14:paraId="171D65C4" w14:textId="77777777" w:rsidR="00D5686E" w:rsidRPr="00441DB5" w:rsidRDefault="00D5686E" w:rsidP="00C95412">
      <w:pPr>
        <w:pStyle w:val="PNormal"/>
      </w:pPr>
      <w:bookmarkStart w:id="58" w:name="_Toc434319900"/>
      <w:bookmarkStart w:id="59" w:name="_Toc434320936"/>
    </w:p>
    <w:p w14:paraId="5DD5CADF" w14:textId="77777777" w:rsidR="00D5686E" w:rsidRPr="00441DB5" w:rsidRDefault="00D5686E" w:rsidP="00C95412">
      <w:pPr>
        <w:pStyle w:val="PHeading2"/>
      </w:pPr>
      <w:r w:rsidRPr="00441DB5">
        <w:t>Marginal structural models</w:t>
      </w:r>
      <w:bookmarkEnd w:id="58"/>
      <w:bookmarkEnd w:id="59"/>
    </w:p>
    <w:p w14:paraId="6DD4AF77" w14:textId="77777777" w:rsidR="00D5686E" w:rsidRPr="00441DB5" w:rsidRDefault="00D5686E" w:rsidP="00C95412">
      <w:pPr>
        <w:pStyle w:val="PNormal"/>
      </w:pPr>
    </w:p>
    <w:p w14:paraId="135C5BFF" w14:textId="23DE44DF" w:rsidR="00D5686E" w:rsidRPr="00441DB5" w:rsidRDefault="00D5686E" w:rsidP="00C95412">
      <w:pPr>
        <w:pStyle w:val="PNormal"/>
      </w:pPr>
      <w:r w:rsidRPr="00441DB5">
        <w:t>In our fourth analysis, we will estimate the effects of each treatment using marginal structural models.</w:t>
      </w:r>
      <w:r w:rsidRPr="00441DB5">
        <w:fldChar w:fldCharType="begin"/>
      </w:r>
      <w:r w:rsidR="00F06A00" w:rsidRPr="00441DB5">
        <w:instrText xml:space="preserve"> ADDIN ZOTERO_ITEM CSL_CITATION {"citationID":"13nj45k2k4","properties":{"formattedCitation":"{\\rtf \\super 33\\nosupersub{}}","plainCitation":"33"},"citationItems":[{"id":1085,"uris":["http://zotero.org/users/117866/items/K4U8PAM6"],"uri":["http://zotero.org/users/117866/items/K4U8PAM6"],"itemData":{"id":1085,"type":"article-journal","title":"Marginal Structural Models to Estimate the Joint Causal Effect of Nonrandomized Treatments","container-title":"Journal of the American Statistical Association","page":"440-448","volume":"96","issue":"454","source":"CrossRef","DOI":"10.1198/016214501753168154","ISSN":"0162-1459","journalAbbreviation":"Journal of the American Statistical Association","author":[{"family":"Hernán","given":"Miguel A"},{"family":"Brumback","given":"Babette"},{"family":"Robins","given":"James M"}],"issued":{"date-parts":[["2001",6]]}}}],"schema":"https://github.com/citation-style-language/schema/raw/master/csl-citation.json"} </w:instrText>
      </w:r>
      <w:r w:rsidRPr="00441DB5">
        <w:fldChar w:fldCharType="separate"/>
      </w:r>
      <w:r w:rsidR="00F06A00" w:rsidRPr="00441DB5">
        <w:rPr>
          <w:vertAlign w:val="superscript"/>
        </w:rPr>
        <w:t>33</w:t>
      </w:r>
      <w:r w:rsidRPr="00441DB5">
        <w:fldChar w:fldCharType="end"/>
      </w:r>
      <w:r w:rsidRPr="00441DB5">
        <w:t xml:space="preserve"> We will use these models to account for time dependent confounding and treatment switching. We will construct inverse probability weights for each treatment based on the patients’ observed characteristics such as: gender, age, comorbidities and concurrent treatments. We will use these models to estimate the odds and hazard ratios of disease incidence and progression. </w:t>
      </w:r>
    </w:p>
    <w:p w14:paraId="2F7E76EC" w14:textId="6140AC9F" w:rsidR="00367302" w:rsidRPr="00441DB5" w:rsidRDefault="00367302">
      <w:pPr>
        <w:rPr>
          <w:b/>
        </w:rPr>
      </w:pPr>
      <w:bookmarkStart w:id="60" w:name="_Toc434319902"/>
      <w:bookmarkStart w:id="61" w:name="_Toc434320938"/>
    </w:p>
    <w:p w14:paraId="56A7B50C" w14:textId="3AC19503" w:rsidR="00D5686E" w:rsidRPr="00441DB5" w:rsidRDefault="00D5686E" w:rsidP="00C95412">
      <w:pPr>
        <w:pStyle w:val="PHeading1"/>
      </w:pPr>
      <w:r w:rsidRPr="00441DB5">
        <w:t>Plan for addressing confounding</w:t>
      </w:r>
    </w:p>
    <w:p w14:paraId="7AD965FF" w14:textId="77777777" w:rsidR="00D5686E" w:rsidRPr="00441DB5" w:rsidRDefault="00D5686E" w:rsidP="00C95412">
      <w:pPr>
        <w:pStyle w:val="PNormal"/>
      </w:pPr>
    </w:p>
    <w:p w14:paraId="012AE346" w14:textId="77777777" w:rsidR="00050DEA" w:rsidRPr="00441DB5" w:rsidRDefault="00D5686E" w:rsidP="0063468D">
      <w:pPr>
        <w:pStyle w:val="PNormal"/>
      </w:pPr>
      <w:r w:rsidRPr="00441DB5">
        <w:t>We plan to address confounding by using four different statisti</w:t>
      </w:r>
      <w:r w:rsidR="00021120" w:rsidRPr="00441DB5">
        <w:t xml:space="preserve">cal approaches in our analysis. </w:t>
      </w:r>
      <w:r w:rsidRPr="00441DB5">
        <w:t xml:space="preserve">Specifically we have identified two key sources of confounding: confounding by indication and time dependent confounding. To address confounding by indication, we will explore the different approaches for modelling it. Through examination of these approaches, we hope to highlight any uncontrolled confounding that may be leading to false conclusions about drug effect. We will also account for confounding by indication in the construction of our cohorts. Consider cohort A, where we compare ‘exposed’ and ‘unexposed’ groups of individuals.  Drawing the ‘unexposed’ group from the full population can introduce bias as they are likely to be in better health. We will avoid this by defining cohort entry on the basis of first test or recording of a relevant read code so the ‘exposed’ and ‘unexposed’ groups will have more in common, reducing bias. In addition to this, we will address time dependent confounding in our study. This will be </w:t>
      </w:r>
      <w:r w:rsidRPr="00441DB5">
        <w:lastRenderedPageBreak/>
        <w:t>done by using statistical methods that can account for it, such as marginal structural models. By taking these measures to allow for time dependent confounding we hope to reduce concerns about switching between products.</w:t>
      </w:r>
    </w:p>
    <w:p w14:paraId="21A5059E" w14:textId="77777777" w:rsidR="00367302" w:rsidRPr="00441DB5" w:rsidRDefault="00367302" w:rsidP="0063468D">
      <w:pPr>
        <w:pStyle w:val="PNormal"/>
      </w:pPr>
    </w:p>
    <w:p w14:paraId="655D9CD0" w14:textId="77777777" w:rsidR="00D5686E" w:rsidRPr="00441DB5" w:rsidRDefault="00D5686E" w:rsidP="00C95412">
      <w:pPr>
        <w:pStyle w:val="PHeading1"/>
      </w:pPr>
      <w:r w:rsidRPr="00441DB5">
        <w:t>Plan for addressing missing data</w:t>
      </w:r>
      <w:bookmarkEnd w:id="60"/>
      <w:bookmarkEnd w:id="61"/>
    </w:p>
    <w:p w14:paraId="5355D418" w14:textId="77777777" w:rsidR="00D5686E" w:rsidRPr="00441DB5" w:rsidRDefault="00D5686E" w:rsidP="00C95412">
      <w:pPr>
        <w:pStyle w:val="PNormal"/>
      </w:pPr>
    </w:p>
    <w:p w14:paraId="1EB67DAE" w14:textId="2DEE44CD" w:rsidR="00D5686E" w:rsidRPr="00441DB5" w:rsidRDefault="00D5686E" w:rsidP="00C95412">
      <w:pPr>
        <w:pStyle w:val="PNormal"/>
      </w:pPr>
      <w:r w:rsidRPr="00441DB5">
        <w:t>We will investigate the extent of missing data in our exp</w:t>
      </w:r>
      <w:r w:rsidR="00A044D2" w:rsidRPr="00441DB5">
        <w:t>osures, outcomes and covariates and</w:t>
      </w:r>
      <w:r w:rsidRPr="00441DB5">
        <w:t xml:space="preserve"> use multiple imputation to impute missing data</w:t>
      </w:r>
      <w:r w:rsidR="00A044D2" w:rsidRPr="00441DB5">
        <w:t xml:space="preserve"> where appropriate</w:t>
      </w:r>
      <w:r w:rsidRPr="00441DB5">
        <w:t>.</w:t>
      </w:r>
      <w:r w:rsidRPr="00441DB5">
        <w:fldChar w:fldCharType="begin"/>
      </w:r>
      <w:r w:rsidR="00900454" w:rsidRPr="00441DB5">
        <w:instrText xml:space="preserve"> ADDIN ZOTERO_ITEM CSL_CITATION {"citationID":"1f0gicpp38","properties":{"formattedCitation":"{\\rtf \\super 53\\uc0\\u8211{}55\\nosupersub{}}","plainCitation":"53–55"},"citationItems":[{"id":91,"uris":["http://zotero.org/users/117866/items/3P76SG8J"],"uri":["http://zotero.org/users/117866/items/3P76SG8J"],"itemData":{"id":91,"type":"article-journal","title":"Multiple imputation of missing values: Further update of ice, with an emphasis on categorical variables","container-title":"Stata Journal","page":"466-477","volume":"9","issue":"3","call-number":"0105","author":[{"family":"Royston","given":"P."}],"issued":{"date-parts":[["2009"]]}}},{"id":980,"uris":["http://zotero.org/users/117866/items/HVETIV8G"],"uri":["http://zotero.org/users/117866/items/HVETIV8G"],"itemData":{"id":980,"type":"article-journal","title":"Multiple imputation for missing data in epidemiological and clinical research: potential and pitfalls","container-title":"BMJ","page":"b2393-b2393","volume":"338","issue":"jun29 1","source":"CrossRef","DOI":"10.1136/bmj.b2393","ISSN":"0959-8138","shortTitle":"Multiple imputation for missing data in epidemiological and clinical research","journalAbbreviation":"BMJ","author":[{"family":"Sterne","given":"J. A C"},{"family":"White","given":"I. R"},{"family":"Carlin","given":"J. B"},{"family":"Spratt","given":"M."},{"family":"Royston","given":"P."},{"family":"Kenward","given":"M. G"},{"family":"Wood","given":"A. M"},{"family":"Carpenter","given":"J. R"}],"issued":{"date-parts":[["2009",6]]}}},{"id":866,"uris":["http://zotero.org/users/117866/items/FVTZAIMC"],"uri":["http://zotero.org/users/117866/items/FVTZAIMC"],"itemData":{"id":866,"type":"article-journal","title":"Allowing for missing outcome data and incomplete uptake of randomised interventions, with application to an Internet-based alcohol trial","container-title":"Statistics in Medicine","page":"3192-3207","volume":"30","issue":"27","abstract":"Missing outcome data and incomplete uptake of randomised interventions are common problems, which complicate the analysis and interpretation of randomised controlled trials, and are rarely addressed well in practice. To promote the implementation of recent methodological developments, we describe sequences of randomisation-based analyses that can be used to explore both issues. We illustrate these in an Internet-based trial evaluating the use of a new interactive website for those seeking help to reduce their alcohol consumption, in which the primary outcome was available for less than half of the participants and uptake of the intervention was limited. For missing outcome data, we first employ data on intermediate outcomes and intervention use to make a missing at random assumption more plausible, with analyses based on general estimating equations, mixed models and multiple imputation. We then use data on the ease of obtaining outcome data and sensitivity analyses to explore departures from the missing at random assumption. For incomplete uptake of randomised interventions, we estimate structural mean models by using instrumental variable methods. In the alcohol trial, there is no evidence of benefit unless rather extreme assumptions are made about the missing data nor an important benefit in more extensive users of the intervention. These findings considerably aid the interpretation of the trial's results. More generally, the analyses proposed are applicable to many trials with missing outcome data or incomplete intervention uptake. To facilitate use by others, Stata code is provided for all methods.","DOI":"10.1002/sim.4360","ISSN":"1097-0258","note":"PMID: 21948462","journalAbbreviation":"Stat Med","author":[{"family":"White","given":"Ian R"},{"family":"Kalaitzaki","given":"Eleftheria"},{"family":"Thompson","given":"Simon G"}],"issued":{"date-parts":[["2011",11,30]]},"PMID":"21948462"}}],"schema":"https://github.com/citation-style-language/schema/raw/master/csl-citation.json"} </w:instrText>
      </w:r>
      <w:r w:rsidRPr="00441DB5">
        <w:fldChar w:fldCharType="separate"/>
      </w:r>
      <w:r w:rsidR="00900454" w:rsidRPr="00441DB5">
        <w:rPr>
          <w:vertAlign w:val="superscript"/>
        </w:rPr>
        <w:t>53–55</w:t>
      </w:r>
      <w:r w:rsidRPr="00441DB5">
        <w:fldChar w:fldCharType="end"/>
      </w:r>
    </w:p>
    <w:p w14:paraId="5A003155" w14:textId="77777777" w:rsidR="00A044D2" w:rsidRPr="00441DB5" w:rsidRDefault="00A044D2">
      <w:pPr>
        <w:rPr>
          <w:b/>
        </w:rPr>
      </w:pPr>
      <w:bookmarkStart w:id="62" w:name="_Toc434319903"/>
      <w:bookmarkStart w:id="63" w:name="_Toc434320939"/>
    </w:p>
    <w:p w14:paraId="547181C3" w14:textId="77777777" w:rsidR="00D5686E" w:rsidRPr="00441DB5" w:rsidRDefault="00D5686E" w:rsidP="00C95412">
      <w:pPr>
        <w:pStyle w:val="PHeading1"/>
      </w:pPr>
      <w:r w:rsidRPr="00441DB5">
        <w:t>Limitations of the study design, data sources and analytical methods</w:t>
      </w:r>
      <w:bookmarkEnd w:id="62"/>
      <w:bookmarkEnd w:id="63"/>
    </w:p>
    <w:p w14:paraId="218C07A8" w14:textId="77777777" w:rsidR="00D5686E" w:rsidRPr="00441DB5" w:rsidRDefault="00D5686E" w:rsidP="00C95412">
      <w:pPr>
        <w:pStyle w:val="PNormal"/>
      </w:pPr>
    </w:p>
    <w:p w14:paraId="140E8E80" w14:textId="77777777" w:rsidR="00D5686E" w:rsidRPr="00441DB5" w:rsidRDefault="00D5686E" w:rsidP="00A822C9">
      <w:pPr>
        <w:pStyle w:val="PNormal"/>
      </w:pPr>
      <w:r w:rsidRPr="00441DB5">
        <w:t>This analysis has the following limitations:</w:t>
      </w:r>
    </w:p>
    <w:p w14:paraId="500354FC" w14:textId="77777777" w:rsidR="00F32A3B" w:rsidRPr="00441DB5" w:rsidRDefault="00D5686E" w:rsidP="00F32A3B">
      <w:pPr>
        <w:pStyle w:val="PHeading1"/>
        <w:numPr>
          <w:ilvl w:val="0"/>
          <w:numId w:val="9"/>
        </w:numPr>
        <w:jc w:val="both"/>
        <w:rPr>
          <w:b w:val="0"/>
        </w:rPr>
      </w:pPr>
      <w:r w:rsidRPr="00441DB5">
        <w:rPr>
          <w:b w:val="0"/>
        </w:rPr>
        <w:t xml:space="preserve">This is an observational study – any difference between products could arise because of uncontrolled confounding. We will investigate such effects by comparing the characteristics of those prescribed different products and adjusting for any differences in multivariable models and exploring different approaches for modelling confounding by indication.  </w:t>
      </w:r>
    </w:p>
    <w:p w14:paraId="24F71AE3" w14:textId="4D689B82" w:rsidR="00D5686E" w:rsidRPr="00441DB5" w:rsidRDefault="00D5686E" w:rsidP="00F32A3B">
      <w:pPr>
        <w:pStyle w:val="PHeading1"/>
        <w:numPr>
          <w:ilvl w:val="0"/>
          <w:numId w:val="9"/>
        </w:numPr>
        <w:jc w:val="both"/>
        <w:rPr>
          <w:b w:val="0"/>
        </w:rPr>
      </w:pPr>
      <w:r w:rsidRPr="00441DB5">
        <w:rPr>
          <w:b w:val="0"/>
        </w:rPr>
        <w:t xml:space="preserve">It is possible that some patients are prescribed different medications within the study period. Furthermore, there may be a hierarchy of treatment, for example if patients being prescribed </w:t>
      </w:r>
      <w:r w:rsidR="00F32A3B" w:rsidRPr="00441DB5">
        <w:rPr>
          <w:b w:val="0"/>
        </w:rPr>
        <w:t xml:space="preserve">angiotensin-converting enzyme inhibitors </w:t>
      </w:r>
      <w:r w:rsidRPr="00441DB5">
        <w:rPr>
          <w:b w:val="0"/>
        </w:rPr>
        <w:t xml:space="preserve">first and only if this fails to control their hypertension they would be moved onto </w:t>
      </w:r>
      <w:r w:rsidR="00F32A3B" w:rsidRPr="00441DB5">
        <w:rPr>
          <w:b w:val="0"/>
        </w:rPr>
        <w:t>angiotensin-II receptor antagonists</w:t>
      </w:r>
      <w:r w:rsidRPr="00441DB5">
        <w:rPr>
          <w:b w:val="0"/>
        </w:rPr>
        <w:t xml:space="preserve">. Thus patients prescribed ARBs may represent treatment resistant hypertension, who in turn may be at higher risk of adverse outcomes. We will explore methods to model the effects of time dependent switching between products. </w:t>
      </w:r>
    </w:p>
    <w:p w14:paraId="6CFBDE92" w14:textId="77777777" w:rsidR="00367302" w:rsidRPr="00441DB5" w:rsidRDefault="00D5686E" w:rsidP="00367302">
      <w:pPr>
        <w:pStyle w:val="PHeading1"/>
        <w:numPr>
          <w:ilvl w:val="0"/>
          <w:numId w:val="9"/>
        </w:numPr>
        <w:jc w:val="both"/>
        <w:rPr>
          <w:b w:val="0"/>
        </w:rPr>
      </w:pPr>
      <w:r w:rsidRPr="00441DB5">
        <w:rPr>
          <w:b w:val="0"/>
        </w:rPr>
        <w:t>Prescribing patterns may have changed following specific drug scares. For example, a drug scare may push GPs towards prescribing alternative therapies for high-risk patients, introducing selection bias.</w:t>
      </w:r>
    </w:p>
    <w:p w14:paraId="458C79DF" w14:textId="1596872B" w:rsidR="00367302" w:rsidRPr="00441DB5" w:rsidRDefault="00D5686E" w:rsidP="00367302">
      <w:pPr>
        <w:pStyle w:val="PHeading1"/>
        <w:numPr>
          <w:ilvl w:val="0"/>
          <w:numId w:val="9"/>
        </w:numPr>
        <w:jc w:val="both"/>
        <w:rPr>
          <w:b w:val="0"/>
        </w:rPr>
      </w:pPr>
      <w:r w:rsidRPr="00441DB5">
        <w:rPr>
          <w:b w:val="0"/>
        </w:rPr>
        <w:t>Dementia is a heterogeneous outcome, and codes used to define cases in primary care may not be as accurate as cases in clinical cohorts. However, we do not expect miss-diagnosis to differ by the type of medication prescribed. We will explore sensitivity analyses to see how this may affect our results.</w:t>
      </w:r>
    </w:p>
    <w:p w14:paraId="2C9101AA" w14:textId="34702877" w:rsidR="00D5686E" w:rsidRPr="00441DB5" w:rsidRDefault="00D813AB" w:rsidP="00D813AB">
      <w:pPr>
        <w:pStyle w:val="PNormal"/>
        <w:numPr>
          <w:ilvl w:val="0"/>
          <w:numId w:val="9"/>
        </w:numPr>
      </w:pPr>
      <w:r w:rsidRPr="00441DB5">
        <w:t>It may not be realistic to assume information is</w:t>
      </w:r>
      <w:r w:rsidR="00367302" w:rsidRPr="00441DB5">
        <w:t xml:space="preserve"> missing at random </w:t>
      </w:r>
      <w:r w:rsidRPr="00441DB5">
        <w:t>for some of our</w:t>
      </w:r>
      <w:r w:rsidR="00367302" w:rsidRPr="00441DB5">
        <w:t xml:space="preserve"> covariates such as</w:t>
      </w:r>
      <w:bookmarkStart w:id="64" w:name="_Toc434319904"/>
      <w:bookmarkStart w:id="65" w:name="_Toc434320940"/>
      <w:r w:rsidRPr="00441DB5">
        <w:t xml:space="preserve"> BMI and smoking</w:t>
      </w:r>
      <w:r w:rsidR="0067262A" w:rsidRPr="00441DB5">
        <w:t xml:space="preserve">. </w:t>
      </w:r>
      <w:r w:rsidR="008E20E3" w:rsidRPr="00441DB5">
        <w:t>We will assess the effect of this assumption on our results via sensitivity analyses.</w:t>
      </w:r>
    </w:p>
    <w:p w14:paraId="43D5DF1D" w14:textId="5B607DB7" w:rsidR="00367302" w:rsidRPr="00441DB5" w:rsidRDefault="00367302">
      <w:pPr>
        <w:rPr>
          <w:b/>
        </w:rPr>
      </w:pPr>
    </w:p>
    <w:p w14:paraId="51F9B012" w14:textId="64EBC448" w:rsidR="00D5686E" w:rsidRPr="00441DB5" w:rsidRDefault="00D5686E" w:rsidP="0009334C">
      <w:pPr>
        <w:pStyle w:val="PHeading1"/>
      </w:pPr>
      <w:r w:rsidRPr="00441DB5">
        <w:t>Patient or user group involvement</w:t>
      </w:r>
      <w:bookmarkEnd w:id="64"/>
      <w:bookmarkEnd w:id="65"/>
    </w:p>
    <w:p w14:paraId="72E49028" w14:textId="77777777" w:rsidR="00050DEA" w:rsidRPr="00441DB5" w:rsidRDefault="00050DEA" w:rsidP="00050DEA">
      <w:pPr>
        <w:pStyle w:val="PHeading1"/>
        <w:numPr>
          <w:ilvl w:val="0"/>
          <w:numId w:val="0"/>
        </w:numPr>
      </w:pPr>
    </w:p>
    <w:p w14:paraId="457B44C5" w14:textId="77777777" w:rsidR="00D5686E" w:rsidRPr="00441DB5" w:rsidRDefault="00D5686E" w:rsidP="00C95412">
      <w:pPr>
        <w:pStyle w:val="PNormal"/>
      </w:pPr>
      <w:r w:rsidRPr="00441DB5">
        <w:t>This study does not directly involve patients, however the topic of identifying new repurposable drug candidates for a number of neurodegenerative diseases is becoming widely supported by patient and user groups from various communities. In the event that we progress any drug candidates identified from this study into a formal clinical trial, as we have direct experience in with the current underway NIHR funded RADAR trial, the case for which was supported by work undertaken under ISAC Protocol 08_101, then we will, as we did with RADAR consult with relevant representatives in the design of that study.</w:t>
      </w:r>
    </w:p>
    <w:p w14:paraId="250A0552" w14:textId="77777777" w:rsidR="00D5686E" w:rsidRPr="00441DB5" w:rsidRDefault="00D5686E" w:rsidP="00C95412">
      <w:pPr>
        <w:pStyle w:val="PNormal"/>
        <w:rPr>
          <w:b/>
          <w:szCs w:val="20"/>
        </w:rPr>
      </w:pPr>
      <w:bookmarkStart w:id="66" w:name="_Toc434319905"/>
      <w:bookmarkStart w:id="67" w:name="_Toc434320941"/>
    </w:p>
    <w:p w14:paraId="3D88BE23" w14:textId="77777777" w:rsidR="009B55CA" w:rsidRPr="00441DB5" w:rsidRDefault="009B55CA">
      <w:pPr>
        <w:rPr>
          <w:b/>
        </w:rPr>
      </w:pPr>
      <w:r w:rsidRPr="00441DB5">
        <w:br w:type="page"/>
      </w:r>
    </w:p>
    <w:p w14:paraId="0C7AE6C5" w14:textId="4EA22596" w:rsidR="00D5686E" w:rsidRPr="00441DB5" w:rsidRDefault="00D5686E" w:rsidP="00C95412">
      <w:pPr>
        <w:pStyle w:val="PHeading1"/>
      </w:pPr>
      <w:r w:rsidRPr="00441DB5">
        <w:lastRenderedPageBreak/>
        <w:t>Plans for disseminating and communicating study results</w:t>
      </w:r>
      <w:bookmarkEnd w:id="66"/>
      <w:bookmarkEnd w:id="67"/>
    </w:p>
    <w:p w14:paraId="61F3CE15" w14:textId="77777777" w:rsidR="00D5686E" w:rsidRPr="00441DB5" w:rsidRDefault="00D5686E" w:rsidP="00F94F54">
      <w:pPr>
        <w:pStyle w:val="PNormal"/>
      </w:pPr>
    </w:p>
    <w:p w14:paraId="41F32BF7" w14:textId="28EA881C" w:rsidR="009B55CA" w:rsidRPr="00441DB5" w:rsidRDefault="00D5686E" w:rsidP="00F94F54">
      <w:pPr>
        <w:pStyle w:val="PNormal"/>
      </w:pPr>
      <w:r w:rsidRPr="00441DB5">
        <w:t>This study will form the core of a funded 3-year PhD project (for Venexia Walker). We will publish the results of the study as open-access peer-reviewed publications.</w:t>
      </w:r>
      <w:r w:rsidR="00F94F54" w:rsidRPr="00441DB5">
        <w:t xml:space="preserve"> Our results will be disseminated in up to five papers (depending on findings linked papers may be merged into one) as detailed below:</w:t>
      </w:r>
    </w:p>
    <w:p w14:paraId="39AB248C" w14:textId="77777777" w:rsidR="00F94F54" w:rsidRPr="00441DB5" w:rsidRDefault="00F94F54" w:rsidP="00F94F54">
      <w:pPr>
        <w:pStyle w:val="PNormal"/>
        <w:numPr>
          <w:ilvl w:val="0"/>
          <w:numId w:val="18"/>
        </w:numPr>
      </w:pPr>
      <w:r w:rsidRPr="00441DB5">
        <w:rPr>
          <w:shd w:val="clear" w:color="auto" w:fill="FFFFFF"/>
        </w:rPr>
        <w:t>The association of treatments for cardiovascular disease (hypertension and hypercholesterolaemia) and the incidence of neurodegenerative disease</w:t>
      </w:r>
    </w:p>
    <w:p w14:paraId="75A5F0CA" w14:textId="77777777" w:rsidR="00F94F54" w:rsidRPr="00441DB5" w:rsidRDefault="00F94F54" w:rsidP="00F94F54">
      <w:pPr>
        <w:pStyle w:val="PNormal"/>
        <w:numPr>
          <w:ilvl w:val="0"/>
          <w:numId w:val="18"/>
        </w:numPr>
      </w:pPr>
      <w:r w:rsidRPr="00441DB5">
        <w:rPr>
          <w:shd w:val="clear" w:color="auto" w:fill="FFFFFF"/>
        </w:rPr>
        <w:t>The association of treatments for cardiovascular diseases (hypertension and hypercholesterolaemia) and the progression of neurodegenerative disease</w:t>
      </w:r>
    </w:p>
    <w:p w14:paraId="7A135EBB" w14:textId="77777777" w:rsidR="00F94F54" w:rsidRPr="00441DB5" w:rsidRDefault="00F94F54" w:rsidP="00F94F54">
      <w:pPr>
        <w:pStyle w:val="PNormal"/>
        <w:numPr>
          <w:ilvl w:val="0"/>
          <w:numId w:val="18"/>
        </w:numPr>
      </w:pPr>
      <w:r w:rsidRPr="00441DB5">
        <w:rPr>
          <w:shd w:val="clear" w:color="auto" w:fill="FFFFFF"/>
        </w:rPr>
        <w:t>The association of treatments for type 2 diabetes and the incidence of neurodegenerative disease</w:t>
      </w:r>
    </w:p>
    <w:p w14:paraId="56C34C9B" w14:textId="77777777" w:rsidR="00F94F54" w:rsidRPr="00441DB5" w:rsidRDefault="00F94F54" w:rsidP="00F94F54">
      <w:pPr>
        <w:pStyle w:val="PNormal"/>
        <w:numPr>
          <w:ilvl w:val="0"/>
          <w:numId w:val="18"/>
        </w:numPr>
      </w:pPr>
      <w:r w:rsidRPr="00441DB5">
        <w:rPr>
          <w:shd w:val="clear" w:color="auto" w:fill="FFFFFF"/>
        </w:rPr>
        <w:t>The association of treatments for type 2 diabetes and the progression of neurodegenerative disease</w:t>
      </w:r>
    </w:p>
    <w:p w14:paraId="702416A8" w14:textId="4A456A4A" w:rsidR="00F94F54" w:rsidRPr="00441DB5" w:rsidRDefault="00F94F54" w:rsidP="00F94F54">
      <w:pPr>
        <w:pStyle w:val="PNormal"/>
        <w:numPr>
          <w:ilvl w:val="0"/>
          <w:numId w:val="18"/>
        </w:numPr>
      </w:pPr>
      <w:r w:rsidRPr="00441DB5">
        <w:rPr>
          <w:shd w:val="clear" w:color="auto" w:fill="FFFFFF"/>
        </w:rPr>
        <w:t>The association of co-administration of the potentially cerebroprotective drugs with dementia drugs and the post-diagnosis survival of patients with dementia</w:t>
      </w:r>
      <w:r w:rsidR="00D5686E" w:rsidRPr="00441DB5">
        <w:t xml:space="preserve"> </w:t>
      </w:r>
    </w:p>
    <w:p w14:paraId="6135F682" w14:textId="33862CE2" w:rsidR="002D60EC" w:rsidRPr="00F94F54" w:rsidRDefault="00D5686E" w:rsidP="00F94F54">
      <w:pPr>
        <w:pStyle w:val="PNormal"/>
      </w:pPr>
      <w:r w:rsidRPr="00441DB5">
        <w:t>We will disseminate findings through national and international conferences as are appropriate. Depending on the findings we would also explore additional</w:t>
      </w:r>
      <w:r w:rsidRPr="00F94F54">
        <w:t xml:space="preserve"> options for focussed dissemination within appropriate communities, e.g. via an Alzheimer’s Society dissemination gra</w:t>
      </w:r>
      <w:bookmarkStart w:id="68" w:name="_Toc434319906"/>
      <w:bookmarkStart w:id="69" w:name="_Toc434320942"/>
      <w:r w:rsidR="00050DEA" w:rsidRPr="00F94F54">
        <w:t>nt and/or via CLAHRC structures</w:t>
      </w:r>
      <w:r w:rsidR="0063468D" w:rsidRPr="00F94F54">
        <w:t>.</w:t>
      </w:r>
    </w:p>
    <w:p w14:paraId="6E3ED53B" w14:textId="77777777" w:rsidR="0063468D" w:rsidRDefault="0063468D" w:rsidP="00050DEA">
      <w:pPr>
        <w:pStyle w:val="PNormal"/>
      </w:pPr>
    </w:p>
    <w:p w14:paraId="7B8729DF" w14:textId="77777777" w:rsidR="0063468D" w:rsidRDefault="0063468D" w:rsidP="00050DEA">
      <w:pPr>
        <w:pStyle w:val="PNormal"/>
        <w:sectPr w:rsidR="0063468D" w:rsidSect="00D5686E">
          <w:headerReference w:type="default" r:id="rId17"/>
          <w:footerReference w:type="default" r:id="rId18"/>
          <w:type w:val="continuous"/>
          <w:pgSz w:w="11900" w:h="16840"/>
          <w:pgMar w:top="1440" w:right="1797" w:bottom="1440" w:left="1797" w:header="709" w:footer="709" w:gutter="0"/>
          <w:pgNumType w:start="1"/>
          <w:cols w:space="363"/>
        </w:sectPr>
      </w:pPr>
    </w:p>
    <w:p w14:paraId="0B5E5084" w14:textId="77777777" w:rsidR="00D5686E" w:rsidRDefault="00D5686E" w:rsidP="002D60EC">
      <w:pPr>
        <w:pStyle w:val="PHeading1"/>
      </w:pPr>
      <w:r w:rsidRPr="008E0752">
        <w:lastRenderedPageBreak/>
        <w:t>References</w:t>
      </w:r>
      <w:bookmarkEnd w:id="68"/>
      <w:bookmarkEnd w:id="69"/>
    </w:p>
    <w:p w14:paraId="3C439F36" w14:textId="77777777" w:rsidR="00D5686E" w:rsidRPr="0080235E" w:rsidRDefault="00D5686E" w:rsidP="00D5686E"/>
    <w:p w14:paraId="53DB4A79" w14:textId="515A291A" w:rsidR="00C95412" w:rsidRPr="00C95412" w:rsidRDefault="00C95412" w:rsidP="00F30F82">
      <w:pPr>
        <w:pStyle w:val="Heading1"/>
        <w:sectPr w:rsidR="00C95412" w:rsidRPr="00C95412" w:rsidSect="00D5686E">
          <w:footerReference w:type="default" r:id="rId19"/>
          <w:type w:val="continuous"/>
          <w:pgSz w:w="11900" w:h="16840"/>
          <w:pgMar w:top="1440" w:right="1797" w:bottom="1440" w:left="1797" w:header="709" w:footer="709" w:gutter="0"/>
          <w:pgNumType w:start="1"/>
          <w:cols w:space="363"/>
        </w:sectPr>
      </w:pPr>
    </w:p>
    <w:p w14:paraId="0B47C524" w14:textId="77777777" w:rsidR="00EE5D97" w:rsidRDefault="0037191C" w:rsidP="00EE5D97">
      <w:pPr>
        <w:pStyle w:val="Bibliography"/>
      </w:pPr>
      <w:r>
        <w:lastRenderedPageBreak/>
        <w:fldChar w:fldCharType="begin"/>
      </w:r>
      <w:r w:rsidR="00EE5D97">
        <w:instrText xml:space="preserve"> ADDIN ZOTERO_BIBL {"custom":[]} CSL_BIBLIOGRAPHY </w:instrText>
      </w:r>
      <w:r>
        <w:fldChar w:fldCharType="separate"/>
      </w:r>
      <w:r w:rsidR="00EE5D97">
        <w:t>1.</w:t>
      </w:r>
      <w:r w:rsidR="00EE5D97">
        <w:tab/>
        <w:t xml:space="preserve">Ashburn, T. T. &amp; Thor, K. B. Drug repositioning: identifying and developing new uses for existing drugs. </w:t>
      </w:r>
      <w:r w:rsidR="00EE5D97">
        <w:rPr>
          <w:i/>
          <w:iCs/>
        </w:rPr>
        <w:t>Nat. Rev. Drug Discov.</w:t>
      </w:r>
      <w:r w:rsidR="00EE5D97">
        <w:t xml:space="preserve"> </w:t>
      </w:r>
      <w:r w:rsidR="00EE5D97">
        <w:rPr>
          <w:b/>
          <w:bCs/>
        </w:rPr>
        <w:t>3,</w:t>
      </w:r>
      <w:r w:rsidR="00EE5D97">
        <w:t xml:space="preserve"> 673–683 (2004).</w:t>
      </w:r>
    </w:p>
    <w:p w14:paraId="5B62AF3F" w14:textId="77777777" w:rsidR="00EE5D97" w:rsidRDefault="00EE5D97" w:rsidP="00EE5D97">
      <w:pPr>
        <w:pStyle w:val="Bibliography"/>
      </w:pPr>
      <w:r>
        <w:t>2.</w:t>
      </w:r>
      <w:r>
        <w:tab/>
        <w:t xml:space="preserve">Corbett, A. </w:t>
      </w:r>
      <w:r>
        <w:rPr>
          <w:i/>
          <w:iCs/>
        </w:rPr>
        <w:t>et al.</w:t>
      </w:r>
      <w:r>
        <w:t xml:space="preserve"> Drug repositioning for Alzheimer’s disease. </w:t>
      </w:r>
      <w:r>
        <w:rPr>
          <w:i/>
          <w:iCs/>
        </w:rPr>
        <w:t>Nat. Rev. Drug Discov.</w:t>
      </w:r>
      <w:r>
        <w:t xml:space="preserve"> </w:t>
      </w:r>
      <w:r>
        <w:rPr>
          <w:b/>
          <w:bCs/>
        </w:rPr>
        <w:t>11,</w:t>
      </w:r>
      <w:r>
        <w:t xml:space="preserve"> 833–846 (2012).</w:t>
      </w:r>
    </w:p>
    <w:p w14:paraId="73E9F46D" w14:textId="77777777" w:rsidR="00EE5D97" w:rsidRDefault="00EE5D97" w:rsidP="00EE5D97">
      <w:pPr>
        <w:pStyle w:val="Bibliography"/>
      </w:pPr>
      <w:r>
        <w:t>3.</w:t>
      </w:r>
      <w:r>
        <w:tab/>
        <w:t xml:space="preserve">Hubsher, G., Haider, M. &amp; Okun, M. S. Amantadine: The journey from fighting flu to treating Parkinson disease. </w:t>
      </w:r>
      <w:r>
        <w:rPr>
          <w:i/>
          <w:iCs/>
        </w:rPr>
        <w:t>Neurology</w:t>
      </w:r>
      <w:r>
        <w:t xml:space="preserve"> </w:t>
      </w:r>
      <w:r>
        <w:rPr>
          <w:b/>
          <w:bCs/>
        </w:rPr>
        <w:t>78,</w:t>
      </w:r>
      <w:r>
        <w:t xml:space="preserve"> 1096–1099 (2012).</w:t>
      </w:r>
    </w:p>
    <w:p w14:paraId="7152F30E" w14:textId="77777777" w:rsidR="00EE5D97" w:rsidRDefault="00EE5D97" w:rsidP="00EE5D97">
      <w:pPr>
        <w:pStyle w:val="Bibliography"/>
      </w:pPr>
      <w:r>
        <w:t>4.</w:t>
      </w:r>
      <w:r>
        <w:tab/>
        <w:t xml:space="preserve">Rountree, S. D. </w:t>
      </w:r>
      <w:r>
        <w:rPr>
          <w:i/>
          <w:iCs/>
        </w:rPr>
        <w:t>et al.</w:t>
      </w:r>
      <w:r>
        <w:t xml:space="preserve"> Persistent treatment with cholinesterase inhibitors and/or memantine slows clinical progression of Alzheimer disease. </w:t>
      </w:r>
      <w:r>
        <w:rPr>
          <w:i/>
          <w:iCs/>
        </w:rPr>
        <w:t>Alzheimers Res. Ther.</w:t>
      </w:r>
      <w:r>
        <w:t xml:space="preserve"> </w:t>
      </w:r>
      <w:r>
        <w:rPr>
          <w:b/>
          <w:bCs/>
        </w:rPr>
        <w:t>1,</w:t>
      </w:r>
      <w:r>
        <w:t xml:space="preserve"> 7 (2009).</w:t>
      </w:r>
    </w:p>
    <w:p w14:paraId="16434ADD" w14:textId="77777777" w:rsidR="00EE5D97" w:rsidRDefault="00EE5D97" w:rsidP="00EE5D97">
      <w:pPr>
        <w:pStyle w:val="Bibliography"/>
      </w:pPr>
      <w:r>
        <w:t>5.</w:t>
      </w:r>
      <w:r>
        <w:tab/>
        <w:t xml:space="preserve">Wattmo, C., Londos, E. &amp; Minthon, L. Response to cholinesterase inhibitors affects lifespan in Alzheimer’s disease. </w:t>
      </w:r>
      <w:r>
        <w:rPr>
          <w:i/>
          <w:iCs/>
        </w:rPr>
        <w:t>BMC Neurol.</w:t>
      </w:r>
      <w:r>
        <w:t xml:space="preserve"> </w:t>
      </w:r>
      <w:r>
        <w:rPr>
          <w:b/>
          <w:bCs/>
        </w:rPr>
        <w:t>14,</w:t>
      </w:r>
      <w:r>
        <w:t xml:space="preserve"> (2014).</w:t>
      </w:r>
    </w:p>
    <w:p w14:paraId="2E9BAD9E" w14:textId="77777777" w:rsidR="00EE5D97" w:rsidRDefault="00EE5D97" w:rsidP="00EE5D97">
      <w:pPr>
        <w:pStyle w:val="Bibliography"/>
      </w:pPr>
      <w:r>
        <w:t>6.</w:t>
      </w:r>
      <w:r>
        <w:tab/>
        <w:t xml:space="preserve">Suh, G.-H. </w:t>
      </w:r>
      <w:r>
        <w:rPr>
          <w:i/>
          <w:iCs/>
        </w:rPr>
        <w:t>et al.</w:t>
      </w:r>
      <w:r>
        <w:t xml:space="preserve"> Cholinesterase Inhibitors for Alzheimer Disease: Do They Provide More Than Symptomatic Benefits? </w:t>
      </w:r>
      <w:r>
        <w:rPr>
          <w:i/>
          <w:iCs/>
        </w:rPr>
        <w:t>Am. J. Geriatr. Psychiatry</w:t>
      </w:r>
      <w:r>
        <w:t xml:space="preserve"> </w:t>
      </w:r>
      <w:r>
        <w:rPr>
          <w:b/>
          <w:bCs/>
        </w:rPr>
        <w:t>19,</w:t>
      </w:r>
      <w:r>
        <w:t xml:space="preserve"> 266–273 (2011).</w:t>
      </w:r>
    </w:p>
    <w:p w14:paraId="25605C1E" w14:textId="77777777" w:rsidR="00EE5D97" w:rsidRDefault="00EE5D97" w:rsidP="00EE5D97">
      <w:pPr>
        <w:pStyle w:val="Bibliography"/>
      </w:pPr>
      <w:r>
        <w:lastRenderedPageBreak/>
        <w:t>7.</w:t>
      </w:r>
      <w:r>
        <w:tab/>
        <w:t xml:space="preserve">Getsios, D., Migliaccio-Walle, K. &amp; Caro, J. J. NICE cost-effectiveness appraisal of cholinesterase inhibitors: was the right question posed? Were the best tools used? </w:t>
      </w:r>
      <w:r>
        <w:rPr>
          <w:i/>
          <w:iCs/>
        </w:rPr>
        <w:t>PharmacoEconomics</w:t>
      </w:r>
      <w:r>
        <w:t xml:space="preserve"> </w:t>
      </w:r>
      <w:r>
        <w:rPr>
          <w:b/>
          <w:bCs/>
        </w:rPr>
        <w:t>25,</w:t>
      </w:r>
      <w:r>
        <w:t xml:space="preserve"> 997–1006 (2007).</w:t>
      </w:r>
    </w:p>
    <w:p w14:paraId="7CBABCF1" w14:textId="77777777" w:rsidR="00EE5D97" w:rsidRDefault="00EE5D97" w:rsidP="00EE5D97">
      <w:pPr>
        <w:pStyle w:val="Bibliography"/>
      </w:pPr>
      <w:r>
        <w:t>8.</w:t>
      </w:r>
      <w:r>
        <w:tab/>
        <w:t xml:space="preserve">Qiu, C., Kivipelto, M. &amp; von Strauss, E. Epidemiology of Alzheimer’s disease: occurrence, determinants, and strategies toward intervention. </w:t>
      </w:r>
      <w:r>
        <w:rPr>
          <w:i/>
          <w:iCs/>
        </w:rPr>
        <w:t>Dialogues Clin. Neurosci.</w:t>
      </w:r>
      <w:r>
        <w:t xml:space="preserve"> </w:t>
      </w:r>
      <w:r>
        <w:rPr>
          <w:b/>
          <w:bCs/>
        </w:rPr>
        <w:t>11,</w:t>
      </w:r>
      <w:r>
        <w:t xml:space="preserve"> 111–128 (2009).</w:t>
      </w:r>
    </w:p>
    <w:p w14:paraId="22EF65C9" w14:textId="77777777" w:rsidR="00EE5D97" w:rsidRDefault="00EE5D97" w:rsidP="00EE5D97">
      <w:pPr>
        <w:pStyle w:val="Bibliography"/>
      </w:pPr>
      <w:r>
        <w:t>9.</w:t>
      </w:r>
      <w:r>
        <w:tab/>
        <w:t xml:space="preserve">Sahathevan, R., Brodtmann, A. &amp; Donnan, G. A. Dementia, stroke, and vascular risk factors; a review. </w:t>
      </w:r>
      <w:r>
        <w:rPr>
          <w:i/>
          <w:iCs/>
        </w:rPr>
        <w:t>Int. J. Stroke</w:t>
      </w:r>
      <w:r>
        <w:t xml:space="preserve"> </w:t>
      </w:r>
      <w:r>
        <w:rPr>
          <w:b/>
          <w:bCs/>
        </w:rPr>
        <w:t>7,</w:t>
      </w:r>
      <w:r>
        <w:t xml:space="preserve"> 61–73 (2012).</w:t>
      </w:r>
    </w:p>
    <w:p w14:paraId="552089CA" w14:textId="77777777" w:rsidR="00EE5D97" w:rsidRDefault="00EE5D97" w:rsidP="00EE5D97">
      <w:pPr>
        <w:pStyle w:val="Bibliography"/>
      </w:pPr>
      <w:r>
        <w:t>10.</w:t>
      </w:r>
      <w:r>
        <w:tab/>
        <w:t xml:space="preserve">Strand, B. H. </w:t>
      </w:r>
      <w:r>
        <w:rPr>
          <w:i/>
          <w:iCs/>
        </w:rPr>
        <w:t>et al.</w:t>
      </w:r>
      <w:r>
        <w:t xml:space="preserve"> Midlife vascular risk factors and their association with dementia deaths: Results from a Norwegian prospective study followed up for 35years. </w:t>
      </w:r>
      <w:r>
        <w:rPr>
          <w:i/>
          <w:iCs/>
        </w:rPr>
        <w:t>J. Neurol. Sci.</w:t>
      </w:r>
      <w:r>
        <w:t xml:space="preserve"> </w:t>
      </w:r>
      <w:r>
        <w:rPr>
          <w:b/>
          <w:bCs/>
        </w:rPr>
        <w:t>324,</w:t>
      </w:r>
      <w:r>
        <w:t xml:space="preserve"> 124–130 (2013).</w:t>
      </w:r>
    </w:p>
    <w:p w14:paraId="5C52E5F2" w14:textId="77777777" w:rsidR="00EE5D97" w:rsidRDefault="00EE5D97" w:rsidP="00EE5D97">
      <w:pPr>
        <w:pStyle w:val="Bibliography"/>
      </w:pPr>
      <w:r>
        <w:t>11.</w:t>
      </w:r>
      <w:r>
        <w:tab/>
        <w:t xml:space="preserve">Duron, E. &amp; Hanon, O. Vascular risk factors, cognitive decline, and dementia. </w:t>
      </w:r>
      <w:r>
        <w:rPr>
          <w:i/>
          <w:iCs/>
        </w:rPr>
        <w:t>Vasc. Health Risk Manag.</w:t>
      </w:r>
      <w:r>
        <w:t xml:space="preserve"> </w:t>
      </w:r>
      <w:r>
        <w:rPr>
          <w:b/>
          <w:bCs/>
        </w:rPr>
        <w:t>4,</w:t>
      </w:r>
      <w:r>
        <w:t xml:space="preserve"> 363–381 (2008).</w:t>
      </w:r>
    </w:p>
    <w:p w14:paraId="734C4D67" w14:textId="77777777" w:rsidR="00EE5D97" w:rsidRDefault="00EE5D97" w:rsidP="00EE5D97">
      <w:pPr>
        <w:pStyle w:val="Bibliography"/>
      </w:pPr>
      <w:r>
        <w:t>12.</w:t>
      </w:r>
      <w:r>
        <w:tab/>
        <w:t xml:space="preserve">Kehoe, P. G., Davies, N. M., Martin, R. M. &amp; Ben-Shlomo, Y. Associations of Angiotensin Targeting Antihypertensive Drugs with Mortality and Hospitalization in Primary Care Patients with Dementia. </w:t>
      </w:r>
      <w:r>
        <w:rPr>
          <w:i/>
          <w:iCs/>
        </w:rPr>
        <w:t>J. Alzheimers Dis. JAD</w:t>
      </w:r>
      <w:r>
        <w:t xml:space="preserve"> </w:t>
      </w:r>
      <w:r>
        <w:rPr>
          <w:b/>
          <w:bCs/>
        </w:rPr>
        <w:t>33,</w:t>
      </w:r>
      <w:r>
        <w:t xml:space="preserve"> 999–1008 (2013).</w:t>
      </w:r>
    </w:p>
    <w:p w14:paraId="5142561D" w14:textId="77777777" w:rsidR="00EE5D97" w:rsidRDefault="00EE5D97" w:rsidP="00EE5D97">
      <w:pPr>
        <w:pStyle w:val="Bibliography"/>
      </w:pPr>
      <w:r>
        <w:t>13.</w:t>
      </w:r>
      <w:r>
        <w:tab/>
        <w:t xml:space="preserve">Ferri, C. P. </w:t>
      </w:r>
      <w:r>
        <w:rPr>
          <w:i/>
          <w:iCs/>
        </w:rPr>
        <w:t>et al.</w:t>
      </w:r>
      <w:r>
        <w:t xml:space="preserve"> Global prevalence of dementia: a Delphi consensus study. </w:t>
      </w:r>
      <w:r>
        <w:rPr>
          <w:i/>
          <w:iCs/>
        </w:rPr>
        <w:t>The Lancet</w:t>
      </w:r>
      <w:r>
        <w:t xml:space="preserve"> </w:t>
      </w:r>
      <w:r>
        <w:rPr>
          <w:b/>
          <w:bCs/>
        </w:rPr>
        <w:t>366,</w:t>
      </w:r>
      <w:r>
        <w:t xml:space="preserve"> 2112–2117 (2005).</w:t>
      </w:r>
    </w:p>
    <w:p w14:paraId="78EE6D60" w14:textId="77777777" w:rsidR="00EE5D97" w:rsidRDefault="00EE5D97" w:rsidP="00EE5D97">
      <w:pPr>
        <w:pStyle w:val="Bibliography"/>
      </w:pPr>
      <w:r>
        <w:t>14.</w:t>
      </w:r>
      <w:r>
        <w:tab/>
        <w:t xml:space="preserve">Matthews, F. E. </w:t>
      </w:r>
      <w:r>
        <w:rPr>
          <w:i/>
          <w:iCs/>
        </w:rPr>
        <w:t>et al.</w:t>
      </w:r>
      <w:r>
        <w:t xml:space="preserve"> A two-decade comparison of prevalence of dementia in individuals aged 65 years and older from three geographical areas of England: results of the Cognitive Function and Ageing Study I and II. </w:t>
      </w:r>
      <w:r>
        <w:rPr>
          <w:i/>
          <w:iCs/>
        </w:rPr>
        <w:t>The Lancet</w:t>
      </w:r>
      <w:r>
        <w:t xml:space="preserve"> </w:t>
      </w:r>
      <w:r>
        <w:rPr>
          <w:b/>
          <w:bCs/>
        </w:rPr>
        <w:t>382,</w:t>
      </w:r>
      <w:r>
        <w:t xml:space="preserve"> 1405–1412 (2013).</w:t>
      </w:r>
    </w:p>
    <w:p w14:paraId="6DE6E9B8" w14:textId="77777777" w:rsidR="00EE5D97" w:rsidRDefault="00EE5D97" w:rsidP="00EE5D97">
      <w:pPr>
        <w:pStyle w:val="Bibliography"/>
      </w:pPr>
      <w:r>
        <w:lastRenderedPageBreak/>
        <w:t>15.</w:t>
      </w:r>
      <w:r>
        <w:tab/>
        <w:t xml:space="preserve">Barbic, F. </w:t>
      </w:r>
      <w:r>
        <w:rPr>
          <w:i/>
          <w:iCs/>
        </w:rPr>
        <w:t>et al.</w:t>
      </w:r>
      <w:r>
        <w:t xml:space="preserve"> Early Abnormalities of Vascular and Cardiac Autonomic Control in Parkinson’s Disease Without Orthostatic Hypotension. </w:t>
      </w:r>
      <w:r>
        <w:rPr>
          <w:i/>
          <w:iCs/>
        </w:rPr>
        <w:t>Hypertension</w:t>
      </w:r>
      <w:r>
        <w:t xml:space="preserve"> </w:t>
      </w:r>
      <w:r>
        <w:rPr>
          <w:b/>
          <w:bCs/>
        </w:rPr>
        <w:t>49,</w:t>
      </w:r>
      <w:r>
        <w:t xml:space="preserve"> 120–126 (2007).</w:t>
      </w:r>
    </w:p>
    <w:p w14:paraId="4EA11CC6" w14:textId="77777777" w:rsidR="00EE5D97" w:rsidRDefault="00EE5D97" w:rsidP="00EE5D97">
      <w:pPr>
        <w:pStyle w:val="Bibliography"/>
      </w:pPr>
      <w:r>
        <w:t>16.</w:t>
      </w:r>
      <w:r>
        <w:tab/>
        <w:t xml:space="preserve">Biaggioni, I. Parkinson’s Disease: Autonomic Neuronopathy With Impaired Cardiovascular Regulation. </w:t>
      </w:r>
      <w:r>
        <w:rPr>
          <w:i/>
          <w:iCs/>
        </w:rPr>
        <w:t>Hypertension</w:t>
      </w:r>
      <w:r>
        <w:t xml:space="preserve"> </w:t>
      </w:r>
      <w:r>
        <w:rPr>
          <w:b/>
          <w:bCs/>
        </w:rPr>
        <w:t>49,</w:t>
      </w:r>
      <w:r>
        <w:t xml:space="preserve"> 21–22 (2007).</w:t>
      </w:r>
    </w:p>
    <w:p w14:paraId="15D9A52F" w14:textId="77777777" w:rsidR="00EE5D97" w:rsidRDefault="00EE5D97" w:rsidP="00EE5D97">
      <w:pPr>
        <w:pStyle w:val="Bibliography"/>
      </w:pPr>
      <w:r>
        <w:t>17.</w:t>
      </w:r>
      <w:r>
        <w:tab/>
        <w:t xml:space="preserve">Reardon, K. A., Mendelsohn, F. A., Chai, S. Y. &amp; Horne, M. K. The angiotensin converting enzyme (ACE) inhibitor, perindopril, modifies the clinical features of Parkinson’s disease. </w:t>
      </w:r>
      <w:r>
        <w:rPr>
          <w:i/>
          <w:iCs/>
        </w:rPr>
        <w:t>Aust. N. Z. J. Med.</w:t>
      </w:r>
      <w:r>
        <w:t xml:space="preserve"> </w:t>
      </w:r>
      <w:r>
        <w:rPr>
          <w:b/>
          <w:bCs/>
        </w:rPr>
        <w:t>30,</w:t>
      </w:r>
      <w:r>
        <w:t xml:space="preserve"> 48–53 (2000).</w:t>
      </w:r>
    </w:p>
    <w:p w14:paraId="59A2B9F7" w14:textId="77777777" w:rsidR="00EE5D97" w:rsidRDefault="00EE5D97" w:rsidP="00EE5D97">
      <w:pPr>
        <w:pStyle w:val="Bibliography"/>
      </w:pPr>
      <w:r>
        <w:t>18.</w:t>
      </w:r>
      <w:r>
        <w:tab/>
        <w:t xml:space="preserve">Moreau, C. </w:t>
      </w:r>
      <w:r>
        <w:rPr>
          <w:i/>
          <w:iCs/>
        </w:rPr>
        <w:t>et al.</w:t>
      </w:r>
      <w:r>
        <w:t xml:space="preserve"> Modifying effect of arterial hypertension on amyotrophic lateral sclerosis. </w:t>
      </w:r>
      <w:r>
        <w:rPr>
          <w:i/>
          <w:iCs/>
        </w:rPr>
        <w:t>Amyotroph. Lateral Scler. Off. Publ. World Fed. Neurol. Res. Group Mot. Neuron Dis.</w:t>
      </w:r>
      <w:r>
        <w:t xml:space="preserve"> </w:t>
      </w:r>
      <w:r>
        <w:rPr>
          <w:b/>
          <w:bCs/>
        </w:rPr>
        <w:t>13,</w:t>
      </w:r>
      <w:r>
        <w:t xml:space="preserve"> 194–201 (2012).</w:t>
      </w:r>
    </w:p>
    <w:p w14:paraId="52C513EB" w14:textId="77777777" w:rsidR="00EE5D97" w:rsidRDefault="00EE5D97" w:rsidP="00EE5D97">
      <w:pPr>
        <w:pStyle w:val="Bibliography"/>
      </w:pPr>
      <w:r>
        <w:t>19.</w:t>
      </w:r>
      <w:r>
        <w:tab/>
        <w:t xml:space="preserve">O’Caoimh, R. </w:t>
      </w:r>
      <w:r>
        <w:rPr>
          <w:i/>
          <w:iCs/>
        </w:rPr>
        <w:t>et al.</w:t>
      </w:r>
      <w:r>
        <w:t xml:space="preserve"> Effects of centrally acting angiotensin converting enzyme inhibitors on functional decline in patients with Alzheimer’s disease. </w:t>
      </w:r>
      <w:r>
        <w:rPr>
          <w:i/>
          <w:iCs/>
        </w:rPr>
        <w:t>J. Alzheimers Dis. JAD</w:t>
      </w:r>
      <w:r>
        <w:t xml:space="preserve"> </w:t>
      </w:r>
      <w:r>
        <w:rPr>
          <w:b/>
          <w:bCs/>
        </w:rPr>
        <w:t>40,</w:t>
      </w:r>
      <w:r>
        <w:t xml:space="preserve"> 595–603 (2014).</w:t>
      </w:r>
    </w:p>
    <w:p w14:paraId="6D99FA61" w14:textId="77777777" w:rsidR="00EE5D97" w:rsidRDefault="00EE5D97" w:rsidP="00EE5D97">
      <w:pPr>
        <w:pStyle w:val="Bibliography"/>
      </w:pPr>
      <w:r>
        <w:t>20.</w:t>
      </w:r>
      <w:r>
        <w:tab/>
        <w:t xml:space="preserve">Li, N. </w:t>
      </w:r>
      <w:r>
        <w:rPr>
          <w:i/>
          <w:iCs/>
        </w:rPr>
        <w:t>et al.</w:t>
      </w:r>
      <w:r>
        <w:t xml:space="preserve"> Use of angiotensin receptor blockers and risk of dementia in a predominantly male population: prospective cohort analysis. </w:t>
      </w:r>
      <w:r>
        <w:rPr>
          <w:i/>
          <w:iCs/>
        </w:rPr>
        <w:t>Br. Med. J.</w:t>
      </w:r>
      <w:r>
        <w:t xml:space="preserve"> </w:t>
      </w:r>
      <w:r>
        <w:rPr>
          <w:b/>
          <w:bCs/>
        </w:rPr>
        <w:t>340,</w:t>
      </w:r>
      <w:r>
        <w:t xml:space="preserve"> b5465 (2010).</w:t>
      </w:r>
    </w:p>
    <w:p w14:paraId="47275D8A" w14:textId="77777777" w:rsidR="00EE5D97" w:rsidRDefault="00EE5D97" w:rsidP="00EE5D97">
      <w:pPr>
        <w:pStyle w:val="Bibliography"/>
      </w:pPr>
      <w:r>
        <w:t>21.</w:t>
      </w:r>
      <w:r>
        <w:tab/>
        <w:t xml:space="preserve">Davies, N. M., Kehoe, P. G., Ben-Shlomo, Y. &amp; Martin, R. M. Associations of anti-hypertensive treatments with Alzheimer’s disease, vascular dementia, and other dementias. </w:t>
      </w:r>
      <w:r>
        <w:rPr>
          <w:i/>
          <w:iCs/>
        </w:rPr>
        <w:t>J. Alzheimers Dis. JAD</w:t>
      </w:r>
      <w:r>
        <w:t xml:space="preserve"> </w:t>
      </w:r>
      <w:r>
        <w:rPr>
          <w:b/>
          <w:bCs/>
        </w:rPr>
        <w:t>26,</w:t>
      </w:r>
      <w:r>
        <w:t xml:space="preserve"> 699–708 (2011).</w:t>
      </w:r>
    </w:p>
    <w:p w14:paraId="4C3C4C2D" w14:textId="77777777" w:rsidR="00EE5D97" w:rsidRDefault="00EE5D97" w:rsidP="00EE5D97">
      <w:pPr>
        <w:pStyle w:val="Bibliography"/>
      </w:pPr>
      <w:r>
        <w:t>22.</w:t>
      </w:r>
      <w:r>
        <w:tab/>
        <w:t xml:space="preserve">Lin, F.-C., Tsai, C.-P., Kuang-Wu Lee, J., Wu, M.-T. &amp; Tzu-Chi Lee, C. Angiotensin-converting enzyme inhibitors and amyotrophic lateral sclerosis risk: a total population-based case-control study. </w:t>
      </w:r>
      <w:r>
        <w:rPr>
          <w:i/>
          <w:iCs/>
        </w:rPr>
        <w:t>JAMA Neurol.</w:t>
      </w:r>
      <w:r>
        <w:t xml:space="preserve"> </w:t>
      </w:r>
      <w:r>
        <w:rPr>
          <w:b/>
          <w:bCs/>
        </w:rPr>
        <w:t>72,</w:t>
      </w:r>
      <w:r>
        <w:t xml:space="preserve"> 40–48 (2015).</w:t>
      </w:r>
    </w:p>
    <w:p w14:paraId="40433A68" w14:textId="77777777" w:rsidR="00EE5D97" w:rsidRDefault="00EE5D97" w:rsidP="00EE5D97">
      <w:pPr>
        <w:pStyle w:val="Bibliography"/>
      </w:pPr>
      <w:r>
        <w:t>23.</w:t>
      </w:r>
      <w:r>
        <w:tab/>
        <w:t xml:space="preserve">Golimstok, A. </w:t>
      </w:r>
      <w:r>
        <w:rPr>
          <w:i/>
          <w:iCs/>
        </w:rPr>
        <w:t>et al.</w:t>
      </w:r>
      <w:r>
        <w:t xml:space="preserve"> Cardiovascular risk factors and frontotemporal dementia: a case–control study. </w:t>
      </w:r>
      <w:r>
        <w:rPr>
          <w:i/>
          <w:iCs/>
        </w:rPr>
        <w:t>Transl. Neurodegener.</w:t>
      </w:r>
      <w:r>
        <w:t xml:space="preserve"> </w:t>
      </w:r>
      <w:r>
        <w:rPr>
          <w:b/>
          <w:bCs/>
        </w:rPr>
        <w:t>3,</w:t>
      </w:r>
      <w:r>
        <w:t xml:space="preserve"> 13 (2014).</w:t>
      </w:r>
    </w:p>
    <w:p w14:paraId="6E247C5F" w14:textId="77777777" w:rsidR="00EE5D97" w:rsidRDefault="00EE5D97" w:rsidP="00EE5D97">
      <w:pPr>
        <w:pStyle w:val="Bibliography"/>
      </w:pPr>
      <w:r>
        <w:lastRenderedPageBreak/>
        <w:t>24.</w:t>
      </w:r>
      <w:r>
        <w:tab/>
        <w:t xml:space="preserve">Colosimo, C., Osaki, Y., Vanacore, N. &amp; Lees, A. J. Lack of association between progressive supranuclear palsy and arterial hypertension: a clinicopathological study. </w:t>
      </w:r>
      <w:r>
        <w:rPr>
          <w:i/>
          <w:iCs/>
        </w:rPr>
        <w:t>Mov. Disord. Off. J. Mov. Disord. Soc.</w:t>
      </w:r>
      <w:r>
        <w:t xml:space="preserve"> </w:t>
      </w:r>
      <w:r>
        <w:rPr>
          <w:b/>
          <w:bCs/>
        </w:rPr>
        <w:t>18,</w:t>
      </w:r>
      <w:r>
        <w:t xml:space="preserve"> 694–697 (2003).</w:t>
      </w:r>
    </w:p>
    <w:p w14:paraId="08C44B7D" w14:textId="77777777" w:rsidR="00EE5D97" w:rsidRDefault="00EE5D97" w:rsidP="00EE5D97">
      <w:pPr>
        <w:pStyle w:val="Bibliography"/>
      </w:pPr>
      <w:r>
        <w:t>25.</w:t>
      </w:r>
      <w:r>
        <w:tab/>
        <w:t xml:space="preserve">Cereda, E. </w:t>
      </w:r>
      <w:r>
        <w:rPr>
          <w:i/>
          <w:iCs/>
        </w:rPr>
        <w:t>et al.</w:t>
      </w:r>
      <w:r>
        <w:t xml:space="preserve"> Diabetes and Risk of Parkinson’s Disease: A systematic review and meta-analysis. </w:t>
      </w:r>
      <w:r>
        <w:rPr>
          <w:i/>
          <w:iCs/>
        </w:rPr>
        <w:t>Diabetes Care</w:t>
      </w:r>
      <w:r>
        <w:t xml:space="preserve"> </w:t>
      </w:r>
      <w:r>
        <w:rPr>
          <w:b/>
          <w:bCs/>
        </w:rPr>
        <w:t>34,</w:t>
      </w:r>
      <w:r>
        <w:t xml:space="preserve"> 2614–2623 (2011).</w:t>
      </w:r>
    </w:p>
    <w:p w14:paraId="6D90C15D" w14:textId="77777777" w:rsidR="00EE5D97" w:rsidRDefault="00EE5D97" w:rsidP="00EE5D97">
      <w:pPr>
        <w:pStyle w:val="Bibliography"/>
      </w:pPr>
      <w:r>
        <w:t>26.</w:t>
      </w:r>
      <w:r>
        <w:tab/>
        <w:t xml:space="preserve">Jawaid, A. </w:t>
      </w:r>
      <w:r>
        <w:rPr>
          <w:i/>
          <w:iCs/>
        </w:rPr>
        <w:t>et al.</w:t>
      </w:r>
      <w:r>
        <w:t xml:space="preserve"> ALS disease onset may occur later in patients with pre-morbid diabetes mellitus. </w:t>
      </w:r>
      <w:r>
        <w:rPr>
          <w:i/>
          <w:iCs/>
        </w:rPr>
        <w:t>Eur. J. Neurol. Off. J. Eur. Fed. Neurol. Soc.</w:t>
      </w:r>
      <w:r>
        <w:t xml:space="preserve"> </w:t>
      </w:r>
      <w:r>
        <w:rPr>
          <w:b/>
          <w:bCs/>
        </w:rPr>
        <w:t>17,</w:t>
      </w:r>
      <w:r>
        <w:t xml:space="preserve"> 733–739 (2010).</w:t>
      </w:r>
    </w:p>
    <w:p w14:paraId="65570D83" w14:textId="77777777" w:rsidR="00EE5D97" w:rsidRDefault="00EE5D97" w:rsidP="00EE5D97">
      <w:pPr>
        <w:pStyle w:val="Bibliography"/>
      </w:pPr>
      <w:r>
        <w:t>27.</w:t>
      </w:r>
      <w:r>
        <w:tab/>
        <w:t xml:space="preserve">Huxley, R. R. </w:t>
      </w:r>
      <w:r>
        <w:rPr>
          <w:i/>
          <w:iCs/>
        </w:rPr>
        <w:t>et al.</w:t>
      </w:r>
      <w:r>
        <w:t xml:space="preserve"> Risk of Fatal Stroke in Patients With Treated Familial Hypercholesterolemia A Prospective Registry Study. </w:t>
      </w:r>
      <w:r>
        <w:rPr>
          <w:i/>
          <w:iCs/>
        </w:rPr>
        <w:t>Stroke</w:t>
      </w:r>
      <w:r>
        <w:t xml:space="preserve"> </w:t>
      </w:r>
      <w:r>
        <w:rPr>
          <w:b/>
          <w:bCs/>
        </w:rPr>
        <w:t>34,</w:t>
      </w:r>
      <w:r>
        <w:t xml:space="preserve"> 22–25 (2003).</w:t>
      </w:r>
    </w:p>
    <w:p w14:paraId="57AE36D3" w14:textId="77777777" w:rsidR="00EE5D97" w:rsidRDefault="00EE5D97" w:rsidP="00EE5D97">
      <w:pPr>
        <w:pStyle w:val="Bibliography"/>
      </w:pPr>
      <w:r>
        <w:t>28.</w:t>
      </w:r>
      <w:r>
        <w:tab/>
        <w:t xml:space="preserve">Liu, Y. </w:t>
      </w:r>
      <w:r>
        <w:rPr>
          <w:i/>
          <w:iCs/>
        </w:rPr>
        <w:t>et al.</w:t>
      </w:r>
      <w:r>
        <w:t xml:space="preserve"> Metformin attenuates blood-brain barrier disruption in mice following middle cerebral artery occlusion. </w:t>
      </w:r>
      <w:r>
        <w:rPr>
          <w:i/>
          <w:iCs/>
        </w:rPr>
        <w:t>J. Neuroinflammation</w:t>
      </w:r>
      <w:r>
        <w:t xml:space="preserve"> </w:t>
      </w:r>
      <w:r>
        <w:rPr>
          <w:b/>
          <w:bCs/>
        </w:rPr>
        <w:t>11,</w:t>
      </w:r>
      <w:r>
        <w:t xml:space="preserve"> (2014).</w:t>
      </w:r>
    </w:p>
    <w:p w14:paraId="517A2D7E" w14:textId="77777777" w:rsidR="00EE5D97" w:rsidRDefault="00EE5D97" w:rsidP="00EE5D97">
      <w:pPr>
        <w:pStyle w:val="Bibliography"/>
      </w:pPr>
      <w:r>
        <w:t>29.</w:t>
      </w:r>
      <w:r>
        <w:tab/>
        <w:t xml:space="preserve">Unger, T. Comparing the cerebroprotective properties of antihypertensive drugs in terms of their effects on angiotensin. </w:t>
      </w:r>
      <w:r>
        <w:rPr>
          <w:i/>
          <w:iCs/>
        </w:rPr>
        <w:t>Nat. Clin. Pract. Nephrol.</w:t>
      </w:r>
      <w:r>
        <w:t xml:space="preserve"> </w:t>
      </w:r>
      <w:r>
        <w:rPr>
          <w:b/>
          <w:bCs/>
        </w:rPr>
        <w:t>4,</w:t>
      </w:r>
      <w:r>
        <w:t xml:space="preserve"> 12–13 (2008).</w:t>
      </w:r>
    </w:p>
    <w:p w14:paraId="573029BE" w14:textId="77777777" w:rsidR="00EE5D97" w:rsidRDefault="00EE5D97" w:rsidP="00EE5D97">
      <w:pPr>
        <w:pStyle w:val="Bibliography"/>
      </w:pPr>
      <w:r>
        <w:t>30.</w:t>
      </w:r>
      <w:r>
        <w:tab/>
        <w:t xml:space="preserve">Asahi, M. </w:t>
      </w:r>
      <w:r>
        <w:rPr>
          <w:i/>
          <w:iCs/>
        </w:rPr>
        <w:t>et al.</w:t>
      </w:r>
      <w:r>
        <w:t xml:space="preserve"> Protective Effects of Statins after Embolic Focal Cerebral Ischemia in Endothelial Nitric Oxide Synthase Knockout Mice. </w:t>
      </w:r>
      <w:r>
        <w:rPr>
          <w:i/>
          <w:iCs/>
        </w:rPr>
        <w:t>J. Cereb. Blood Flow Metab. Off. J. Int. Soc. Cereb. Blood Flow Metab.</w:t>
      </w:r>
      <w:r>
        <w:t xml:space="preserve"> </w:t>
      </w:r>
      <w:r>
        <w:rPr>
          <w:b/>
          <w:bCs/>
        </w:rPr>
        <w:t>25,</w:t>
      </w:r>
      <w:r>
        <w:t xml:space="preserve"> 722–729 (2005).</w:t>
      </w:r>
    </w:p>
    <w:p w14:paraId="6DBE383C" w14:textId="77777777" w:rsidR="00EE5D97" w:rsidRDefault="00EE5D97" w:rsidP="00EE5D97">
      <w:pPr>
        <w:pStyle w:val="Bibliography"/>
      </w:pPr>
      <w:r>
        <w:t>31.</w:t>
      </w:r>
      <w:r>
        <w:tab/>
        <w:t xml:space="preserve">Brookhart, M. A., Wang, P. S., Solomon, D. H. &amp; Schneeweiss, S. Evaluating short-term drug effects using a physician-specific prescribing preference as an instrumental variable. </w:t>
      </w:r>
      <w:r>
        <w:rPr>
          <w:i/>
          <w:iCs/>
        </w:rPr>
        <w:t>Epidemiology</w:t>
      </w:r>
      <w:r>
        <w:t xml:space="preserve"> </w:t>
      </w:r>
      <w:r>
        <w:rPr>
          <w:b/>
          <w:bCs/>
        </w:rPr>
        <w:t>17,</w:t>
      </w:r>
      <w:r>
        <w:t xml:space="preserve"> 268–275 (2006).</w:t>
      </w:r>
    </w:p>
    <w:p w14:paraId="35804A50" w14:textId="77777777" w:rsidR="00EE5D97" w:rsidRDefault="00EE5D97" w:rsidP="00EE5D97">
      <w:pPr>
        <w:pStyle w:val="Bibliography"/>
      </w:pPr>
      <w:r>
        <w:t>32.</w:t>
      </w:r>
      <w:r>
        <w:tab/>
        <w:t xml:space="preserve">Davies, N. M., Davey Smith, G., Windmeijer, F. &amp; Martin, R. M. COX-2 Selective Nonsteroidal Anti-inflammatory Drugs and Risk of Gastrointestinal Tract Complications and Myocardial Infarction: An Instrumental Variable Analysis. </w:t>
      </w:r>
      <w:r>
        <w:rPr>
          <w:i/>
          <w:iCs/>
        </w:rPr>
        <w:t>Epidemiology</w:t>
      </w:r>
      <w:r>
        <w:t xml:space="preserve"> </w:t>
      </w:r>
      <w:r>
        <w:rPr>
          <w:b/>
          <w:bCs/>
        </w:rPr>
        <w:t>24,</w:t>
      </w:r>
      <w:r>
        <w:t xml:space="preserve"> 352–362 (2013).</w:t>
      </w:r>
    </w:p>
    <w:p w14:paraId="15AFA3ED" w14:textId="77777777" w:rsidR="00EE5D97" w:rsidRDefault="00EE5D97" w:rsidP="00EE5D97">
      <w:pPr>
        <w:pStyle w:val="Bibliography"/>
      </w:pPr>
      <w:r>
        <w:lastRenderedPageBreak/>
        <w:t>33.</w:t>
      </w:r>
      <w:r>
        <w:tab/>
        <w:t xml:space="preserve">Hernán, M. A., Brumback, B. &amp; Robins, J. M. Marginal Structural Models to Estimate the Joint Causal Effect of Nonrandomized Treatments. </w:t>
      </w:r>
      <w:r>
        <w:rPr>
          <w:i/>
          <w:iCs/>
        </w:rPr>
        <w:t>J. Am. Stat. Assoc.</w:t>
      </w:r>
      <w:r>
        <w:t xml:space="preserve"> </w:t>
      </w:r>
      <w:r>
        <w:rPr>
          <w:b/>
          <w:bCs/>
        </w:rPr>
        <w:t>96,</w:t>
      </w:r>
      <w:r>
        <w:t xml:space="preserve"> 440–448 (2001).</w:t>
      </w:r>
    </w:p>
    <w:p w14:paraId="0E306BCE" w14:textId="77777777" w:rsidR="00EE5D97" w:rsidRDefault="00EE5D97" w:rsidP="00EE5D97">
      <w:pPr>
        <w:pStyle w:val="Bibliography"/>
      </w:pPr>
      <w:r>
        <w:t>34.</w:t>
      </w:r>
      <w:r>
        <w:tab/>
        <w:t xml:space="preserve">Thomas, K. H. </w:t>
      </w:r>
      <w:r>
        <w:rPr>
          <w:i/>
          <w:iCs/>
        </w:rPr>
        <w:t>et al.</w:t>
      </w:r>
      <w:r>
        <w:t xml:space="preserve"> Validation of Suicide and Self-harm records in the Clinical Practice Research Datalink. </w:t>
      </w:r>
      <w:r>
        <w:rPr>
          <w:i/>
          <w:iCs/>
        </w:rPr>
        <w:t>Br. J. Clin. Pharmacol.</w:t>
      </w:r>
      <w:r>
        <w:t xml:space="preserve"> (2012). doi:10.1111/bcp.12059</w:t>
      </w:r>
    </w:p>
    <w:p w14:paraId="72A473DB" w14:textId="77777777" w:rsidR="00EE5D97" w:rsidRDefault="00EE5D97" w:rsidP="00EE5D97">
      <w:pPr>
        <w:pStyle w:val="Bibliography"/>
      </w:pPr>
      <w:r>
        <w:t>35.</w:t>
      </w:r>
      <w:r>
        <w:tab/>
        <w:t xml:space="preserve">Levesque, L. E., Hanley, J. A., Kezouh, A. &amp; Suissa, S. Problem of immortal time bias in cohort studies: example using statins for preventing progression of diabetes. </w:t>
      </w:r>
      <w:r>
        <w:rPr>
          <w:i/>
          <w:iCs/>
        </w:rPr>
        <w:t>Br. Med. J.</w:t>
      </w:r>
      <w:r>
        <w:t xml:space="preserve"> </w:t>
      </w:r>
      <w:r>
        <w:rPr>
          <w:b/>
          <w:bCs/>
        </w:rPr>
        <w:t>340,</w:t>
      </w:r>
      <w:r>
        <w:t xml:space="preserve"> b5087–b5087 (2010).</w:t>
      </w:r>
    </w:p>
    <w:p w14:paraId="29FD9757" w14:textId="77777777" w:rsidR="00EE5D97" w:rsidRDefault="00EE5D97" w:rsidP="00EE5D97">
      <w:pPr>
        <w:pStyle w:val="Bibliography"/>
      </w:pPr>
      <w:r>
        <w:t>36.</w:t>
      </w:r>
      <w:r>
        <w:tab/>
        <w:t xml:space="preserve">Suissa, S. Immortal time bias in pharmacoepidemiology. </w:t>
      </w:r>
      <w:r>
        <w:rPr>
          <w:i/>
          <w:iCs/>
        </w:rPr>
        <w:t>Am. J. Epidemiol.</w:t>
      </w:r>
      <w:r>
        <w:t xml:space="preserve"> </w:t>
      </w:r>
      <w:r>
        <w:rPr>
          <w:b/>
          <w:bCs/>
        </w:rPr>
        <w:t>167,</w:t>
      </w:r>
      <w:r>
        <w:t xml:space="preserve"> 492–499 (2008).</w:t>
      </w:r>
    </w:p>
    <w:p w14:paraId="00A3A4F9" w14:textId="77777777" w:rsidR="00EE5D97" w:rsidRDefault="00EE5D97" w:rsidP="00EE5D97">
      <w:pPr>
        <w:pStyle w:val="Bibliography"/>
      </w:pPr>
      <w:r>
        <w:t>37.</w:t>
      </w:r>
      <w:r>
        <w:tab/>
        <w:t xml:space="preserve">Hernán, M. A. </w:t>
      </w:r>
      <w:r>
        <w:rPr>
          <w:i/>
          <w:iCs/>
        </w:rPr>
        <w:t>et al.</w:t>
      </w:r>
      <w:r>
        <w:t xml:space="preserve"> Observational studies analyzed like randomized experiments: an application to postmenopausal hormone therapy and coronary heart disease. </w:t>
      </w:r>
      <w:r>
        <w:rPr>
          <w:i/>
          <w:iCs/>
        </w:rPr>
        <w:t>Epidemiol. Camb. Mass</w:t>
      </w:r>
      <w:r>
        <w:t xml:space="preserve"> </w:t>
      </w:r>
      <w:r>
        <w:rPr>
          <w:b/>
          <w:bCs/>
        </w:rPr>
        <w:t>19,</w:t>
      </w:r>
      <w:r>
        <w:t xml:space="preserve"> 766–779 (2008).</w:t>
      </w:r>
    </w:p>
    <w:p w14:paraId="20FC990F" w14:textId="77777777" w:rsidR="00EE5D97" w:rsidRDefault="00EE5D97" w:rsidP="00EE5D97">
      <w:pPr>
        <w:pStyle w:val="Bibliography"/>
      </w:pPr>
      <w:r>
        <w:t>38.</w:t>
      </w:r>
      <w:r>
        <w:tab/>
        <w:t xml:space="preserve">Suissa, S. &amp; Azoulay, L. Metformin and the Risk of Cancer: Time-related biases in observational studies. </w:t>
      </w:r>
      <w:r>
        <w:rPr>
          <w:i/>
          <w:iCs/>
        </w:rPr>
        <w:t>Diabetes Care</w:t>
      </w:r>
      <w:r>
        <w:t xml:space="preserve"> </w:t>
      </w:r>
      <w:r>
        <w:rPr>
          <w:b/>
          <w:bCs/>
        </w:rPr>
        <w:t>35,</w:t>
      </w:r>
      <w:r>
        <w:t xml:space="preserve"> 2665–2673 (2012).</w:t>
      </w:r>
    </w:p>
    <w:p w14:paraId="15889B8F" w14:textId="77777777" w:rsidR="00EE5D97" w:rsidRDefault="00EE5D97" w:rsidP="00EE5D97">
      <w:pPr>
        <w:pStyle w:val="Bibliography"/>
      </w:pPr>
      <w:r>
        <w:t>39.</w:t>
      </w:r>
      <w:r>
        <w:tab/>
        <w:t xml:space="preserve">Charlson, M. E., Pompei, P., Ales, K. L. &amp; MacKenzie, C. R. A new method of classifying prognostic comorbidity in longitudinal studies: development and validation. </w:t>
      </w:r>
      <w:r>
        <w:rPr>
          <w:i/>
          <w:iCs/>
        </w:rPr>
        <w:t>J. Chronic Dis.</w:t>
      </w:r>
      <w:r>
        <w:t xml:space="preserve"> </w:t>
      </w:r>
      <w:r>
        <w:rPr>
          <w:b/>
          <w:bCs/>
        </w:rPr>
        <w:t>40,</w:t>
      </w:r>
      <w:r>
        <w:t xml:space="preserve"> 373–383 (1987).</w:t>
      </w:r>
    </w:p>
    <w:p w14:paraId="34C48A63" w14:textId="77777777" w:rsidR="00EE5D97" w:rsidRDefault="00EE5D97" w:rsidP="00EE5D97">
      <w:pPr>
        <w:pStyle w:val="Bibliography"/>
      </w:pPr>
      <w:r>
        <w:t>40.</w:t>
      </w:r>
      <w:r>
        <w:tab/>
        <w:t xml:space="preserve">Khan, N. F., Perera, R., Harper, S. &amp; Rose, P. W. Adaptation and validation of the Charlson Index for Read/OXMIS coded databases. </w:t>
      </w:r>
      <w:r>
        <w:rPr>
          <w:i/>
          <w:iCs/>
        </w:rPr>
        <w:t>BMC Fam. Pract.</w:t>
      </w:r>
      <w:r>
        <w:t xml:space="preserve"> </w:t>
      </w:r>
      <w:r>
        <w:rPr>
          <w:b/>
          <w:bCs/>
        </w:rPr>
        <w:t>11,</w:t>
      </w:r>
      <w:r>
        <w:t xml:space="preserve"> 1 (2010).</w:t>
      </w:r>
    </w:p>
    <w:p w14:paraId="72FDDA75" w14:textId="77777777" w:rsidR="00EE5D97" w:rsidRDefault="00EE5D97" w:rsidP="00EE5D97">
      <w:pPr>
        <w:pStyle w:val="Bibliography"/>
      </w:pPr>
      <w:r>
        <w:t>41.</w:t>
      </w:r>
      <w:r>
        <w:tab/>
        <w:t xml:space="preserve">Cole, S. R. </w:t>
      </w:r>
      <w:r>
        <w:rPr>
          <w:i/>
          <w:iCs/>
        </w:rPr>
        <w:t>et al.</w:t>
      </w:r>
      <w:r>
        <w:t xml:space="preserve"> Illustrating bias due to conditioning on a collider. </w:t>
      </w:r>
      <w:r>
        <w:rPr>
          <w:i/>
          <w:iCs/>
        </w:rPr>
        <w:t>Int. J. Epidemiol.</w:t>
      </w:r>
      <w:r>
        <w:t xml:space="preserve"> </w:t>
      </w:r>
      <w:r>
        <w:rPr>
          <w:b/>
          <w:bCs/>
        </w:rPr>
        <w:t>39,</w:t>
      </w:r>
      <w:r>
        <w:t xml:space="preserve"> 417–420 (2009).</w:t>
      </w:r>
    </w:p>
    <w:p w14:paraId="0FB29E93" w14:textId="77777777" w:rsidR="00EE5D97" w:rsidRDefault="00EE5D97" w:rsidP="00EE5D97">
      <w:pPr>
        <w:pStyle w:val="Bibliography"/>
      </w:pPr>
      <w:r>
        <w:t>42.</w:t>
      </w:r>
      <w:r>
        <w:tab/>
        <w:t xml:space="preserve">Kirkwood, B. R. </w:t>
      </w:r>
      <w:r>
        <w:rPr>
          <w:i/>
          <w:iCs/>
        </w:rPr>
        <w:t>Essential medical statistics</w:t>
      </w:r>
      <w:r>
        <w:t>. (Blackwell Science, 2003).</w:t>
      </w:r>
    </w:p>
    <w:p w14:paraId="527A2406" w14:textId="77777777" w:rsidR="00EE5D97" w:rsidRDefault="00EE5D97" w:rsidP="00EE5D97">
      <w:pPr>
        <w:pStyle w:val="Bibliography"/>
      </w:pPr>
      <w:r>
        <w:lastRenderedPageBreak/>
        <w:t>43.</w:t>
      </w:r>
      <w:r>
        <w:tab/>
        <w:t xml:space="preserve">Glynn, R., Schneeweiss, S. &amp; Stürmer, T. Indications for propensity scores and review of their use in pharmacoepidemiology. </w:t>
      </w:r>
      <w:r>
        <w:rPr>
          <w:i/>
          <w:iCs/>
        </w:rPr>
        <w:t>Basic Clin. Pharmacol. Toxicol.</w:t>
      </w:r>
      <w:r>
        <w:t xml:space="preserve"> </w:t>
      </w:r>
      <w:r>
        <w:rPr>
          <w:b/>
          <w:bCs/>
        </w:rPr>
        <w:t>98,</w:t>
      </w:r>
      <w:r>
        <w:t xml:space="preserve"> 253–259 (2006).</w:t>
      </w:r>
    </w:p>
    <w:p w14:paraId="32C4E3FB" w14:textId="77777777" w:rsidR="00EE5D97" w:rsidRDefault="00EE5D97" w:rsidP="00EE5D97">
      <w:pPr>
        <w:pStyle w:val="Bibliography"/>
      </w:pPr>
      <w:r>
        <w:t>44.</w:t>
      </w:r>
      <w:r>
        <w:tab/>
        <w:t xml:space="preserve">Leuven, E. &amp; Sianesi, B. PSMATCH2: Stata module to perform full Mahalanobis and propensity score matching, common support graphing, and covariate imbalance testing. </w:t>
      </w:r>
      <w:r>
        <w:rPr>
          <w:i/>
          <w:iCs/>
        </w:rPr>
        <w:t>Stat. Softw. Compon.</w:t>
      </w:r>
      <w:r>
        <w:t xml:space="preserve"> (2012). at &lt;http://ideas.repec.org/c/boc/bocode/s432001.html&gt;</w:t>
      </w:r>
    </w:p>
    <w:p w14:paraId="466AD9F1" w14:textId="77777777" w:rsidR="00EE5D97" w:rsidRDefault="00EE5D97" w:rsidP="00EE5D97">
      <w:pPr>
        <w:pStyle w:val="Bibliography"/>
      </w:pPr>
      <w:r>
        <w:t>45.</w:t>
      </w:r>
      <w:r>
        <w:tab/>
        <w:t xml:space="preserve">Rosenbaum, P. R. &amp; Rubin, D. B. Constructing a Control Group Using Multivariate Matched Sampling Methods That Incorporate the Propensity Score. </w:t>
      </w:r>
      <w:r>
        <w:rPr>
          <w:i/>
          <w:iCs/>
        </w:rPr>
        <w:t>Am. Stat.</w:t>
      </w:r>
      <w:r>
        <w:t xml:space="preserve"> </w:t>
      </w:r>
      <w:r>
        <w:rPr>
          <w:b/>
          <w:bCs/>
        </w:rPr>
        <w:t>39,</w:t>
      </w:r>
      <w:r>
        <w:t xml:space="preserve"> 33 (1985).</w:t>
      </w:r>
    </w:p>
    <w:p w14:paraId="0C37D084" w14:textId="77777777" w:rsidR="00EE5D97" w:rsidRDefault="00EE5D97" w:rsidP="00EE5D97">
      <w:pPr>
        <w:pStyle w:val="Bibliography"/>
      </w:pPr>
      <w:r>
        <w:t>46.</w:t>
      </w:r>
      <w:r>
        <w:tab/>
        <w:t xml:space="preserve">Rosenbaum, P. R. &amp; Rubin, D. B. The Central Role of the Propensity Score in Observational Studies for Causal Effects. </w:t>
      </w:r>
      <w:r>
        <w:rPr>
          <w:i/>
          <w:iCs/>
        </w:rPr>
        <w:t>Biometrika</w:t>
      </w:r>
      <w:r>
        <w:t xml:space="preserve"> </w:t>
      </w:r>
      <w:r>
        <w:rPr>
          <w:b/>
          <w:bCs/>
        </w:rPr>
        <w:t>70,</w:t>
      </w:r>
      <w:r>
        <w:t xml:space="preserve"> 41 (1983).</w:t>
      </w:r>
    </w:p>
    <w:p w14:paraId="544702E3" w14:textId="77777777" w:rsidR="00EE5D97" w:rsidRDefault="00EE5D97" w:rsidP="00EE5D97">
      <w:pPr>
        <w:pStyle w:val="Bibliography"/>
      </w:pPr>
      <w:r>
        <w:t>47.</w:t>
      </w:r>
      <w:r>
        <w:tab/>
        <w:t xml:space="preserve">Thomas, K. H. </w:t>
      </w:r>
      <w:r>
        <w:rPr>
          <w:i/>
          <w:iCs/>
        </w:rPr>
        <w:t>et al.</w:t>
      </w:r>
      <w:r>
        <w:t xml:space="preserve"> Smoking cessation treatment and risk of depression, suicide, and self harm in the Clinical Practice Research Datalink: prospective cohort study. </w:t>
      </w:r>
      <w:r>
        <w:rPr>
          <w:i/>
          <w:iCs/>
        </w:rPr>
        <w:t>BMJ</w:t>
      </w:r>
      <w:r>
        <w:t xml:space="preserve"> </w:t>
      </w:r>
      <w:r>
        <w:rPr>
          <w:b/>
          <w:bCs/>
        </w:rPr>
        <w:t>347,</w:t>
      </w:r>
      <w:r>
        <w:t xml:space="preserve"> f5704–f5704 (2013).</w:t>
      </w:r>
    </w:p>
    <w:p w14:paraId="43469B60" w14:textId="77777777" w:rsidR="00EE5D97" w:rsidRDefault="00EE5D97" w:rsidP="00EE5D97">
      <w:pPr>
        <w:pStyle w:val="Bibliography"/>
      </w:pPr>
      <w:r>
        <w:t>48.</w:t>
      </w:r>
      <w:r>
        <w:tab/>
        <w:t xml:space="preserve">Davies, N. M. </w:t>
      </w:r>
      <w:r>
        <w:rPr>
          <w:i/>
          <w:iCs/>
        </w:rPr>
        <w:t>et al.</w:t>
      </w:r>
      <w:r>
        <w:t xml:space="preserve"> Physicians’ prescribing preferences were a potential instrument for patients’ actual prescriptions of antidepressants. </w:t>
      </w:r>
      <w:r>
        <w:rPr>
          <w:i/>
          <w:iCs/>
        </w:rPr>
        <w:t>J. Clin. Epidemiol.</w:t>
      </w:r>
      <w:r>
        <w:t xml:space="preserve"> (2013). doi:10.1016/j.jclinepi.2013.06.008</w:t>
      </w:r>
    </w:p>
    <w:p w14:paraId="06C394B6" w14:textId="77777777" w:rsidR="00EE5D97" w:rsidRDefault="00EE5D97" w:rsidP="00EE5D97">
      <w:pPr>
        <w:pStyle w:val="Bibliography"/>
      </w:pPr>
      <w:r>
        <w:t>49.</w:t>
      </w:r>
      <w:r>
        <w:tab/>
        <w:t xml:space="preserve">Clarke, P. S. &amp; Windmeijer, F. Instrumental Variable Estimators for Binary Outcomes. </w:t>
      </w:r>
      <w:r>
        <w:rPr>
          <w:i/>
          <w:iCs/>
        </w:rPr>
        <w:t>J. Am. Stat. Assoc.</w:t>
      </w:r>
      <w:r>
        <w:t xml:space="preserve"> </w:t>
      </w:r>
      <w:r>
        <w:rPr>
          <w:b/>
          <w:bCs/>
        </w:rPr>
        <w:t>107,</w:t>
      </w:r>
      <w:r>
        <w:t xml:space="preserve"> 1638–1652 (2012).</w:t>
      </w:r>
    </w:p>
    <w:p w14:paraId="182CADA3" w14:textId="77777777" w:rsidR="00EE5D97" w:rsidRDefault="00EE5D97" w:rsidP="00EE5D97">
      <w:pPr>
        <w:pStyle w:val="Bibliography"/>
      </w:pPr>
      <w:r>
        <w:t>50.</w:t>
      </w:r>
      <w:r>
        <w:tab/>
        <w:t xml:space="preserve">Hansen, L. &amp; Singleton, K. Generalized instrumental variables estimation of nonlinear rational expectations models. </w:t>
      </w:r>
      <w:r>
        <w:rPr>
          <w:i/>
          <w:iCs/>
        </w:rPr>
        <w:t>Econometrica</w:t>
      </w:r>
      <w:r>
        <w:t xml:space="preserve"> </w:t>
      </w:r>
      <w:r>
        <w:rPr>
          <w:b/>
          <w:bCs/>
        </w:rPr>
        <w:t>50,</w:t>
      </w:r>
      <w:r>
        <w:t xml:space="preserve"> 1269–1286 (1982).</w:t>
      </w:r>
    </w:p>
    <w:p w14:paraId="050DFD71" w14:textId="77777777" w:rsidR="00EE5D97" w:rsidRDefault="00EE5D97" w:rsidP="00EE5D97">
      <w:pPr>
        <w:pStyle w:val="Bibliography"/>
      </w:pPr>
      <w:r>
        <w:t>51.</w:t>
      </w:r>
      <w:r>
        <w:tab/>
        <w:t xml:space="preserve">Clarke, P. S. &amp; Windmeijer, F. Identification of causal effects on binary outcomes using structural mean models. </w:t>
      </w:r>
      <w:r>
        <w:rPr>
          <w:i/>
          <w:iCs/>
        </w:rPr>
        <w:t>Biostatistics</w:t>
      </w:r>
      <w:r>
        <w:t xml:space="preserve"> </w:t>
      </w:r>
      <w:r>
        <w:rPr>
          <w:b/>
          <w:bCs/>
        </w:rPr>
        <w:t>11,</w:t>
      </w:r>
      <w:r>
        <w:t xml:space="preserve"> 756–770 (2010).</w:t>
      </w:r>
    </w:p>
    <w:p w14:paraId="04C08683" w14:textId="77777777" w:rsidR="00EE5D97" w:rsidRDefault="00EE5D97" w:rsidP="00EE5D97">
      <w:pPr>
        <w:pStyle w:val="Bibliography"/>
      </w:pPr>
      <w:r>
        <w:lastRenderedPageBreak/>
        <w:t>52.</w:t>
      </w:r>
      <w:r>
        <w:tab/>
        <w:t xml:space="preserve">Tchetgen Tchetgen, E. J., Walter, S., Vansteelandt, S., Martinussen, T. &amp; Glymour, M. Instrumental Variable Estimation in a Survival Context. </w:t>
      </w:r>
      <w:r>
        <w:rPr>
          <w:i/>
          <w:iCs/>
        </w:rPr>
        <w:t>Epidemiol. Camb. Mass</w:t>
      </w:r>
      <w:r>
        <w:t xml:space="preserve"> (2015). doi:10.1097/EDE.0000000000000262</w:t>
      </w:r>
    </w:p>
    <w:p w14:paraId="68F4F461" w14:textId="77777777" w:rsidR="00EE5D97" w:rsidRDefault="00EE5D97" w:rsidP="00EE5D97">
      <w:pPr>
        <w:pStyle w:val="Bibliography"/>
      </w:pPr>
      <w:r>
        <w:t>53.</w:t>
      </w:r>
      <w:r>
        <w:tab/>
        <w:t xml:space="preserve">Royston, P. Multiple imputation of missing values: Further update of ice, with an emphasis on categorical variables. </w:t>
      </w:r>
      <w:r>
        <w:rPr>
          <w:i/>
          <w:iCs/>
        </w:rPr>
        <w:t>Stata J.</w:t>
      </w:r>
      <w:r>
        <w:t xml:space="preserve"> </w:t>
      </w:r>
      <w:r>
        <w:rPr>
          <w:b/>
          <w:bCs/>
        </w:rPr>
        <w:t>9,</w:t>
      </w:r>
      <w:r>
        <w:t xml:space="preserve"> 466–477 (2009).</w:t>
      </w:r>
    </w:p>
    <w:p w14:paraId="18500E33" w14:textId="77777777" w:rsidR="00EE5D97" w:rsidRDefault="00EE5D97" w:rsidP="00EE5D97">
      <w:pPr>
        <w:pStyle w:val="Bibliography"/>
      </w:pPr>
      <w:r>
        <w:t>54.</w:t>
      </w:r>
      <w:r>
        <w:tab/>
        <w:t xml:space="preserve">Sterne, J. A. C. </w:t>
      </w:r>
      <w:r>
        <w:rPr>
          <w:i/>
          <w:iCs/>
        </w:rPr>
        <w:t>et al.</w:t>
      </w:r>
      <w:r>
        <w:t xml:space="preserve"> Multiple imputation for missing data in epidemiological and clinical research: potential and pitfalls. </w:t>
      </w:r>
      <w:r>
        <w:rPr>
          <w:i/>
          <w:iCs/>
        </w:rPr>
        <w:t>BMJ</w:t>
      </w:r>
      <w:r>
        <w:t xml:space="preserve"> </w:t>
      </w:r>
      <w:r>
        <w:rPr>
          <w:b/>
          <w:bCs/>
        </w:rPr>
        <w:t>338,</w:t>
      </w:r>
      <w:r>
        <w:t xml:space="preserve"> b2393–b2393 (2009).</w:t>
      </w:r>
    </w:p>
    <w:p w14:paraId="523D6FA7" w14:textId="77777777" w:rsidR="00EE5D97" w:rsidRDefault="00EE5D97" w:rsidP="00EE5D97">
      <w:pPr>
        <w:pStyle w:val="Bibliography"/>
      </w:pPr>
      <w:r>
        <w:t>55.</w:t>
      </w:r>
      <w:r>
        <w:tab/>
        <w:t xml:space="preserve">White, I. R., Kalaitzaki, E. &amp; Thompson, S. G. Allowing for missing outcome data and incomplete uptake of randomised interventions, with application to an Internet-based alcohol trial. </w:t>
      </w:r>
      <w:r>
        <w:rPr>
          <w:i/>
          <w:iCs/>
        </w:rPr>
        <w:t>Stat. Med.</w:t>
      </w:r>
      <w:r>
        <w:t xml:space="preserve"> </w:t>
      </w:r>
      <w:r>
        <w:rPr>
          <w:b/>
          <w:bCs/>
        </w:rPr>
        <w:t>30,</w:t>
      </w:r>
      <w:r>
        <w:t xml:space="preserve"> 3192–3207 (2011).</w:t>
      </w:r>
    </w:p>
    <w:p w14:paraId="1EC4EB96" w14:textId="19F12B31" w:rsidR="001A2BFC" w:rsidRDefault="0037191C" w:rsidP="001A2BFC">
      <w:pPr>
        <w:pStyle w:val="PHeading1"/>
        <w:numPr>
          <w:ilvl w:val="0"/>
          <w:numId w:val="0"/>
        </w:numPr>
        <w:ind w:left="432"/>
      </w:pPr>
      <w:r>
        <w:fldChar w:fldCharType="end"/>
      </w:r>
    </w:p>
    <w:p w14:paraId="7E39F785" w14:textId="2151697A" w:rsidR="001A2BFC" w:rsidRDefault="001A2BFC" w:rsidP="001A2BFC">
      <w:pPr>
        <w:pStyle w:val="PHeading2"/>
        <w:numPr>
          <w:ilvl w:val="0"/>
          <w:numId w:val="0"/>
        </w:numPr>
      </w:pPr>
    </w:p>
    <w:sectPr w:rsidR="001A2BFC" w:rsidSect="009B55CA">
      <w:footerReference w:type="even" r:id="rId20"/>
      <w:type w:val="continuous"/>
      <w:pgSz w:w="11900" w:h="16840"/>
      <w:pgMar w:top="1440" w:right="1797" w:bottom="1440" w:left="1797" w:header="709" w:footer="709" w:gutter="0"/>
      <w:pgNumType w:start="14"/>
      <w:cols w:space="36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E15D8" w14:textId="77777777" w:rsidR="001550A1" w:rsidRDefault="001550A1">
      <w:r>
        <w:separator/>
      </w:r>
    </w:p>
    <w:p w14:paraId="0DB8D33E" w14:textId="77777777" w:rsidR="001550A1" w:rsidRDefault="001550A1"/>
  </w:endnote>
  <w:endnote w:type="continuationSeparator" w:id="0">
    <w:p w14:paraId="5D0FFDC2" w14:textId="77777777" w:rsidR="001550A1" w:rsidRDefault="001550A1">
      <w:r>
        <w:continuationSeparator/>
      </w:r>
    </w:p>
    <w:p w14:paraId="4986D1B8" w14:textId="77777777" w:rsidR="001550A1" w:rsidRDefault="00155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0000000000000000000"/>
    <w:charset w:val="00"/>
    <w:family w:val="roman"/>
    <w:notTrueType/>
    <w:pitch w:val="variable"/>
    <w:sig w:usb0="00000003" w:usb1="00000000" w:usb2="00000000" w:usb3="00000000" w:csb0="00000001" w:csb1="00000000"/>
  </w:font>
  <w:font w:name="ScalaLancetPro">
    <w:altName w:val="MS Mincho"/>
    <w:panose1 w:val="00000000000000000000"/>
    <w:charset w:val="80"/>
    <w:family w:val="auto"/>
    <w:notTrueType/>
    <w:pitch w:val="default"/>
    <w:sig w:usb0="00000001" w:usb1="08070000" w:usb2="00000010" w:usb3="00000000" w:csb0="00020000"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A19DF" w14:textId="77777777" w:rsidR="00F94F54" w:rsidRPr="00DC7BC0" w:rsidRDefault="00F94F54" w:rsidP="00A7298C">
    <w:pPr>
      <w:pStyle w:val="Footer"/>
      <w:jc w:val="right"/>
      <w:rPr>
        <w:i/>
        <w:snapToGrid w:val="0"/>
        <w:sz w:val="18"/>
        <w:szCs w:val="18"/>
      </w:rPr>
    </w:pPr>
    <w:r w:rsidRPr="00DC7BC0">
      <w:rPr>
        <w:i/>
        <w:snapToGrid w:val="0"/>
        <w:sz w:val="18"/>
        <w:szCs w:val="18"/>
      </w:rPr>
      <w:t>ISAC v</w:t>
    </w:r>
    <w:r>
      <w:rPr>
        <w:i/>
        <w:snapToGrid w:val="0"/>
        <w:sz w:val="18"/>
        <w:szCs w:val="18"/>
      </w:rPr>
      <w:t xml:space="preserve">1.0-Mar </w:t>
    </w:r>
    <w:r w:rsidRPr="00DC7BC0">
      <w:rPr>
        <w:i/>
        <w:snapToGrid w:val="0"/>
        <w:sz w:val="18"/>
        <w:szCs w:val="18"/>
      </w:rPr>
      <w:t>2</w:t>
    </w:r>
    <w:r>
      <w:rPr>
        <w:i/>
        <w:snapToGrid w:val="0"/>
        <w:sz w:val="18"/>
        <w:szCs w:val="18"/>
      </w:rPr>
      <w:t>012</w:t>
    </w:r>
  </w:p>
  <w:p w14:paraId="552F7460" w14:textId="77777777" w:rsidR="00F94F54" w:rsidRDefault="00F94F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C7854" w14:textId="77777777" w:rsidR="00F94F54" w:rsidRDefault="00F94F54">
    <w:pPr>
      <w:pStyle w:val="Footer"/>
      <w:jc w:val="center"/>
    </w:pPr>
  </w:p>
  <w:p w14:paraId="548134A3" w14:textId="77777777" w:rsidR="00F94F54" w:rsidRPr="000B572D" w:rsidRDefault="00F94F54" w:rsidP="00D5686E">
    <w:pPr>
      <w:pStyle w:val="Footer"/>
      <w:rPr>
        <w:i/>
        <w:snapToGrid w:val="0"/>
        <w:sz w:val="18"/>
        <w:szCs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307985"/>
      <w:docPartObj>
        <w:docPartGallery w:val="Page Numbers (Bottom of Page)"/>
        <w:docPartUnique/>
      </w:docPartObj>
    </w:sdtPr>
    <w:sdtEndPr>
      <w:rPr>
        <w:noProof/>
      </w:rPr>
    </w:sdtEndPr>
    <w:sdtContent>
      <w:p w14:paraId="1CD85137" w14:textId="77777777" w:rsidR="00F94F54" w:rsidRDefault="00F94F54">
        <w:pPr>
          <w:pStyle w:val="Footer"/>
          <w:jc w:val="center"/>
        </w:pPr>
        <w:r>
          <w:fldChar w:fldCharType="begin"/>
        </w:r>
        <w:r>
          <w:instrText xml:space="preserve"> PAGE   \* MERGEFORMAT </w:instrText>
        </w:r>
        <w:r>
          <w:fldChar w:fldCharType="separate"/>
        </w:r>
        <w:r w:rsidR="00441DB5">
          <w:rPr>
            <w:noProof/>
          </w:rPr>
          <w:t>14</w:t>
        </w:r>
        <w:r>
          <w:rPr>
            <w:noProof/>
          </w:rPr>
          <w:fldChar w:fldCharType="end"/>
        </w:r>
      </w:p>
    </w:sdtContent>
  </w:sdt>
  <w:p w14:paraId="31B07DA1" w14:textId="77777777" w:rsidR="00F94F54" w:rsidRPr="000B572D" w:rsidRDefault="00F94F54" w:rsidP="00D5686E">
    <w:pPr>
      <w:pStyle w:val="Footer"/>
      <w:rPr>
        <w:i/>
        <w:snapToGrid w:val="0"/>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712308"/>
      <w:docPartObj>
        <w:docPartGallery w:val="Page Numbers (Bottom of Page)"/>
        <w:docPartUnique/>
      </w:docPartObj>
    </w:sdtPr>
    <w:sdtEndPr>
      <w:rPr>
        <w:noProof/>
      </w:rPr>
    </w:sdtEndPr>
    <w:sdtContent>
      <w:p w14:paraId="49435DF3" w14:textId="7198FE30" w:rsidR="009B55CA" w:rsidRDefault="009B55CA">
        <w:pPr>
          <w:pStyle w:val="Footer"/>
          <w:jc w:val="center"/>
        </w:pPr>
        <w:r>
          <w:fldChar w:fldCharType="begin"/>
        </w:r>
        <w:r>
          <w:instrText xml:space="preserve"> PAGE   \* MERGEFORMAT </w:instrText>
        </w:r>
        <w:r>
          <w:fldChar w:fldCharType="separate"/>
        </w:r>
        <w:r w:rsidR="00441DB5">
          <w:rPr>
            <w:noProof/>
          </w:rPr>
          <w:t>20</w:t>
        </w:r>
        <w:r>
          <w:rPr>
            <w:noProof/>
          </w:rPr>
          <w:fldChar w:fldCharType="end"/>
        </w:r>
      </w:p>
    </w:sdtContent>
  </w:sdt>
  <w:p w14:paraId="4ADBD03C" w14:textId="77777777" w:rsidR="00F94F54" w:rsidRPr="000B572D" w:rsidRDefault="00F94F54" w:rsidP="00D5686E">
    <w:pPr>
      <w:pStyle w:val="Footer"/>
      <w:rPr>
        <w:i/>
        <w:snapToGrid w:val="0"/>
        <w:sz w:val="18"/>
        <w:szCs w:val="18"/>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0C66" w14:textId="77777777" w:rsidR="00F94F54" w:rsidRDefault="00F94F54" w:rsidP="00C374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4C9214" w14:textId="77777777" w:rsidR="00F94F54" w:rsidRDefault="00F94F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9459E" w14:textId="77777777" w:rsidR="001550A1" w:rsidRDefault="001550A1">
      <w:r>
        <w:separator/>
      </w:r>
    </w:p>
    <w:p w14:paraId="7D909E27" w14:textId="77777777" w:rsidR="001550A1" w:rsidRDefault="001550A1"/>
  </w:footnote>
  <w:footnote w:type="continuationSeparator" w:id="0">
    <w:p w14:paraId="7B048AF2" w14:textId="77777777" w:rsidR="001550A1" w:rsidRDefault="001550A1">
      <w:r>
        <w:continuationSeparator/>
      </w:r>
    </w:p>
    <w:p w14:paraId="78535076" w14:textId="77777777" w:rsidR="001550A1" w:rsidRDefault="001550A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0FC9E" w14:textId="77777777" w:rsidR="00F94F54" w:rsidRDefault="00F94F54" w:rsidP="00A7298C">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88073" w14:textId="77777777" w:rsidR="00F94F54" w:rsidRDefault="00F94F54" w:rsidP="00A7298C">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35E33"/>
    <w:multiLevelType w:val="hybridMultilevel"/>
    <w:tmpl w:val="3CB0B8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9D7D0A"/>
    <w:multiLevelType w:val="multilevel"/>
    <w:tmpl w:val="602C09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C801890"/>
    <w:multiLevelType w:val="hybridMultilevel"/>
    <w:tmpl w:val="29167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CA09F3"/>
    <w:multiLevelType w:val="multilevel"/>
    <w:tmpl w:val="A43E5D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FEC56EC"/>
    <w:multiLevelType w:val="hybridMultilevel"/>
    <w:tmpl w:val="CCB60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37435C"/>
    <w:multiLevelType w:val="hybridMultilevel"/>
    <w:tmpl w:val="E5022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E24C99"/>
    <w:multiLevelType w:val="hybridMultilevel"/>
    <w:tmpl w:val="AD80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2222A7"/>
    <w:multiLevelType w:val="hybridMultilevel"/>
    <w:tmpl w:val="195E70A6"/>
    <w:lvl w:ilvl="0" w:tplc="EC10D10A">
      <w:start w:val="1"/>
      <w:numFmt w:val="upperLetter"/>
      <w:pStyle w:val="Protoco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0A75055"/>
    <w:multiLevelType w:val="hybridMultilevel"/>
    <w:tmpl w:val="0D446B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1A1DA0"/>
    <w:multiLevelType w:val="hybridMultilevel"/>
    <w:tmpl w:val="56E6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6624A5"/>
    <w:multiLevelType w:val="hybridMultilevel"/>
    <w:tmpl w:val="11E27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CF415A"/>
    <w:multiLevelType w:val="hybridMultilevel"/>
    <w:tmpl w:val="698A3C1C"/>
    <w:lvl w:ilvl="0" w:tplc="6F048148">
      <w:start w:val="1"/>
      <w:numFmt w:val="decimal"/>
      <w:lvlText w:val="%1."/>
      <w:lvlJc w:val="left"/>
      <w:pPr>
        <w:tabs>
          <w:tab w:val="num" w:pos="360"/>
        </w:tabs>
        <w:ind w:left="36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67FD1035"/>
    <w:multiLevelType w:val="hybridMultilevel"/>
    <w:tmpl w:val="F0DA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B3763B"/>
    <w:multiLevelType w:val="hybridMultilevel"/>
    <w:tmpl w:val="F2FAEC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694203"/>
    <w:multiLevelType w:val="hybridMultilevel"/>
    <w:tmpl w:val="7870F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3107A25"/>
    <w:multiLevelType w:val="multilevel"/>
    <w:tmpl w:val="521C9064"/>
    <w:lvl w:ilvl="0">
      <w:start w:val="1"/>
      <w:numFmt w:val="upperLetter"/>
      <w:pStyle w:val="PHeading1"/>
      <w:lvlText w:val="%1."/>
      <w:lvlJc w:val="left"/>
      <w:pPr>
        <w:ind w:left="432" w:hanging="432"/>
      </w:pPr>
      <w:rPr>
        <w:rFonts w:hint="default"/>
      </w:rPr>
    </w:lvl>
    <w:lvl w:ilvl="1">
      <w:start w:val="1"/>
      <w:numFmt w:val="decimal"/>
      <w:pStyle w:val="Protocol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7CED6A96"/>
    <w:multiLevelType w:val="hybridMultilevel"/>
    <w:tmpl w:val="B0A89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5"/>
  </w:num>
  <w:num w:numId="5">
    <w:abstractNumId w:val="1"/>
  </w:num>
  <w:num w:numId="6">
    <w:abstractNumId w:val="8"/>
  </w:num>
  <w:num w:numId="7">
    <w:abstractNumId w:val="13"/>
  </w:num>
  <w:num w:numId="8">
    <w:abstractNumId w:val="1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2"/>
  </w:num>
  <w:num w:numId="11">
    <w:abstractNumId w:val="2"/>
  </w:num>
  <w:num w:numId="12">
    <w:abstractNumId w:val="6"/>
  </w:num>
  <w:num w:numId="13">
    <w:abstractNumId w:val="9"/>
  </w:num>
  <w:num w:numId="14">
    <w:abstractNumId w:val="10"/>
  </w:num>
  <w:num w:numId="15">
    <w:abstractNumId w:val="5"/>
  </w:num>
  <w:num w:numId="16">
    <w:abstractNumId w:val="16"/>
  </w:num>
  <w:num w:numId="17">
    <w:abstractNumId w:val="4"/>
  </w:num>
  <w:num w:numId="1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D18"/>
    <w:rsid w:val="00001AEA"/>
    <w:rsid w:val="000049E9"/>
    <w:rsid w:val="00021120"/>
    <w:rsid w:val="00050DEA"/>
    <w:rsid w:val="000666B6"/>
    <w:rsid w:val="0009334C"/>
    <w:rsid w:val="000B60BB"/>
    <w:rsid w:val="000B6D48"/>
    <w:rsid w:val="000B70DA"/>
    <w:rsid w:val="001138E6"/>
    <w:rsid w:val="00120BC7"/>
    <w:rsid w:val="001223AD"/>
    <w:rsid w:val="001349AD"/>
    <w:rsid w:val="001421B9"/>
    <w:rsid w:val="001439C9"/>
    <w:rsid w:val="00154BA9"/>
    <w:rsid w:val="001550A1"/>
    <w:rsid w:val="0017313F"/>
    <w:rsid w:val="0018628A"/>
    <w:rsid w:val="00197BBF"/>
    <w:rsid w:val="001A048E"/>
    <w:rsid w:val="001A148D"/>
    <w:rsid w:val="001A2BFC"/>
    <w:rsid w:val="001B6A85"/>
    <w:rsid w:val="001B7090"/>
    <w:rsid w:val="001E3BE5"/>
    <w:rsid w:val="001F4EA7"/>
    <w:rsid w:val="00205935"/>
    <w:rsid w:val="00211210"/>
    <w:rsid w:val="002172D5"/>
    <w:rsid w:val="00223787"/>
    <w:rsid w:val="002465BA"/>
    <w:rsid w:val="00267B5E"/>
    <w:rsid w:val="0029085F"/>
    <w:rsid w:val="002942FE"/>
    <w:rsid w:val="002B651B"/>
    <w:rsid w:val="002D60EC"/>
    <w:rsid w:val="003035F8"/>
    <w:rsid w:val="0031243A"/>
    <w:rsid w:val="0032176C"/>
    <w:rsid w:val="003326AB"/>
    <w:rsid w:val="00350570"/>
    <w:rsid w:val="00367302"/>
    <w:rsid w:val="00367D89"/>
    <w:rsid w:val="0037191C"/>
    <w:rsid w:val="003800F6"/>
    <w:rsid w:val="00391901"/>
    <w:rsid w:val="003B5F61"/>
    <w:rsid w:val="003C6FCE"/>
    <w:rsid w:val="003D243D"/>
    <w:rsid w:val="003E3D08"/>
    <w:rsid w:val="003E7E4D"/>
    <w:rsid w:val="003F5620"/>
    <w:rsid w:val="00416646"/>
    <w:rsid w:val="004175C2"/>
    <w:rsid w:val="00421434"/>
    <w:rsid w:val="00441DB5"/>
    <w:rsid w:val="004473F3"/>
    <w:rsid w:val="00456A78"/>
    <w:rsid w:val="00483701"/>
    <w:rsid w:val="00485043"/>
    <w:rsid w:val="0049583C"/>
    <w:rsid w:val="004972AA"/>
    <w:rsid w:val="004A6BD6"/>
    <w:rsid w:val="004B0E54"/>
    <w:rsid w:val="004B66B2"/>
    <w:rsid w:val="004D2062"/>
    <w:rsid w:val="004D7D97"/>
    <w:rsid w:val="004F0961"/>
    <w:rsid w:val="004F3AB7"/>
    <w:rsid w:val="005202B9"/>
    <w:rsid w:val="00557197"/>
    <w:rsid w:val="00592DD8"/>
    <w:rsid w:val="005A64BF"/>
    <w:rsid w:val="005D3034"/>
    <w:rsid w:val="005E0416"/>
    <w:rsid w:val="00625118"/>
    <w:rsid w:val="006329B2"/>
    <w:rsid w:val="0063468D"/>
    <w:rsid w:val="00643B0E"/>
    <w:rsid w:val="00647A4E"/>
    <w:rsid w:val="0067262A"/>
    <w:rsid w:val="00692FAB"/>
    <w:rsid w:val="0069741F"/>
    <w:rsid w:val="006A6B93"/>
    <w:rsid w:val="006D267D"/>
    <w:rsid w:val="006F2D01"/>
    <w:rsid w:val="00712D75"/>
    <w:rsid w:val="00720C61"/>
    <w:rsid w:val="00721D8A"/>
    <w:rsid w:val="0073442A"/>
    <w:rsid w:val="00734D9E"/>
    <w:rsid w:val="00743FEB"/>
    <w:rsid w:val="0076226A"/>
    <w:rsid w:val="007A3CF7"/>
    <w:rsid w:val="007A4821"/>
    <w:rsid w:val="007D3864"/>
    <w:rsid w:val="007E5A67"/>
    <w:rsid w:val="007F55F2"/>
    <w:rsid w:val="00826BE3"/>
    <w:rsid w:val="008376C4"/>
    <w:rsid w:val="00845145"/>
    <w:rsid w:val="0084608F"/>
    <w:rsid w:val="008606C1"/>
    <w:rsid w:val="00862B63"/>
    <w:rsid w:val="00871D8E"/>
    <w:rsid w:val="00872480"/>
    <w:rsid w:val="00883FEC"/>
    <w:rsid w:val="008A49BD"/>
    <w:rsid w:val="008A5E08"/>
    <w:rsid w:val="008A6CCD"/>
    <w:rsid w:val="008B131B"/>
    <w:rsid w:val="008B2DFE"/>
    <w:rsid w:val="008C56AE"/>
    <w:rsid w:val="008E20E3"/>
    <w:rsid w:val="008E2F1C"/>
    <w:rsid w:val="00900454"/>
    <w:rsid w:val="00914D9F"/>
    <w:rsid w:val="0094299F"/>
    <w:rsid w:val="00946431"/>
    <w:rsid w:val="00952383"/>
    <w:rsid w:val="009531C7"/>
    <w:rsid w:val="009557A7"/>
    <w:rsid w:val="00972A5D"/>
    <w:rsid w:val="00975753"/>
    <w:rsid w:val="00986704"/>
    <w:rsid w:val="009B485A"/>
    <w:rsid w:val="009B55CA"/>
    <w:rsid w:val="009B6656"/>
    <w:rsid w:val="009C01AC"/>
    <w:rsid w:val="009C3906"/>
    <w:rsid w:val="009D281B"/>
    <w:rsid w:val="009E68A6"/>
    <w:rsid w:val="00A044D2"/>
    <w:rsid w:val="00A271D4"/>
    <w:rsid w:val="00A37877"/>
    <w:rsid w:val="00A405C5"/>
    <w:rsid w:val="00A7298C"/>
    <w:rsid w:val="00A822C9"/>
    <w:rsid w:val="00A93100"/>
    <w:rsid w:val="00A93AEB"/>
    <w:rsid w:val="00A93E7F"/>
    <w:rsid w:val="00AA3991"/>
    <w:rsid w:val="00AC1C65"/>
    <w:rsid w:val="00AD23DC"/>
    <w:rsid w:val="00AF04A5"/>
    <w:rsid w:val="00AF572A"/>
    <w:rsid w:val="00B02E69"/>
    <w:rsid w:val="00B16CD2"/>
    <w:rsid w:val="00B363BB"/>
    <w:rsid w:val="00B83FE6"/>
    <w:rsid w:val="00B846B0"/>
    <w:rsid w:val="00B919ED"/>
    <w:rsid w:val="00B94AED"/>
    <w:rsid w:val="00B972F3"/>
    <w:rsid w:val="00BA315A"/>
    <w:rsid w:val="00BA34A0"/>
    <w:rsid w:val="00BB2918"/>
    <w:rsid w:val="00BB35D7"/>
    <w:rsid w:val="00BC0309"/>
    <w:rsid w:val="00BC37B1"/>
    <w:rsid w:val="00BD0495"/>
    <w:rsid w:val="00BD57EB"/>
    <w:rsid w:val="00BD79B5"/>
    <w:rsid w:val="00C17D2B"/>
    <w:rsid w:val="00C234F9"/>
    <w:rsid w:val="00C33448"/>
    <w:rsid w:val="00C37464"/>
    <w:rsid w:val="00C44102"/>
    <w:rsid w:val="00C44E9B"/>
    <w:rsid w:val="00C6187A"/>
    <w:rsid w:val="00C84AC5"/>
    <w:rsid w:val="00C95412"/>
    <w:rsid w:val="00CB3838"/>
    <w:rsid w:val="00CC4CEF"/>
    <w:rsid w:val="00CE1404"/>
    <w:rsid w:val="00CF7512"/>
    <w:rsid w:val="00D22DCC"/>
    <w:rsid w:val="00D24D30"/>
    <w:rsid w:val="00D464D2"/>
    <w:rsid w:val="00D5686E"/>
    <w:rsid w:val="00D813AB"/>
    <w:rsid w:val="00D82DEB"/>
    <w:rsid w:val="00D87838"/>
    <w:rsid w:val="00D903C5"/>
    <w:rsid w:val="00DB1A35"/>
    <w:rsid w:val="00DC7C02"/>
    <w:rsid w:val="00DF09B3"/>
    <w:rsid w:val="00E223D6"/>
    <w:rsid w:val="00E43A87"/>
    <w:rsid w:val="00E57469"/>
    <w:rsid w:val="00E80A11"/>
    <w:rsid w:val="00E837C4"/>
    <w:rsid w:val="00E83EF9"/>
    <w:rsid w:val="00E85D18"/>
    <w:rsid w:val="00E93BB5"/>
    <w:rsid w:val="00ED1E52"/>
    <w:rsid w:val="00ED49B0"/>
    <w:rsid w:val="00EE5D97"/>
    <w:rsid w:val="00EF5953"/>
    <w:rsid w:val="00F056F2"/>
    <w:rsid w:val="00F06A00"/>
    <w:rsid w:val="00F26F69"/>
    <w:rsid w:val="00F30F82"/>
    <w:rsid w:val="00F32A3B"/>
    <w:rsid w:val="00F337CD"/>
    <w:rsid w:val="00F350F0"/>
    <w:rsid w:val="00F5412F"/>
    <w:rsid w:val="00F70C9A"/>
    <w:rsid w:val="00F94F54"/>
    <w:rsid w:val="00FC305D"/>
    <w:rsid w:val="00FF1270"/>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DEB9E9"/>
  <w15:docId w15:val="{3DA37B21-41EF-4A38-83EF-973ED6D5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5ED"/>
    <w:rPr>
      <w:sz w:val="24"/>
      <w:szCs w:val="24"/>
      <w:lang w:eastAsia="en-GB"/>
    </w:rPr>
  </w:style>
  <w:style w:type="paragraph" w:styleId="Heading1">
    <w:name w:val="heading 1"/>
    <w:basedOn w:val="Normal"/>
    <w:next w:val="Normal"/>
    <w:link w:val="Heading1Char"/>
    <w:qFormat/>
    <w:rsid w:val="00E85D18"/>
    <w:pPr>
      <w:keepNext/>
      <w:outlineLvl w:val="0"/>
    </w:pPr>
    <w:rPr>
      <w:b/>
      <w:szCs w:val="20"/>
    </w:rPr>
  </w:style>
  <w:style w:type="paragraph" w:styleId="Heading2">
    <w:name w:val="heading 2"/>
    <w:basedOn w:val="Normal"/>
    <w:next w:val="Normal"/>
    <w:link w:val="Heading2Char"/>
    <w:uiPriority w:val="9"/>
    <w:qFormat/>
    <w:rsid w:val="00E85D1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E85D1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416646"/>
    <w:pPr>
      <w:keepNext/>
      <w:keepLines/>
      <w:spacing w:before="40"/>
      <w:ind w:left="864" w:hanging="864"/>
      <w:jc w:val="both"/>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E85D18"/>
    <w:pPr>
      <w:tabs>
        <w:tab w:val="num" w:pos="1008"/>
      </w:tabs>
      <w:spacing w:before="240" w:after="60"/>
      <w:ind w:left="1008" w:hanging="1008"/>
      <w:jc w:val="both"/>
      <w:outlineLvl w:val="4"/>
    </w:pPr>
    <w:rPr>
      <w:rFonts w:ascii="Calibri" w:hAnsi="Calibri"/>
      <w:b/>
      <w:bCs/>
      <w:i/>
      <w:iCs/>
      <w:sz w:val="26"/>
      <w:szCs w:val="26"/>
    </w:rPr>
  </w:style>
  <w:style w:type="paragraph" w:styleId="Heading6">
    <w:name w:val="heading 6"/>
    <w:basedOn w:val="Normal"/>
    <w:next w:val="Normal"/>
    <w:link w:val="Heading6Char"/>
    <w:uiPriority w:val="9"/>
    <w:qFormat/>
    <w:rsid w:val="00E85D18"/>
    <w:pPr>
      <w:tabs>
        <w:tab w:val="num" w:pos="1152"/>
      </w:tabs>
      <w:spacing w:before="240" w:after="60"/>
      <w:ind w:left="1152" w:hanging="1152"/>
      <w:jc w:val="both"/>
      <w:outlineLvl w:val="5"/>
    </w:pPr>
    <w:rPr>
      <w:rFonts w:ascii="Calibri" w:hAnsi="Calibri"/>
      <w:b/>
      <w:bCs/>
      <w:sz w:val="22"/>
      <w:szCs w:val="22"/>
    </w:rPr>
  </w:style>
  <w:style w:type="paragraph" w:styleId="Heading7">
    <w:name w:val="heading 7"/>
    <w:basedOn w:val="Normal"/>
    <w:next w:val="Normal"/>
    <w:link w:val="Heading7Char"/>
    <w:uiPriority w:val="9"/>
    <w:qFormat/>
    <w:rsid w:val="00E85D18"/>
    <w:pPr>
      <w:tabs>
        <w:tab w:val="num" w:pos="1296"/>
      </w:tabs>
      <w:spacing w:before="240" w:after="60"/>
      <w:ind w:left="1296" w:hanging="1296"/>
      <w:jc w:val="both"/>
      <w:outlineLvl w:val="6"/>
    </w:pPr>
    <w:rPr>
      <w:rFonts w:ascii="Calibri" w:hAnsi="Calibri"/>
      <w:sz w:val="20"/>
    </w:rPr>
  </w:style>
  <w:style w:type="paragraph" w:styleId="Heading8">
    <w:name w:val="heading 8"/>
    <w:basedOn w:val="Normal"/>
    <w:next w:val="Normal"/>
    <w:link w:val="Heading8Char"/>
    <w:uiPriority w:val="9"/>
    <w:qFormat/>
    <w:rsid w:val="00E85D18"/>
    <w:pPr>
      <w:tabs>
        <w:tab w:val="num" w:pos="1440"/>
      </w:tabs>
      <w:spacing w:before="240" w:after="60"/>
      <w:ind w:left="1440" w:hanging="1440"/>
      <w:jc w:val="both"/>
      <w:outlineLvl w:val="7"/>
    </w:pPr>
    <w:rPr>
      <w:rFonts w:ascii="Calibri" w:hAnsi="Calibri"/>
      <w:i/>
      <w:iCs/>
      <w:sz w:val="20"/>
    </w:rPr>
  </w:style>
  <w:style w:type="paragraph" w:styleId="Heading9">
    <w:name w:val="heading 9"/>
    <w:basedOn w:val="Normal"/>
    <w:next w:val="Normal"/>
    <w:link w:val="Heading9Char"/>
    <w:uiPriority w:val="9"/>
    <w:qFormat/>
    <w:rsid w:val="00E85D18"/>
    <w:pPr>
      <w:tabs>
        <w:tab w:val="num" w:pos="1584"/>
      </w:tabs>
      <w:spacing w:before="240" w:after="60"/>
      <w:ind w:left="1584" w:hanging="1584"/>
      <w:jc w:val="both"/>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85D18"/>
    <w:rPr>
      <w:b/>
      <w:sz w:val="24"/>
      <w:lang w:val="en-GB" w:eastAsia="en-GB" w:bidi="ar-SA"/>
    </w:rPr>
  </w:style>
  <w:style w:type="character" w:customStyle="1" w:styleId="Heading2Char">
    <w:name w:val="Heading 2 Char"/>
    <w:link w:val="Heading2"/>
    <w:uiPriority w:val="9"/>
    <w:rsid w:val="00E85D18"/>
    <w:rPr>
      <w:rFonts w:ascii="Cambria" w:hAnsi="Cambria"/>
      <w:b/>
      <w:bCs/>
      <w:i/>
      <w:iCs/>
      <w:sz w:val="28"/>
      <w:szCs w:val="28"/>
      <w:lang w:val="en-GB" w:eastAsia="en-GB" w:bidi="ar-SA"/>
    </w:rPr>
  </w:style>
  <w:style w:type="character" w:customStyle="1" w:styleId="Heading3Char">
    <w:name w:val="Heading 3 Char"/>
    <w:link w:val="Heading3"/>
    <w:uiPriority w:val="9"/>
    <w:rsid w:val="00E85D18"/>
    <w:rPr>
      <w:rFonts w:ascii="Arial" w:hAnsi="Arial" w:cs="Arial"/>
      <w:b/>
      <w:bCs/>
      <w:sz w:val="26"/>
      <w:szCs w:val="26"/>
      <w:lang w:val="en-GB" w:eastAsia="en-GB" w:bidi="ar-SA"/>
    </w:rPr>
  </w:style>
  <w:style w:type="character" w:customStyle="1" w:styleId="Heading5Char">
    <w:name w:val="Heading 5 Char"/>
    <w:link w:val="Heading5"/>
    <w:uiPriority w:val="9"/>
    <w:rsid w:val="00E85D18"/>
    <w:rPr>
      <w:rFonts w:ascii="Calibri" w:hAnsi="Calibri"/>
      <w:b/>
      <w:bCs/>
      <w:i/>
      <w:iCs/>
      <w:sz w:val="26"/>
      <w:szCs w:val="26"/>
      <w:lang w:bidi="ar-SA"/>
    </w:rPr>
  </w:style>
  <w:style w:type="character" w:customStyle="1" w:styleId="Heading6Char">
    <w:name w:val="Heading 6 Char"/>
    <w:link w:val="Heading6"/>
    <w:uiPriority w:val="9"/>
    <w:rsid w:val="00E85D18"/>
    <w:rPr>
      <w:rFonts w:ascii="Calibri" w:hAnsi="Calibri"/>
      <w:b/>
      <w:bCs/>
      <w:sz w:val="22"/>
      <w:szCs w:val="22"/>
      <w:lang w:bidi="ar-SA"/>
    </w:rPr>
  </w:style>
  <w:style w:type="character" w:customStyle="1" w:styleId="Heading7Char">
    <w:name w:val="Heading 7 Char"/>
    <w:link w:val="Heading7"/>
    <w:uiPriority w:val="9"/>
    <w:rsid w:val="00E85D18"/>
    <w:rPr>
      <w:rFonts w:ascii="Calibri" w:hAnsi="Calibri"/>
      <w:szCs w:val="24"/>
      <w:lang w:bidi="ar-SA"/>
    </w:rPr>
  </w:style>
  <w:style w:type="character" w:customStyle="1" w:styleId="Heading8Char">
    <w:name w:val="Heading 8 Char"/>
    <w:link w:val="Heading8"/>
    <w:uiPriority w:val="9"/>
    <w:rsid w:val="00E85D18"/>
    <w:rPr>
      <w:rFonts w:ascii="Calibri" w:hAnsi="Calibri"/>
      <w:i/>
      <w:iCs/>
      <w:szCs w:val="24"/>
      <w:lang w:bidi="ar-SA"/>
    </w:rPr>
  </w:style>
  <w:style w:type="paragraph" w:styleId="FootnoteText">
    <w:name w:val="footnote text"/>
    <w:basedOn w:val="Normal"/>
    <w:link w:val="FootnoteTextChar"/>
    <w:semiHidden/>
    <w:rsid w:val="00E85D18"/>
    <w:rPr>
      <w:sz w:val="20"/>
      <w:szCs w:val="20"/>
    </w:rPr>
  </w:style>
  <w:style w:type="character" w:customStyle="1" w:styleId="FootnoteTextChar">
    <w:name w:val="Footnote Text Char"/>
    <w:link w:val="FootnoteText"/>
    <w:semiHidden/>
    <w:locked/>
    <w:rsid w:val="00E85D18"/>
    <w:rPr>
      <w:lang w:val="en-GB" w:eastAsia="en-GB" w:bidi="ar-SA"/>
    </w:rPr>
  </w:style>
  <w:style w:type="paragraph" w:styleId="Header">
    <w:name w:val="header"/>
    <w:basedOn w:val="Normal"/>
    <w:link w:val="HeaderChar"/>
    <w:uiPriority w:val="99"/>
    <w:rsid w:val="00E85D18"/>
    <w:pPr>
      <w:tabs>
        <w:tab w:val="center" w:pos="4153"/>
        <w:tab w:val="right" w:pos="8306"/>
      </w:tabs>
    </w:pPr>
  </w:style>
  <w:style w:type="character" w:customStyle="1" w:styleId="HeaderChar">
    <w:name w:val="Header Char"/>
    <w:link w:val="Header"/>
    <w:uiPriority w:val="99"/>
    <w:locked/>
    <w:rsid w:val="00E85D18"/>
    <w:rPr>
      <w:sz w:val="24"/>
      <w:szCs w:val="24"/>
      <w:lang w:val="en-GB" w:eastAsia="en-GB" w:bidi="ar-SA"/>
    </w:rPr>
  </w:style>
  <w:style w:type="paragraph" w:styleId="Footer">
    <w:name w:val="footer"/>
    <w:basedOn w:val="Normal"/>
    <w:link w:val="FooterChar"/>
    <w:uiPriority w:val="99"/>
    <w:rsid w:val="00E85D18"/>
    <w:pPr>
      <w:tabs>
        <w:tab w:val="center" w:pos="4153"/>
        <w:tab w:val="right" w:pos="8306"/>
      </w:tabs>
    </w:pPr>
  </w:style>
  <w:style w:type="character" w:customStyle="1" w:styleId="FooterChar">
    <w:name w:val="Footer Char"/>
    <w:link w:val="Footer"/>
    <w:uiPriority w:val="99"/>
    <w:rsid w:val="00E85D18"/>
    <w:rPr>
      <w:sz w:val="24"/>
      <w:szCs w:val="24"/>
      <w:lang w:val="en-GB" w:eastAsia="en-GB" w:bidi="ar-SA"/>
    </w:rPr>
  </w:style>
  <w:style w:type="paragraph" w:customStyle="1" w:styleId="CharCharChar">
    <w:name w:val="Char Char Char"/>
    <w:basedOn w:val="Normal"/>
    <w:rsid w:val="00E85D18"/>
    <w:pPr>
      <w:spacing w:after="160" w:line="240" w:lineRule="exact"/>
    </w:pPr>
    <w:rPr>
      <w:rFonts w:ascii="Tahoma" w:hAnsi="Tahoma"/>
      <w:sz w:val="20"/>
      <w:szCs w:val="20"/>
      <w:lang w:val="en-US" w:eastAsia="en-US"/>
    </w:rPr>
  </w:style>
  <w:style w:type="character" w:styleId="Hyperlink">
    <w:name w:val="Hyperlink"/>
    <w:uiPriority w:val="99"/>
    <w:rsid w:val="00E85D18"/>
    <w:rPr>
      <w:color w:val="0000FF"/>
      <w:u w:val="single"/>
    </w:rPr>
  </w:style>
  <w:style w:type="paragraph" w:customStyle="1" w:styleId="msolistparagraph0">
    <w:name w:val="msolistparagraph"/>
    <w:basedOn w:val="Normal"/>
    <w:rsid w:val="00E85D18"/>
    <w:pPr>
      <w:ind w:left="720"/>
    </w:pPr>
  </w:style>
  <w:style w:type="paragraph" w:styleId="Title">
    <w:name w:val="Title"/>
    <w:aliases w:val=" Char"/>
    <w:basedOn w:val="Normal"/>
    <w:link w:val="TitleChar"/>
    <w:uiPriority w:val="10"/>
    <w:qFormat/>
    <w:rsid w:val="00E85D18"/>
    <w:pPr>
      <w:jc w:val="center"/>
      <w:outlineLvl w:val="0"/>
    </w:pPr>
    <w:rPr>
      <w:b/>
      <w:sz w:val="20"/>
      <w:szCs w:val="20"/>
      <w:lang w:eastAsia="en-US"/>
    </w:rPr>
  </w:style>
  <w:style w:type="character" w:customStyle="1" w:styleId="TitleChar">
    <w:name w:val="Title Char"/>
    <w:aliases w:val=" Char Char"/>
    <w:link w:val="Title"/>
    <w:uiPriority w:val="10"/>
    <w:rsid w:val="00E85D18"/>
    <w:rPr>
      <w:b/>
      <w:lang w:val="en-GB" w:eastAsia="en-US" w:bidi="ar-SA"/>
    </w:rPr>
  </w:style>
  <w:style w:type="table" w:styleId="TableGrid">
    <w:name w:val="Table Grid"/>
    <w:basedOn w:val="TableNormal"/>
    <w:uiPriority w:val="39"/>
    <w:rsid w:val="00E85D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E85D18"/>
    <w:rPr>
      <w:b/>
      <w:bCs/>
    </w:rPr>
  </w:style>
  <w:style w:type="character" w:styleId="CommentReference">
    <w:name w:val="annotation reference"/>
    <w:uiPriority w:val="99"/>
    <w:rsid w:val="00E85D18"/>
    <w:rPr>
      <w:sz w:val="16"/>
      <w:szCs w:val="16"/>
    </w:rPr>
  </w:style>
  <w:style w:type="paragraph" w:styleId="CommentText">
    <w:name w:val="annotation text"/>
    <w:basedOn w:val="Normal"/>
    <w:link w:val="CommentTextChar1"/>
    <w:uiPriority w:val="99"/>
    <w:rsid w:val="00E85D18"/>
    <w:rPr>
      <w:sz w:val="20"/>
      <w:szCs w:val="20"/>
    </w:rPr>
  </w:style>
  <w:style w:type="character" w:customStyle="1" w:styleId="CommentTextChar1">
    <w:name w:val="Comment Text Char1"/>
    <w:link w:val="CommentText"/>
    <w:rsid w:val="00E85D18"/>
    <w:rPr>
      <w:lang w:val="en-GB" w:bidi="ar-SA"/>
    </w:rPr>
  </w:style>
  <w:style w:type="character" w:styleId="PageNumber">
    <w:name w:val="page number"/>
    <w:basedOn w:val="DefaultParagraphFont"/>
    <w:uiPriority w:val="99"/>
    <w:rsid w:val="00E85D18"/>
  </w:style>
  <w:style w:type="character" w:customStyle="1" w:styleId="apple-converted-space">
    <w:name w:val="apple-converted-space"/>
    <w:basedOn w:val="DefaultParagraphFont"/>
    <w:rsid w:val="00E85D18"/>
  </w:style>
  <w:style w:type="character" w:customStyle="1" w:styleId="il">
    <w:name w:val="il"/>
    <w:basedOn w:val="DefaultParagraphFont"/>
    <w:rsid w:val="00E85D18"/>
  </w:style>
  <w:style w:type="paragraph" w:styleId="NormalWeb">
    <w:name w:val="Normal (Web)"/>
    <w:basedOn w:val="Normal"/>
    <w:uiPriority w:val="99"/>
    <w:unhideWhenUsed/>
    <w:rsid w:val="00E85D18"/>
    <w:pPr>
      <w:spacing w:before="100" w:beforeAutospacing="1" w:after="100" w:afterAutospacing="1"/>
    </w:pPr>
    <w:rPr>
      <w:lang w:val="en-US" w:eastAsia="en-US"/>
    </w:rPr>
  </w:style>
  <w:style w:type="character" w:customStyle="1" w:styleId="go">
    <w:name w:val="go"/>
    <w:basedOn w:val="DefaultParagraphFont"/>
    <w:rsid w:val="00E85D18"/>
  </w:style>
  <w:style w:type="paragraph" w:styleId="MessageHeader">
    <w:name w:val="Message Header"/>
    <w:basedOn w:val="Normal"/>
    <w:link w:val="MessageHeaderChar"/>
    <w:rsid w:val="00E85D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Mincho" w:hAnsi="Arial"/>
      <w:lang w:eastAsia="ja-JP"/>
    </w:rPr>
  </w:style>
  <w:style w:type="character" w:customStyle="1" w:styleId="MessageHeaderChar">
    <w:name w:val="Message Header Char"/>
    <w:link w:val="MessageHeader"/>
    <w:rsid w:val="00E85D18"/>
    <w:rPr>
      <w:rFonts w:ascii="Arial" w:eastAsia="MS Mincho" w:hAnsi="Arial"/>
      <w:sz w:val="24"/>
      <w:szCs w:val="24"/>
      <w:lang w:eastAsia="ja-JP" w:bidi="ar-SA"/>
    </w:rPr>
  </w:style>
  <w:style w:type="character" w:styleId="HTMLVariable">
    <w:name w:val="HTML Variable"/>
    <w:rsid w:val="00E85D18"/>
    <w:rPr>
      <w:i/>
      <w:iCs/>
    </w:rPr>
  </w:style>
  <w:style w:type="character" w:customStyle="1" w:styleId="CommentTextChar">
    <w:name w:val="Comment Text Char"/>
    <w:uiPriority w:val="99"/>
    <w:rsid w:val="00E85D18"/>
    <w:rPr>
      <w:rFonts w:ascii="Arial" w:hAnsi="Arial"/>
      <w:lang w:eastAsia="ja-JP"/>
    </w:rPr>
  </w:style>
  <w:style w:type="paragraph" w:styleId="CommentSubject">
    <w:name w:val="annotation subject"/>
    <w:basedOn w:val="CommentText"/>
    <w:next w:val="CommentText"/>
    <w:link w:val="CommentSubjectChar"/>
    <w:rsid w:val="00E85D18"/>
    <w:rPr>
      <w:rFonts w:ascii="Arial" w:eastAsia="MS Mincho" w:hAnsi="Arial"/>
      <w:b/>
      <w:bCs/>
      <w:lang w:eastAsia="ja-JP"/>
    </w:rPr>
  </w:style>
  <w:style w:type="character" w:customStyle="1" w:styleId="CommentSubjectChar">
    <w:name w:val="Comment Subject Char"/>
    <w:link w:val="CommentSubject"/>
    <w:uiPriority w:val="99"/>
    <w:rsid w:val="00E85D18"/>
    <w:rPr>
      <w:rFonts w:ascii="Arial" w:eastAsia="MS Mincho" w:hAnsi="Arial"/>
      <w:b/>
      <w:bCs/>
      <w:lang w:val="en-GB" w:eastAsia="ja-JP" w:bidi="ar-SA"/>
    </w:rPr>
  </w:style>
  <w:style w:type="character" w:styleId="FollowedHyperlink">
    <w:name w:val="FollowedHyperlink"/>
    <w:uiPriority w:val="99"/>
    <w:rsid w:val="00E85D18"/>
    <w:rPr>
      <w:color w:val="800080"/>
      <w:u w:val="single"/>
    </w:rPr>
  </w:style>
  <w:style w:type="paragraph" w:customStyle="1" w:styleId="ColorfulList-Accent11">
    <w:name w:val="Colorful List - Accent 11"/>
    <w:basedOn w:val="Normal"/>
    <w:qFormat/>
    <w:rsid w:val="00E85D18"/>
    <w:pPr>
      <w:spacing w:after="200" w:line="276" w:lineRule="auto"/>
      <w:ind w:left="720"/>
      <w:contextualSpacing/>
    </w:pPr>
    <w:rPr>
      <w:rFonts w:ascii="Calibri" w:eastAsia="Calibri" w:hAnsi="Calibri"/>
      <w:sz w:val="22"/>
      <w:szCs w:val="22"/>
      <w:lang w:val="en-US" w:eastAsia="en-US"/>
    </w:rPr>
  </w:style>
  <w:style w:type="character" w:styleId="Emphasis">
    <w:name w:val="Emphasis"/>
    <w:qFormat/>
    <w:rsid w:val="00E85D18"/>
    <w:rPr>
      <w:i/>
      <w:iCs/>
    </w:rPr>
  </w:style>
  <w:style w:type="paragraph" w:styleId="Caption">
    <w:name w:val="caption"/>
    <w:basedOn w:val="Normal"/>
    <w:next w:val="Normal"/>
    <w:qFormat/>
    <w:rsid w:val="00E85D18"/>
    <w:rPr>
      <w:rFonts w:ascii="Arial" w:eastAsia="MS Mincho" w:hAnsi="Arial"/>
      <w:b/>
      <w:bCs/>
      <w:sz w:val="20"/>
      <w:szCs w:val="20"/>
      <w:lang w:val="en-US" w:eastAsia="ja-JP"/>
    </w:rPr>
  </w:style>
  <w:style w:type="paragraph" w:styleId="BlockText">
    <w:name w:val="Block Text"/>
    <w:basedOn w:val="Normal"/>
    <w:unhideWhenUsed/>
    <w:rsid w:val="00E85D18"/>
    <w:pPr>
      <w:tabs>
        <w:tab w:val="left" w:pos="1800"/>
      </w:tabs>
      <w:ind w:left="1800" w:right="54" w:hanging="1440"/>
    </w:pPr>
    <w:rPr>
      <w:rFonts w:ascii="Arial" w:hAnsi="Arial"/>
      <w:sz w:val="22"/>
      <w:szCs w:val="20"/>
      <w:lang w:val="en-US" w:eastAsia="en-US"/>
    </w:rPr>
  </w:style>
  <w:style w:type="character" w:customStyle="1" w:styleId="element-citation">
    <w:name w:val="element-citation"/>
    <w:rsid w:val="00E85D18"/>
  </w:style>
  <w:style w:type="character" w:customStyle="1" w:styleId="ref-journal1">
    <w:name w:val="ref-journal1"/>
    <w:rsid w:val="00E85D18"/>
    <w:rPr>
      <w:i/>
      <w:iCs/>
    </w:rPr>
  </w:style>
  <w:style w:type="character" w:customStyle="1" w:styleId="ref-vol">
    <w:name w:val="ref-vol"/>
    <w:rsid w:val="00E85D18"/>
  </w:style>
  <w:style w:type="character" w:customStyle="1" w:styleId="citation-abbreviation2">
    <w:name w:val="citation-abbreviation2"/>
    <w:rsid w:val="00E85D18"/>
  </w:style>
  <w:style w:type="character" w:customStyle="1" w:styleId="citation-publication-date">
    <w:name w:val="citation-publication-date"/>
    <w:rsid w:val="00E85D18"/>
  </w:style>
  <w:style w:type="character" w:customStyle="1" w:styleId="citation-volume">
    <w:name w:val="citation-volume"/>
    <w:rsid w:val="00E85D18"/>
  </w:style>
  <w:style w:type="character" w:customStyle="1" w:styleId="citation-issue">
    <w:name w:val="citation-issue"/>
    <w:rsid w:val="00E85D18"/>
  </w:style>
  <w:style w:type="character" w:customStyle="1" w:styleId="citation-flpages">
    <w:name w:val="citation-flpages"/>
    <w:rsid w:val="00E85D18"/>
  </w:style>
  <w:style w:type="paragraph" w:styleId="NoSpacing">
    <w:name w:val="No Spacing"/>
    <w:uiPriority w:val="1"/>
    <w:qFormat/>
    <w:rsid w:val="00E85D18"/>
    <w:rPr>
      <w:rFonts w:ascii="Calibri" w:eastAsia="Calibri" w:hAnsi="Calibri"/>
      <w:sz w:val="22"/>
      <w:szCs w:val="22"/>
    </w:rPr>
  </w:style>
  <w:style w:type="paragraph" w:styleId="ListParagraph">
    <w:name w:val="List Paragraph"/>
    <w:basedOn w:val="Normal"/>
    <w:uiPriority w:val="34"/>
    <w:qFormat/>
    <w:rsid w:val="00E85D18"/>
    <w:pPr>
      <w:spacing w:after="200" w:line="276" w:lineRule="auto"/>
      <w:ind w:left="720"/>
      <w:contextualSpacing/>
    </w:pPr>
    <w:rPr>
      <w:rFonts w:ascii="Calibri" w:eastAsia="Calibri" w:hAnsi="Calibri"/>
      <w:sz w:val="22"/>
      <w:szCs w:val="22"/>
      <w:lang w:eastAsia="en-US"/>
    </w:rPr>
  </w:style>
  <w:style w:type="character" w:customStyle="1" w:styleId="CharChar14">
    <w:name w:val="Char Char14"/>
    <w:rsid w:val="00E85D18"/>
    <w:rPr>
      <w:rFonts w:ascii="Calibri" w:hAnsi="Calibri"/>
      <w:b/>
      <w:bCs/>
      <w:iCs/>
      <w:sz w:val="22"/>
      <w:szCs w:val="22"/>
      <w:lang w:eastAsia="en-US" w:bidi="ar-SA"/>
    </w:rPr>
  </w:style>
  <w:style w:type="paragraph" w:styleId="EndnoteText">
    <w:name w:val="endnote text"/>
    <w:basedOn w:val="Normal"/>
    <w:autoRedefine/>
    <w:rsid w:val="00E85D18"/>
    <w:rPr>
      <w:rFonts w:ascii="Arial" w:hAnsi="Arial"/>
      <w:bCs/>
      <w:sz w:val="20"/>
      <w:szCs w:val="20"/>
      <w:vertAlign w:val="subscript"/>
      <w:lang w:eastAsia="en-US"/>
    </w:rPr>
  </w:style>
  <w:style w:type="character" w:styleId="EndnoteReference">
    <w:name w:val="endnote reference"/>
    <w:rsid w:val="00E85D18"/>
    <w:rPr>
      <w:vertAlign w:val="superscript"/>
    </w:rPr>
  </w:style>
  <w:style w:type="paragraph" w:customStyle="1" w:styleId="Default">
    <w:name w:val="Default"/>
    <w:rsid w:val="00E85D18"/>
    <w:pPr>
      <w:autoSpaceDE w:val="0"/>
      <w:autoSpaceDN w:val="0"/>
      <w:adjustRightInd w:val="0"/>
    </w:pPr>
    <w:rPr>
      <w:rFonts w:ascii="Arial" w:eastAsia="Calibri" w:hAnsi="Arial" w:cs="Arial"/>
      <w:color w:val="000000"/>
      <w:sz w:val="24"/>
      <w:szCs w:val="24"/>
      <w:lang w:val="en-US"/>
    </w:rPr>
  </w:style>
  <w:style w:type="character" w:customStyle="1" w:styleId="postal-code">
    <w:name w:val="postal-code"/>
    <w:basedOn w:val="DefaultParagraphFont"/>
    <w:rsid w:val="00E85D18"/>
  </w:style>
  <w:style w:type="paragraph" w:customStyle="1" w:styleId="xl67">
    <w:name w:val="xl67"/>
    <w:basedOn w:val="Normal"/>
    <w:rsid w:val="00E85D18"/>
    <w:pPr>
      <w:spacing w:before="100" w:beforeAutospacing="1" w:after="100" w:afterAutospacing="1"/>
    </w:pPr>
    <w:rPr>
      <w:rFonts w:ascii="Arial" w:hAnsi="Arial" w:cs="Arial"/>
    </w:rPr>
  </w:style>
  <w:style w:type="paragraph" w:styleId="HTMLPreformatted">
    <w:name w:val="HTML Preformatted"/>
    <w:basedOn w:val="Normal"/>
    <w:rsid w:val="00E85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source-copyright1">
    <w:name w:val="source-copyright1"/>
    <w:rsid w:val="00E85D18"/>
    <w:rPr>
      <w:rFonts w:ascii="Times New Roman" w:hAnsi="Times New Roman" w:cs="Times New Roman"/>
      <w:sz w:val="20"/>
      <w:szCs w:val="20"/>
    </w:rPr>
  </w:style>
  <w:style w:type="character" w:customStyle="1" w:styleId="slug-pop-date">
    <w:name w:val="slug-pop-date"/>
    <w:rsid w:val="00E85D18"/>
    <w:rPr>
      <w:rFonts w:ascii="Times New Roman" w:hAnsi="Times New Roman" w:cs="Times New Roman"/>
    </w:rPr>
  </w:style>
  <w:style w:type="character" w:customStyle="1" w:styleId="pop-slug">
    <w:name w:val="pop-slug"/>
    <w:rsid w:val="00E85D18"/>
    <w:rPr>
      <w:rFonts w:ascii="Times New Roman" w:hAnsi="Times New Roman" w:cs="Times New Roman"/>
    </w:rPr>
  </w:style>
  <w:style w:type="character" w:customStyle="1" w:styleId="cit-vol1">
    <w:name w:val="cit-vol1"/>
    <w:rsid w:val="00E85D18"/>
    <w:rPr>
      <w:b/>
      <w:bCs/>
    </w:rPr>
  </w:style>
  <w:style w:type="character" w:customStyle="1" w:styleId="cit-pub-date">
    <w:name w:val="cit-pub-date"/>
    <w:basedOn w:val="DefaultParagraphFont"/>
    <w:rsid w:val="00E85D18"/>
  </w:style>
  <w:style w:type="character" w:customStyle="1" w:styleId="cit-auth2">
    <w:name w:val="cit-auth2"/>
    <w:basedOn w:val="DefaultParagraphFont"/>
    <w:rsid w:val="00E85D18"/>
  </w:style>
  <w:style w:type="character" w:customStyle="1" w:styleId="cit-name-surname">
    <w:name w:val="cit-name-surname"/>
    <w:basedOn w:val="DefaultParagraphFont"/>
    <w:rsid w:val="00E85D18"/>
  </w:style>
  <w:style w:type="character" w:customStyle="1" w:styleId="cit-name-given-names">
    <w:name w:val="cit-name-given-names"/>
    <w:basedOn w:val="DefaultParagraphFont"/>
    <w:rsid w:val="00E85D18"/>
  </w:style>
  <w:style w:type="character" w:customStyle="1" w:styleId="cit-article-title">
    <w:name w:val="cit-article-title"/>
    <w:basedOn w:val="DefaultParagraphFont"/>
    <w:rsid w:val="00E85D18"/>
  </w:style>
  <w:style w:type="character" w:customStyle="1" w:styleId="cit-fpage">
    <w:name w:val="cit-fpage"/>
    <w:basedOn w:val="DefaultParagraphFont"/>
    <w:rsid w:val="00E85D18"/>
  </w:style>
  <w:style w:type="character" w:customStyle="1" w:styleId="cit-lpage">
    <w:name w:val="cit-lpage"/>
    <w:basedOn w:val="DefaultParagraphFont"/>
    <w:rsid w:val="00E85D18"/>
  </w:style>
  <w:style w:type="paragraph" w:customStyle="1" w:styleId="Blockquote">
    <w:name w:val="Blockquote"/>
    <w:basedOn w:val="Normal"/>
    <w:rsid w:val="00E85D18"/>
    <w:pPr>
      <w:autoSpaceDE w:val="0"/>
      <w:autoSpaceDN w:val="0"/>
      <w:adjustRightInd w:val="0"/>
      <w:spacing w:before="100" w:after="100"/>
      <w:ind w:left="360" w:right="360"/>
    </w:pPr>
  </w:style>
  <w:style w:type="character" w:customStyle="1" w:styleId="HTMLMarkup">
    <w:name w:val="HTML Markup"/>
    <w:rsid w:val="00E85D18"/>
    <w:rPr>
      <w:vanish/>
      <w:color w:val="FF0000"/>
    </w:rPr>
  </w:style>
  <w:style w:type="paragraph" w:styleId="PlainText">
    <w:name w:val="Plain Text"/>
    <w:basedOn w:val="Normal"/>
    <w:unhideWhenUsed/>
    <w:rsid w:val="00E85D18"/>
    <w:rPr>
      <w:rFonts w:ascii="Consolas" w:eastAsia="Calibri" w:hAnsi="Consolas"/>
      <w:sz w:val="21"/>
      <w:szCs w:val="21"/>
      <w:lang w:eastAsia="en-US"/>
    </w:rPr>
  </w:style>
  <w:style w:type="paragraph" w:styleId="BalloonText">
    <w:name w:val="Balloon Text"/>
    <w:basedOn w:val="Normal"/>
    <w:link w:val="BalloonTextChar"/>
    <w:uiPriority w:val="99"/>
    <w:rsid w:val="00E564EC"/>
    <w:rPr>
      <w:rFonts w:ascii="Tahoma" w:hAnsi="Tahoma"/>
      <w:sz w:val="16"/>
      <w:szCs w:val="16"/>
    </w:rPr>
  </w:style>
  <w:style w:type="character" w:customStyle="1" w:styleId="BalloonTextChar">
    <w:name w:val="Balloon Text Char"/>
    <w:link w:val="BalloonText"/>
    <w:uiPriority w:val="99"/>
    <w:rsid w:val="00E564EC"/>
    <w:rPr>
      <w:rFonts w:ascii="Tahoma" w:hAnsi="Tahoma" w:cs="Tahoma"/>
      <w:sz w:val="16"/>
      <w:szCs w:val="16"/>
    </w:rPr>
  </w:style>
  <w:style w:type="character" w:styleId="IntenseEmphasis">
    <w:name w:val="Intense Emphasis"/>
    <w:uiPriority w:val="21"/>
    <w:qFormat/>
    <w:rsid w:val="002D2FE3"/>
    <w:rPr>
      <w:b/>
      <w:bCs/>
      <w:i/>
      <w:iCs/>
      <w:color w:val="4F81BD"/>
    </w:rPr>
  </w:style>
  <w:style w:type="paragraph" w:styleId="DocumentMap">
    <w:name w:val="Document Map"/>
    <w:basedOn w:val="Normal"/>
    <w:link w:val="DocumentMapChar"/>
    <w:uiPriority w:val="99"/>
    <w:semiHidden/>
    <w:unhideWhenUsed/>
    <w:rsid w:val="00391901"/>
    <w:rPr>
      <w:rFonts w:ascii="Lucida Grande" w:hAnsi="Lucida Grande" w:cs="Lucida Grande"/>
    </w:rPr>
  </w:style>
  <w:style w:type="character" w:customStyle="1" w:styleId="DocumentMapChar">
    <w:name w:val="Document Map Char"/>
    <w:basedOn w:val="DefaultParagraphFont"/>
    <w:link w:val="DocumentMap"/>
    <w:uiPriority w:val="99"/>
    <w:semiHidden/>
    <w:rsid w:val="00391901"/>
    <w:rPr>
      <w:rFonts w:ascii="Lucida Grande" w:hAnsi="Lucida Grande" w:cs="Lucida Grande"/>
      <w:sz w:val="24"/>
      <w:szCs w:val="24"/>
      <w:lang w:eastAsia="en-GB"/>
    </w:rPr>
  </w:style>
  <w:style w:type="character" w:customStyle="1" w:styleId="Heading4Char">
    <w:name w:val="Heading 4 Char"/>
    <w:basedOn w:val="DefaultParagraphFont"/>
    <w:link w:val="Heading4"/>
    <w:uiPriority w:val="9"/>
    <w:semiHidden/>
    <w:rsid w:val="00416646"/>
    <w:rPr>
      <w:rFonts w:asciiTheme="majorHAnsi" w:eastAsiaTheme="majorEastAsia" w:hAnsiTheme="majorHAnsi" w:cstheme="majorBidi"/>
      <w:i/>
      <w:iCs/>
      <w:color w:val="365F91" w:themeColor="accent1" w:themeShade="BF"/>
      <w:sz w:val="24"/>
      <w:szCs w:val="24"/>
      <w:lang w:eastAsia="en-GB"/>
    </w:rPr>
  </w:style>
  <w:style w:type="paragraph" w:styleId="Bibliography">
    <w:name w:val="Bibliography"/>
    <w:basedOn w:val="Normal"/>
    <w:next w:val="Normal"/>
    <w:uiPriority w:val="37"/>
    <w:unhideWhenUsed/>
    <w:rsid w:val="00416646"/>
    <w:pPr>
      <w:tabs>
        <w:tab w:val="left" w:pos="384"/>
      </w:tabs>
      <w:spacing w:line="480" w:lineRule="auto"/>
      <w:ind w:left="384" w:hanging="384"/>
      <w:jc w:val="both"/>
    </w:pPr>
  </w:style>
  <w:style w:type="character" w:styleId="PlaceholderText">
    <w:name w:val="Placeholder Text"/>
    <w:basedOn w:val="DefaultParagraphFont"/>
    <w:uiPriority w:val="99"/>
    <w:rsid w:val="00416646"/>
    <w:rPr>
      <w:color w:val="808080"/>
    </w:rPr>
  </w:style>
  <w:style w:type="paragraph" w:styleId="Revision">
    <w:name w:val="Revision"/>
    <w:hidden/>
    <w:uiPriority w:val="99"/>
    <w:rsid w:val="00416646"/>
    <w:rPr>
      <w:sz w:val="24"/>
      <w:szCs w:val="24"/>
      <w:lang w:eastAsia="en-GB"/>
    </w:rPr>
  </w:style>
  <w:style w:type="character" w:customStyle="1" w:styleId="Heading9Char">
    <w:name w:val="Heading 9 Char"/>
    <w:basedOn w:val="DefaultParagraphFont"/>
    <w:link w:val="Heading9"/>
    <w:uiPriority w:val="9"/>
    <w:rsid w:val="00416646"/>
    <w:rPr>
      <w:rFonts w:ascii="Arial" w:hAnsi="Arial"/>
      <w:sz w:val="22"/>
      <w:szCs w:val="22"/>
      <w:lang w:eastAsia="en-GB"/>
    </w:rPr>
  </w:style>
  <w:style w:type="paragraph" w:styleId="TOCHeading">
    <w:name w:val="TOC Heading"/>
    <w:basedOn w:val="Heading1"/>
    <w:next w:val="Normal"/>
    <w:uiPriority w:val="39"/>
    <w:unhideWhenUsed/>
    <w:qFormat/>
    <w:rsid w:val="00416646"/>
    <w:pPr>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16646"/>
    <w:pPr>
      <w:tabs>
        <w:tab w:val="right" w:leader="dot" w:pos="8290"/>
      </w:tabs>
      <w:spacing w:after="100"/>
    </w:pPr>
  </w:style>
  <w:style w:type="paragraph" w:styleId="TOC2">
    <w:name w:val="toc 2"/>
    <w:basedOn w:val="Normal"/>
    <w:next w:val="Normal"/>
    <w:autoRedefine/>
    <w:uiPriority w:val="39"/>
    <w:unhideWhenUsed/>
    <w:rsid w:val="00416646"/>
    <w:pPr>
      <w:spacing w:after="100"/>
      <w:ind w:left="240"/>
      <w:jc w:val="both"/>
    </w:pPr>
  </w:style>
  <w:style w:type="paragraph" w:styleId="TOC3">
    <w:name w:val="toc 3"/>
    <w:basedOn w:val="Normal"/>
    <w:next w:val="Normal"/>
    <w:autoRedefine/>
    <w:uiPriority w:val="39"/>
    <w:unhideWhenUsed/>
    <w:rsid w:val="00416646"/>
    <w:pPr>
      <w:spacing w:after="100"/>
      <w:ind w:left="480"/>
      <w:jc w:val="both"/>
    </w:pPr>
  </w:style>
  <w:style w:type="paragraph" w:customStyle="1" w:styleId="ProtocolTitle">
    <w:name w:val="Protocol_Title"/>
    <w:basedOn w:val="Title"/>
    <w:link w:val="ProtocolTitleChar"/>
    <w:rsid w:val="002465BA"/>
    <w:pPr>
      <w:jc w:val="left"/>
    </w:pPr>
    <w:rPr>
      <w:sz w:val="24"/>
      <w:szCs w:val="24"/>
    </w:rPr>
  </w:style>
  <w:style w:type="paragraph" w:customStyle="1" w:styleId="ProtocolNormal">
    <w:name w:val="Protocol_Normal"/>
    <w:basedOn w:val="Normal"/>
    <w:link w:val="ProtocolNormalChar"/>
    <w:rsid w:val="002465BA"/>
    <w:pPr>
      <w:jc w:val="both"/>
    </w:pPr>
  </w:style>
  <w:style w:type="character" w:customStyle="1" w:styleId="ProtocolTitleChar">
    <w:name w:val="Protocol_Title Char"/>
    <w:basedOn w:val="TitleChar"/>
    <w:link w:val="ProtocolTitle"/>
    <w:rsid w:val="002465BA"/>
    <w:rPr>
      <w:b/>
      <w:sz w:val="24"/>
      <w:szCs w:val="24"/>
      <w:lang w:val="en-GB" w:eastAsia="en-US" w:bidi="ar-SA"/>
    </w:rPr>
  </w:style>
  <w:style w:type="paragraph" w:customStyle="1" w:styleId="ProtocolHeading1">
    <w:name w:val="Protocol_Heading1"/>
    <w:basedOn w:val="Heading1"/>
    <w:link w:val="ProtocolHeading1Char"/>
    <w:rsid w:val="00557197"/>
    <w:pPr>
      <w:numPr>
        <w:numId w:val="3"/>
      </w:numPr>
    </w:pPr>
  </w:style>
  <w:style w:type="character" w:customStyle="1" w:styleId="ProtocolNormalChar">
    <w:name w:val="Protocol_Normal Char"/>
    <w:basedOn w:val="DefaultParagraphFont"/>
    <w:link w:val="ProtocolNormal"/>
    <w:rsid w:val="002465BA"/>
    <w:rPr>
      <w:sz w:val="24"/>
      <w:szCs w:val="24"/>
      <w:lang w:eastAsia="en-GB"/>
    </w:rPr>
  </w:style>
  <w:style w:type="paragraph" w:customStyle="1" w:styleId="ProtocolHeading2">
    <w:name w:val="Protocol_Heading2"/>
    <w:basedOn w:val="Heading2"/>
    <w:link w:val="ProtocolHeading2Char"/>
    <w:rsid w:val="002465BA"/>
    <w:pPr>
      <w:numPr>
        <w:ilvl w:val="1"/>
        <w:numId w:val="4"/>
      </w:numPr>
      <w:spacing w:before="0" w:after="0"/>
    </w:pPr>
    <w:rPr>
      <w:rFonts w:ascii="Times New Roman" w:hAnsi="Times New Roman"/>
      <w:i w:val="0"/>
      <w:sz w:val="24"/>
      <w:szCs w:val="24"/>
    </w:rPr>
  </w:style>
  <w:style w:type="character" w:customStyle="1" w:styleId="ProtocolHeading1Char">
    <w:name w:val="Protocol_Heading1 Char"/>
    <w:basedOn w:val="Heading1Char"/>
    <w:link w:val="ProtocolHeading1"/>
    <w:rsid w:val="00557197"/>
    <w:rPr>
      <w:b/>
      <w:sz w:val="24"/>
      <w:lang w:val="en-GB" w:eastAsia="en-GB" w:bidi="ar-SA"/>
    </w:rPr>
  </w:style>
  <w:style w:type="paragraph" w:customStyle="1" w:styleId="PTitle">
    <w:name w:val="P_Title"/>
    <w:basedOn w:val="Title"/>
    <w:link w:val="PTitleChar"/>
    <w:qFormat/>
    <w:rsid w:val="00D5686E"/>
    <w:pPr>
      <w:jc w:val="left"/>
    </w:pPr>
    <w:rPr>
      <w:sz w:val="24"/>
      <w:szCs w:val="24"/>
    </w:rPr>
  </w:style>
  <w:style w:type="character" w:customStyle="1" w:styleId="ProtocolHeading2Char">
    <w:name w:val="Protocol_Heading2 Char"/>
    <w:basedOn w:val="Heading2Char"/>
    <w:link w:val="ProtocolHeading2"/>
    <w:rsid w:val="002465BA"/>
    <w:rPr>
      <w:rFonts w:ascii="Cambria" w:hAnsi="Cambria"/>
      <w:b/>
      <w:bCs/>
      <w:i w:val="0"/>
      <w:iCs/>
      <w:sz w:val="24"/>
      <w:szCs w:val="24"/>
      <w:lang w:val="en-GB" w:eastAsia="en-GB" w:bidi="ar-SA"/>
    </w:rPr>
  </w:style>
  <w:style w:type="paragraph" w:customStyle="1" w:styleId="PHeading1">
    <w:name w:val="P_Heading1"/>
    <w:basedOn w:val="Normal"/>
    <w:link w:val="PHeading1Char"/>
    <w:qFormat/>
    <w:rsid w:val="00D5686E"/>
    <w:pPr>
      <w:numPr>
        <w:numId w:val="4"/>
      </w:numPr>
    </w:pPr>
    <w:rPr>
      <w:b/>
    </w:rPr>
  </w:style>
  <w:style w:type="character" w:customStyle="1" w:styleId="PTitleChar">
    <w:name w:val="P_Title Char"/>
    <w:basedOn w:val="TitleChar"/>
    <w:link w:val="PTitle"/>
    <w:rsid w:val="00D5686E"/>
    <w:rPr>
      <w:b/>
      <w:sz w:val="24"/>
      <w:szCs w:val="24"/>
      <w:lang w:val="en-GB" w:eastAsia="en-US" w:bidi="ar-SA"/>
    </w:rPr>
  </w:style>
  <w:style w:type="paragraph" w:customStyle="1" w:styleId="PNormal">
    <w:name w:val="P_Normal"/>
    <w:basedOn w:val="Normal"/>
    <w:link w:val="PNormalChar"/>
    <w:qFormat/>
    <w:rsid w:val="00D5686E"/>
    <w:pPr>
      <w:jc w:val="both"/>
    </w:pPr>
  </w:style>
  <w:style w:type="character" w:customStyle="1" w:styleId="PHeading1Char">
    <w:name w:val="P_Heading1 Char"/>
    <w:basedOn w:val="DefaultParagraphFont"/>
    <w:link w:val="PHeading1"/>
    <w:rsid w:val="00D5686E"/>
    <w:rPr>
      <w:b/>
      <w:sz w:val="24"/>
      <w:szCs w:val="24"/>
      <w:lang w:eastAsia="en-GB"/>
    </w:rPr>
  </w:style>
  <w:style w:type="paragraph" w:customStyle="1" w:styleId="PHeading2">
    <w:name w:val="P_Heading2"/>
    <w:basedOn w:val="ProtocolHeading2"/>
    <w:link w:val="PHeading2Char"/>
    <w:qFormat/>
    <w:rsid w:val="00DC7C02"/>
  </w:style>
  <w:style w:type="character" w:customStyle="1" w:styleId="PNormalChar">
    <w:name w:val="P_Normal Char"/>
    <w:basedOn w:val="DefaultParagraphFont"/>
    <w:link w:val="PNormal"/>
    <w:rsid w:val="00D5686E"/>
    <w:rPr>
      <w:sz w:val="24"/>
      <w:szCs w:val="24"/>
      <w:lang w:eastAsia="en-GB"/>
    </w:rPr>
  </w:style>
  <w:style w:type="paragraph" w:customStyle="1" w:styleId="PHeading3">
    <w:name w:val="P_Heading3"/>
    <w:basedOn w:val="PHeading2"/>
    <w:link w:val="PHeading3Char"/>
    <w:qFormat/>
    <w:rsid w:val="004B66B2"/>
    <w:pPr>
      <w:numPr>
        <w:ilvl w:val="2"/>
      </w:numPr>
    </w:pPr>
  </w:style>
  <w:style w:type="character" w:customStyle="1" w:styleId="PHeading2Char">
    <w:name w:val="P_Heading2 Char"/>
    <w:basedOn w:val="Heading2Char"/>
    <w:link w:val="PHeading2"/>
    <w:rsid w:val="00DC7C02"/>
    <w:rPr>
      <w:rFonts w:ascii="Cambria" w:hAnsi="Cambria"/>
      <w:b/>
      <w:bCs/>
      <w:i w:val="0"/>
      <w:iCs/>
      <w:sz w:val="24"/>
      <w:szCs w:val="24"/>
      <w:lang w:val="en-GB" w:eastAsia="en-GB" w:bidi="ar-SA"/>
    </w:rPr>
  </w:style>
  <w:style w:type="character" w:customStyle="1" w:styleId="PHeading3Char">
    <w:name w:val="P_Heading3 Char"/>
    <w:basedOn w:val="PHeading2Char"/>
    <w:link w:val="PHeading3"/>
    <w:rsid w:val="004B66B2"/>
    <w:rPr>
      <w:rFonts w:ascii="Cambria" w:hAnsi="Cambria"/>
      <w:b/>
      <w:bCs/>
      <w:i w:val="0"/>
      <w:iCs/>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87057">
      <w:bodyDiv w:val="1"/>
      <w:marLeft w:val="0"/>
      <w:marRight w:val="0"/>
      <w:marTop w:val="0"/>
      <w:marBottom w:val="0"/>
      <w:divBdr>
        <w:top w:val="none" w:sz="0" w:space="0" w:color="auto"/>
        <w:left w:val="none" w:sz="0" w:space="0" w:color="auto"/>
        <w:bottom w:val="none" w:sz="0" w:space="0" w:color="auto"/>
        <w:right w:val="none" w:sz="0" w:space="0" w:color="auto"/>
      </w:divBdr>
      <w:divsChild>
        <w:div w:id="1388841708">
          <w:marLeft w:val="0"/>
          <w:marRight w:val="0"/>
          <w:marTop w:val="0"/>
          <w:marBottom w:val="0"/>
          <w:divBdr>
            <w:top w:val="none" w:sz="0" w:space="0" w:color="auto"/>
            <w:left w:val="none" w:sz="0" w:space="0" w:color="auto"/>
            <w:bottom w:val="none" w:sz="0" w:space="0" w:color="auto"/>
            <w:right w:val="none" w:sz="0" w:space="0" w:color="auto"/>
          </w:divBdr>
          <w:divsChild>
            <w:div w:id="585382498">
              <w:marLeft w:val="0"/>
              <w:marRight w:val="0"/>
              <w:marTop w:val="0"/>
              <w:marBottom w:val="0"/>
              <w:divBdr>
                <w:top w:val="none" w:sz="0" w:space="0" w:color="auto"/>
                <w:left w:val="none" w:sz="0" w:space="0" w:color="auto"/>
                <w:bottom w:val="none" w:sz="0" w:space="0" w:color="auto"/>
                <w:right w:val="none" w:sz="0" w:space="0" w:color="auto"/>
              </w:divBdr>
              <w:divsChild>
                <w:div w:id="1846357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8134952">
      <w:bodyDiv w:val="1"/>
      <w:marLeft w:val="0"/>
      <w:marRight w:val="0"/>
      <w:marTop w:val="0"/>
      <w:marBottom w:val="0"/>
      <w:divBdr>
        <w:top w:val="none" w:sz="0" w:space="0" w:color="auto"/>
        <w:left w:val="none" w:sz="0" w:space="0" w:color="auto"/>
        <w:bottom w:val="none" w:sz="0" w:space="0" w:color="auto"/>
        <w:right w:val="none" w:sz="0" w:space="0" w:color="auto"/>
      </w:divBdr>
      <w:divsChild>
        <w:div w:id="112940437">
          <w:marLeft w:val="0"/>
          <w:marRight w:val="0"/>
          <w:marTop w:val="0"/>
          <w:marBottom w:val="0"/>
          <w:divBdr>
            <w:top w:val="none" w:sz="0" w:space="0" w:color="auto"/>
            <w:left w:val="none" w:sz="0" w:space="0" w:color="auto"/>
            <w:bottom w:val="none" w:sz="0" w:space="0" w:color="auto"/>
            <w:right w:val="none" w:sz="0" w:space="0" w:color="auto"/>
          </w:divBdr>
          <w:divsChild>
            <w:div w:id="42029195">
              <w:marLeft w:val="0"/>
              <w:marRight w:val="0"/>
              <w:marTop w:val="0"/>
              <w:marBottom w:val="0"/>
              <w:divBdr>
                <w:top w:val="none" w:sz="0" w:space="0" w:color="auto"/>
                <w:left w:val="none" w:sz="0" w:space="0" w:color="auto"/>
                <w:bottom w:val="none" w:sz="0" w:space="0" w:color="auto"/>
                <w:right w:val="none" w:sz="0" w:space="0" w:color="auto"/>
              </w:divBdr>
              <w:divsChild>
                <w:div w:id="3343114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4311188">
      <w:bodyDiv w:val="1"/>
      <w:marLeft w:val="0"/>
      <w:marRight w:val="0"/>
      <w:marTop w:val="0"/>
      <w:marBottom w:val="0"/>
      <w:divBdr>
        <w:top w:val="none" w:sz="0" w:space="0" w:color="auto"/>
        <w:left w:val="none" w:sz="0" w:space="0" w:color="auto"/>
        <w:bottom w:val="none" w:sz="0" w:space="0" w:color="auto"/>
        <w:right w:val="none" w:sz="0" w:space="0" w:color="auto"/>
      </w:divBdr>
      <w:divsChild>
        <w:div w:id="1211841726">
          <w:marLeft w:val="0"/>
          <w:marRight w:val="0"/>
          <w:marTop w:val="0"/>
          <w:marBottom w:val="0"/>
          <w:divBdr>
            <w:top w:val="none" w:sz="0" w:space="0" w:color="auto"/>
            <w:left w:val="none" w:sz="0" w:space="0" w:color="auto"/>
            <w:bottom w:val="none" w:sz="0" w:space="0" w:color="auto"/>
            <w:right w:val="none" w:sz="0" w:space="0" w:color="auto"/>
          </w:divBdr>
          <w:divsChild>
            <w:div w:id="1820997507">
              <w:marLeft w:val="0"/>
              <w:marRight w:val="0"/>
              <w:marTop w:val="0"/>
              <w:marBottom w:val="0"/>
              <w:divBdr>
                <w:top w:val="none" w:sz="0" w:space="0" w:color="auto"/>
                <w:left w:val="none" w:sz="0" w:space="0" w:color="auto"/>
                <w:bottom w:val="none" w:sz="0" w:space="0" w:color="auto"/>
                <w:right w:val="none" w:sz="0" w:space="0" w:color="auto"/>
              </w:divBdr>
              <w:divsChild>
                <w:div w:id="3235161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prd.com/ISAC" TargetMode="External"/><Relationship Id="rId18" Type="http://schemas.openxmlformats.org/officeDocument/2006/relationships/footer" Target="footer3.xml"/><Relationship Id="rId8" Type="http://schemas.openxmlformats.org/officeDocument/2006/relationships/hyperlink" Target="mailto:Annalisa.Rubino@gprd.com" TargetMode="External"/><Relationship Id="rId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kc@cprd.com" TargetMode="External"/><Relationship Id="rId17" Type="http://schemas.openxmlformats.org/officeDocument/2006/relationships/header" Target="header2.xml"/><Relationship Id="rId7" Type="http://schemas.openxmlformats.org/officeDocument/2006/relationships/endnotes" Target="endnotes.xml"/><Relationship Id="rId25" Type="http://schemas.openxmlformats.org/officeDocument/2006/relationships/customXml" Target="../customXml/item4.xml"/><Relationship Id="rId20" Type="http://schemas.openxmlformats.org/officeDocument/2006/relationships/footer" Target="footer5.xml"/><Relationship Id="rId16" Type="http://schemas.openxmlformats.org/officeDocument/2006/relationships/footer" Target="footer2.xml"/><Relationship Id="rId2" Type="http://schemas.openxmlformats.org/officeDocument/2006/relationships/numbering" Target="numbering.xml"/><Relationship Id="rId11" Type="http://schemas.openxmlformats.org/officeDocument/2006/relationships/hyperlink" Target="mailto:KC@CPRD.com"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customXml" Target="../customXml/item3.xml"/><Relationship Id="rId15" Type="http://schemas.openxmlformats.org/officeDocument/2006/relationships/footer" Target="footer1.xml"/><Relationship Id="rId5" Type="http://schemas.openxmlformats.org/officeDocument/2006/relationships/webSettings" Target="webSettings.xml"/><Relationship Id="rId23" Type="http://schemas.openxmlformats.org/officeDocument/2006/relationships/customXml" Target="../customXml/item2.xml"/><Relationship Id="rId10" Type="http://schemas.openxmlformats.org/officeDocument/2006/relationships/hyperlink" Target="mailto:Richard.Martin@bristol.ac.uk" TargetMode="External"/><Relationship Id="rId19" Type="http://schemas.openxmlformats.org/officeDocument/2006/relationships/footer" Target="footer4.xml"/><Relationship Id="rId9" Type="http://schemas.openxmlformats.org/officeDocument/2006/relationships/hyperlink" Target="tel:0117%204147821" TargetMode="External"/><Relationship Id="rId22" Type="http://schemas.openxmlformats.org/officeDocument/2006/relationships/theme" Target="theme/theme1.xml"/><Relationship Id="rId14" Type="http://schemas.openxmlformats.org/officeDocument/2006/relationships/header" Target="head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E5106EC868644C97BE1423FB14B5FC" ma:contentTypeVersion="2" ma:contentTypeDescription="Create a new document." ma:contentTypeScope="" ma:versionID="cb746c68462917f43d1305fe588ecf88">
  <xsd:schema xmlns:xsd="http://www.w3.org/2001/XMLSchema" xmlns:xs="http://www.w3.org/2001/XMLSchema" xmlns:p="http://schemas.microsoft.com/office/2006/metadata/properties" xmlns:ns2="9659c222-2717-4db3-8983-7ab564b1a641" targetNamespace="http://schemas.microsoft.com/office/2006/metadata/properties" ma:root="true" ma:fieldsID="d5a0472e7424a4e3eec4cb857111beeb" ns2:_="">
    <xsd:import namespace="9659c222-2717-4db3-8983-7ab564b1a64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9c222-2717-4db3-8983-7ab564b1a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AA284B-6435-834C-A7D4-2E9EECAC6F6F}">
  <ds:schemaRefs>
    <ds:schemaRef ds:uri="http://schemas.openxmlformats.org/officeDocument/2006/bibliography"/>
  </ds:schemaRefs>
</ds:datastoreItem>
</file>

<file path=customXml/itemProps2.xml><?xml version="1.0" encoding="utf-8"?>
<ds:datastoreItem xmlns:ds="http://schemas.openxmlformats.org/officeDocument/2006/customXml" ds:itemID="{DCF6B0EB-E0C4-4A6E-AB36-22B0F6768EE1}"/>
</file>

<file path=customXml/itemProps3.xml><?xml version="1.0" encoding="utf-8"?>
<ds:datastoreItem xmlns:ds="http://schemas.openxmlformats.org/officeDocument/2006/customXml" ds:itemID="{0744256F-0AA1-46F1-88D2-29B449D10307}"/>
</file>

<file path=customXml/itemProps4.xml><?xml version="1.0" encoding="utf-8"?>
<ds:datastoreItem xmlns:ds="http://schemas.openxmlformats.org/officeDocument/2006/customXml" ds:itemID="{D48FB1DE-195C-4529-B277-13528546DBF7}"/>
</file>

<file path=docProps/app.xml><?xml version="1.0" encoding="utf-8"?>
<Properties xmlns="http://schemas.openxmlformats.org/officeDocument/2006/extended-properties" xmlns:vt="http://schemas.openxmlformats.org/officeDocument/2006/docPropsVTypes">
  <Template>Normal.dotm</Template>
  <TotalTime>2</TotalTime>
  <Pages>29</Pages>
  <Words>27285</Words>
  <Characters>155528</Characters>
  <Application>Microsoft Macintosh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ISAC APPLICATION FORM</vt:lpstr>
    </vt:vector>
  </TitlesOfParts>
  <Company>MHRA</Company>
  <LinksUpToDate>false</LinksUpToDate>
  <CharactersWithSpaces>182449</CharactersWithSpaces>
  <SharedDoc>false</SharedDoc>
  <HLinks>
    <vt:vector size="30" baseType="variant">
      <vt:variant>
        <vt:i4>4456514</vt:i4>
      </vt:variant>
      <vt:variant>
        <vt:i4>292</vt:i4>
      </vt:variant>
      <vt:variant>
        <vt:i4>0</vt:i4>
      </vt:variant>
      <vt:variant>
        <vt:i4>5</vt:i4>
      </vt:variant>
      <vt:variant>
        <vt:lpwstr>http://www.cprd.com/ISAC</vt:lpwstr>
      </vt:variant>
      <vt:variant>
        <vt:lpwstr/>
      </vt:variant>
      <vt:variant>
        <vt:i4>5439609</vt:i4>
      </vt:variant>
      <vt:variant>
        <vt:i4>204</vt:i4>
      </vt:variant>
      <vt:variant>
        <vt:i4>0</vt:i4>
      </vt:variant>
      <vt:variant>
        <vt:i4>5</vt:i4>
      </vt:variant>
      <vt:variant>
        <vt:lpwstr>mailto:kc@cprd.com</vt:lpwstr>
      </vt:variant>
      <vt:variant>
        <vt:lpwstr/>
      </vt:variant>
      <vt:variant>
        <vt:i4>5439609</vt:i4>
      </vt:variant>
      <vt:variant>
        <vt:i4>188</vt:i4>
      </vt:variant>
      <vt:variant>
        <vt:i4>0</vt:i4>
      </vt:variant>
      <vt:variant>
        <vt:i4>5</vt:i4>
      </vt:variant>
      <vt:variant>
        <vt:lpwstr>mailto:KC@CPRD.com</vt:lpwstr>
      </vt:variant>
      <vt:variant>
        <vt:lpwstr/>
      </vt:variant>
      <vt:variant>
        <vt:i4>6488146</vt:i4>
      </vt:variant>
      <vt:variant>
        <vt:i4>49</vt:i4>
      </vt:variant>
      <vt:variant>
        <vt:i4>0</vt:i4>
      </vt:variant>
      <vt:variant>
        <vt:i4>5</vt:i4>
      </vt:variant>
      <vt:variant>
        <vt:lpwstr>file://localhost/tel/0117%204147821</vt:lpwstr>
      </vt:variant>
      <vt:variant>
        <vt:lpwstr/>
      </vt:variant>
      <vt:variant>
        <vt:i4>8061033</vt:i4>
      </vt:variant>
      <vt:variant>
        <vt:i4>0</vt:i4>
      </vt:variant>
      <vt:variant>
        <vt:i4>0</vt:i4>
      </vt:variant>
      <vt:variant>
        <vt:i4>5</vt:i4>
      </vt:variant>
      <vt:variant>
        <vt:lpwstr>mailto:Annalisa.Rubino@gprd.com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ISAC APPLICATION FORM</dc:title>
  <dc:subject/>
  <dc:creator>chidwickke</dc:creator>
  <cp:keywords/>
  <dc:description/>
  <cp:lastModifiedBy>AVM Walker</cp:lastModifiedBy>
  <cp:revision>2</cp:revision>
  <cp:lastPrinted>2015-04-22T13:47:00Z</cp:lastPrinted>
  <dcterms:created xsi:type="dcterms:W3CDTF">2016-02-19T09:46:00Z</dcterms:created>
  <dcterms:modified xsi:type="dcterms:W3CDTF">2016-02-19T09:46:00Z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id="BGHc1czM"/&gt;&lt;style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y fmtid="{D5CDD505-2E9C-101B-9397-08002B2CF9AE}" pid="4" name="ContentTypeId">
    <vt:lpwstr>0x010100D7E5106EC868644C97BE1423FB14B5FC</vt:lpwstr>
  </property>
</Properties>
</file>