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41.jpg" ContentType="image/jpeg"/>
  <Override PartName="/word/media/rId3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Date"/>
      </w:pPr>
      <w:r>
        <w:t xml:space="preserve">Maunscript</w:t>
      </w:r>
      <w:r>
        <w:t xml:space="preserve"> </w:t>
      </w:r>
      <w:r>
        <w:t xml:space="preserve">last</w:t>
      </w:r>
      <w:r>
        <w:t xml:space="preserve"> </w:t>
      </w:r>
      <w:r>
        <w:t xml:space="preserve">updated:</w:t>
      </w:r>
      <w:r>
        <w:t xml:space="preserve"> </w:t>
      </w:r>
      <w:r>
        <w:t xml:space="preserve">15</w:t>
      </w:r>
      <w:r>
        <w:t xml:space="preserve"> </w:t>
      </w:r>
      <w:r>
        <w:t xml:space="preserve">November,</w:t>
      </w:r>
      <w:r>
        <w:t xml:space="preserve"> </w:t>
      </w:r>
      <w:r>
        <w:t xml:space="preserve">2019</w:t>
      </w:r>
    </w:p>
    <w:p>
      <w:pPr>
        <w:pStyle w:val="Heading1"/>
      </w:pPr>
      <w:bookmarkStart w:id="20" w:name="cover-page"/>
      <w:r>
        <w:t xml:space="preserve">Cover page</w:t>
      </w:r>
      <w:bookmarkEnd w:id="20"/>
    </w:p>
    <w:p>
      <w:pPr>
        <w:pStyle w:val="FirstParagraph"/>
      </w:pPr>
      <w:r>
        <w:rPr>
          <w:b/>
        </w:rPr>
        <w:t xml:space="preserve">Title:</w:t>
      </w:r>
      <w:r>
        <w:rPr>
          <w:b/>
        </w:rPr>
        <w:t xml:space="preserve"> </w:t>
      </w:r>
    </w:p>
    <w:p>
      <w:pPr>
        <w:pStyle w:val="BodyText"/>
      </w:pPr>
      <w:r>
        <w:t xml:space="preserve">Repurposing lipid regulating drugs for the prevention of Alzheimer’s disease</w:t>
      </w:r>
    </w:p>
    <w:p>
      <w:pPr>
        <w:pStyle w:val="BodyText"/>
      </w:pPr>
      <w:r>
        <w:t xml:space="preserve"> </w:t>
      </w:r>
    </w:p>
    <w:p>
      <w:pPr>
        <w:pStyle w:val="BodyText"/>
      </w:pPr>
      <w:r>
        <w:rPr>
          <w:b/>
        </w:rPr>
        <w:t xml:space="preserve">Authors and Affiliations:</w:t>
      </w:r>
    </w:p>
    <w:p>
      <w:pPr>
        <w:pStyle w:val="BodyText"/>
      </w:pPr>
      <w:r>
        <w:t xml:space="preserve">Luke A McGuinness</w:t>
      </w:r>
      <w:r>
        <w:rPr>
          <w:vertAlign w:val="superscript"/>
        </w:rPr>
        <w:t xml:space="preserve">1,2</w:t>
      </w:r>
      <w:r>
        <w:t xml:space="preserve">, Venexia M Walker</w:t>
      </w:r>
      <w:r>
        <w:rPr>
          <w:vertAlign w:val="superscript"/>
        </w:rPr>
        <w:t xml:space="preserve">1,2</w:t>
      </w:r>
      <w:r>
        <w:t xml:space="preserve">, Neil M Davies</w:t>
      </w:r>
      <w:r>
        <w:rPr>
          <w:vertAlign w:val="superscript"/>
        </w:rPr>
        <w:t xml:space="preserve">1,2</w:t>
      </w:r>
      <w:r>
        <w:t xml:space="preserve">, Richard M Martin</w:t>
      </w:r>
      <w:r>
        <w:rPr>
          <w:vertAlign w:val="superscript"/>
        </w:rPr>
        <w:t xml:space="preserve">1,2</w:t>
      </w:r>
      <w:r>
        <w:t xml:space="preserve">, and Patrick G Kehoe</w:t>
      </w:r>
      <w:r>
        <w:rPr>
          <w:vertAlign w:val="superscript"/>
        </w:rPr>
        <w:t xml:space="preserve">3,4</w:t>
      </w:r>
    </w:p>
    <w:p>
      <w:pPr>
        <w:pStyle w:val="Compact"/>
        <w:numPr>
          <w:numId w:val="1001"/>
          <w:ilvl w:val="0"/>
        </w:numPr>
      </w:pPr>
      <w:r>
        <w:t xml:space="preserve">MRC University of Bristol Integrative Epidemiology Unit, Bristol, UK</w:t>
      </w:r>
    </w:p>
    <w:p>
      <w:pPr>
        <w:pStyle w:val="Compact"/>
        <w:numPr>
          <w:numId w:val="1001"/>
          <w:ilvl w:val="0"/>
        </w:numPr>
      </w:pPr>
      <w:r>
        <w:t xml:space="preserve">Bristol Medical School: Population Health Sciences, University of Bristol, Bristol, UK</w:t>
      </w:r>
    </w:p>
    <w:p>
      <w:pPr>
        <w:pStyle w:val="Compact"/>
        <w:numPr>
          <w:numId w:val="1001"/>
          <w:ilvl w:val="0"/>
        </w:numPr>
      </w:pPr>
      <w:r>
        <w:t xml:space="preserve">Dementia Research Group, Bristol Medical School, University of Bristol, Bristol, UK</w:t>
      </w:r>
    </w:p>
    <w:p>
      <w:pPr>
        <w:pStyle w:val="Compact"/>
        <w:numPr>
          <w:numId w:val="1001"/>
          <w:ilvl w:val="0"/>
        </w:numPr>
      </w:pPr>
      <w:r>
        <w:t xml:space="preserve">Bristol Medical School: Translational Health Sciences, University of Bristol, Bristol, UK</w:t>
      </w:r>
    </w:p>
    <w:p>
      <w:pPr>
        <w:pStyle w:val="FirstParagraph"/>
      </w:pPr>
      <w:r>
        <w:rPr>
          <w:b/>
        </w:rPr>
        <w:t xml:space="preserve">Corresponding author:</w:t>
      </w:r>
    </w:p>
    <w:p>
      <w:pPr>
        <w:pStyle w:val="BodyText"/>
      </w:pPr>
      <w:r>
        <w:t xml:space="preserve">Luke McGuinness; Bristol Medical School, University of Bristol,</w:t>
      </w:r>
      <w:r>
        <w:t xml:space="preserve"> </w:t>
      </w:r>
      <w:r>
        <w:t xml:space="preserve">Canynge Hall, 39 Whatley Road, Bristol, BS8 2PS, United Kingdom.;</w:t>
      </w:r>
      <w:r>
        <w:t xml:space="preserve"> </w:t>
      </w:r>
      <w:hyperlink r:id="rId21">
        <w:r>
          <w:rPr>
            <w:rStyle w:val="Hyperlink"/>
          </w:rPr>
          <w:t xml:space="preserve">luke.mcguinness@bristol.ac.uk</w:t>
        </w:r>
      </w:hyperlink>
    </w:p>
    <w:p>
      <w:pPr>
        <w:pStyle w:val="Heading5"/>
      </w:pPr>
      <w:bookmarkStart w:id="22" w:name="section"/>
      <w:bookmarkEnd w:id="22"/>
    </w:p>
    <w:p>
      <w:pPr>
        <w:pStyle w:val="Heading1"/>
      </w:pPr>
      <w:bookmarkStart w:id="23" w:name="abstract"/>
      <w:r>
        <w:t xml:space="preserve">Abstract</w:t>
      </w:r>
      <w:bookmarkEnd w:id="23"/>
    </w:p>
    <w:p>
      <w:pPr>
        <w:pStyle w:val="FirstParagraph"/>
      </w:pPr>
      <w:r>
        <w:rPr>
          <w:b/>
        </w:rPr>
        <w:t xml:space="preserve">Introduction</w:t>
      </w:r>
      <w:r>
        <w:t xml:space="preserve">:</w:t>
      </w:r>
    </w:p>
    <w:p>
      <w:pPr>
        <w:pStyle w:val="BodyText"/>
      </w:pPr>
      <w:r>
        <w:rPr>
          <w:b/>
        </w:rPr>
        <w:t xml:space="preserve">Methods</w:t>
      </w:r>
      <w:r>
        <w:t xml:space="preserve">:</w:t>
      </w:r>
    </w:p>
    <w:p>
      <w:pPr>
        <w:pStyle w:val="BodyText"/>
      </w:pPr>
      <w:r>
        <w:rPr>
          <w:b/>
        </w:rPr>
        <w:t xml:space="preserve">Findings</w:t>
      </w:r>
      <w:r>
        <w:t xml:space="preserve">:</w:t>
      </w:r>
    </w:p>
    <w:p>
      <w:pPr>
        <w:pStyle w:val="BodyText"/>
      </w:pPr>
      <w:r>
        <w:rPr>
          <w:b/>
        </w:rPr>
        <w:t xml:space="preserve">Interpretation</w:t>
      </w:r>
      <w:r>
        <w:t xml:space="preserve">:</w:t>
      </w:r>
    </w:p>
    <w:p>
      <w:pPr>
        <w:pStyle w:val="BodyText"/>
      </w:pPr>
      <w:r>
        <w:rPr>
          <w:b/>
        </w:rPr>
        <w:t xml:space="preserve">Funding</w:t>
      </w:r>
      <w:r>
        <w:t xml:space="preserve">:</w:t>
      </w:r>
    </w:p>
    <w:p>
      <w:pPr>
        <w:pStyle w:val="Heading5"/>
      </w:pPr>
      <w:bookmarkStart w:id="24" w:name="section-1"/>
      <w:bookmarkEnd w:id="24"/>
    </w:p>
    <w:p>
      <w:pPr>
        <w:pStyle w:val="Heading1"/>
      </w:pPr>
      <w:bookmarkStart w:id="25" w:name="research-in-context"/>
      <w:r>
        <w:t xml:space="preserve">Research in context</w:t>
      </w:r>
      <w:bookmarkEnd w:id="25"/>
    </w:p>
    <w:p>
      <w:pPr>
        <w:pStyle w:val="FirstParagraph"/>
      </w:pPr>
      <w:r>
        <w:rPr>
          <w:b/>
        </w:rPr>
        <w:t xml:space="preserve">Evidence before this study</w:t>
      </w:r>
      <w:r>
        <w:t xml:space="preserve">:</w:t>
      </w:r>
    </w:p>
    <w:p>
      <w:pPr>
        <w:pStyle w:val="BodyText"/>
      </w:pPr>
      <w:r>
        <w:rPr>
          <w:b/>
        </w:rPr>
        <w:t xml:space="preserve">Added value of this study</w:t>
      </w:r>
      <w:r>
        <w:t xml:space="preserve">:</w:t>
      </w:r>
    </w:p>
    <w:p>
      <w:pPr>
        <w:pStyle w:val="BodyText"/>
      </w:pPr>
      <w:r>
        <w:rPr>
          <w:b/>
        </w:rPr>
        <w:t xml:space="preserve">Implications of all the available evidence</w:t>
      </w:r>
      <w:r>
        <w:t xml:space="preserve">:</w:t>
      </w:r>
    </w:p>
    <w:p>
      <w:pPr>
        <w:pStyle w:val="Heading5"/>
      </w:pPr>
      <w:bookmarkStart w:id="26" w:name="section-2"/>
      <w:bookmarkEnd w:id="26"/>
    </w:p>
    <w:p>
      <w:pPr>
        <w:pStyle w:val="Heading1"/>
      </w:pPr>
      <w:bookmarkStart w:id="27" w:name="introduction"/>
      <w:r>
        <w:t xml:space="preserve">Introduction</w:t>
      </w:r>
      <w:bookmarkEnd w:id="27"/>
    </w:p>
    <w:p>
      <w:pPr>
        <w:pStyle w:val="Heading5"/>
      </w:pPr>
      <w:bookmarkStart w:id="28" w:name="section-3"/>
      <w:bookmarkEnd w:id="28"/>
    </w:p>
    <w:p>
      <w:pPr>
        <w:pStyle w:val="Heading1"/>
      </w:pPr>
      <w:bookmarkStart w:id="29" w:name="methods"/>
      <w:r>
        <w:t xml:space="preserve">Methods</w:t>
      </w:r>
      <w:bookmarkEnd w:id="29"/>
    </w:p>
    <w:p>
      <w:pPr>
        <w:pStyle w:val="FirstParagraph"/>
      </w:pPr>
      <w:r>
        <w:rPr>
          <w:b/>
        </w:rPr>
        <w:t xml:space="preserve">Study design</w:t>
      </w:r>
    </w:p>
    <w:p>
      <w:pPr>
        <w:pStyle w:val="BodyText"/>
      </w:pPr>
      <w:r>
        <w:t xml:space="preserve">We performed a prospective cohort study using data from the CPRD, a large UK primary healthcare database.</w:t>
      </w:r>
      <w:r>
        <w:rPr>
          <w:vertAlign w:val="superscript"/>
        </w:rPr>
        <w:t xml:space="preserve">1</w:t>
      </w:r>
      <w:r>
        <w:t xml:space="preserve"> </w:t>
      </w:r>
      <w:r>
        <w:t xml:space="preserve">The CPRD</w:t>
      </w:r>
    </w:p>
    <w:p>
      <w:pPr>
        <w:pStyle w:val="BodyText"/>
      </w:pPr>
      <w:r>
        <w:t xml:space="preserve">Our inital sample included all patients included all participants who had a flag for</w:t>
      </w:r>
      <w:r>
        <w:t xml:space="preserve"> </w:t>
      </w:r>
      <w:r>
        <w:t xml:space="preserve">“</w:t>
      </w:r>
      <w:r>
        <w:t xml:space="preserve">research quality</w:t>
      </w:r>
      <w:r>
        <w:t xml:space="preserve">”</w:t>
      </w:r>
      <w:r>
        <w:t xml:space="preserve"> </w:t>
      </w:r>
      <w:r>
        <w:t xml:space="preserve">data, registered at a participating practice between 1-1-1987 and 29-2-2016.</w:t>
      </w:r>
    </w:p>
    <w:p>
      <w:pPr>
        <w:pStyle w:val="BodyText"/>
      </w:pPr>
      <w:r>
        <w:t xml:space="preserve">An ISAC protocol for this analysis was pre-registered, and amendents to this can been seen in the Supplemental Table</w:t>
      </w:r>
      <w:r>
        <w:t xml:space="preserve"> </w:t>
      </w:r>
      <w:r>
        <w:t xml:space="preserve">??</w:t>
      </w:r>
      <w:r>
        <w:t xml:space="preserve">.</w:t>
      </w:r>
    </w:p>
    <w:p>
      <w:pPr>
        <w:pStyle w:val="BodyText"/>
      </w:pPr>
      <w:r>
        <w:t xml:space="preserve">A protocol for the study was published in advance.</w:t>
      </w:r>
      <w:r>
        <w:rPr>
          <w:vertAlign w:val="superscript"/>
        </w:rPr>
        <w:t xml:space="preserve">2</w:t>
      </w:r>
    </w:p>
    <w:p>
      <w:pPr>
        <w:pStyle w:val="BodyText"/>
      </w:pPr>
      <w:r>
        <w:t xml:space="preserve"> </w:t>
      </w:r>
    </w:p>
    <w:p>
      <w:pPr>
        <w:pStyle w:val="BodyText"/>
      </w:pPr>
      <w:r>
        <w:rPr>
          <w:b/>
        </w:rPr>
        <w:t xml:space="preserve">Participants</w:t>
      </w:r>
    </w:p>
    <w:p>
      <w:pPr>
        <w:pStyle w:val="BodyText"/>
      </w:pPr>
      <w:r>
        <w:t xml:space="preserve">We included participants with an index event of a code for a diagnosis of hypercholesterolaemia, a code for prescription of a lipid regulating agent (statin, ezetimibe, etc.) or a test result where total cholesterol level is was greater than &gt;4 mmol/L or LDL level is between 2 mmol/L.</w:t>
      </w:r>
    </w:p>
    <w:p>
      <w:pPr>
        <w:pStyle w:val="BodyText"/>
      </w:pPr>
      <w:r>
        <w:t xml:space="preserve">Participants were follow until the earliest of: an outcome of interest; death; end of follw-up (29-2-2016); last registration with their GP practice.</w:t>
      </w:r>
    </w:p>
    <w:p>
      <w:pPr>
        <w:pStyle w:val="BodyText"/>
      </w:pPr>
      <w:r>
        <w:t xml:space="preserve">Participants were removed from our sample if they: had less than 40 years of age; had less than 12 months of</w:t>
      </w:r>
      <w:r>
        <w:t xml:space="preserve"> </w:t>
      </w:r>
      <w:r>
        <w:t xml:space="preserve">“</w:t>
      </w:r>
      <w:r>
        <w:t xml:space="preserve">research quality</w:t>
      </w:r>
      <w:r>
        <w:t xml:space="preserve">”</w:t>
      </w:r>
      <w:r>
        <w:t xml:space="preserve"> </w:t>
      </w:r>
      <w:r>
        <w:t xml:space="preserve">data; were initally prescribed more than one lipid regulating agent, were diagnosed with dementia before/on the date of the index event.</w:t>
      </w:r>
    </w:p>
    <w:p>
      <w:pPr>
        <w:pStyle w:val="BodyText"/>
      </w:pPr>
      <w:r>
        <w:t xml:space="preserve">We also excluded patients with</w:t>
      </w:r>
    </w:p>
    <w:p>
      <w:pPr>
        <w:pStyle w:val="BodyText"/>
      </w:pPr>
      <w:r>
        <w:t xml:space="preserve"> </w:t>
      </w:r>
    </w:p>
    <w:p>
      <w:pPr>
        <w:pStyle w:val="BodyText"/>
      </w:pPr>
      <w:r>
        <w:rPr>
          <w:b/>
        </w:rPr>
        <w:t xml:space="preserve">Exposures</w:t>
      </w:r>
    </w:p>
    <w:p>
      <w:pPr>
        <w:pStyle w:val="BodyText"/>
      </w:pPr>
      <w:r>
        <w:t xml:space="preserve">We considered 6 (or 7) lipid regulating drug clases based on groupings in the British National Formulary (BNF).</w:t>
      </w:r>
    </w:p>
    <w:p>
      <w:pPr>
        <w:pStyle w:val="BodyText"/>
      </w:pPr>
      <w:r>
        <w:t xml:space="preserve"> </w:t>
      </w:r>
    </w:p>
    <w:p>
      <w:pPr>
        <w:pStyle w:val="BodyText"/>
      </w:pPr>
      <w:r>
        <w:rPr>
          <w:b/>
        </w:rPr>
        <w:t xml:space="preserve">Outcomes</w:t>
      </w:r>
    </w:p>
    <w:p>
      <w:pPr>
        <w:pStyle w:val="BodyText"/>
      </w:pPr>
      <w:r>
        <w:t xml:space="preserve">Link to decision tree (Supp table 2 )</w:t>
      </w:r>
    </w:p>
    <w:p>
      <w:pPr>
        <w:pStyle w:val="BodyText"/>
      </w:pPr>
      <w:r>
        <w:t xml:space="preserve"> </w:t>
      </w:r>
    </w:p>
    <w:p>
      <w:pPr>
        <w:pStyle w:val="BodyText"/>
      </w:pPr>
      <w:r>
        <w:rPr>
          <w:b/>
        </w:rPr>
        <w:t xml:space="preserve">Analysis plan</w:t>
      </w:r>
    </w:p>
    <w:p>
      <w:pPr>
        <w:pStyle w:val="BodyText"/>
      </w:pPr>
      <w:r>
        <w:t xml:space="preserve">To address the potential for immortal time, we employed a time-varying indicator of treatment status in order to correctly allocate time-at-risk to the exposed and unexposed groups. We also adjusted for a range of baseline covariates including sex, age, charlson, Index multiple deprivation, consultation rate, alcohol (ever), smoking (ever), BMI, cardiovascular disease, coronary bypass surgery, coronary artery disease, peripheral arterial disease, and hypertension.</w:t>
      </w:r>
    </w:p>
    <w:p>
      <w:pPr>
        <w:pStyle w:val="BodyText"/>
      </w:pPr>
      <w:r>
        <w:t xml:space="preserve"> </w:t>
      </w:r>
    </w:p>
    <w:p>
      <w:pPr>
        <w:pStyle w:val="BodyText"/>
      </w:pPr>
      <w:r>
        <w:rPr>
          <w:b/>
        </w:rPr>
        <w:t xml:space="preserve">Code lists and scripts</w:t>
      </w:r>
    </w:p>
    <w:p>
      <w:pPr>
        <w:pStyle w:val="BodyText"/>
      </w:pPr>
      <w:r>
        <w:t xml:space="preserve">The outcome and covariates in this analysis were each defined by a list of codes, recorded at the time of the consultation. Namely, we used sets of READ, Product and XXXXX codes to define diagnoses, prescriptions and test results respectively. The complete code lists for this study, in addition to the cleaning and analysis scripts, are available on Github (</w:t>
      </w:r>
      <w:hyperlink r:id="rId30">
        <w:r>
          <w:rPr>
            <w:rStyle w:val="Hyperlink"/>
          </w:rPr>
          <w:t xml:space="preserve">https://github.com/mcguinlu/CPRD-LRA</w:t>
        </w:r>
      </w:hyperlink>
      <w:r>
        <w:t xml:space="preserve">).</w:t>
      </w:r>
    </w:p>
    <w:p>
      <w:pPr>
        <w:pStyle w:val="BodyText"/>
      </w:pPr>
      <w:r>
        <w:t xml:space="preserve"> </w:t>
      </w:r>
    </w:p>
    <w:p>
      <w:pPr>
        <w:pStyle w:val="BodyText"/>
      </w:pPr>
      <w:r>
        <w:rPr>
          <w:b/>
        </w:rPr>
        <w:t xml:space="preserve">Sensitivity analyses</w:t>
      </w:r>
    </w:p>
    <w:p>
      <w:pPr>
        <w:pStyle w:val="BodyText"/>
      </w:pPr>
      <w:r>
        <w:t xml:space="preserve">Be clear that it is a complete case analysis -&gt; in effect, this means that you are only selecting on the basis of inital test results (not diagnosis or prescription).</w:t>
      </w:r>
    </w:p>
    <w:p>
      <w:pPr>
        <w:pStyle w:val="Heading5"/>
      </w:pPr>
      <w:bookmarkStart w:id="31" w:name="section-4"/>
      <w:bookmarkEnd w:id="31"/>
    </w:p>
    <w:p>
      <w:pPr>
        <w:pStyle w:val="Heading1"/>
      </w:pPr>
      <w:bookmarkStart w:id="32" w:name="results"/>
      <w:r>
        <w:t xml:space="preserve">Results</w:t>
      </w:r>
      <w:bookmarkEnd w:id="32"/>
    </w:p>
    <w:p>
      <w:pPr>
        <w:pStyle w:val="FirstParagraph"/>
      </w:pPr>
      <w:r>
        <w:rPr>
          <w:b/>
        </w:rPr>
        <w:t xml:space="preserve">Patient characteristics</w:t>
      </w:r>
    </w:p>
    <w:p>
      <w:pPr>
        <w:pStyle w:val="Compact"/>
        <w:numPr>
          <w:numId w:val="1002"/>
          <w:ilvl w:val="0"/>
        </w:numPr>
      </w:pPr>
      <w:r>
        <w:rPr>
          <w:b/>
        </w:rPr>
        <w:t xml:space="preserve">Seperate out other descriptive statistics from those adjusted for in the analysis e.g. stopped</w:t>
      </w:r>
    </w:p>
    <w:p>
      <w:pPr>
        <w:pStyle w:val="TableCaption"/>
      </w:pPr>
      <w:r>
        <w:t xml:space="preserve">Table 1: Patient characteristics of Cohort 2</w:t>
      </w:r>
    </w:p>
    <w:tbl>
      <w:tblPr>
        <w:tblStyle w:val="Table"/>
        <w:tblW w:type="pct" w:w="0.0"/>
        <w:tblLook w:firstRow="1"/>
        <w:tblCaption w:val="Table 1: Patient characteristics of Cohort 2"/>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Whole Sample</w:t>
            </w:r>
          </w:p>
        </w:tc>
        <w:tc>
          <w:tcPr>
            <w:tcBorders>
              <w:bottom w:val="single"/>
            </w:tcBorders>
            <w:vAlign w:val="bottom"/>
          </w:tcPr>
          <w:p>
            <w:pPr>
              <w:pStyle w:val="Compact"/>
              <w:jc w:val="left"/>
            </w:pPr>
            <w:r>
              <w:t xml:space="preserve">No LRA</w:t>
            </w:r>
          </w:p>
        </w:tc>
        <w:tc>
          <w:tcPr>
            <w:tcBorders>
              <w:bottom w:val="single"/>
            </w:tcBorders>
            <w:vAlign w:val="bottom"/>
          </w:tcPr>
          <w:p>
            <w:pPr>
              <w:pStyle w:val="Compact"/>
              <w:jc w:val="left"/>
            </w:pPr>
            <w:r>
              <w:t xml:space="preserve">Statins</w:t>
            </w:r>
          </w:p>
        </w:tc>
        <w:tc>
          <w:tcPr>
            <w:tcBorders>
              <w:bottom w:val="single"/>
            </w:tcBorders>
            <w:vAlign w:val="bottom"/>
          </w:tcPr>
          <w:p>
            <w:pPr>
              <w:pStyle w:val="Compact"/>
              <w:jc w:val="left"/>
            </w:pPr>
            <w:r>
              <w:t xml:space="preserve">Bile acid sequestrants</w:t>
            </w:r>
          </w:p>
        </w:tc>
        <w:tc>
          <w:tcPr>
            <w:tcBorders>
              <w:bottom w:val="single"/>
            </w:tcBorders>
            <w:vAlign w:val="bottom"/>
          </w:tcPr>
          <w:p>
            <w:pPr>
              <w:pStyle w:val="Compact"/>
              <w:jc w:val="left"/>
            </w:pPr>
            <w:r>
              <w:t xml:space="preserve">Ezetimibe</w:t>
            </w:r>
          </w:p>
        </w:tc>
        <w:tc>
          <w:tcPr>
            <w:tcBorders>
              <w:bottom w:val="single"/>
            </w:tcBorders>
            <w:vAlign w:val="bottom"/>
          </w:tcPr>
          <w:p>
            <w:pPr>
              <w:pStyle w:val="Compact"/>
              <w:jc w:val="left"/>
            </w:pPr>
            <w:r>
              <w:t xml:space="preserve">Ezetimibe &amp; Statins</w:t>
            </w:r>
          </w:p>
        </w:tc>
        <w:tc>
          <w:tcPr>
            <w:tcBorders>
              <w:bottom w:val="single"/>
            </w:tcBorders>
            <w:vAlign w:val="bottom"/>
          </w:tcPr>
          <w:p>
            <w:pPr>
              <w:pStyle w:val="Compact"/>
              <w:jc w:val="left"/>
            </w:pPr>
            <w:r>
              <w:t xml:space="preserve">Fibrates</w:t>
            </w:r>
          </w:p>
        </w:tc>
        <w:tc>
          <w:tcPr>
            <w:tcBorders>
              <w:bottom w:val="single"/>
            </w:tcBorders>
            <w:vAlign w:val="bottom"/>
          </w:tcPr>
          <w:p>
            <w:pPr>
              <w:pStyle w:val="Compact"/>
              <w:jc w:val="left"/>
            </w:pPr>
            <w:r>
              <w:t xml:space="preserve">Nicotinic acid groups</w:t>
            </w:r>
          </w:p>
        </w:tc>
        <w:tc>
          <w:tcPr>
            <w:tcBorders>
              <w:bottom w:val="single"/>
            </w:tcBorders>
            <w:vAlign w:val="bottom"/>
          </w:tcPr>
          <w:p>
            <w:pPr>
              <w:pStyle w:val="Compact"/>
              <w:jc w:val="left"/>
            </w:pPr>
            <w:r>
              <w:t xml:space="preserve">Omega-3 Fatty Acid Groups</w:t>
            </w:r>
          </w:p>
        </w:tc>
      </w:tr>
      <w:tr>
        <w:tc>
          <w:p>
            <w:pPr>
              <w:pStyle w:val="Compact"/>
              <w:jc w:val="left"/>
            </w:pPr>
            <w:r>
              <w:t xml:space="preserve">N</w:t>
            </w:r>
          </w:p>
        </w:tc>
        <w:tc>
          <w:p>
            <w:pPr>
              <w:pStyle w:val="Compact"/>
              <w:jc w:val="left"/>
            </w:pPr>
            <w:r>
              <w:t xml:space="preserve">773387</w:t>
            </w:r>
          </w:p>
        </w:tc>
        <w:tc>
          <w:p>
            <w:pPr>
              <w:pStyle w:val="Compact"/>
              <w:jc w:val="left"/>
            </w:pPr>
            <w:r>
              <w:t xml:space="preserve">543876</w:t>
            </w:r>
          </w:p>
        </w:tc>
        <w:tc>
          <w:p>
            <w:pPr>
              <w:pStyle w:val="Compact"/>
              <w:jc w:val="left"/>
            </w:pPr>
            <w:r>
              <w:t xml:space="preserve">226586</w:t>
            </w:r>
          </w:p>
        </w:tc>
        <w:tc>
          <w:p>
            <w:pPr>
              <w:pStyle w:val="Compact"/>
              <w:jc w:val="left"/>
            </w:pPr>
            <w:r>
              <w:t xml:space="preserve">1199</w:t>
            </w:r>
          </w:p>
        </w:tc>
        <w:tc>
          <w:p>
            <w:pPr>
              <w:pStyle w:val="Compact"/>
              <w:jc w:val="left"/>
            </w:pPr>
            <w:r>
              <w:t xml:space="preserve">282</w:t>
            </w:r>
          </w:p>
        </w:tc>
        <w:tc>
          <w:p>
            <w:pPr>
              <w:pStyle w:val="Compact"/>
              <w:jc w:val="left"/>
            </w:pPr>
            <w:r>
              <w:t xml:space="preserve">56</w:t>
            </w:r>
          </w:p>
        </w:tc>
        <w:tc>
          <w:p>
            <w:pPr>
              <w:pStyle w:val="Compact"/>
              <w:jc w:val="left"/>
            </w:pPr>
            <w:r>
              <w:t xml:space="preserve">1102</w:t>
            </w:r>
          </w:p>
        </w:tc>
        <w:tc>
          <w:p>
            <w:pPr>
              <w:pStyle w:val="Compact"/>
              <w:jc w:val="left"/>
            </w:pPr>
            <w:r>
              <w:t xml:space="preserve">43</w:t>
            </w:r>
          </w:p>
        </w:tc>
        <w:tc>
          <w:p>
            <w:pPr>
              <w:pStyle w:val="Compact"/>
              <w:jc w:val="left"/>
            </w:pPr>
            <w:r>
              <w:t xml:space="preserve">243</w:t>
            </w:r>
          </w:p>
        </w:tc>
      </w:tr>
      <w:tr>
        <w:tc>
          <w:p>
            <w:pPr>
              <w:pStyle w:val="Compact"/>
              <w:jc w:val="left"/>
            </w:pPr>
            <w:r>
              <w:t xml:space="preserve">Median year of prescription</w:t>
            </w:r>
          </w:p>
        </w:tc>
        <w:tc>
          <w:p>
            <w:pPr>
              <w:pStyle w:val="Compact"/>
              <w:jc w:val="left"/>
            </w:pPr>
            <w:r>
              <w:t xml:space="preserve">2006</w:t>
            </w:r>
          </w:p>
        </w:tc>
        <w:tc>
          <w:p>
            <w:pPr>
              <w:pStyle w:val="Compact"/>
              <w:jc w:val="left"/>
            </w:pPr>
            <w:r>
              <w:t xml:space="preserve">2008</w:t>
            </w:r>
          </w:p>
        </w:tc>
        <w:tc>
          <w:p>
            <w:pPr>
              <w:pStyle w:val="Compact"/>
              <w:jc w:val="left"/>
            </w:pPr>
            <w:r>
              <w:t xml:space="preserve">2004</w:t>
            </w:r>
          </w:p>
        </w:tc>
        <w:tc>
          <w:p>
            <w:pPr>
              <w:pStyle w:val="Compact"/>
              <w:jc w:val="left"/>
            </w:pPr>
            <w:r>
              <w:t xml:space="preserve">2005</w:t>
            </w:r>
          </w:p>
        </w:tc>
        <w:tc>
          <w:p>
            <w:pPr>
              <w:pStyle w:val="Compact"/>
              <w:jc w:val="left"/>
            </w:pPr>
            <w:r>
              <w:t xml:space="preserve">2004</w:t>
            </w:r>
          </w:p>
        </w:tc>
        <w:tc>
          <w:p>
            <w:pPr>
              <w:pStyle w:val="Compact"/>
              <w:jc w:val="left"/>
            </w:pPr>
            <w:r>
              <w:t xml:space="preserve">2005</w:t>
            </w:r>
          </w:p>
        </w:tc>
        <w:tc>
          <w:p>
            <w:pPr>
              <w:pStyle w:val="Compact"/>
              <w:jc w:val="left"/>
            </w:pPr>
            <w:r>
              <w:t xml:space="preserve">2001</w:t>
            </w:r>
          </w:p>
        </w:tc>
        <w:tc>
          <w:p>
            <w:pPr>
              <w:pStyle w:val="Compact"/>
              <w:jc w:val="left"/>
            </w:pPr>
            <w:r>
              <w:t xml:space="preserve">2004</w:t>
            </w:r>
          </w:p>
        </w:tc>
        <w:tc>
          <w:p>
            <w:pPr>
              <w:pStyle w:val="Compact"/>
              <w:jc w:val="left"/>
            </w:pPr>
            <w:r>
              <w:t xml:space="preserve">2004</w:t>
            </w:r>
          </w:p>
        </w:tc>
      </w:tr>
      <w:tr>
        <w:tc>
          <w:p>
            <w:pPr>
              <w:pStyle w:val="Compact"/>
              <w:jc w:val="left"/>
            </w:pPr>
            <w:r>
              <w:t xml:space="preserve">Female</w:t>
            </w:r>
          </w:p>
        </w:tc>
        <w:tc>
          <w:p>
            <w:pPr>
              <w:pStyle w:val="Compact"/>
              <w:jc w:val="left"/>
            </w:pPr>
            <w:r>
              <w:t xml:space="preserve">56.2% (434411)</w:t>
            </w:r>
          </w:p>
        </w:tc>
        <w:tc>
          <w:p>
            <w:pPr>
              <w:pStyle w:val="Compact"/>
              <w:jc w:val="left"/>
            </w:pPr>
            <w:r>
              <w:t xml:space="preserve">59.0% (320968)</w:t>
            </w:r>
          </w:p>
        </w:tc>
        <w:tc>
          <w:p>
            <w:pPr>
              <w:pStyle w:val="Compact"/>
              <w:jc w:val="left"/>
            </w:pPr>
            <w:r>
              <w:t xml:space="preserve">49.4% (111825)</w:t>
            </w:r>
          </w:p>
        </w:tc>
        <w:tc>
          <w:p>
            <w:pPr>
              <w:pStyle w:val="Compact"/>
              <w:jc w:val="left"/>
            </w:pPr>
            <w:r>
              <w:t xml:space="preserve">70.3% (843)</w:t>
            </w:r>
          </w:p>
        </w:tc>
        <w:tc>
          <w:p>
            <w:pPr>
              <w:pStyle w:val="Compact"/>
              <w:jc w:val="left"/>
            </w:pPr>
            <w:r>
              <w:t xml:space="preserve">58.5% (165)</w:t>
            </w:r>
          </w:p>
        </w:tc>
        <w:tc>
          <w:p>
            <w:pPr>
              <w:pStyle w:val="Compact"/>
              <w:jc w:val="left"/>
            </w:pPr>
            <w:r>
              <w:t xml:space="preserve">62.5% (35)</w:t>
            </w:r>
          </w:p>
        </w:tc>
        <w:tc>
          <w:p>
            <w:pPr>
              <w:pStyle w:val="Compact"/>
              <w:jc w:val="left"/>
            </w:pPr>
            <w:r>
              <w:t xml:space="preserve">39.6% (436)</w:t>
            </w:r>
          </w:p>
        </w:tc>
        <w:tc>
          <w:p>
            <w:pPr>
              <w:pStyle w:val="Compact"/>
              <w:jc w:val="left"/>
            </w:pPr>
            <w:r>
              <w:t xml:space="preserve">51.2% (22)</w:t>
            </w:r>
          </w:p>
        </w:tc>
        <w:tc>
          <w:p>
            <w:pPr>
              <w:pStyle w:val="Compact"/>
              <w:jc w:val="left"/>
            </w:pPr>
            <w:r>
              <w:t xml:space="preserve">48.1% (117)</w:t>
            </w:r>
          </w:p>
        </w:tc>
      </w:tr>
      <w:tr>
        <w:tc>
          <w:p>
            <w:pPr>
              <w:pStyle w:val="Compact"/>
              <w:jc w:val="left"/>
            </w:pPr>
            <w:r>
              <w:t xml:space="preserve">Age</w:t>
            </w:r>
          </w:p>
        </w:tc>
        <w:tc>
          <w:p>
            <w:pPr>
              <w:pStyle w:val="Compact"/>
              <w:jc w:val="left"/>
            </w:pPr>
            <w:r>
              <w:t xml:space="preserve">56</w:t>
            </w:r>
          </w:p>
        </w:tc>
        <w:tc>
          <w:p>
            <w:pPr>
              <w:pStyle w:val="Compact"/>
              <w:jc w:val="left"/>
            </w:pPr>
            <w:r>
              <w:t xml:space="preserve">53</w:t>
            </w:r>
          </w:p>
        </w:tc>
        <w:tc>
          <w:p>
            <w:pPr>
              <w:pStyle w:val="Compact"/>
              <w:jc w:val="left"/>
            </w:pPr>
            <w:r>
              <w:t xml:space="preserve">62</w:t>
            </w:r>
          </w:p>
        </w:tc>
        <w:tc>
          <w:p>
            <w:pPr>
              <w:pStyle w:val="Compact"/>
              <w:jc w:val="left"/>
            </w:pPr>
            <w:r>
              <w:t xml:space="preserve">56</w:t>
            </w:r>
          </w:p>
        </w:tc>
        <w:tc>
          <w:p>
            <w:pPr>
              <w:pStyle w:val="Compact"/>
              <w:jc w:val="left"/>
            </w:pPr>
            <w:r>
              <w:t xml:space="preserve">61</w:t>
            </w:r>
          </w:p>
        </w:tc>
        <w:tc>
          <w:p>
            <w:pPr>
              <w:pStyle w:val="Compact"/>
              <w:jc w:val="left"/>
            </w:pPr>
            <w:r>
              <w:t xml:space="preserve">55.5</w:t>
            </w:r>
          </w:p>
        </w:tc>
        <w:tc>
          <w:p>
            <w:pPr>
              <w:pStyle w:val="Compact"/>
              <w:jc w:val="left"/>
            </w:pPr>
            <w:r>
              <w:t xml:space="preserve">57</w:t>
            </w:r>
          </w:p>
        </w:tc>
        <w:tc>
          <w:p>
            <w:pPr>
              <w:pStyle w:val="Compact"/>
              <w:jc w:val="left"/>
            </w:pPr>
            <w:r>
              <w:t xml:space="preserve">57</w:t>
            </w:r>
          </w:p>
        </w:tc>
        <w:tc>
          <w:p>
            <w:pPr>
              <w:pStyle w:val="Compact"/>
              <w:jc w:val="left"/>
            </w:pPr>
            <w:r>
              <w:t xml:space="preserve">57</w:t>
            </w:r>
          </w:p>
        </w:tc>
      </w:tr>
      <w:tr>
        <w:tc>
          <w:p>
            <w:pPr>
              <w:pStyle w:val="Compact"/>
              <w:jc w:val="left"/>
            </w:pPr>
            <w:r>
              <w:t xml:space="preserve">CAD</w:t>
            </w:r>
          </w:p>
        </w:tc>
        <w:tc>
          <w:p>
            <w:pPr>
              <w:pStyle w:val="Compact"/>
              <w:jc w:val="left"/>
            </w:pPr>
            <w:r>
              <w:t xml:space="preserve">0.1% (1063)</w:t>
            </w:r>
          </w:p>
        </w:tc>
        <w:tc>
          <w:p>
            <w:pPr>
              <w:pStyle w:val="Compact"/>
              <w:jc w:val="left"/>
            </w:pPr>
            <w:r>
              <w:t xml:space="preserve">0.0% (225)</w:t>
            </w:r>
          </w:p>
        </w:tc>
        <w:tc>
          <w:p>
            <w:pPr>
              <w:pStyle w:val="Compact"/>
              <w:jc w:val="left"/>
            </w:pPr>
            <w:r>
              <w:t xml:space="preserve">0.4% (829)</w:t>
            </w:r>
          </w:p>
        </w:tc>
        <w:tc>
          <w:p>
            <w:pPr>
              <w:pStyle w:val="Compact"/>
              <w:jc w:val="left"/>
            </w:pPr>
            <w:r>
              <w:t xml:space="preserve">0.2% (2)</w:t>
            </w:r>
          </w:p>
        </w:tc>
        <w:tc>
          <w:p>
            <w:pPr>
              <w:pStyle w:val="Compact"/>
              <w:jc w:val="left"/>
            </w:pPr>
            <w:r>
              <w:t xml:space="preserve">0.0% (0)</w:t>
            </w:r>
          </w:p>
        </w:tc>
        <w:tc>
          <w:p>
            <w:pPr>
              <w:pStyle w:val="Compact"/>
              <w:jc w:val="left"/>
            </w:pPr>
            <w:r>
              <w:t xml:space="preserve">0.0% (0)</w:t>
            </w:r>
          </w:p>
        </w:tc>
        <w:tc>
          <w:p>
            <w:pPr>
              <w:pStyle w:val="Compact"/>
              <w:jc w:val="left"/>
            </w:pPr>
            <w:r>
              <w:t xml:space="preserve">0.6% (7)</w:t>
            </w:r>
          </w:p>
        </w:tc>
        <w:tc>
          <w:p>
            <w:pPr>
              <w:pStyle w:val="Compact"/>
              <w:jc w:val="left"/>
            </w:pPr>
            <w:r>
              <w:t xml:space="preserve">0.0% (0)</w:t>
            </w:r>
          </w:p>
        </w:tc>
        <w:tc>
          <w:p>
            <w:pPr>
              <w:pStyle w:val="Compact"/>
              <w:jc w:val="left"/>
            </w:pPr>
            <w:r>
              <w:t xml:space="preserve">0.0% (0)</w:t>
            </w:r>
          </w:p>
        </w:tc>
      </w:tr>
      <w:tr>
        <w:tc>
          <w:p>
            <w:pPr>
              <w:pStyle w:val="Compact"/>
              <w:jc w:val="left"/>
            </w:pPr>
            <w:r>
              <w:t xml:space="preserve">CBS</w:t>
            </w:r>
          </w:p>
        </w:tc>
        <w:tc>
          <w:p>
            <w:pPr>
              <w:pStyle w:val="Compact"/>
              <w:jc w:val="left"/>
            </w:pPr>
            <w:r>
              <w:t xml:space="preserve">0.2% (1382)</w:t>
            </w:r>
          </w:p>
        </w:tc>
        <w:tc>
          <w:p>
            <w:pPr>
              <w:pStyle w:val="Compact"/>
              <w:jc w:val="left"/>
            </w:pPr>
            <w:r>
              <w:t xml:space="preserve">0.0% (271)</w:t>
            </w:r>
          </w:p>
        </w:tc>
        <w:tc>
          <w:p>
            <w:pPr>
              <w:pStyle w:val="Compact"/>
              <w:jc w:val="left"/>
            </w:pPr>
            <w:r>
              <w:t xml:space="preserve">0.5% (1095)</w:t>
            </w:r>
          </w:p>
        </w:tc>
        <w:tc>
          <w:p>
            <w:pPr>
              <w:pStyle w:val="Compact"/>
              <w:jc w:val="left"/>
            </w:pPr>
            <w:r>
              <w:t xml:space="preserve">0.2% (2)</w:t>
            </w:r>
          </w:p>
        </w:tc>
        <w:tc>
          <w:p>
            <w:pPr>
              <w:pStyle w:val="Compact"/>
              <w:jc w:val="left"/>
            </w:pPr>
            <w:r>
              <w:t xml:space="preserve">0.4% (1)</w:t>
            </w:r>
          </w:p>
        </w:tc>
        <w:tc>
          <w:p>
            <w:pPr>
              <w:pStyle w:val="Compact"/>
              <w:jc w:val="left"/>
            </w:pPr>
            <w:r>
              <w:t xml:space="preserve">0.0% (0)</w:t>
            </w:r>
          </w:p>
        </w:tc>
        <w:tc>
          <w:p>
            <w:pPr>
              <w:pStyle w:val="Compact"/>
              <w:jc w:val="left"/>
            </w:pPr>
            <w:r>
              <w:t xml:space="preserve">1.1% (12)</w:t>
            </w:r>
          </w:p>
        </w:tc>
        <w:tc>
          <w:p>
            <w:pPr>
              <w:pStyle w:val="Compact"/>
              <w:jc w:val="left"/>
            </w:pPr>
            <w:r>
              <w:t xml:space="preserve">0.0% (0)</w:t>
            </w:r>
          </w:p>
        </w:tc>
        <w:tc>
          <w:p>
            <w:pPr>
              <w:pStyle w:val="Compact"/>
              <w:jc w:val="left"/>
            </w:pPr>
            <w:r>
              <w:t xml:space="preserve">0.4% (1)</w:t>
            </w:r>
          </w:p>
        </w:tc>
      </w:tr>
      <w:tr>
        <w:tc>
          <w:p>
            <w:pPr>
              <w:pStyle w:val="Compact"/>
              <w:jc w:val="left"/>
            </w:pPr>
            <w:r>
              <w:t xml:space="preserve">CVD</w:t>
            </w:r>
          </w:p>
        </w:tc>
        <w:tc>
          <w:p>
            <w:pPr>
              <w:pStyle w:val="Compact"/>
              <w:jc w:val="left"/>
            </w:pPr>
            <w:r>
              <w:t xml:space="preserve">1.5% (11861)</w:t>
            </w:r>
          </w:p>
        </w:tc>
        <w:tc>
          <w:p>
            <w:pPr>
              <w:pStyle w:val="Compact"/>
              <w:jc w:val="left"/>
            </w:pPr>
            <w:r>
              <w:t xml:space="preserve">0.9% (5028)</w:t>
            </w:r>
          </w:p>
        </w:tc>
        <w:tc>
          <w:p>
            <w:pPr>
              <w:pStyle w:val="Compact"/>
              <w:jc w:val="left"/>
            </w:pPr>
            <w:r>
              <w:t xml:space="preserve">3.0% (6760)</w:t>
            </w:r>
          </w:p>
        </w:tc>
        <w:tc>
          <w:p>
            <w:pPr>
              <w:pStyle w:val="Compact"/>
              <w:jc w:val="left"/>
            </w:pPr>
            <w:r>
              <w:t xml:space="preserve">1.3% (15)</w:t>
            </w:r>
          </w:p>
        </w:tc>
        <w:tc>
          <w:p>
            <w:pPr>
              <w:pStyle w:val="Compact"/>
              <w:jc w:val="left"/>
            </w:pPr>
            <w:r>
              <w:t xml:space="preserve">3.5% (10)</w:t>
            </w:r>
          </w:p>
        </w:tc>
        <w:tc>
          <w:p>
            <w:pPr>
              <w:pStyle w:val="Compact"/>
              <w:jc w:val="left"/>
            </w:pPr>
            <w:r>
              <w:t xml:space="preserve">0.0% (0)</w:t>
            </w:r>
          </w:p>
        </w:tc>
        <w:tc>
          <w:p>
            <w:pPr>
              <w:pStyle w:val="Compact"/>
              <w:jc w:val="left"/>
            </w:pPr>
            <w:r>
              <w:t xml:space="preserve">4.2% (46)</w:t>
            </w:r>
          </w:p>
        </w:tc>
        <w:tc>
          <w:p>
            <w:pPr>
              <w:pStyle w:val="Compact"/>
              <w:jc w:val="left"/>
            </w:pPr>
            <w:r>
              <w:t xml:space="preserve">0.0% (0)</w:t>
            </w:r>
          </w:p>
        </w:tc>
        <w:tc>
          <w:p>
            <w:pPr>
              <w:pStyle w:val="Compact"/>
              <w:jc w:val="left"/>
            </w:pPr>
            <w:r>
              <w:t xml:space="preserve">0.8% (2)</w:t>
            </w:r>
          </w:p>
        </w:tc>
      </w:tr>
      <w:tr>
        <w:tc>
          <w:p>
            <w:pPr>
              <w:pStyle w:val="Compact"/>
              <w:jc w:val="left"/>
            </w:pPr>
            <w:r>
              <w:t xml:space="preserve">Charlson</w:t>
            </w:r>
          </w:p>
        </w:tc>
        <w:tc>
          <w:p>
            <w:pPr>
              <w:pStyle w:val="Compact"/>
              <w:jc w:val="left"/>
            </w:pPr>
            <w:r>
              <w:t xml:space="preserve">29.0% (224534)</w:t>
            </w:r>
          </w:p>
        </w:tc>
        <w:tc>
          <w:p>
            <w:pPr>
              <w:pStyle w:val="Compact"/>
              <w:jc w:val="left"/>
            </w:pPr>
            <w:r>
              <w:t xml:space="preserve">25.6% (139129)</w:t>
            </w:r>
          </w:p>
        </w:tc>
        <w:tc>
          <w:p>
            <w:pPr>
              <w:pStyle w:val="Compact"/>
              <w:jc w:val="left"/>
            </w:pPr>
            <w:r>
              <w:t xml:space="preserve">37.2% (84203)</w:t>
            </w:r>
          </w:p>
        </w:tc>
        <w:tc>
          <w:p>
            <w:pPr>
              <w:pStyle w:val="Compact"/>
              <w:jc w:val="left"/>
            </w:pPr>
            <w:r>
              <w:t xml:space="preserve">39.2% (470)</w:t>
            </w:r>
          </w:p>
        </w:tc>
        <w:tc>
          <w:p>
            <w:pPr>
              <w:pStyle w:val="Compact"/>
              <w:jc w:val="left"/>
            </w:pPr>
            <w:r>
              <w:t xml:space="preserve">44.0% (124)</w:t>
            </w:r>
          </w:p>
        </w:tc>
        <w:tc>
          <w:p>
            <w:pPr>
              <w:pStyle w:val="Compact"/>
              <w:jc w:val="left"/>
            </w:pPr>
            <w:r>
              <w:t xml:space="preserve">17.9% (10)</w:t>
            </w:r>
          </w:p>
        </w:tc>
        <w:tc>
          <w:p>
            <w:pPr>
              <w:pStyle w:val="Compact"/>
              <w:jc w:val="left"/>
            </w:pPr>
            <w:r>
              <w:t xml:space="preserve">45.7% (504)</w:t>
            </w:r>
          </w:p>
        </w:tc>
        <w:tc>
          <w:p>
            <w:pPr>
              <w:pStyle w:val="Compact"/>
              <w:jc w:val="left"/>
            </w:pPr>
            <w:r>
              <w:t xml:space="preserve">25.6% (11)</w:t>
            </w:r>
          </w:p>
        </w:tc>
        <w:tc>
          <w:p>
            <w:pPr>
              <w:pStyle w:val="Compact"/>
              <w:jc w:val="left"/>
            </w:pPr>
            <w:r>
              <w:t xml:space="preserve">34.2% (83)</w:t>
            </w:r>
          </w:p>
        </w:tc>
      </w:tr>
      <w:tr>
        <w:tc>
          <w:p>
            <w:pPr>
              <w:pStyle w:val="Compact"/>
              <w:jc w:val="left"/>
            </w:pPr>
            <w:r>
              <w:t xml:space="preserve">IMD-2010</w:t>
            </w:r>
          </w:p>
        </w:tc>
        <w:tc>
          <w:p>
            <w:pPr>
              <w:pStyle w:val="Compact"/>
              <w:jc w:val="left"/>
            </w:pPr>
            <w:r>
              <w:t xml:space="preserve">8</w:t>
            </w:r>
          </w:p>
        </w:tc>
        <w:tc>
          <w:p>
            <w:pPr>
              <w:pStyle w:val="Compact"/>
              <w:jc w:val="left"/>
            </w:pPr>
            <w:r>
              <w:t xml:space="preserve">8</w:t>
            </w:r>
          </w:p>
        </w:tc>
        <w:tc>
          <w:p>
            <w:pPr>
              <w:pStyle w:val="Compact"/>
              <w:jc w:val="left"/>
            </w:pPr>
            <w:r>
              <w:t xml:space="preserve">9</w:t>
            </w:r>
          </w:p>
        </w:tc>
        <w:tc>
          <w:p>
            <w:pPr>
              <w:pStyle w:val="Compact"/>
              <w:jc w:val="left"/>
            </w:pPr>
            <w:r>
              <w:t xml:space="preserve">8</w:t>
            </w:r>
          </w:p>
        </w:tc>
        <w:tc>
          <w:p>
            <w:pPr>
              <w:pStyle w:val="Compact"/>
              <w:jc w:val="left"/>
            </w:pPr>
            <w:r>
              <w:t xml:space="preserve">10</w:t>
            </w:r>
          </w:p>
        </w:tc>
        <w:tc>
          <w:p>
            <w:pPr>
              <w:pStyle w:val="Compact"/>
              <w:jc w:val="left"/>
            </w:pPr>
            <w:r>
              <w:t xml:space="preserve">12</w:t>
            </w:r>
          </w:p>
        </w:tc>
        <w:tc>
          <w:p>
            <w:pPr>
              <w:pStyle w:val="Compact"/>
              <w:jc w:val="left"/>
            </w:pPr>
            <w:r>
              <w:t xml:space="preserve">10</w:t>
            </w:r>
          </w:p>
        </w:tc>
        <w:tc>
          <w:p>
            <w:pPr>
              <w:pStyle w:val="Compact"/>
              <w:jc w:val="left"/>
            </w:pPr>
            <w:r>
              <w:t xml:space="preserve">11</w:t>
            </w:r>
          </w:p>
        </w:tc>
        <w:tc>
          <w:p>
            <w:pPr>
              <w:pStyle w:val="Compact"/>
              <w:jc w:val="left"/>
            </w:pPr>
            <w:r>
              <w:t xml:space="preserve">10</w:t>
            </w:r>
          </w:p>
        </w:tc>
      </w:tr>
      <w:tr>
        <w:tc>
          <w:p>
            <w:pPr>
              <w:pStyle w:val="Compact"/>
              <w:jc w:val="left"/>
            </w:pPr>
            <w:r>
              <w:t xml:space="preserve">Consulation rate</w:t>
            </w:r>
          </w:p>
        </w:tc>
        <w:tc>
          <w:p>
            <w:pPr>
              <w:pStyle w:val="Compact"/>
              <w:jc w:val="left"/>
            </w:pPr>
            <w:r>
              <w:t xml:space="preserve">5.3 (5.0)</w:t>
            </w:r>
          </w:p>
        </w:tc>
        <w:tc>
          <w:p>
            <w:pPr>
              <w:pStyle w:val="Compact"/>
              <w:jc w:val="left"/>
            </w:pPr>
            <w:r>
              <w:t xml:space="preserve">5.0 (4.8)</w:t>
            </w:r>
          </w:p>
        </w:tc>
        <w:tc>
          <w:p>
            <w:pPr>
              <w:pStyle w:val="Compact"/>
              <w:jc w:val="left"/>
            </w:pPr>
            <w:r>
              <w:t xml:space="preserve">6.0 (5.4)</w:t>
            </w:r>
          </w:p>
        </w:tc>
        <w:tc>
          <w:p>
            <w:pPr>
              <w:pStyle w:val="Compact"/>
              <w:jc w:val="left"/>
            </w:pPr>
            <w:r>
              <w:t xml:space="preserve">8.4 (7.9)</w:t>
            </w:r>
          </w:p>
        </w:tc>
        <w:tc>
          <w:p>
            <w:pPr>
              <w:pStyle w:val="Compact"/>
              <w:jc w:val="left"/>
            </w:pPr>
            <w:r>
              <w:t xml:space="preserve">7.3 (6.1)</w:t>
            </w:r>
          </w:p>
        </w:tc>
        <w:tc>
          <w:p>
            <w:pPr>
              <w:pStyle w:val="Compact"/>
              <w:jc w:val="left"/>
            </w:pPr>
            <w:r>
              <w:t xml:space="preserve">4.5 (3.0)</w:t>
            </w:r>
          </w:p>
        </w:tc>
        <w:tc>
          <w:p>
            <w:pPr>
              <w:pStyle w:val="Compact"/>
              <w:jc w:val="left"/>
            </w:pPr>
            <w:r>
              <w:t xml:space="preserve">6.7 (5.6)</w:t>
            </w:r>
          </w:p>
        </w:tc>
        <w:tc>
          <w:p>
            <w:pPr>
              <w:pStyle w:val="Compact"/>
              <w:jc w:val="left"/>
            </w:pPr>
            <w:r>
              <w:t xml:space="preserve">8.7 (6.1)</w:t>
            </w:r>
          </w:p>
        </w:tc>
        <w:tc>
          <w:p>
            <w:pPr>
              <w:pStyle w:val="Compact"/>
              <w:jc w:val="left"/>
            </w:pPr>
            <w:r>
              <w:t xml:space="preserve">7.1 (6.6)</w:t>
            </w:r>
          </w:p>
        </w:tc>
      </w:tr>
      <w:tr>
        <w:tc>
          <w:p>
            <w:pPr>
              <w:pStyle w:val="Compact"/>
              <w:jc w:val="left"/>
            </w:pPr>
            <w:r>
              <w:t xml:space="preserve">Alcohol (ever)</w:t>
            </w:r>
          </w:p>
        </w:tc>
        <w:tc>
          <w:p>
            <w:pPr>
              <w:pStyle w:val="Compact"/>
              <w:jc w:val="left"/>
            </w:pPr>
            <w:r>
              <w:t xml:space="preserve">84.3% (652287)</w:t>
            </w:r>
          </w:p>
        </w:tc>
        <w:tc>
          <w:p>
            <w:pPr>
              <w:pStyle w:val="Compact"/>
              <w:jc w:val="left"/>
            </w:pPr>
            <w:r>
              <w:t xml:space="preserve">84.8% (461420)</w:t>
            </w:r>
          </w:p>
        </w:tc>
        <w:tc>
          <w:p>
            <w:pPr>
              <w:pStyle w:val="Compact"/>
              <w:jc w:val="left"/>
            </w:pPr>
            <w:r>
              <w:t xml:space="preserve">83.2% (188501)</w:t>
            </w:r>
          </w:p>
        </w:tc>
        <w:tc>
          <w:p>
            <w:pPr>
              <w:pStyle w:val="Compact"/>
              <w:jc w:val="left"/>
            </w:pPr>
            <w:r>
              <w:t xml:space="preserve">80.3% (963)</w:t>
            </w:r>
          </w:p>
        </w:tc>
        <w:tc>
          <w:p>
            <w:pPr>
              <w:pStyle w:val="Compact"/>
              <w:jc w:val="left"/>
            </w:pPr>
            <w:r>
              <w:t xml:space="preserve">81.2% (229)</w:t>
            </w:r>
          </w:p>
        </w:tc>
        <w:tc>
          <w:p>
            <w:pPr>
              <w:pStyle w:val="Compact"/>
              <w:jc w:val="left"/>
            </w:pPr>
            <w:r>
              <w:t xml:space="preserve">82.1% (46)</w:t>
            </w:r>
          </w:p>
        </w:tc>
        <w:tc>
          <w:p>
            <w:pPr>
              <w:pStyle w:val="Compact"/>
              <w:jc w:val="left"/>
            </w:pPr>
            <w:r>
              <w:t xml:space="preserve">81.5% (898)</w:t>
            </w:r>
          </w:p>
        </w:tc>
        <w:tc>
          <w:p>
            <w:pPr>
              <w:pStyle w:val="Compact"/>
              <w:jc w:val="left"/>
            </w:pPr>
            <w:r>
              <w:t xml:space="preserve">76.7% (33)</w:t>
            </w:r>
          </w:p>
        </w:tc>
        <w:tc>
          <w:p>
            <w:pPr>
              <w:pStyle w:val="Compact"/>
              <w:jc w:val="left"/>
            </w:pPr>
            <w:r>
              <w:t xml:space="preserve">81.1% (197)</w:t>
            </w:r>
          </w:p>
        </w:tc>
      </w:tr>
      <w:tr>
        <w:tc>
          <w:p>
            <w:pPr>
              <w:pStyle w:val="Compact"/>
              <w:jc w:val="left"/>
            </w:pPr>
            <w:r>
              <w:t xml:space="preserve">Smoking (ever)</w:t>
            </w:r>
          </w:p>
        </w:tc>
        <w:tc>
          <w:p>
            <w:pPr>
              <w:pStyle w:val="Compact"/>
              <w:jc w:val="left"/>
            </w:pPr>
            <w:r>
              <w:t xml:space="preserve">48.0% (371158)</w:t>
            </w:r>
          </w:p>
        </w:tc>
        <w:tc>
          <w:p>
            <w:pPr>
              <w:pStyle w:val="Compact"/>
              <w:jc w:val="left"/>
            </w:pPr>
            <w:r>
              <w:t xml:space="preserve">44.9% (244324)</w:t>
            </w:r>
          </w:p>
        </w:tc>
        <w:tc>
          <w:p>
            <w:pPr>
              <w:pStyle w:val="Compact"/>
              <w:jc w:val="left"/>
            </w:pPr>
            <w:r>
              <w:t xml:space="preserve">55.3% (125258)</w:t>
            </w:r>
          </w:p>
        </w:tc>
        <w:tc>
          <w:p>
            <w:pPr>
              <w:pStyle w:val="Compact"/>
              <w:jc w:val="left"/>
            </w:pPr>
            <w:r>
              <w:t xml:space="preserve">52.6% (631)</w:t>
            </w:r>
          </w:p>
        </w:tc>
        <w:tc>
          <w:p>
            <w:pPr>
              <w:pStyle w:val="Compact"/>
              <w:jc w:val="left"/>
            </w:pPr>
            <w:r>
              <w:t xml:space="preserve">57.4% (162)</w:t>
            </w:r>
          </w:p>
        </w:tc>
        <w:tc>
          <w:p>
            <w:pPr>
              <w:pStyle w:val="Compact"/>
              <w:jc w:val="left"/>
            </w:pPr>
            <w:r>
              <w:t xml:space="preserve">53.6% (30)</w:t>
            </w:r>
          </w:p>
        </w:tc>
        <w:tc>
          <w:p>
            <w:pPr>
              <w:pStyle w:val="Compact"/>
              <w:jc w:val="left"/>
            </w:pPr>
            <w:r>
              <w:t xml:space="preserve">55.5% (612)</w:t>
            </w:r>
          </w:p>
        </w:tc>
        <w:tc>
          <w:p>
            <w:pPr>
              <w:pStyle w:val="Compact"/>
              <w:jc w:val="left"/>
            </w:pPr>
            <w:r>
              <w:t xml:space="preserve">46.5% (20)</w:t>
            </w:r>
          </w:p>
        </w:tc>
        <w:tc>
          <w:p>
            <w:pPr>
              <w:pStyle w:val="Compact"/>
              <w:jc w:val="left"/>
            </w:pPr>
            <w:r>
              <w:t xml:space="preserve">49.8% (121)</w:t>
            </w:r>
          </w:p>
        </w:tc>
      </w:tr>
      <w:tr>
        <w:tc>
          <w:p>
            <w:pPr>
              <w:pStyle w:val="Compact"/>
              <w:jc w:val="left"/>
            </w:pPr>
            <w:r>
              <w:t xml:space="preserve">BMI</w:t>
            </w:r>
          </w:p>
        </w:tc>
        <w:tc>
          <w:p>
            <w:pPr>
              <w:pStyle w:val="Compact"/>
              <w:jc w:val="left"/>
            </w:pPr>
            <w:r>
              <w:t xml:space="preserve">26.9 (5.2)</w:t>
            </w:r>
          </w:p>
        </w:tc>
        <w:tc>
          <w:p>
            <w:pPr>
              <w:pStyle w:val="Compact"/>
              <w:jc w:val="left"/>
            </w:pPr>
            <w:r>
              <w:t xml:space="preserve">26.5 (5.1)</w:t>
            </w:r>
          </w:p>
        </w:tc>
        <w:tc>
          <w:p>
            <w:pPr>
              <w:pStyle w:val="Compact"/>
              <w:jc w:val="left"/>
            </w:pPr>
            <w:r>
              <w:t xml:space="preserve">27.7 (5.2)</w:t>
            </w:r>
          </w:p>
        </w:tc>
        <w:tc>
          <w:p>
            <w:pPr>
              <w:pStyle w:val="Compact"/>
              <w:jc w:val="left"/>
            </w:pPr>
            <w:r>
              <w:t xml:space="preserve">27.4 (5.6)</w:t>
            </w:r>
          </w:p>
        </w:tc>
        <w:tc>
          <w:p>
            <w:pPr>
              <w:pStyle w:val="Compact"/>
              <w:jc w:val="left"/>
            </w:pPr>
            <w:r>
              <w:t xml:space="preserve">28.1 (5.6)</w:t>
            </w:r>
          </w:p>
        </w:tc>
        <w:tc>
          <w:p>
            <w:pPr>
              <w:pStyle w:val="Compact"/>
              <w:jc w:val="left"/>
            </w:pPr>
            <w:r>
              <w:t xml:space="preserve">28.8 (5.1)</w:t>
            </w:r>
          </w:p>
        </w:tc>
        <w:tc>
          <w:p>
            <w:pPr>
              <w:pStyle w:val="Compact"/>
              <w:jc w:val="left"/>
            </w:pPr>
            <w:r>
              <w:t xml:space="preserve">29.0 (5.2)</w:t>
            </w:r>
          </w:p>
        </w:tc>
        <w:tc>
          <w:p>
            <w:pPr>
              <w:pStyle w:val="Compact"/>
              <w:jc w:val="left"/>
            </w:pPr>
            <w:r>
              <w:t xml:space="preserve">28.4 (5.6)</w:t>
            </w:r>
          </w:p>
        </w:tc>
        <w:tc>
          <w:p>
            <w:pPr>
              <w:pStyle w:val="Compact"/>
              <w:jc w:val="left"/>
            </w:pPr>
            <w:r>
              <w:t xml:space="preserve">27.0 (5.7)</w:t>
            </w:r>
          </w:p>
        </w:tc>
      </w:tr>
      <w:tr>
        <w:tc>
          <w:p>
            <w:pPr>
              <w:pStyle w:val="Compact"/>
              <w:jc w:val="left"/>
            </w:pPr>
            <w:r>
              <w:t xml:space="preserve">PAD</w:t>
            </w:r>
          </w:p>
        </w:tc>
        <w:tc>
          <w:p>
            <w:pPr>
              <w:pStyle w:val="Compact"/>
              <w:jc w:val="left"/>
            </w:pPr>
            <w:r>
              <w:t xml:space="preserve">0.5% (4039)</w:t>
            </w:r>
          </w:p>
        </w:tc>
        <w:tc>
          <w:p>
            <w:pPr>
              <w:pStyle w:val="Compact"/>
              <w:jc w:val="left"/>
            </w:pPr>
            <w:r>
              <w:t xml:space="preserve">0.3% (1746)</w:t>
            </w:r>
          </w:p>
        </w:tc>
        <w:tc>
          <w:p>
            <w:pPr>
              <w:pStyle w:val="Compact"/>
              <w:jc w:val="left"/>
            </w:pPr>
            <w:r>
              <w:t xml:space="preserve">1.0% (2272)</w:t>
            </w:r>
          </w:p>
        </w:tc>
        <w:tc>
          <w:p>
            <w:pPr>
              <w:pStyle w:val="Compact"/>
              <w:jc w:val="left"/>
            </w:pPr>
            <w:r>
              <w:t xml:space="preserve">0.5% (6)</w:t>
            </w:r>
          </w:p>
        </w:tc>
        <w:tc>
          <w:p>
            <w:pPr>
              <w:pStyle w:val="Compact"/>
              <w:jc w:val="left"/>
            </w:pPr>
            <w:r>
              <w:t xml:space="preserve">0.7% (2)</w:t>
            </w:r>
          </w:p>
        </w:tc>
        <w:tc>
          <w:p>
            <w:pPr>
              <w:pStyle w:val="Compact"/>
              <w:jc w:val="left"/>
            </w:pPr>
            <w:r>
              <w:t xml:space="preserve">0.0% (0)</w:t>
            </w:r>
          </w:p>
        </w:tc>
        <w:tc>
          <w:p>
            <w:pPr>
              <w:pStyle w:val="Compact"/>
              <w:jc w:val="left"/>
            </w:pPr>
            <w:r>
              <w:t xml:space="preserve">1.1% (12)</w:t>
            </w:r>
          </w:p>
        </w:tc>
        <w:tc>
          <w:p>
            <w:pPr>
              <w:pStyle w:val="Compact"/>
              <w:jc w:val="left"/>
            </w:pPr>
            <w:r>
              <w:t xml:space="preserve">0.0% (0)</w:t>
            </w:r>
          </w:p>
        </w:tc>
        <w:tc>
          <w:p>
            <w:pPr>
              <w:pStyle w:val="Compact"/>
              <w:jc w:val="left"/>
            </w:pPr>
            <w:r>
              <w:t xml:space="preserve">0.4% (1)</w:t>
            </w:r>
          </w:p>
        </w:tc>
      </w:tr>
      <w:tr>
        <w:tc>
          <w:p>
            <w:pPr>
              <w:pStyle w:val="Compact"/>
              <w:jc w:val="left"/>
            </w:pPr>
            <w:r>
              <w:t xml:space="preserve">Hypertension</w:t>
            </w:r>
          </w:p>
        </w:tc>
        <w:tc>
          <w:p>
            <w:pPr>
              <w:pStyle w:val="Compact"/>
              <w:jc w:val="left"/>
            </w:pPr>
            <w:r>
              <w:t xml:space="preserve">15.2% (117630)</w:t>
            </w:r>
          </w:p>
        </w:tc>
        <w:tc>
          <w:p>
            <w:pPr>
              <w:pStyle w:val="Compact"/>
              <w:jc w:val="left"/>
            </w:pPr>
            <w:r>
              <w:t xml:space="preserve">11.2% (60779)</w:t>
            </w:r>
          </w:p>
        </w:tc>
        <w:tc>
          <w:p>
            <w:pPr>
              <w:pStyle w:val="Compact"/>
              <w:jc w:val="left"/>
            </w:pPr>
            <w:r>
              <w:t xml:space="preserve">24.8% (56237)</w:t>
            </w:r>
          </w:p>
        </w:tc>
        <w:tc>
          <w:p>
            <w:pPr>
              <w:pStyle w:val="Compact"/>
              <w:jc w:val="left"/>
            </w:pPr>
            <w:r>
              <w:t xml:space="preserve">15.9% (191)</w:t>
            </w:r>
          </w:p>
        </w:tc>
        <w:tc>
          <w:p>
            <w:pPr>
              <w:pStyle w:val="Compact"/>
              <w:jc w:val="left"/>
            </w:pPr>
            <w:r>
              <w:t xml:space="preserve">25.2% (71)</w:t>
            </w:r>
          </w:p>
        </w:tc>
        <w:tc>
          <w:p>
            <w:pPr>
              <w:pStyle w:val="Compact"/>
              <w:jc w:val="left"/>
            </w:pPr>
            <w:r>
              <w:t xml:space="preserve">28.6% (16)</w:t>
            </w:r>
          </w:p>
        </w:tc>
        <w:tc>
          <w:p>
            <w:pPr>
              <w:pStyle w:val="Compact"/>
              <w:jc w:val="left"/>
            </w:pPr>
            <w:r>
              <w:t xml:space="preserve">26.1% (288)</w:t>
            </w:r>
          </w:p>
        </w:tc>
        <w:tc>
          <w:p>
            <w:pPr>
              <w:pStyle w:val="Compact"/>
              <w:jc w:val="left"/>
            </w:pPr>
            <w:r>
              <w:t xml:space="preserve">20.9% (9)</w:t>
            </w:r>
          </w:p>
        </w:tc>
        <w:tc>
          <w:p>
            <w:pPr>
              <w:pStyle w:val="Compact"/>
              <w:jc w:val="left"/>
            </w:pPr>
            <w:r>
              <w:t xml:space="preserve">16.0% (39)</w:t>
            </w:r>
          </w:p>
        </w:tc>
      </w:tr>
      <w:tr>
        <w:tc>
          <w:p>
            <w:pPr>
              <w:pStyle w:val="Compact"/>
              <w:jc w:val="left"/>
            </w:pPr>
            <w:r>
              <w:t xml:space="preserve">Stopped</w:t>
            </w:r>
          </w:p>
        </w:tc>
        <w:tc>
          <w:p>
            <w:pPr>
              <w:pStyle w:val="Compact"/>
              <w:jc w:val="left"/>
            </w:pPr>
            <w:r>
              <w:t xml:space="preserve">5.7% (44439)</w:t>
            </w:r>
          </w:p>
        </w:tc>
        <w:tc>
          <w:p>
            <w:pPr>
              <w:pStyle w:val="Compact"/>
              <w:jc w:val="left"/>
            </w:pPr>
            <w:r>
              <w:t xml:space="preserve">0.0% (0)</w:t>
            </w:r>
          </w:p>
        </w:tc>
        <w:tc>
          <w:p>
            <w:pPr>
              <w:pStyle w:val="Compact"/>
              <w:jc w:val="left"/>
            </w:pPr>
            <w:r>
              <w:t xml:space="preserve">19.2% (43540)</w:t>
            </w:r>
          </w:p>
        </w:tc>
        <w:tc>
          <w:p>
            <w:pPr>
              <w:pStyle w:val="Compact"/>
              <w:jc w:val="left"/>
            </w:pPr>
            <w:r>
              <w:t xml:space="preserve">51.8% (621)</w:t>
            </w:r>
          </w:p>
        </w:tc>
        <w:tc>
          <w:p>
            <w:pPr>
              <w:pStyle w:val="Compact"/>
              <w:jc w:val="left"/>
            </w:pPr>
            <w:r>
              <w:t xml:space="preserve">16.7% (47)</w:t>
            </w:r>
          </w:p>
        </w:tc>
        <w:tc>
          <w:p>
            <w:pPr>
              <w:pStyle w:val="Compact"/>
              <w:jc w:val="left"/>
            </w:pPr>
            <w:r>
              <w:t xml:space="preserve">16.1% (9)</w:t>
            </w:r>
          </w:p>
        </w:tc>
        <w:tc>
          <w:p>
            <w:pPr>
              <w:pStyle w:val="Compact"/>
              <w:jc w:val="left"/>
            </w:pPr>
            <w:r>
              <w:t xml:space="preserve">11.8% (130)</w:t>
            </w:r>
          </w:p>
        </w:tc>
        <w:tc>
          <w:p>
            <w:pPr>
              <w:pStyle w:val="Compact"/>
              <w:jc w:val="left"/>
            </w:pPr>
            <w:r>
              <w:t xml:space="preserve">37.2% (16)</w:t>
            </w:r>
          </w:p>
        </w:tc>
        <w:tc>
          <w:p>
            <w:pPr>
              <w:pStyle w:val="Compact"/>
              <w:jc w:val="left"/>
            </w:pPr>
            <w:r>
              <w:t xml:space="preserve">31.3% (76)</w:t>
            </w:r>
          </w:p>
        </w:tc>
      </w:tr>
      <w:tr>
        <w:tc>
          <w:p>
            <w:pPr>
              <w:pStyle w:val="Compact"/>
              <w:jc w:val="left"/>
            </w:pPr>
            <w:r>
              <w:t xml:space="preserve">Added</w:t>
            </w:r>
          </w:p>
        </w:tc>
        <w:tc>
          <w:p>
            <w:pPr>
              <w:pStyle w:val="Compact"/>
              <w:jc w:val="left"/>
            </w:pPr>
            <w:r>
              <w:t xml:space="preserve">1.3% (9901)</w:t>
            </w:r>
          </w:p>
        </w:tc>
        <w:tc>
          <w:p>
            <w:pPr>
              <w:pStyle w:val="Compact"/>
              <w:jc w:val="left"/>
            </w:pPr>
            <w:r>
              <w:t xml:space="preserve">0.0% (0)</w:t>
            </w:r>
          </w:p>
        </w:tc>
        <w:tc>
          <w:p>
            <w:pPr>
              <w:pStyle w:val="Compact"/>
              <w:jc w:val="left"/>
            </w:pPr>
            <w:r>
              <w:t xml:space="preserve">4.2% (9462)</w:t>
            </w:r>
          </w:p>
        </w:tc>
        <w:tc>
          <w:p>
            <w:pPr>
              <w:pStyle w:val="Compact"/>
              <w:jc w:val="left"/>
            </w:pPr>
            <w:r>
              <w:t xml:space="preserve">3.3% (40)</w:t>
            </w:r>
          </w:p>
        </w:tc>
        <w:tc>
          <w:p>
            <w:pPr>
              <w:pStyle w:val="Compact"/>
              <w:jc w:val="left"/>
            </w:pPr>
            <w:r>
              <w:t xml:space="preserve">18.8% (53)</w:t>
            </w:r>
          </w:p>
        </w:tc>
        <w:tc>
          <w:p>
            <w:pPr>
              <w:pStyle w:val="Compact"/>
              <w:jc w:val="left"/>
            </w:pPr>
            <w:r>
              <w:t xml:space="preserve">7.1% (4)</w:t>
            </w:r>
          </w:p>
        </w:tc>
        <w:tc>
          <w:p>
            <w:pPr>
              <w:pStyle w:val="Compact"/>
              <w:jc w:val="left"/>
            </w:pPr>
            <w:r>
              <w:t xml:space="preserve">22.8% (251)</w:t>
            </w:r>
          </w:p>
        </w:tc>
        <w:tc>
          <w:p>
            <w:pPr>
              <w:pStyle w:val="Compact"/>
              <w:jc w:val="left"/>
            </w:pPr>
            <w:r>
              <w:t xml:space="preserve">9.3% (4)</w:t>
            </w:r>
          </w:p>
        </w:tc>
        <w:tc>
          <w:p>
            <w:pPr>
              <w:pStyle w:val="Compact"/>
              <w:jc w:val="left"/>
            </w:pPr>
            <w:r>
              <w:t xml:space="preserve">35.8% (87)</w:t>
            </w:r>
          </w:p>
        </w:tc>
      </w:tr>
      <w:tr>
        <w:tc>
          <w:p>
            <w:pPr>
              <w:pStyle w:val="Compact"/>
              <w:jc w:val="left"/>
            </w:pPr>
            <w:r>
              <w:t xml:space="preserve">Switched</w:t>
            </w:r>
          </w:p>
        </w:tc>
        <w:tc>
          <w:p>
            <w:pPr>
              <w:pStyle w:val="Compact"/>
              <w:jc w:val="left"/>
            </w:pPr>
            <w:r>
              <w:t xml:space="preserve">0.8% (5890)</w:t>
            </w:r>
          </w:p>
        </w:tc>
        <w:tc>
          <w:p>
            <w:pPr>
              <w:pStyle w:val="Compact"/>
              <w:jc w:val="left"/>
            </w:pPr>
            <w:r>
              <w:t xml:space="preserve">0.0% (0)</w:t>
            </w:r>
          </w:p>
        </w:tc>
        <w:tc>
          <w:p>
            <w:pPr>
              <w:pStyle w:val="Compact"/>
              <w:jc w:val="left"/>
            </w:pPr>
            <w:r>
              <w:t xml:space="preserve">2.2% (5086)</w:t>
            </w:r>
          </w:p>
        </w:tc>
        <w:tc>
          <w:p>
            <w:pPr>
              <w:pStyle w:val="Compact"/>
              <w:jc w:val="left"/>
            </w:pPr>
            <w:r>
              <w:t xml:space="preserve">11.2% (134)</w:t>
            </w:r>
          </w:p>
        </w:tc>
        <w:tc>
          <w:p>
            <w:pPr>
              <w:pStyle w:val="Compact"/>
              <w:jc w:val="left"/>
            </w:pPr>
            <w:r>
              <w:t xml:space="preserve">36.9% (104)</w:t>
            </w:r>
          </w:p>
        </w:tc>
        <w:tc>
          <w:p>
            <w:pPr>
              <w:pStyle w:val="Compact"/>
              <w:jc w:val="left"/>
            </w:pPr>
            <w:r>
              <w:t xml:space="preserve">58.9% (33)</w:t>
            </w:r>
          </w:p>
        </w:tc>
        <w:tc>
          <w:p>
            <w:pPr>
              <w:pStyle w:val="Compact"/>
              <w:jc w:val="left"/>
            </w:pPr>
            <w:r>
              <w:t xml:space="preserve">41.7% (460)</w:t>
            </w:r>
          </w:p>
        </w:tc>
        <w:tc>
          <w:p>
            <w:pPr>
              <w:pStyle w:val="Compact"/>
              <w:jc w:val="left"/>
            </w:pPr>
            <w:r>
              <w:t xml:space="preserve">48.8% (21)</w:t>
            </w:r>
          </w:p>
        </w:tc>
        <w:tc>
          <w:p>
            <w:pPr>
              <w:pStyle w:val="Compact"/>
              <w:jc w:val="left"/>
            </w:pPr>
            <w:r>
              <w:t xml:space="preserve">21.4% (52)</w:t>
            </w:r>
          </w:p>
        </w:tc>
      </w:tr>
      <w:tr>
        <w:tc>
          <w:p>
            <w:pPr>
              <w:pStyle w:val="Compact"/>
              <w:jc w:val="left"/>
            </w:pPr>
            <w:r>
              <w:t xml:space="preserve">Other drug within 5yrs</w:t>
            </w:r>
          </w:p>
        </w:tc>
        <w:tc>
          <w:p>
            <w:pPr>
              <w:pStyle w:val="Compact"/>
              <w:jc w:val="left"/>
            </w:pPr>
            <w:r>
              <w:t xml:space="preserve">1.7% (13363)</w:t>
            </w:r>
          </w:p>
        </w:tc>
        <w:tc>
          <w:p>
            <w:pPr>
              <w:pStyle w:val="Compact"/>
              <w:jc w:val="left"/>
            </w:pPr>
            <w:r>
              <w:t xml:space="preserve">0.0% (0)</w:t>
            </w:r>
          </w:p>
        </w:tc>
        <w:tc>
          <w:p>
            <w:pPr>
              <w:pStyle w:val="Compact"/>
              <w:jc w:val="left"/>
            </w:pPr>
            <w:r>
              <w:t xml:space="preserve">5.4% (12264)</w:t>
            </w:r>
          </w:p>
        </w:tc>
        <w:tc>
          <w:p>
            <w:pPr>
              <w:pStyle w:val="Compact"/>
              <w:jc w:val="left"/>
            </w:pPr>
            <w:r>
              <w:t xml:space="preserve">11.5% (138)</w:t>
            </w:r>
          </w:p>
        </w:tc>
        <w:tc>
          <w:p>
            <w:pPr>
              <w:pStyle w:val="Compact"/>
              <w:jc w:val="left"/>
            </w:pPr>
            <w:r>
              <w:t xml:space="preserve">49.3% (139)</w:t>
            </w:r>
          </w:p>
        </w:tc>
        <w:tc>
          <w:p>
            <w:pPr>
              <w:pStyle w:val="Compact"/>
              <w:jc w:val="left"/>
            </w:pPr>
            <w:r>
              <w:t xml:space="preserve">58.9% (33)</w:t>
            </w:r>
          </w:p>
        </w:tc>
        <w:tc>
          <w:p>
            <w:pPr>
              <w:pStyle w:val="Compact"/>
              <w:jc w:val="left"/>
            </w:pPr>
            <w:r>
              <w:t xml:space="preserve">57.6% (635)</w:t>
            </w:r>
          </w:p>
        </w:tc>
        <w:tc>
          <w:p>
            <w:pPr>
              <w:pStyle w:val="Compact"/>
              <w:jc w:val="left"/>
            </w:pPr>
            <w:r>
              <w:t xml:space="preserve">53.5% (23)</w:t>
            </w:r>
          </w:p>
        </w:tc>
        <w:tc>
          <w:p>
            <w:pPr>
              <w:pStyle w:val="Compact"/>
              <w:jc w:val="left"/>
            </w:pPr>
            <w:r>
              <w:t xml:space="preserve">53.9% (131)</w:t>
            </w:r>
          </w:p>
        </w:tc>
      </w:tr>
    </w:tbl>
    <w:p>
      <w:pPr>
        <w:pStyle w:val="Compact"/>
        <w:numPr>
          <w:numId w:val="1003"/>
          <w:ilvl w:val="0"/>
        </w:numPr>
      </w:pPr>
      <w:r>
        <w:t xml:space="preserve">Full covariate information was available for 773387 participants (100%).</w:t>
      </w:r>
    </w:p>
    <w:p>
      <w:pPr>
        <w:pStyle w:val="Compact"/>
        <w:numPr>
          <w:numId w:val="1003"/>
          <w:ilvl w:val="0"/>
        </w:numPr>
      </w:pPr>
      <w:r>
        <w:t xml:space="preserve">IMD 2010 score, a proxy for socioeconomic position that is measured as twentiles with 1 indicating the least deprived and 20 indicating the most deprived, was missing for 0 participants (0%).</w:t>
      </w:r>
    </w:p>
    <w:p>
      <w:pPr>
        <w:pStyle w:val="Compact"/>
        <w:numPr>
          <w:numId w:val="1003"/>
          <w:ilvl w:val="0"/>
        </w:numPr>
      </w:pPr>
      <w:r>
        <w:t xml:space="preserve">Alcohol status was missing for 0 participants (0%).</w:t>
      </w:r>
    </w:p>
    <w:p>
      <w:pPr>
        <w:pStyle w:val="Compact"/>
        <w:numPr>
          <w:numId w:val="1003"/>
          <w:ilvl w:val="0"/>
        </w:numPr>
      </w:pPr>
      <w:r>
        <w:t xml:space="preserve">Smoking status was missing for 0 participants (0%).</w:t>
      </w:r>
    </w:p>
    <w:p>
      <w:pPr>
        <w:pStyle w:val="Compact"/>
        <w:numPr>
          <w:numId w:val="1003"/>
          <w:ilvl w:val="0"/>
        </w:numPr>
      </w:pPr>
      <w:r>
        <w:t xml:space="preserve">BMI, or a calculated BMI from height and weight measurements, was missing for 0 participants (0%).</w:t>
      </w:r>
    </w:p>
    <w:p>
      <w:pPr>
        <w:pStyle w:val="FirstParagraph"/>
      </w:pPr>
      <w:r>
        <w:t xml:space="preserve">Table</w:t>
      </w:r>
      <w:r>
        <w:t xml:space="preserve"> </w:t>
      </w:r>
      <w:r>
        <w:t xml:space="preserve">1</w:t>
      </w:r>
      <w:r>
        <w:t xml:space="preserve"> </w:t>
      </w:r>
      <w:r>
        <w:t xml:space="preserve">shows the proportion of participants recieving each drug class who subsequently stoppped (greater than 6 months between last prescription and end of data), added (second drug prescribed before last prescription for the index_drug) or switched (second drug prescribed after last prescription for the index_drug).</w:t>
      </w:r>
    </w:p>
    <w:p>
      <w:pPr>
        <w:pStyle w:val="BodyText"/>
      </w:pPr>
      <w:r>
        <w:t xml:space="preserve">Note: the discrepancies between the number of participants in the table of characteristics and that displayed in the forest plot is due to 90 participants having a diagnosis date prior to the index date ( 84 in the control group and 6 in the statin group).</w:t>
      </w:r>
      <w:r>
        <w:t xml:space="preserve"> </w:t>
      </w:r>
      <w:r>
        <w:rPr>
          <w:b/>
        </w:rPr>
        <w:t xml:space="preserve">-&gt; need to remove these people from the sample: exclude at the attrition level.</w:t>
      </w:r>
    </w:p>
    <w:p>
      <w:pPr>
        <w:pStyle w:val="BodyText"/>
      </w:pPr>
      <w:r>
        <w:drawing>
          <wp:inline>
            <wp:extent cx="5943600" cy="2377440"/>
            <wp:effectExtent b="0" l="0" r="0" t="0"/>
            <wp:docPr descr="" title="" id="1" name="Picture"/>
            <a:graphic>
              <a:graphicData uri="http://schemas.openxmlformats.org/drawingml/2006/picture">
                <pic:pic>
                  <pic:nvPicPr>
                    <pic:cNvPr descr="H:/SafeHaven/CPRD%20Projects%20UOB/Projects/15_246/CPRD-LRA/output/fp_cox_probad.jpeg" id="0" name="Picture"/>
                    <pic:cNvPicPr>
                      <a:picLocks noChangeArrowheads="1" noChangeAspect="1"/>
                    </pic:cNvPicPr>
                  </pic:nvPicPr>
                  <pic:blipFill>
                    <a:blip r:embed="rId33"/>
                    <a:stretch>
                      <a:fillRect/>
                    </a:stretch>
                  </pic:blipFill>
                  <pic:spPr bwMode="auto">
                    <a:xfrm>
                      <a:off x="0" y="0"/>
                      <a:ext cx="5943600" cy="2377440"/>
                    </a:xfrm>
                    <a:prstGeom prst="rect">
                      <a:avLst/>
                    </a:prstGeom>
                    <a:noFill/>
                    <a:ln w="9525">
                      <a:noFill/>
                      <a:headEnd/>
                      <a:tailEnd/>
                    </a:ln>
                  </pic:spPr>
                </pic:pic>
              </a:graphicData>
            </a:graphic>
          </wp:inline>
        </w:drawing>
      </w:r>
    </w:p>
    <w:p>
      <w:pPr>
        <w:pStyle w:val="BodyText"/>
      </w:pPr>
      <w:r>
        <w:t xml:space="preserve"> </w:t>
      </w:r>
    </w:p>
    <w:p>
      <w:pPr>
        <w:pStyle w:val="BodyText"/>
      </w:pPr>
      <w:r>
        <w:rPr>
          <w:b/>
        </w:rPr>
        <w:t xml:space="preserve">Any dementia</w:t>
      </w:r>
    </w:p>
    <w:p>
      <w:pPr>
        <w:pStyle w:val="Compact"/>
        <w:numPr>
          <w:numId w:val="1004"/>
          <w:ilvl w:val="0"/>
        </w:numPr>
      </w:pPr>
      <w:r>
        <w:rPr>
          <w:b/>
        </w:rPr>
        <w:t xml:space="preserve">Use forest plots without second line adjusting for TC, and include number of events per subgroup in the accompanying table</w:t>
      </w:r>
    </w:p>
    <w:p>
      <w:pPr>
        <w:pStyle w:val="FirstParagraph"/>
      </w:pPr>
      <w:r>
        <w:t xml:space="preserve">The summary results of the Cox proportional hazards models with time varying treatment and adjustment for baseline covariates for any dementia outcome are presented in Figure</w:t>
      </w:r>
      <w:r>
        <w:t xml:space="preserve"> </w:t>
      </w:r>
      <w:r>
        <w:t xml:space="preserve">??</w:t>
      </w:r>
    </w:p>
    <w:p>
      <w:pPr>
        <w:pStyle w:val="BodyText"/>
      </w:pPr>
      <w:r>
        <w:t xml:space="preserve">Overall, the analysis indicated that treatment with any lipid-regulating agent was associated with a small increased HR of dementia.</w:t>
      </w:r>
    </w:p>
    <w:p>
      <w:pPr>
        <w:pStyle w:val="BodyText"/>
      </w:pPr>
      <w:r>
        <w:t xml:space="preserve">However, it appears that this subgroup</w:t>
      </w:r>
    </w:p>
    <w:p>
      <w:pPr>
        <w:pStyle w:val="BodyText"/>
      </w:pPr>
      <w:r>
        <w:t xml:space="preserve">In terms of baseline confounders, the largest attenuation was seen on adjustment for age.</w:t>
      </w:r>
    </w:p>
    <w:p>
      <w:pPr>
        <w:pStyle w:val="BodyText"/>
      </w:pPr>
      <w:r>
        <w:t xml:space="preserve">Figure</w:t>
      </w:r>
      <w:r>
        <w:t xml:space="preserve"> </w:t>
      </w:r>
      <w:r>
        <w:t xml:space="preserve">??</w:t>
      </w:r>
      <w:r>
        <w:t xml:space="preserve"> </w:t>
      </w:r>
      <w:r>
        <w:t xml:space="preserve">shows the results of our analysis for the effect of</w:t>
      </w:r>
    </w:p>
    <w:p>
      <w:pPr>
        <w:pStyle w:val="Heading2"/>
      </w:pPr>
      <w:bookmarkStart w:id="34" w:name="section-5"/>
      <w:bookmarkEnd w:id="34"/>
    </w:p>
    <w:p>
      <w:pPr>
        <w:pStyle w:val="FirstParagraph"/>
      </w:pPr>
      <w:r>
        <w:t xml:space="preserve"> </w:t>
      </w:r>
    </w:p>
    <w:p>
      <w:pPr>
        <w:pStyle w:val="TableCaption"/>
      </w:pPr>
      <w:r>
        <w:t xml:space="preserve">Table 2: Cohort 2 - Results from Cox proportional hazards regression of any dementia diagnosis on treatment with any lipid-regulating agent vs no treatment</w:t>
      </w:r>
    </w:p>
    <w:tbl>
      <w:tblPr>
        <w:tblStyle w:val="Table"/>
        <w:tblW w:type="pct" w:w="0.0"/>
        <w:tblLook w:firstRow="1"/>
        <w:tblCaption w:val="Table 2: Cohort 2 - Results from Cox proportional hazards regression of any dementia diagnosis on treatment with any lipid-regulating agent vs no treatment"/>
      </w:tblPr>
      <w:tblGrid/>
      <w:tr>
        <w:trPr>
          <w:cnfStyle w:firstRow="1"/>
        </w:trPr>
        <w:tc>
          <w:tcPr>
            <w:tcBorders>
              <w:bottom w:val="single"/>
            </w:tcBorders>
            <w:vAlign w:val="bottom"/>
          </w:tcPr>
          <w:p>
            <w:pPr>
              <w:pStyle w:val="Compact"/>
              <w:jc w:val="left"/>
            </w:pPr>
            <w:r>
              <w:t xml:space="preserve">Analysis</w:t>
            </w:r>
          </w:p>
        </w:tc>
        <w:tc>
          <w:tcPr>
            <w:tcBorders>
              <w:bottom w:val="single"/>
            </w:tcBorders>
            <w:vAlign w:val="bottom"/>
          </w:tcPr>
          <w:p>
            <w:pPr>
              <w:pStyle w:val="Compact"/>
              <w:jc w:val="left"/>
            </w:pPr>
            <w:r>
              <w:t xml:space="preserve">Covariates</w:t>
            </w:r>
          </w:p>
        </w:tc>
        <w:tc>
          <w:tcPr>
            <w:tcBorders>
              <w:bottom w:val="single"/>
            </w:tcBorders>
            <w:vAlign w:val="bottom"/>
          </w:tcPr>
          <w:p>
            <w:pPr>
              <w:pStyle w:val="Compact"/>
              <w:jc w:val="right"/>
            </w:pPr>
            <w:r>
              <w:t xml:space="preserve">HR</w:t>
            </w:r>
          </w:p>
        </w:tc>
        <w:tc>
          <w:tcPr>
            <w:tcBorders>
              <w:bottom w:val="single"/>
            </w:tcBorders>
            <w:vAlign w:val="bottom"/>
          </w:tcPr>
          <w:p>
            <w:pPr>
              <w:pStyle w:val="Compact"/>
              <w:jc w:val="right"/>
            </w:pPr>
            <w:r>
              <w:t xml:space="preserve">Std Error</w:t>
            </w:r>
          </w:p>
        </w:tc>
        <w:tc>
          <w:tcPr>
            <w:tcBorders>
              <w:bottom w:val="single"/>
            </w:tcBorders>
            <w:vAlign w:val="bottom"/>
          </w:tcPr>
          <w:p>
            <w:pPr>
              <w:pStyle w:val="Compact"/>
              <w:jc w:val="right"/>
            </w:pPr>
            <w:r>
              <w:t xml:space="preserve">P-value</w:t>
            </w:r>
          </w:p>
        </w:tc>
        <w:tc>
          <w:tcPr>
            <w:tcBorders>
              <w:bottom w:val="single"/>
            </w:tcBorders>
            <w:vAlign w:val="bottom"/>
          </w:tcPr>
          <w:p>
            <w:pPr>
              <w:pStyle w:val="Compact"/>
              <w:jc w:val="right"/>
            </w:pPr>
            <w:r>
              <w:t xml:space="preserve">Upper 95%CI</w:t>
            </w:r>
          </w:p>
        </w:tc>
        <w:tc>
          <w:tcPr>
            <w:tcBorders>
              <w:bottom w:val="single"/>
            </w:tcBorders>
            <w:vAlign w:val="bottom"/>
          </w:tcPr>
          <w:p>
            <w:pPr>
              <w:pStyle w:val="Compact"/>
              <w:jc w:val="right"/>
            </w:pPr>
            <w:r>
              <w:t xml:space="preserve">Upper 95%CI</w:t>
            </w:r>
          </w:p>
        </w:tc>
      </w:tr>
      <w:tr>
        <w:tc>
          <w:p>
            <w:pPr>
              <w:pStyle w:val="Compact"/>
              <w:jc w:val="left"/>
            </w:pPr>
            <w:r>
              <w:t xml:space="preserve">Time-varying treatment</w:t>
            </w:r>
          </w:p>
        </w:tc>
        <w:tc>
          <w:p>
            <w:pPr>
              <w:pStyle w:val="Compact"/>
              <w:jc w:val="left"/>
            </w:pPr>
            <w:r>
              <w:t xml:space="preserve">none</w:t>
            </w:r>
          </w:p>
        </w:tc>
        <w:tc>
          <w:p>
            <w:pPr>
              <w:pStyle w:val="Compact"/>
              <w:jc w:val="right"/>
            </w:pPr>
            <w:r>
              <w:t xml:space="preserve">1.769</w:t>
            </w:r>
          </w:p>
        </w:tc>
        <w:tc>
          <w:p>
            <w:pPr>
              <w:pStyle w:val="Compact"/>
              <w:jc w:val="right"/>
            </w:pPr>
            <w:r>
              <w:t xml:space="preserve">0.0165</w:t>
            </w:r>
          </w:p>
        </w:tc>
        <w:tc>
          <w:p>
            <w:pPr>
              <w:pStyle w:val="Compact"/>
              <w:jc w:val="right"/>
            </w:pPr>
            <w:r>
              <w:t xml:space="preserve">0.0000</w:t>
            </w:r>
          </w:p>
        </w:tc>
        <w:tc>
          <w:p>
            <w:pPr>
              <w:pStyle w:val="Compact"/>
              <w:jc w:val="right"/>
            </w:pPr>
            <w:r>
              <w:t xml:space="preserve">1.7130</w:t>
            </w:r>
          </w:p>
        </w:tc>
        <w:tc>
          <w:p>
            <w:pPr>
              <w:pStyle w:val="Compact"/>
              <w:jc w:val="right"/>
            </w:pPr>
            <w:r>
              <w:t xml:space="preserve">1.827</w:t>
            </w:r>
          </w:p>
        </w:tc>
      </w:tr>
      <w:tr>
        <w:tc>
          <w:p>
            <w:pPr>
              <w:pStyle w:val="Compact"/>
              <w:jc w:val="left"/>
            </w:pPr>
            <w:r>
              <w:t xml:space="preserve">Time-varying treatment</w:t>
            </w:r>
          </w:p>
        </w:tc>
        <w:tc>
          <w:p>
            <w:pPr>
              <w:pStyle w:val="Compact"/>
              <w:jc w:val="left"/>
            </w:pPr>
            <w:r>
              <w:t xml:space="preserve">age/sex</w:t>
            </w:r>
          </w:p>
        </w:tc>
        <w:tc>
          <w:p>
            <w:pPr>
              <w:pStyle w:val="Compact"/>
              <w:jc w:val="right"/>
            </w:pPr>
            <w:r>
              <w:t xml:space="preserve">1.204</w:t>
            </w:r>
          </w:p>
        </w:tc>
        <w:tc>
          <w:p>
            <w:pPr>
              <w:pStyle w:val="Compact"/>
              <w:jc w:val="right"/>
            </w:pPr>
            <w:r>
              <w:t xml:space="preserve">0.0165</w:t>
            </w:r>
          </w:p>
        </w:tc>
        <w:tc>
          <w:p>
            <w:pPr>
              <w:pStyle w:val="Compact"/>
              <w:jc w:val="right"/>
            </w:pPr>
            <w:r>
              <w:t xml:space="preserve">0.0000</w:t>
            </w:r>
          </w:p>
        </w:tc>
        <w:tc>
          <w:p>
            <w:pPr>
              <w:pStyle w:val="Compact"/>
              <w:jc w:val="right"/>
            </w:pPr>
            <w:r>
              <w:t xml:space="preserve">1.1654</w:t>
            </w:r>
          </w:p>
        </w:tc>
        <w:tc>
          <w:p>
            <w:pPr>
              <w:pStyle w:val="Compact"/>
              <w:jc w:val="right"/>
            </w:pPr>
            <w:r>
              <w:t xml:space="preserve">1.243</w:t>
            </w:r>
          </w:p>
        </w:tc>
      </w:tr>
      <w:tr>
        <w:tc>
          <w:p>
            <w:pPr>
              <w:pStyle w:val="Compact"/>
              <w:jc w:val="left"/>
            </w:pPr>
            <w:r>
              <w:t xml:space="preserve">Time-varying treatment</w:t>
            </w:r>
          </w:p>
        </w:tc>
        <w:tc>
          <w:p>
            <w:pPr>
              <w:pStyle w:val="Compact"/>
              <w:jc w:val="left"/>
            </w:pPr>
            <w:r>
              <w:t xml:space="preserve">full</w:t>
            </w:r>
          </w:p>
        </w:tc>
        <w:tc>
          <w:p>
            <w:pPr>
              <w:pStyle w:val="Compact"/>
              <w:jc w:val="right"/>
            </w:pPr>
            <w:r>
              <w:t xml:space="preserve">1.200</w:t>
            </w:r>
          </w:p>
        </w:tc>
        <w:tc>
          <w:p>
            <w:pPr>
              <w:pStyle w:val="Compact"/>
              <w:jc w:val="right"/>
            </w:pPr>
            <w:r>
              <w:t xml:space="preserve">0.0167</w:t>
            </w:r>
          </w:p>
        </w:tc>
        <w:tc>
          <w:p>
            <w:pPr>
              <w:pStyle w:val="Compact"/>
              <w:jc w:val="right"/>
            </w:pPr>
            <w:r>
              <w:t xml:space="preserve">0.0000</w:t>
            </w:r>
          </w:p>
        </w:tc>
        <w:tc>
          <w:p>
            <w:pPr>
              <w:pStyle w:val="Compact"/>
              <w:jc w:val="right"/>
            </w:pPr>
            <w:r>
              <w:t xml:space="preserve">1.1614</w:t>
            </w:r>
          </w:p>
        </w:tc>
        <w:tc>
          <w:p>
            <w:pPr>
              <w:pStyle w:val="Compact"/>
              <w:jc w:val="right"/>
            </w:pPr>
            <w:r>
              <w:t xml:space="preserve">1.240</w:t>
            </w:r>
          </w:p>
        </w:tc>
      </w:tr>
      <w:tr>
        <w:tc>
          <w:p>
            <w:pPr>
              <w:pStyle w:val="Compact"/>
              <w:jc w:val="left"/>
            </w:pPr>
            <w:r>
              <w:t xml:space="preserve">Time-varying treatment</w:t>
            </w:r>
          </w:p>
        </w:tc>
        <w:tc>
          <w:p>
            <w:pPr>
              <w:pStyle w:val="Compact"/>
              <w:jc w:val="left"/>
            </w:pPr>
            <w:r>
              <w:t xml:space="preserve">NA</w:t>
            </w:r>
          </w:p>
        </w:tc>
        <w:tc>
          <w:p>
            <w:pPr>
              <w:pStyle w:val="Compact"/>
              <w:jc w:val="right"/>
            </w:pPr>
            <w:r>
              <w:t xml:space="preserve">1.018</w:t>
            </w:r>
          </w:p>
        </w:tc>
        <w:tc>
          <w:p>
            <w:pPr>
              <w:pStyle w:val="Compact"/>
              <w:jc w:val="right"/>
            </w:pPr>
            <w:r>
              <w:t xml:space="preserve">0.0237</w:t>
            </w:r>
          </w:p>
        </w:tc>
        <w:tc>
          <w:p>
            <w:pPr>
              <w:pStyle w:val="Compact"/>
              <w:jc w:val="right"/>
            </w:pPr>
            <w:r>
              <w:t xml:space="preserve">0.4511</w:t>
            </w:r>
          </w:p>
        </w:tc>
        <w:tc>
          <w:p>
            <w:pPr>
              <w:pStyle w:val="Compact"/>
              <w:jc w:val="right"/>
            </w:pPr>
            <w:r>
              <w:t xml:space="preserve">0.9718</w:t>
            </w:r>
          </w:p>
        </w:tc>
        <w:tc>
          <w:p>
            <w:pPr>
              <w:pStyle w:val="Compact"/>
              <w:jc w:val="right"/>
            </w:pPr>
            <w:r>
              <w:t xml:space="preserve">1.066</w:t>
            </w:r>
          </w:p>
        </w:tc>
      </w:tr>
      <w:tr>
        <w:tc>
          <w:p>
            <w:pPr>
              <w:pStyle w:val="Compact"/>
              <w:jc w:val="left"/>
            </w:pPr>
            <w:r>
              <w:t xml:space="preserve">Time-varying treatment</w:t>
            </w:r>
          </w:p>
        </w:tc>
        <w:tc>
          <w:p>
            <w:pPr>
              <w:pStyle w:val="Compact"/>
              <w:jc w:val="left"/>
            </w:pPr>
            <w:r>
              <w:t xml:space="preserve">NA</w:t>
            </w:r>
          </w:p>
        </w:tc>
        <w:tc>
          <w:p>
            <w:pPr>
              <w:pStyle w:val="Compact"/>
              <w:jc w:val="right"/>
            </w:pPr>
            <w:r>
              <w:t xml:space="preserve">1.224</w:t>
            </w:r>
          </w:p>
        </w:tc>
        <w:tc>
          <w:p>
            <w:pPr>
              <w:pStyle w:val="Compact"/>
              <w:jc w:val="right"/>
            </w:pPr>
            <w:r>
              <w:t xml:space="preserve">0.0307</w:t>
            </w:r>
          </w:p>
        </w:tc>
        <w:tc>
          <w:p>
            <w:pPr>
              <w:pStyle w:val="Compact"/>
              <w:jc w:val="right"/>
            </w:pPr>
            <w:r>
              <w:t xml:space="preserve">0.0000</w:t>
            </w:r>
          </w:p>
        </w:tc>
        <w:tc>
          <w:p>
            <w:pPr>
              <w:pStyle w:val="Compact"/>
              <w:jc w:val="right"/>
            </w:pPr>
            <w:r>
              <w:t xml:space="preserve">1.1520</w:t>
            </w:r>
          </w:p>
        </w:tc>
        <w:tc>
          <w:p>
            <w:pPr>
              <w:pStyle w:val="Compact"/>
              <w:jc w:val="right"/>
            </w:pPr>
            <w:r>
              <w:t xml:space="preserve">1.300</w:t>
            </w:r>
          </w:p>
        </w:tc>
      </w:tr>
      <w:tr>
        <w:tc>
          <w:p>
            <w:pPr>
              <w:pStyle w:val="Compact"/>
              <w:jc w:val="left"/>
            </w:pPr>
            <w:r>
              <w:t xml:space="preserve">Time-varying treatment</w:t>
            </w:r>
          </w:p>
        </w:tc>
        <w:tc>
          <w:p>
            <w:pPr>
              <w:pStyle w:val="Compact"/>
              <w:jc w:val="left"/>
            </w:pPr>
            <w:r>
              <w:t xml:space="preserve">NA</w:t>
            </w:r>
          </w:p>
        </w:tc>
        <w:tc>
          <w:p>
            <w:pPr>
              <w:pStyle w:val="Compact"/>
              <w:jc w:val="right"/>
            </w:pPr>
            <w:r>
              <w:t xml:space="preserve">1.333</w:t>
            </w:r>
          </w:p>
        </w:tc>
        <w:tc>
          <w:p>
            <w:pPr>
              <w:pStyle w:val="Compact"/>
              <w:jc w:val="right"/>
            </w:pPr>
            <w:r>
              <w:t xml:space="preserve">0.0523</w:t>
            </w:r>
          </w:p>
        </w:tc>
        <w:tc>
          <w:p>
            <w:pPr>
              <w:pStyle w:val="Compact"/>
              <w:jc w:val="right"/>
            </w:pPr>
            <w:r>
              <w:t xml:space="preserve">0.0000</w:t>
            </w:r>
          </w:p>
        </w:tc>
        <w:tc>
          <w:p>
            <w:pPr>
              <w:pStyle w:val="Compact"/>
              <w:jc w:val="right"/>
            </w:pPr>
            <w:r>
              <w:t xml:space="preserve">1.2035</w:t>
            </w:r>
          </w:p>
        </w:tc>
        <w:tc>
          <w:p>
            <w:pPr>
              <w:pStyle w:val="Compact"/>
              <w:jc w:val="right"/>
            </w:pPr>
            <w:r>
              <w:t xml:space="preserve">1.477</w:t>
            </w:r>
          </w:p>
        </w:tc>
      </w:tr>
      <w:tr>
        <w:tc>
          <w:p>
            <w:pPr>
              <w:pStyle w:val="Compact"/>
              <w:jc w:val="left"/>
            </w:pPr>
            <w:r>
              <w:t xml:space="preserve">Time-varying treatment</w:t>
            </w:r>
          </w:p>
        </w:tc>
        <w:tc>
          <w:p>
            <w:pPr>
              <w:pStyle w:val="Compact"/>
              <w:jc w:val="left"/>
            </w:pPr>
            <w:r>
              <w:t xml:space="preserve">NA</w:t>
            </w:r>
          </w:p>
        </w:tc>
        <w:tc>
          <w:p>
            <w:pPr>
              <w:pStyle w:val="Compact"/>
              <w:jc w:val="right"/>
            </w:pPr>
            <w:r>
              <w:t xml:space="preserve">1.208</w:t>
            </w:r>
          </w:p>
        </w:tc>
        <w:tc>
          <w:p>
            <w:pPr>
              <w:pStyle w:val="Compact"/>
              <w:jc w:val="right"/>
            </w:pPr>
            <w:r>
              <w:t xml:space="preserve">0.0173</w:t>
            </w:r>
          </w:p>
        </w:tc>
        <w:tc>
          <w:p>
            <w:pPr>
              <w:pStyle w:val="Compact"/>
              <w:jc w:val="right"/>
            </w:pPr>
            <w:r>
              <w:t xml:space="preserve">0.0000</w:t>
            </w:r>
          </w:p>
        </w:tc>
        <w:tc>
          <w:p>
            <w:pPr>
              <w:pStyle w:val="Compact"/>
              <w:jc w:val="right"/>
            </w:pPr>
            <w:r>
              <w:t xml:space="preserve">1.1673</w:t>
            </w:r>
          </w:p>
        </w:tc>
        <w:tc>
          <w:p>
            <w:pPr>
              <w:pStyle w:val="Compact"/>
              <w:jc w:val="right"/>
            </w:pPr>
            <w:r>
              <w:t xml:space="preserve">1.249</w:t>
            </w:r>
          </w:p>
        </w:tc>
      </w:tr>
    </w:tbl>
    <w:p>
      <w:pPr>
        <w:pStyle w:val="BodyText"/>
      </w:pPr>
      <w:r>
        <w:t xml:space="preserve"> </w:t>
      </w:r>
    </w:p>
    <w:p>
      <w:pPr>
        <w:pStyle w:val="BodyText"/>
      </w:pPr>
      <w:r>
        <w:t xml:space="preserve">For the analyses above, the following baseline covariates were adjusted for: sex, age, charlson, Index multiple deprivation, consultation rate, alcohol (ever), smoking (ever), BMI, cardiovascular disease, coronary bypass surgery, coronary artery disease, peripheral arterial disease, and hypertension.</w:t>
      </w:r>
      <w:r>
        <w:t xml:space="preserve"> </w:t>
      </w:r>
      <w:r>
        <w:t xml:space="preserve"> </w:t>
      </w:r>
    </w:p>
    <w:p>
      <w:pPr>
        <w:pStyle w:val="Heading5"/>
      </w:pPr>
      <w:bookmarkStart w:id="35" w:name="section-6"/>
      <w:bookmarkEnd w:id="35"/>
    </w:p>
    <w:p>
      <w:pPr>
        <w:pStyle w:val="Heading1"/>
      </w:pPr>
      <w:bookmarkStart w:id="36" w:name="discussion"/>
      <w:r>
        <w:t xml:space="preserve">Discussion</w:t>
      </w:r>
      <w:bookmarkEnd w:id="36"/>
    </w:p>
    <w:p>
      <w:pPr>
        <w:pStyle w:val="FirstParagraph"/>
      </w:pPr>
      <w:r>
        <w:rPr>
          <w:b/>
        </w:rPr>
        <w:t xml:space="preserve">Main findings</w:t>
      </w:r>
    </w:p>
    <w:p>
      <w:pPr>
        <w:pStyle w:val="BodyText"/>
      </w:pPr>
      <w:r>
        <w:t xml:space="preserve">Our analysis indicated that there was an increased risk of any dementia diagnosis associated with taking a lipid regulating agent. However, examining the dementia subgroups, this apparent effect is being driven by the vascular dementia subgroup while for the probable Alzheimer’s disease subgroup, no effect was observed.</w:t>
      </w:r>
    </w:p>
    <w:p>
      <w:pPr>
        <w:pStyle w:val="BodyText"/>
      </w:pPr>
      <w:r>
        <w:t xml:space="preserve">In all cases, the overall HR estimate reflects that seen in the statin subgroup, as a substantial majority of participants taking a lipid regulating agent were taking a statin ( 14.65%).</w:t>
      </w:r>
    </w:p>
    <w:p>
      <w:pPr>
        <w:pStyle w:val="BodyText"/>
      </w:pPr>
      <w:r>
        <w:rPr>
          <w:b/>
        </w:rPr>
        <w:t xml:space="preserve">Explanations</w:t>
      </w:r>
    </w:p>
    <w:p>
      <w:pPr>
        <w:pStyle w:val="BodyText"/>
      </w:pPr>
      <w:r>
        <w:t xml:space="preserve">We expect that there are two main drivers of the increased HR seen in the any dementia group, due primarily to the substantially increased HR in the vascular dementia subgroup:</w:t>
      </w:r>
    </w:p>
    <w:p>
      <w:pPr>
        <w:pStyle w:val="BodyText"/>
      </w:pPr>
      <w:r>
        <w:t xml:space="preserve">Differential misclassification</w:t>
      </w:r>
    </w:p>
    <w:p>
      <w:pPr>
        <w:pStyle w:val="BodyText"/>
      </w:pPr>
      <w:r>
        <w:t xml:space="preserve">Uncontrolled confounders</w:t>
      </w:r>
    </w:p>
    <w:p>
      <w:pPr>
        <w:pStyle w:val="BodyText"/>
      </w:pPr>
      <w:r>
        <w:t xml:space="preserve">A recent study in the UK Biobank demonstrated that an Alzheimer’s disease polygenic risk score was assoiated with unspecified Alzheimer’s and vascular dementia, but also was associated with self report of raised cholesterol levels, a diagnosis of hypercholesterolaemia, and a history of taking lipid regulating agents such as statins or ezetimibe</w:t>
      </w:r>
    </w:p>
    <w:p>
      <w:pPr>
        <w:pStyle w:val="Compact"/>
        <w:numPr>
          <w:numId w:val="1005"/>
          <w:ilvl w:val="0"/>
        </w:numPr>
      </w:pPr>
      <w:r>
        <w:rPr>
          <w:b/>
        </w:rPr>
        <w:t xml:space="preserve">Include confounding by indication</w:t>
      </w:r>
    </w:p>
    <w:p>
      <w:pPr>
        <w:pStyle w:val="FirstParagraph"/>
      </w:pPr>
      <w:r>
        <w:rPr>
          <w:b/>
        </w:rPr>
        <w:t xml:space="preserve">Comparison to other sources of evidence</w:t>
      </w:r>
    </w:p>
    <w:p>
      <w:pPr>
        <w:pStyle w:val="BodyText"/>
      </w:pPr>
      <w:r>
        <w:t xml:space="preserve">Recent Mendelian randomisation study examining whether genetic variation of lipid-lowering drug targets is associated with Alzheimer’s disease (AD) risk. (</w:t>
      </w:r>
      <w:r>
        <w:t xml:space="preserve">3</w:t>
      </w:r>
      <w:r>
        <w:t xml:space="preserve">)</w:t>
      </w:r>
    </w:p>
    <w:p>
      <w:pPr>
        <w:pStyle w:val="BodyText"/>
      </w:pPr>
      <w:r>
        <w:t xml:space="preserve">Models for HMGCR, APOB and NPC1L1 did not suggest that the use of related lipid-lowering drug classes would affect AD risk. In contrast, exposure to PCSK9 inhibitors was predicted to increase AD risk in both of the AD samples (combined odds ratio per standard deviation lower LDL-C inducible by the drug target = 1.45; 95% confidence interval: 1.23, 1.69).</w:t>
      </w:r>
    </w:p>
    <w:p>
      <w:pPr>
        <w:pStyle w:val="BodyText"/>
      </w:pPr>
      <w:r>
        <w:rPr>
          <w:b/>
        </w:rPr>
        <w:t xml:space="preserve">Limitations</w:t>
      </w:r>
    </w:p>
    <w:p>
      <w:pPr>
        <w:pStyle w:val="BodyText"/>
      </w:pPr>
      <w:r>
        <w:t xml:space="preserve">Complete case analysis</w:t>
      </w:r>
    </w:p>
    <w:p>
      <w:pPr>
        <w:pStyle w:val="BodyText"/>
      </w:pPr>
      <w:r>
        <w:t xml:space="preserve">Large amounts of missing data on some key variables</w:t>
      </w:r>
    </w:p>
    <w:p>
      <w:pPr>
        <w:pStyle w:val="BodyText"/>
      </w:pPr>
      <w:r>
        <w:t xml:space="preserve">Selection bias if including those with a prescription as their index test result.</w:t>
      </w:r>
    </w:p>
    <w:p>
      <w:pPr>
        <w:pStyle w:val="Heading5"/>
      </w:pPr>
      <w:bookmarkStart w:id="37" w:name="section-7"/>
      <w:bookmarkEnd w:id="37"/>
    </w:p>
    <w:p>
      <w:pPr>
        <w:pStyle w:val="Heading1"/>
      </w:pPr>
      <w:bookmarkStart w:id="38" w:name="conclusion"/>
      <w:r>
        <w:t xml:space="preserve">Conclusions</w:t>
      </w:r>
      <w:bookmarkEnd w:id="38"/>
    </w:p>
    <w:p>
      <w:pPr>
        <w:pStyle w:val="Heading5"/>
      </w:pPr>
      <w:bookmarkStart w:id="39" w:name="section-8"/>
      <w:bookmarkEnd w:id="39"/>
    </w:p>
    <w:p>
      <w:pPr>
        <w:pStyle w:val="Heading2"/>
      </w:pPr>
      <w:bookmarkStart w:id="40" w:name="appendix"/>
      <w:r>
        <w:t xml:space="preserve">Supplementary tables and figures</w:t>
      </w:r>
      <w:bookmarkEnd w:id="40"/>
    </w:p>
    <w:p>
      <w:pPr>
        <w:pStyle w:val="FirstParagraph"/>
      </w:pPr>
      <w:r>
        <w:drawing>
          <wp:inline>
            <wp:extent cx="5943600" cy="2377440"/>
            <wp:effectExtent b="0" l="0" r="0" t="0"/>
            <wp:docPr descr="" title="" id="1" name="Picture"/>
            <a:graphic>
              <a:graphicData uri="http://schemas.openxmlformats.org/drawingml/2006/picture">
                <pic:pic>
                  <pic:nvPicPr>
                    <pic:cNvPr descr="H:/SafeHaven/CPRD%20Projects%20UOB/Projects/15_246/CPRD-LRA/output/fp_cox_alldem.jpeg" id="0" name="Picture"/>
                    <pic:cNvPicPr>
                      <a:picLocks noChangeArrowheads="1" noChangeAspect="1"/>
                    </pic:cNvPicPr>
                  </pic:nvPicPr>
                  <pic:blipFill>
                    <a:blip r:embed="rId41"/>
                    <a:stretch>
                      <a:fillRect/>
                    </a:stretch>
                  </pic:blipFill>
                  <pic:spPr bwMode="auto">
                    <a:xfrm>
                      <a:off x="0" y="0"/>
                      <a:ext cx="5943600" cy="2377440"/>
                    </a:xfrm>
                    <a:prstGeom prst="rect">
                      <a:avLst/>
                    </a:prstGeom>
                    <a:noFill/>
                    <a:ln w="9525">
                      <a:noFill/>
                      <a:headEnd/>
                      <a:tailEnd/>
                    </a:ln>
                  </pic:spPr>
                </pic:pic>
              </a:graphicData>
            </a:graphic>
          </wp:inline>
        </w:drawing>
      </w:r>
    </w:p>
    <w:p>
      <w:pPr>
        <w:pStyle w:val="BodyText"/>
      </w:pPr>
      <w:r>
        <w:t xml:space="preserve"> </w:t>
      </w:r>
    </w:p>
    <w:p>
      <w:pPr>
        <w:pStyle w:val="TableCaption"/>
      </w:pPr>
      <w:r>
        <w:t xml:space="preserve">Table 3: Cohort 2 - Results from a time-varying Cox proportional hazards regression model comparing each drug with the control group. The following baseline covariates were adjusted for: sex, age, charlson, Index multiple deprivation, consultation rate, alcohol (ever), smoking (ever), and BMI. The following covariates were allowed to vary over time: Cardiovascular disease, coronary bypass surgery, coronary artery disease, peripheral arterial disease, and hypertension</w:t>
      </w:r>
    </w:p>
    <w:tbl>
      <w:tblPr>
        <w:tblStyle w:val="Table"/>
        <w:tblW w:type="pct" w:w="5000.0"/>
        <w:tblLook w:firstRow="1"/>
        <w:tblCaption w:val="Table 3: Cohort 2 - Results from a time-varying Cox proportional hazards regression model comparing each drug with the control group. The following baseline covariates were adjusted for: sex, age, charlson, Index multiple deprivation, consultation rate, alcohol (ever), smoking (ever), and BMI. The following covariates were allowed to vary over time: Cardiovascular disease, coronary bypass surgery, coronary artery disease, peripheral arterial disease, and hypertension"/>
      </w:tblPr>
      <w:tblGrid>
        <w:gridCol w:w="782"/>
        <w:gridCol w:w="488"/>
        <w:gridCol w:w="293"/>
        <w:gridCol w:w="977"/>
        <w:gridCol w:w="782"/>
        <w:gridCol w:w="1173"/>
        <w:gridCol w:w="1173"/>
        <w:gridCol w:w="2248"/>
      </w:tblGrid>
      <w:tr>
        <w:trPr>
          <w:cnfStyle w:firstRow="1"/>
        </w:trPr>
        <w:tc>
          <w:tcPr>
            <w:tcBorders>
              <w:bottom w:val="single"/>
            </w:tcBorders>
            <w:vAlign w:val="bottom"/>
          </w:tcPr>
          <w:p>
            <w:pPr>
              <w:pStyle w:val="Compact"/>
              <w:jc w:val="left"/>
            </w:pPr>
            <w:r>
              <w:t xml:space="preserve">Outcome</w:t>
            </w:r>
          </w:p>
        </w:tc>
        <w:tc>
          <w:tcPr>
            <w:tcBorders>
              <w:bottom w:val="single"/>
            </w:tcBorders>
            <w:vAlign w:val="bottom"/>
          </w:tcPr>
          <w:p>
            <w:pPr>
              <w:pStyle w:val="Compact"/>
              <w:jc w:val="left"/>
            </w:pPr>
            <w:r>
              <w:t xml:space="preserve">Drug</w:t>
            </w:r>
          </w:p>
        </w:tc>
        <w:tc>
          <w:tcPr>
            <w:tcBorders>
              <w:bottom w:val="single"/>
            </w:tcBorders>
            <w:vAlign w:val="bottom"/>
          </w:tcPr>
          <w:p>
            <w:pPr>
              <w:pStyle w:val="Compact"/>
              <w:jc w:val="right"/>
            </w:pPr>
            <w:r>
              <w:t xml:space="preserve">HR</w:t>
            </w:r>
          </w:p>
        </w:tc>
        <w:tc>
          <w:tcPr>
            <w:tcBorders>
              <w:bottom w:val="single"/>
            </w:tcBorders>
            <w:vAlign w:val="bottom"/>
          </w:tcPr>
          <w:p>
            <w:pPr>
              <w:pStyle w:val="Compact"/>
              <w:jc w:val="right"/>
            </w:pPr>
            <w:r>
              <w:t xml:space="preserve">Std Error</w:t>
            </w:r>
          </w:p>
        </w:tc>
        <w:tc>
          <w:tcPr>
            <w:tcBorders>
              <w:bottom w:val="single"/>
            </w:tcBorders>
            <w:vAlign w:val="bottom"/>
          </w:tcPr>
          <w:p>
            <w:pPr>
              <w:pStyle w:val="Compact"/>
              <w:jc w:val="right"/>
            </w:pPr>
            <w:r>
              <w:t xml:space="preserve">P-value</w:t>
            </w:r>
          </w:p>
        </w:tc>
        <w:tc>
          <w:tcPr>
            <w:tcBorders>
              <w:bottom w:val="single"/>
            </w:tcBorders>
            <w:vAlign w:val="bottom"/>
          </w:tcPr>
          <w:p>
            <w:pPr>
              <w:pStyle w:val="Compact"/>
              <w:jc w:val="right"/>
            </w:pPr>
            <w:r>
              <w:t xml:space="preserve">Upper 95%CI</w:t>
            </w:r>
          </w:p>
        </w:tc>
        <w:tc>
          <w:tcPr>
            <w:tcBorders>
              <w:bottom w:val="single"/>
            </w:tcBorders>
            <w:vAlign w:val="bottom"/>
          </w:tcPr>
          <w:p>
            <w:pPr>
              <w:pStyle w:val="Compact"/>
              <w:jc w:val="right"/>
            </w:pPr>
            <w:r>
              <w:t xml:space="preserve">Upper 95%CI</w:t>
            </w:r>
          </w:p>
        </w:tc>
        <w:tc>
          <w:tcPr>
            <w:tcBorders>
              <w:bottom w:val="single"/>
            </w:tcBorders>
            <w:vAlign w:val="bottom"/>
          </w:tcPr>
          <w:p>
            <w:pPr>
              <w:pStyle w:val="Compact"/>
              <w:jc w:val="right"/>
            </w:pPr>
            <w:r>
              <w:t xml:space="preserve">Number of participants</w:t>
            </w:r>
          </w:p>
        </w:tc>
      </w:tr>
    </w:tbl>
    <w:bookmarkStart w:id="45" w:name="refs"/>
    <w:bookmarkStart w:id="42" w:name="ref-10.1093/ije/dyv098"/>
    <w:p>
      <w:pPr>
        <w:pStyle w:val="Bibliography"/>
      </w:pPr>
      <w:r>
        <w:t xml:space="preserve">1. Herrett, E.</w:t>
      </w:r>
      <w:r>
        <w:t xml:space="preserve"> </w:t>
      </w:r>
      <w:r>
        <w:rPr>
          <w:i/>
        </w:rPr>
        <w:t xml:space="preserve">et al.</w:t>
      </w:r>
      <w:r>
        <w:t xml:space="preserve"> </w:t>
      </w:r>
      <w:r>
        <w:t xml:space="preserve">Data Resource Profile: Clinical Practice Research Datalink (CPRD).</w:t>
      </w:r>
      <w:r>
        <w:t xml:space="preserve"> </w:t>
      </w:r>
      <w:r>
        <w:rPr>
          <w:i/>
        </w:rPr>
        <w:t xml:space="preserve">International Journal of Epidemiology</w:t>
      </w:r>
      <w:r>
        <w:t xml:space="preserve"> </w:t>
      </w:r>
      <w:r>
        <w:rPr>
          <w:b/>
        </w:rPr>
        <w:t xml:space="preserve">44</w:t>
      </w:r>
      <w:r>
        <w:t xml:space="preserve">, 827–836 (2015).</w:t>
      </w:r>
    </w:p>
    <w:bookmarkEnd w:id="42"/>
    <w:bookmarkStart w:id="43" w:name="ref-Walkere012044"/>
    <w:p>
      <w:pPr>
        <w:pStyle w:val="Bibliography"/>
      </w:pPr>
      <w:r>
        <w:t xml:space="preserve">2. Walker, V. M., Davies, N. M., Jones, T., Kehoe, P. G. &amp; Martin, R. M. Can commonly prescribed drugs be repurposed for the prevention or treatment of alzheimer’s and other neurodegenerative diseases? Protocol for an observational cohort study in the uk clinical practice research datalink.</w:t>
      </w:r>
      <w:r>
        <w:t xml:space="preserve"> </w:t>
      </w:r>
      <w:r>
        <w:rPr>
          <w:i/>
        </w:rPr>
        <w:t xml:space="preserve">BMJ Open</w:t>
      </w:r>
      <w:r>
        <w:t xml:space="preserve"> </w:t>
      </w:r>
      <w:r>
        <w:rPr>
          <w:b/>
        </w:rPr>
        <w:t xml:space="preserve">6</w:t>
      </w:r>
      <w:r>
        <w:t xml:space="preserve">, (2016).</w:t>
      </w:r>
    </w:p>
    <w:bookmarkEnd w:id="43"/>
    <w:bookmarkStart w:id="44" w:name="ref-doi:10.1002/ana.25642"/>
    <w:p>
      <w:pPr>
        <w:pStyle w:val="Bibliography"/>
      </w:pPr>
      <w:r>
        <w:t xml:space="preserve">3. Williams, D. M., Finan, C., Schmidt, A. F., Burgess, S. &amp; Hingorani, A. D. Lipid lowering and alzheimer’s disease risk: A mendelian randomization study.</w:t>
      </w:r>
      <w:r>
        <w:t xml:space="preserve"> </w:t>
      </w:r>
      <w:r>
        <w:rPr>
          <w:i/>
        </w:rPr>
        <w:t xml:space="preserve">Annals of Neurology</w:t>
      </w:r>
      <w:r>
        <w:t xml:space="preserve"> </w:t>
      </w:r>
      <w:r>
        <w:rPr>
          <w:b/>
        </w:rPr>
        <w:t xml:space="preserve">n/a</w:t>
      </w:r>
      <w:r>
        <w:t xml:space="preserve">,</w:t>
      </w:r>
    </w:p>
    <w:bookmarkEnd w:id="44"/>
    <w:bookmarkEnd w:id="45"/>
    <w:sectPr w:rsidR="003A669F" w:rsidRPr="003A669F">
      <w:headerReference w:type="even" r:id="rId9"/>
      <w:headerReference w:type="default" r:id="rId11"/>
      <w:footerReference w:type="even" r:id="rId14"/>
      <w:footerReference w:type="default" r:id="rId13"/>
      <w:headerReference w:type="first" r:id="rId10"/>
      <w:footerReference w:type="first" r:id="rId12"/>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6AAF65" w14:textId="77777777" w:rsidR="00FC37A3" w:rsidRDefault="00FC37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0858167"/>
      <w:docPartObj>
        <w:docPartGallery w:val="Page Numbers (Bottom of Page)"/>
        <w:docPartUnique/>
      </w:docPartObj>
    </w:sdtPr>
    <w:sdtEndPr>
      <w:rPr>
        <w:noProof/>
      </w:rPr>
    </w:sdtEndPr>
    <w:sdtContent>
      <w:p w14:paraId="7879750F" w14:textId="4106D592" w:rsidR="00FC37A3" w:rsidRDefault="00FC37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7BD134" w14:textId="77777777" w:rsidR="00FC37A3" w:rsidRDefault="00FC37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73454" w14:textId="77777777" w:rsidR="00FC37A3" w:rsidRDefault="00FC37A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6F2443" w14:textId="77777777" w:rsidR="00FC37A3" w:rsidRDefault="00FC37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911846" w14:textId="77777777" w:rsidR="00FC37A3" w:rsidRDefault="00FC37A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3153DE" w14:textId="77777777" w:rsidR="00FC37A3" w:rsidRDefault="00FC37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10381D9"/>
    <w:multiLevelType w:val="multilevel"/>
    <w:tmpl w:val="9B9E7A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419087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55AAAEF8"/>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7B2CC1F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78B42C6C"/>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B84E3F80"/>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EFC018FE"/>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CCEC26E2"/>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D7E96C0"/>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D2FED1C8"/>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2A08FC6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0F56B90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C072ED"/>
    <w:multiLevelType w:val="multilevel"/>
    <w:tmpl w:val="B2E0E602"/>
    <w:lvl w:ilvl="0">
      <w:start w:val="1"/>
      <w:numFmt w:val="decimal"/>
      <w:lvlText w:val="%1"/>
      <w:lvlJc w:val="left"/>
      <w:pPr>
        <w:ind w:left="-37"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89707DC"/>
    <w:multiLevelType w:val="hybridMultilevel"/>
    <w:tmpl w:val="E69A65F6"/>
    <w:lvl w:ilvl="0" w:tplc="5B7051A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E130607"/>
    <w:multiLevelType w:val="multilevel"/>
    <w:tmpl w:val="D400A0AE"/>
    <w:lvl w:ilvl="0">
      <w:start w:val="1"/>
      <w:numFmt w:val="decimal"/>
      <w:pStyle w:val="Heading1"/>
      <w:lvlText w:val="%1"/>
      <w:lvlJc w:val="left"/>
      <w:pPr>
        <w:ind w:left="-37"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086E0AB"/>
    <w:multiLevelType w:val="multilevel"/>
    <w:tmpl w:val="D7185C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74331CB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3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15"/>
  </w:num>
  <w:num w:numId="4">
    <w:abstractNumId w:val="15"/>
  </w:num>
  <w:num w:numId="5">
    <w:abstractNumId w:val="15"/>
  </w:num>
  <w:num w:numId="6">
    <w:abstractNumId w:val="15"/>
  </w:num>
  <w:num w:numId="7">
    <w:abstractNumId w:val="15"/>
  </w:num>
  <w:num w:numId="8">
    <w:abstractNumId w:val="15"/>
  </w:num>
  <w:num w:numId="9">
    <w:abstractNumId w:val="13"/>
  </w:num>
  <w:num w:numId="10">
    <w:abstractNumId w:val="14"/>
  </w:num>
  <w:num w:numId="11">
    <w:abstractNumId w:val="14"/>
  </w:num>
  <w:num w:numId="12">
    <w:abstractNumId w:val="11"/>
  </w:num>
  <w:num w:numId="13">
    <w:abstractNumId w:val="9"/>
  </w:num>
  <w:num w:numId="14">
    <w:abstractNumId w:val="8"/>
  </w:num>
  <w:num w:numId="15">
    <w:abstractNumId w:val="7"/>
  </w:num>
  <w:num w:numId="16">
    <w:abstractNumId w:val="6"/>
  </w:num>
  <w:num w:numId="17">
    <w:abstractNumId w:val="10"/>
  </w:num>
  <w:num w:numId="18">
    <w:abstractNumId w:val="5"/>
  </w:num>
  <w:num w:numId="19">
    <w:abstractNumId w:val="4"/>
  </w:num>
  <w:num w:numId="20">
    <w:abstractNumId w:val="3"/>
  </w:num>
  <w:num w:numId="21">
    <w:abstractNumId w:val="2"/>
  </w:num>
  <w:num w:numId="22">
    <w:abstractNumId w:val="16"/>
  </w:num>
  <w:num w:numId="23">
    <w:abstractNumId w:val="12"/>
  </w:num>
  <w:num w:numId="24">
    <w:abstractNumId w:val="14"/>
  </w:num>
  <w:num w:numId="1000">
    <w:abstractNumId w:val="990"/>
  </w:num>
  <w:num w:numId="1001">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D12337"/>
    <w:pPr>
      <w:keepNext/>
      <w:keepLines/>
      <w:numPr>
        <w:numId w:val="24"/>
      </w:numPr>
      <w:spacing w:after="240"/>
      <w:ind w:left="0" w:hanging="567"/>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D12337"/>
    <w:pPr>
      <w:keepNext/>
      <w:keepLines/>
      <w:numPr>
        <w:ilvl w:val="1"/>
        <w:numId w:val="24"/>
      </w:numPr>
      <w:spacing w:after="240"/>
      <w:ind w:left="0" w:hanging="567"/>
      <w:outlineLvl w:val="1"/>
    </w:pPr>
    <w:rPr>
      <w:rFonts w:asciiTheme="majorHAnsi" w:eastAsiaTheme="majorEastAsia" w:hAnsiTheme="majorHAnsi" w:cstheme="majorBidi"/>
      <w:b/>
      <w:bCs/>
      <w:sz w:val="28"/>
      <w:szCs w:val="28"/>
    </w:rPr>
  </w:style>
  <w:style w:type="paragraph" w:styleId="Heading3">
    <w:name w:val="heading 3"/>
    <w:basedOn w:val="Heading2"/>
    <w:next w:val="BodyText"/>
    <w:uiPriority w:val="9"/>
    <w:unhideWhenUsed/>
    <w:qFormat/>
    <w:rsid w:val="00D12337"/>
    <w:pPr>
      <w:numPr>
        <w:ilvl w:val="2"/>
      </w:numPr>
      <w:ind w:left="0" w:hanging="567"/>
      <w:outlineLvl w:val="2"/>
    </w:pPr>
    <w:rPr>
      <w:sz w:val="24"/>
    </w:rPr>
  </w:style>
  <w:style w:type="paragraph" w:styleId="Heading4">
    <w:name w:val="heading 4"/>
    <w:basedOn w:val="Normal"/>
    <w:next w:val="BodyText"/>
    <w:uiPriority w:val="9"/>
    <w:unhideWhenUsed/>
    <w:qFormat/>
    <w:rsid w:val="00A113E2"/>
    <w:pPr>
      <w:keepNext/>
      <w:keepLines/>
      <w:spacing w:after="0"/>
      <w:outlineLvl w:val="3"/>
    </w:pPr>
    <w:rPr>
      <w:rFonts w:asciiTheme="majorHAnsi" w:eastAsiaTheme="majorEastAsia" w:hAnsiTheme="majorHAnsi" w:cstheme="majorBidi"/>
      <w:b/>
      <w:bCs/>
    </w:rPr>
  </w:style>
  <w:style w:type="paragraph" w:styleId="Heading5">
    <w:name w:val="heading 5"/>
    <w:basedOn w:val="Heading4"/>
    <w:next w:val="BodyText"/>
    <w:uiPriority w:val="9"/>
    <w:unhideWhenUsed/>
    <w:qFormat/>
    <w:rsid w:val="00B16115"/>
    <w:pPr>
      <w:pageBreakBefore/>
      <w:spacing w:line="20" w:lineRule="exact"/>
      <w:outlineLvl w:val="4"/>
    </w:pPr>
    <w:rPr>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965E8"/>
    <w:pPr>
      <w:spacing w:before="120" w:after="120"/>
    </w:pPr>
  </w:style>
  <w:style w:type="paragraph" w:customStyle="1" w:styleId="FirstParagraph">
    <w:name w:val="First Paragraph"/>
    <w:basedOn w:val="BodyText"/>
    <w:next w:val="BodyText"/>
    <w:qFormat/>
    <w:rsid w:val="003965E8"/>
  </w:style>
  <w:style w:type="paragraph" w:customStyle="1" w:styleId="Compact">
    <w:name w:val="Compact"/>
    <w:basedOn w:val="BodyText"/>
    <w:qFormat/>
    <w:rsid w:val="0032548E"/>
    <w:pPr>
      <w:spacing w:before="36" w:after="36"/>
    </w:pPr>
    <w:rPr>
      <w:rFonts w:cs="Arial"/>
      <w:szCs w:val="18"/>
    </w:rPr>
  </w:style>
  <w:style w:type="paragraph" w:styleId="Title">
    <w:name w:val="Title"/>
    <w:basedOn w:val="Normal"/>
    <w:next w:val="BodyText"/>
    <w:qFormat/>
    <w:rsid w:val="009F2E06"/>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9F2E06"/>
    <w:pPr>
      <w:keepNext/>
      <w:keepLines/>
      <w:jc w:val="center"/>
    </w:pPr>
    <w:rPr>
      <w: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Normal"/>
    <w:next w:val="BodyText"/>
    <w:uiPriority w:val="39"/>
    <w:unhideWhenUsed/>
    <w:qFormat/>
    <w:rsid w:val="00A42EE4"/>
    <w:rPr>
      <w:rFonts w:asciiTheme="majorHAnsi" w:hAnsiTheme="majorHAnsi" w:cstheme="majorHAnsi"/>
      <w:b/>
      <w:bCs/>
      <w:sz w:val="32"/>
      <w:szCs w:val="32"/>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7B6050"/>
    <w:pPr>
      <w:spacing w:after="100"/>
    </w:pPr>
  </w:style>
  <w:style w:type="paragraph" w:styleId="TOC2">
    <w:name w:val="toc 2"/>
    <w:basedOn w:val="Normal"/>
    <w:next w:val="Normal"/>
    <w:autoRedefine/>
    <w:uiPriority w:val="39"/>
    <w:unhideWhenUsed/>
    <w:rsid w:val="007B6050"/>
    <w:pPr>
      <w:spacing w:after="100"/>
      <w:ind w:left="240"/>
    </w:pPr>
  </w:style>
  <w:style w:type="paragraph" w:styleId="TOC3">
    <w:name w:val="toc 3"/>
    <w:basedOn w:val="Normal"/>
    <w:next w:val="Normal"/>
    <w:autoRedefine/>
    <w:uiPriority w:val="39"/>
    <w:unhideWhenUsed/>
    <w:rsid w:val="007B6050"/>
    <w:pPr>
      <w:spacing w:after="100"/>
      <w:ind w:left="480"/>
    </w:pPr>
  </w:style>
  <w:style w:type="paragraph" w:styleId="Header">
    <w:name w:val="header"/>
    <w:basedOn w:val="Normal"/>
    <w:link w:val="HeaderChar"/>
    <w:unhideWhenUsed/>
    <w:rsid w:val="00390E4A"/>
    <w:pPr>
      <w:tabs>
        <w:tab w:val="center" w:pos="4513"/>
        <w:tab w:val="right" w:pos="9026"/>
      </w:tabs>
      <w:spacing w:after="0"/>
    </w:pPr>
  </w:style>
  <w:style w:type="character" w:customStyle="1" w:styleId="BodyTextChar">
    <w:name w:val="Body Text Char"/>
    <w:basedOn w:val="DefaultParagraphFont"/>
    <w:link w:val="BodyText"/>
    <w:rsid w:val="003965E8"/>
  </w:style>
  <w:style w:type="character" w:customStyle="1" w:styleId="HeaderChar">
    <w:name w:val="Header Char"/>
    <w:basedOn w:val="DefaultParagraphFont"/>
    <w:link w:val="Header"/>
    <w:rsid w:val="00390E4A"/>
  </w:style>
  <w:style w:type="paragraph" w:styleId="Footer">
    <w:name w:val="footer"/>
    <w:basedOn w:val="Normal"/>
    <w:link w:val="FooterChar"/>
    <w:uiPriority w:val="99"/>
    <w:unhideWhenUsed/>
    <w:rsid w:val="00390E4A"/>
    <w:pPr>
      <w:tabs>
        <w:tab w:val="center" w:pos="4513"/>
        <w:tab w:val="right" w:pos="9026"/>
      </w:tabs>
      <w:spacing w:after="0"/>
    </w:pPr>
  </w:style>
  <w:style w:type="character" w:customStyle="1" w:styleId="FooterChar">
    <w:name w:val="Footer Char"/>
    <w:basedOn w:val="DefaultParagraphFont"/>
    <w:link w:val="Footer"/>
    <w:uiPriority w:val="99"/>
    <w:rsid w:val="00390E4A"/>
  </w:style>
  <w:style w:type="paragraph" w:styleId="BalloonText">
    <w:name w:val="Balloon Text"/>
    <w:basedOn w:val="Normal"/>
    <w:link w:val="BalloonTextChar"/>
    <w:semiHidden/>
    <w:unhideWhenUsed/>
    <w:rsid w:val="00C9773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9773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95665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header" Target="header2.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Type="http://schemas.openxmlformats.org/officeDocument/2006/relationships/image" Id="rId41" Target="media/rId41.jpg" /><Relationship Type="http://schemas.openxmlformats.org/officeDocument/2006/relationships/image" Id="rId33" Target="media/rId33.jpg" /><Relationship Type="http://schemas.openxmlformats.org/officeDocument/2006/relationships/hyperlink" Id="rId30" Target="https://github.com/mcguinlu/CPRD-LRA" TargetMode="External" /><Relationship Type="http://schemas.openxmlformats.org/officeDocument/2006/relationships/hyperlink" Id="rId21" Target="mailto:luke.mcguinness@bristol.ac.uk" TargetMode="External" /></Relationships>
</file>

<file path=word/_rels/footnotes.xml.rels><?xml version="1.0" encoding="UTF-8"?>
<Relationships xmlns="http://schemas.openxmlformats.org/package/2006/relationships"><Relationship Type="http://schemas.openxmlformats.org/officeDocument/2006/relationships/hyperlink" Id="rId30" Target="https://github.com/mcguinlu/CPRD-LRA" TargetMode="External" /><Relationship Type="http://schemas.openxmlformats.org/officeDocument/2006/relationships/hyperlink" Id="rId21" Target="mailto:luke.mcguinness@bristol.ac.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2</Pages>
  <Words>20</Words>
  <Characters>114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University of Bristol</Company>
  <LinksUpToDate>false</LinksUpToDate>
  <CharactersWithSpaces>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2019-11-15T17:54:30Z</dcterms:created>
  <dcterms:modified xsi:type="dcterms:W3CDTF">2019-11-15T17:54:30Z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date">
    <vt:lpwstr>Maunscript last updated: 15 November, 2019</vt:lpwstr>
  </property>
  <property fmtid="{D5CDD505-2E9C-101B-9397-08002B2CF9AE}" pid="5" name="output">
    <vt:lpwstr/>
  </property>
</Properties>
</file>