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November</w:t>
      </w:r>
      <w:r>
        <w:t xml:space="preserve"> </w:t>
      </w:r>
      <w:r>
        <w:t xml:space="preserve">Meeting</w:t>
      </w:r>
      <w:r>
        <w:t xml:space="preserve"> </w:t>
      </w:r>
      <w:r>
        <w:t xml:space="preserve">-</w:t>
      </w:r>
      <w:r>
        <w:t xml:space="preserve"> </w:t>
      </w:r>
      <w:r>
        <w:t xml:space="preserve">Appendix</w:t>
      </w:r>
    </w:p>
    <w:p>
      <w:pPr>
        <w:pStyle w:val="TableCaption"/>
      </w:pPr>
      <w:r>
        <w:t xml:space="preserve">Table 1: Patient characteristics of Cohort 2</w:t>
      </w:r>
    </w:p>
    <w:tbl>
      <w:tblPr>
        <w:tblStyle w:val="Table"/>
        <w:tblW w:type="pct" w:w="0.0"/>
        <w:tblLook w:firstRow="1"/>
        <w:tblCaption w:val="Table 1: Patient characteristics of Cohort 2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Whole 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LRA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Bile acid sequestrants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Ezetimibe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Ezetimibe &amp; Statins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Nicotinic acid groups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Omega-3 Fatty Acid Groups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1711679</w:t>
            </w:r>
          </w:p>
        </w:tc>
        <w:tc>
          <w:p>
            <w:pPr>
              <w:pStyle w:val="Compact"/>
              <w:jc w:val="left"/>
            </w:pPr>
            <w:r>
              <w:t xml:space="preserve">1118835</w:t>
            </w:r>
          </w:p>
        </w:tc>
        <w:tc>
          <w:p>
            <w:pPr>
              <w:pStyle w:val="Compact"/>
              <w:jc w:val="left"/>
            </w:pPr>
            <w:r>
              <w:t xml:space="preserve">581607</w:t>
            </w:r>
          </w:p>
        </w:tc>
        <w:tc>
          <w:p>
            <w:pPr>
              <w:pStyle w:val="Compact"/>
              <w:jc w:val="left"/>
            </w:pPr>
            <w:r>
              <w:t xml:space="preserve">5353</w:t>
            </w:r>
          </w:p>
        </w:tc>
        <w:tc>
          <w:p>
            <w:pPr>
              <w:pStyle w:val="Compact"/>
              <w:jc w:val="left"/>
            </w:pPr>
            <w:r>
              <w:t xml:space="preserve">754</w:t>
            </w:r>
          </w:p>
        </w:tc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3851</w:t>
            </w:r>
          </w:p>
        </w:tc>
        <w:tc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p>
            <w:pPr>
              <w:pStyle w:val="Compact"/>
              <w:jc w:val="left"/>
            </w:pPr>
            <w:r>
              <w:t xml:space="preserve">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year of prescription</w:t>
            </w:r>
          </w:p>
        </w:tc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53.1% (908485)</w:t>
            </w:r>
          </w:p>
        </w:tc>
        <w:tc>
          <w:p>
            <w:pPr>
              <w:pStyle w:val="Compact"/>
              <w:jc w:val="left"/>
            </w:pPr>
            <w:r>
              <w:t xml:space="preserve">56.1% (627885)</w:t>
            </w:r>
          </w:p>
        </w:tc>
        <w:tc>
          <w:p>
            <w:pPr>
              <w:pStyle w:val="Compact"/>
              <w:jc w:val="left"/>
            </w:pPr>
            <w:r>
              <w:t xml:space="preserve">47.2% (274465)</w:t>
            </w:r>
          </w:p>
        </w:tc>
        <w:tc>
          <w:p>
            <w:pPr>
              <w:pStyle w:val="Compact"/>
              <w:jc w:val="left"/>
            </w:pPr>
            <w:r>
              <w:t xml:space="preserve">66.6% (3563)</w:t>
            </w:r>
          </w:p>
        </w:tc>
        <w:tc>
          <w:p>
            <w:pPr>
              <w:pStyle w:val="Compact"/>
              <w:jc w:val="left"/>
            </w:pPr>
            <w:r>
              <w:t xml:space="preserve">54.4% (410)</w:t>
            </w:r>
          </w:p>
        </w:tc>
        <w:tc>
          <w:p>
            <w:pPr>
              <w:pStyle w:val="Compact"/>
              <w:jc w:val="left"/>
            </w:pPr>
            <w:r>
              <w:t xml:space="preserve">53.2% (67)</w:t>
            </w:r>
          </w:p>
        </w:tc>
        <w:tc>
          <w:p>
            <w:pPr>
              <w:pStyle w:val="Compact"/>
              <w:jc w:val="left"/>
            </w:pPr>
            <w:r>
              <w:t xml:space="preserve">38.6% (1486)</w:t>
            </w:r>
          </w:p>
        </w:tc>
        <w:tc>
          <w:p>
            <w:pPr>
              <w:pStyle w:val="Compact"/>
              <w:jc w:val="left"/>
            </w:pPr>
            <w:r>
              <w:t xml:space="preserve">54.9% (90)</w:t>
            </w:r>
          </w:p>
        </w:tc>
        <w:tc>
          <w:p>
            <w:pPr>
              <w:pStyle w:val="Compact"/>
              <w:jc w:val="left"/>
            </w:pPr>
            <w:r>
              <w:t xml:space="preserve">52.5% (519)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</w:t>
            </w:r>
          </w:p>
        </w:tc>
        <w:tc>
          <w:p>
            <w:pPr>
              <w:pStyle w:val="Compact"/>
              <w:jc w:val="left"/>
            </w:pPr>
            <w:r>
              <w:t xml:space="preserve">0.4% (6958)</w:t>
            </w:r>
          </w:p>
        </w:tc>
        <w:tc>
          <w:p>
            <w:pPr>
              <w:pStyle w:val="Compact"/>
              <w:jc w:val="left"/>
            </w:pPr>
            <w:r>
              <w:t xml:space="preserve">0.1% (640)</w:t>
            </w:r>
          </w:p>
        </w:tc>
        <w:tc>
          <w:p>
            <w:pPr>
              <w:pStyle w:val="Compact"/>
              <w:jc w:val="left"/>
            </w:pPr>
            <w:r>
              <w:t xml:space="preserve">1.1% (6240)</w:t>
            </w:r>
          </w:p>
        </w:tc>
        <w:tc>
          <w:p>
            <w:pPr>
              <w:pStyle w:val="Compact"/>
              <w:jc w:val="left"/>
            </w:pPr>
            <w:r>
              <w:t xml:space="preserve">0.1% (6)</w:t>
            </w:r>
          </w:p>
        </w:tc>
        <w:tc>
          <w:p>
            <w:pPr>
              <w:pStyle w:val="Compact"/>
              <w:jc w:val="left"/>
            </w:pPr>
            <w:r>
              <w:t xml:space="preserve">0.9% (7)</w:t>
            </w:r>
          </w:p>
        </w:tc>
        <w:tc>
          <w:p>
            <w:pPr>
              <w:pStyle w:val="Compact"/>
              <w:jc w:val="left"/>
            </w:pPr>
            <w:r>
              <w:t xml:space="preserve">0.0% (0)</w:t>
            </w:r>
          </w:p>
        </w:tc>
        <w:tc>
          <w:p>
            <w:pPr>
              <w:pStyle w:val="Compact"/>
              <w:jc w:val="left"/>
            </w:pPr>
            <w:r>
              <w:t xml:space="preserve">1.4% (52)</w:t>
            </w:r>
          </w:p>
        </w:tc>
        <w:tc>
          <w:p>
            <w:pPr>
              <w:pStyle w:val="Compact"/>
              <w:jc w:val="left"/>
            </w:pPr>
            <w:r>
              <w:t xml:space="preserve">0.0% (0)</w:t>
            </w:r>
          </w:p>
        </w:tc>
        <w:tc>
          <w:p>
            <w:pPr>
              <w:pStyle w:val="Compact"/>
              <w:jc w:val="left"/>
            </w:pPr>
            <w:r>
              <w:t xml:space="preserve">1.3% (13)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CBS</w:t>
            </w:r>
          </w:p>
        </w:tc>
        <w:tc>
          <w:p>
            <w:pPr>
              <w:pStyle w:val="Compact"/>
              <w:jc w:val="left"/>
            </w:pPr>
            <w:r>
              <w:t xml:space="preserve">0.3% (5637)</w:t>
            </w:r>
          </w:p>
        </w:tc>
        <w:tc>
          <w:p>
            <w:pPr>
              <w:pStyle w:val="Compact"/>
              <w:jc w:val="left"/>
            </w:pPr>
            <w:r>
              <w:t xml:space="preserve">0.1% (737)</w:t>
            </w:r>
          </w:p>
        </w:tc>
        <w:tc>
          <w:p>
            <w:pPr>
              <w:pStyle w:val="Compact"/>
              <w:jc w:val="left"/>
            </w:pPr>
            <w:r>
              <w:t xml:space="preserve">0.8% (4811)</w:t>
            </w:r>
          </w:p>
        </w:tc>
        <w:tc>
          <w:p>
            <w:pPr>
              <w:pStyle w:val="Compact"/>
              <w:jc w:val="left"/>
            </w:pPr>
            <w:r>
              <w:t xml:space="preserve">0.1% (4)</w:t>
            </w:r>
          </w:p>
        </w:tc>
        <w:tc>
          <w:p>
            <w:pPr>
              <w:pStyle w:val="Compact"/>
              <w:jc w:val="left"/>
            </w:pPr>
            <w:r>
              <w:t xml:space="preserve">0.3% (2)</w:t>
            </w:r>
          </w:p>
        </w:tc>
        <w:tc>
          <w:p>
            <w:pPr>
              <w:pStyle w:val="Compact"/>
              <w:jc w:val="left"/>
            </w:pPr>
            <w:r>
              <w:t xml:space="preserve">0.0% (0)</w:t>
            </w:r>
          </w:p>
        </w:tc>
        <w:tc>
          <w:p>
            <w:pPr>
              <w:pStyle w:val="Compact"/>
              <w:jc w:val="left"/>
            </w:pPr>
            <w:r>
              <w:t xml:space="preserve">2.0% (77)</w:t>
            </w:r>
          </w:p>
        </w:tc>
        <w:tc>
          <w:p>
            <w:pPr>
              <w:pStyle w:val="Compact"/>
              <w:jc w:val="left"/>
            </w:pPr>
            <w:r>
              <w:t xml:space="preserve">0.0% (0)</w:t>
            </w:r>
          </w:p>
        </w:tc>
        <w:tc>
          <w:p>
            <w:pPr>
              <w:pStyle w:val="Compact"/>
              <w:jc w:val="left"/>
            </w:pPr>
            <w:r>
              <w:t xml:space="preserve">0.6% (6)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CVD</w:t>
            </w:r>
          </w:p>
        </w:tc>
        <w:tc>
          <w:p>
            <w:pPr>
              <w:pStyle w:val="Compact"/>
              <w:jc w:val="left"/>
            </w:pPr>
            <w:r>
              <w:t xml:space="preserve">2.1% (35221)</w:t>
            </w:r>
          </w:p>
        </w:tc>
        <w:tc>
          <w:p>
            <w:pPr>
              <w:pStyle w:val="Compact"/>
              <w:jc w:val="left"/>
            </w:pPr>
            <w:r>
              <w:t xml:space="preserve">1.1% (12271)</w:t>
            </w:r>
          </w:p>
        </w:tc>
        <w:tc>
          <w:p>
            <w:pPr>
              <w:pStyle w:val="Compact"/>
              <w:jc w:val="left"/>
            </w:pPr>
            <w:r>
              <w:t xml:space="preserve">3.9% (22648)</w:t>
            </w:r>
          </w:p>
        </w:tc>
        <w:tc>
          <w:p>
            <w:pPr>
              <w:pStyle w:val="Compact"/>
              <w:jc w:val="left"/>
            </w:pPr>
            <w:r>
              <w:t xml:space="preserve">1.6% (87)</w:t>
            </w:r>
          </w:p>
        </w:tc>
        <w:tc>
          <w:p>
            <w:pPr>
              <w:pStyle w:val="Compact"/>
              <w:jc w:val="left"/>
            </w:pPr>
            <w:r>
              <w:t xml:space="preserve">2.5% (19)</w:t>
            </w:r>
          </w:p>
        </w:tc>
        <w:tc>
          <w:p>
            <w:pPr>
              <w:pStyle w:val="Compact"/>
              <w:jc w:val="left"/>
            </w:pPr>
            <w:r>
              <w:t xml:space="preserve">2.4% (3)</w:t>
            </w:r>
          </w:p>
        </w:tc>
        <w:tc>
          <w:p>
            <w:pPr>
              <w:pStyle w:val="Compact"/>
              <w:jc w:val="left"/>
            </w:pPr>
            <w:r>
              <w:t xml:space="preserve">4.4% (169)</w:t>
            </w:r>
          </w:p>
        </w:tc>
        <w:tc>
          <w:p>
            <w:pPr>
              <w:pStyle w:val="Compact"/>
              <w:jc w:val="left"/>
            </w:pPr>
            <w:r>
              <w:t xml:space="preserve">4.3% (7)</w:t>
            </w:r>
          </w:p>
        </w:tc>
        <w:tc>
          <w:p>
            <w:pPr>
              <w:pStyle w:val="Compact"/>
              <w:jc w:val="left"/>
            </w:pPr>
            <w:r>
              <w:t xml:space="preserve">1.7% (17)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Charlson</w:t>
            </w:r>
          </w:p>
        </w:tc>
        <w:tc>
          <w:p>
            <w:pPr>
              <w:pStyle w:val="Compact"/>
              <w:jc w:val="left"/>
            </w:pPr>
            <w:r>
              <w:t xml:space="preserve">30.5% (522861)</w:t>
            </w:r>
          </w:p>
        </w:tc>
        <w:tc>
          <w:p>
            <w:pPr>
              <w:pStyle w:val="Compact"/>
              <w:jc w:val="left"/>
            </w:pPr>
            <w:r>
              <w:t xml:space="preserve">25.3% (283262)</w:t>
            </w:r>
          </w:p>
        </w:tc>
        <w:tc>
          <w:p>
            <w:pPr>
              <w:pStyle w:val="Compact"/>
              <w:jc w:val="left"/>
            </w:pPr>
            <w:r>
              <w:t xml:space="preserve">40.3% (234585)</w:t>
            </w:r>
          </w:p>
        </w:tc>
        <w:tc>
          <w:p>
            <w:pPr>
              <w:pStyle w:val="Compact"/>
              <w:jc w:val="left"/>
            </w:pPr>
            <w:r>
              <w:t xml:space="preserve">42.2% (2259)</w:t>
            </w:r>
          </w:p>
        </w:tc>
        <w:tc>
          <w:p>
            <w:pPr>
              <w:pStyle w:val="Compact"/>
              <w:jc w:val="left"/>
            </w:pPr>
            <w:r>
              <w:t xml:space="preserve">41.2% (311)</w:t>
            </w:r>
          </w:p>
        </w:tc>
        <w:tc>
          <w:p>
            <w:pPr>
              <w:pStyle w:val="Compact"/>
              <w:jc w:val="left"/>
            </w:pPr>
            <w:r>
              <w:t xml:space="preserve">24.6% (31)</w:t>
            </w:r>
          </w:p>
        </w:tc>
        <w:tc>
          <w:p>
            <w:pPr>
              <w:pStyle w:val="Compact"/>
              <w:jc w:val="left"/>
            </w:pPr>
            <w:r>
              <w:t xml:space="preserve">50.5% (1945)</w:t>
            </w:r>
          </w:p>
        </w:tc>
        <w:tc>
          <w:p>
            <w:pPr>
              <w:pStyle w:val="Compact"/>
              <w:jc w:val="left"/>
            </w:pPr>
            <w:r>
              <w:t xml:space="preserve">43.3% (71)</w:t>
            </w:r>
          </w:p>
        </w:tc>
        <w:tc>
          <w:p>
            <w:pPr>
              <w:pStyle w:val="Compact"/>
              <w:jc w:val="left"/>
            </w:pPr>
            <w:r>
              <w:t xml:space="preserve">40.1% (397)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IMD-2010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Consulation rate</w:t>
            </w:r>
          </w:p>
        </w:tc>
        <w:tc>
          <w:p>
            <w:pPr>
              <w:pStyle w:val="Compact"/>
              <w:jc w:val="left"/>
            </w:pPr>
            <w:r>
              <w:t xml:space="preserve">5.4 (5.4)</w:t>
            </w:r>
          </w:p>
        </w:tc>
        <w:tc>
          <w:p>
            <w:pPr>
              <w:pStyle w:val="Compact"/>
              <w:jc w:val="left"/>
            </w:pPr>
            <w:r>
              <w:t xml:space="preserve">5.0 (5.0)</w:t>
            </w:r>
          </w:p>
        </w:tc>
        <w:tc>
          <w:p>
            <w:pPr>
              <w:pStyle w:val="Compact"/>
              <w:jc w:val="left"/>
            </w:pPr>
            <w:r>
              <w:t xml:space="preserve">6.2 (6.0)</w:t>
            </w:r>
          </w:p>
        </w:tc>
        <w:tc>
          <w:p>
            <w:pPr>
              <w:pStyle w:val="Compact"/>
              <w:jc w:val="left"/>
            </w:pPr>
            <w:r>
              <w:t xml:space="preserve">8.5 (7.3)</w:t>
            </w:r>
          </w:p>
        </w:tc>
        <w:tc>
          <w:p>
            <w:pPr>
              <w:pStyle w:val="Compact"/>
              <w:jc w:val="left"/>
            </w:pPr>
            <w:r>
              <w:t xml:space="preserve">7.3 (6.6)</w:t>
            </w:r>
          </w:p>
        </w:tc>
        <w:tc>
          <w:p>
            <w:pPr>
              <w:pStyle w:val="Compact"/>
              <w:jc w:val="left"/>
            </w:pPr>
            <w:r>
              <w:t xml:space="preserve">4.8 (4.3)</w:t>
            </w:r>
          </w:p>
        </w:tc>
        <w:tc>
          <w:p>
            <w:pPr>
              <w:pStyle w:val="Compact"/>
              <w:jc w:val="left"/>
            </w:pPr>
            <w:r>
              <w:t xml:space="preserve">7.0 (6.0)</w:t>
            </w:r>
          </w:p>
        </w:tc>
        <w:tc>
          <w:p>
            <w:pPr>
              <w:pStyle w:val="Compact"/>
              <w:jc w:val="left"/>
            </w:pPr>
            <w:r>
              <w:t xml:space="preserve">9.2 (7.8)</w:t>
            </w:r>
          </w:p>
        </w:tc>
        <w:tc>
          <w:p>
            <w:pPr>
              <w:pStyle w:val="Compact"/>
              <w:jc w:val="left"/>
            </w:pPr>
            <w:r>
              <w:t xml:space="preserve">8.0 (8.0)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 (ever)</w:t>
            </w:r>
          </w:p>
        </w:tc>
        <w:tc>
          <w:p>
            <w:pPr>
              <w:pStyle w:val="Compact"/>
              <w:jc w:val="left"/>
            </w:pPr>
            <w:r>
              <w:t xml:space="preserve">85.9% (1470011)</w:t>
            </w:r>
          </w:p>
        </w:tc>
        <w:tc>
          <w:p>
            <w:pPr>
              <w:pStyle w:val="Compact"/>
              <w:jc w:val="left"/>
            </w:pPr>
            <w:r>
              <w:t xml:space="preserve">86.5% (967590)</w:t>
            </w:r>
          </w:p>
        </w:tc>
        <w:tc>
          <w:p>
            <w:pPr>
              <w:pStyle w:val="Compact"/>
              <w:jc w:val="left"/>
            </w:pPr>
            <w:r>
              <w:t xml:space="preserve">84.8% (493100)</w:t>
            </w:r>
          </w:p>
        </w:tc>
        <w:tc>
          <w:p>
            <w:pPr>
              <w:pStyle w:val="Compact"/>
              <w:jc w:val="left"/>
            </w:pPr>
            <w:r>
              <w:t xml:space="preserve">82.9% (4438)</w:t>
            </w:r>
          </w:p>
        </w:tc>
        <w:tc>
          <w:p>
            <w:pPr>
              <w:pStyle w:val="Compact"/>
              <w:jc w:val="left"/>
            </w:pPr>
            <w:r>
              <w:t xml:space="preserve">84.4% (636)</w:t>
            </w:r>
          </w:p>
        </w:tc>
        <w:tc>
          <w:p>
            <w:pPr>
              <w:pStyle w:val="Compact"/>
              <w:jc w:val="left"/>
            </w:pPr>
            <w:r>
              <w:t xml:space="preserve">88.1% (111)</w:t>
            </w:r>
          </w:p>
        </w:tc>
        <w:tc>
          <w:p>
            <w:pPr>
              <w:pStyle w:val="Compact"/>
              <w:jc w:val="left"/>
            </w:pPr>
            <w:r>
              <w:t xml:space="preserve">82.8% (3187)</w:t>
            </w:r>
          </w:p>
        </w:tc>
        <w:tc>
          <w:p>
            <w:pPr>
              <w:pStyle w:val="Compact"/>
              <w:jc w:val="left"/>
            </w:pPr>
            <w:r>
              <w:t xml:space="preserve">83.5% (137)</w:t>
            </w:r>
          </w:p>
        </w:tc>
        <w:tc>
          <w:p>
            <w:pPr>
              <w:pStyle w:val="Compact"/>
              <w:jc w:val="left"/>
            </w:pPr>
            <w:r>
              <w:t xml:space="preserve">82.1% (812)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(ever)</w:t>
            </w:r>
          </w:p>
        </w:tc>
        <w:tc>
          <w:p>
            <w:pPr>
              <w:pStyle w:val="Compact"/>
              <w:jc w:val="left"/>
            </w:pPr>
            <w:r>
              <w:t xml:space="preserve">51.1% (874030)</w:t>
            </w:r>
          </w:p>
        </w:tc>
        <w:tc>
          <w:p>
            <w:pPr>
              <w:pStyle w:val="Compact"/>
              <w:jc w:val="left"/>
            </w:pPr>
            <w:r>
              <w:t xml:space="preserve">47.1% (526495)</w:t>
            </w:r>
          </w:p>
        </w:tc>
        <w:tc>
          <w:p>
            <w:pPr>
              <w:pStyle w:val="Compact"/>
              <w:jc w:val="left"/>
            </w:pPr>
            <w:r>
              <w:t xml:space="preserve">58.7% (341130)</w:t>
            </w:r>
          </w:p>
        </w:tc>
        <w:tc>
          <w:p>
            <w:pPr>
              <w:pStyle w:val="Compact"/>
              <w:jc w:val="left"/>
            </w:pPr>
            <w:r>
              <w:t xml:space="preserve">55.2% (2953)</w:t>
            </w:r>
          </w:p>
        </w:tc>
        <w:tc>
          <w:p>
            <w:pPr>
              <w:pStyle w:val="Compact"/>
              <w:jc w:val="left"/>
            </w:pPr>
            <w:r>
              <w:t xml:space="preserve">58.1% (438)</w:t>
            </w:r>
          </w:p>
        </w:tc>
        <w:tc>
          <w:p>
            <w:pPr>
              <w:pStyle w:val="Compact"/>
              <w:jc w:val="left"/>
            </w:pPr>
            <w:r>
              <w:t xml:space="preserve">59.5% (75)</w:t>
            </w:r>
          </w:p>
        </w:tc>
        <w:tc>
          <w:p>
            <w:pPr>
              <w:pStyle w:val="Compact"/>
              <w:jc w:val="left"/>
            </w:pPr>
            <w:r>
              <w:t xml:space="preserve">60.3% (2323)</w:t>
            </w:r>
          </w:p>
        </w:tc>
        <w:tc>
          <w:p>
            <w:pPr>
              <w:pStyle w:val="Compact"/>
              <w:jc w:val="left"/>
            </w:pPr>
            <w:r>
              <w:t xml:space="preserve">52.4% (86)</w:t>
            </w:r>
          </w:p>
        </w:tc>
        <w:tc>
          <w:p>
            <w:pPr>
              <w:pStyle w:val="Compact"/>
              <w:jc w:val="left"/>
            </w:pPr>
            <w:r>
              <w:t xml:space="preserve">53.6% (530)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27.0 (5.3)</w:t>
            </w:r>
          </w:p>
        </w:tc>
        <w:tc>
          <w:p>
            <w:pPr>
              <w:pStyle w:val="Compact"/>
              <w:jc w:val="left"/>
            </w:pPr>
            <w:r>
              <w:t xml:space="preserve">26.7 (5.2)</w:t>
            </w:r>
          </w:p>
        </w:tc>
        <w:tc>
          <w:p>
            <w:pPr>
              <w:pStyle w:val="Compact"/>
              <w:jc w:val="left"/>
            </w:pPr>
            <w:r>
              <w:t xml:space="preserve">27.7 (5.2)</w:t>
            </w:r>
          </w:p>
        </w:tc>
        <w:tc>
          <w:p>
            <w:pPr>
              <w:pStyle w:val="Compact"/>
              <w:jc w:val="left"/>
            </w:pPr>
            <w:r>
              <w:t xml:space="preserve">26.8 (5.8)</w:t>
            </w:r>
          </w:p>
        </w:tc>
        <w:tc>
          <w:p>
            <w:pPr>
              <w:pStyle w:val="Compact"/>
              <w:jc w:val="left"/>
            </w:pPr>
            <w:r>
              <w:t xml:space="preserve">28.0 (5.7)</w:t>
            </w:r>
          </w:p>
        </w:tc>
        <w:tc>
          <w:p>
            <w:pPr>
              <w:pStyle w:val="Compact"/>
              <w:jc w:val="left"/>
            </w:pPr>
            <w:r>
              <w:t xml:space="preserve">28.2 (4.8)</w:t>
            </w:r>
          </w:p>
        </w:tc>
        <w:tc>
          <w:p>
            <w:pPr>
              <w:pStyle w:val="Compact"/>
              <w:jc w:val="left"/>
            </w:pPr>
            <w:r>
              <w:t xml:space="preserve">28.9 (5.2)</w:t>
            </w:r>
          </w:p>
        </w:tc>
        <w:tc>
          <w:p>
            <w:pPr>
              <w:pStyle w:val="Compact"/>
              <w:jc w:val="left"/>
            </w:pPr>
            <w:r>
              <w:t xml:space="preserve">26.5 (5.0)</w:t>
            </w:r>
          </w:p>
        </w:tc>
        <w:tc>
          <w:p>
            <w:pPr>
              <w:pStyle w:val="Compact"/>
              <w:jc w:val="left"/>
            </w:pPr>
            <w:r>
              <w:t xml:space="preserve">26.8 (5.5)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PAD</w:t>
            </w:r>
          </w:p>
        </w:tc>
        <w:tc>
          <w:p>
            <w:pPr>
              <w:pStyle w:val="Compact"/>
              <w:jc w:val="left"/>
            </w:pPr>
            <w:r>
              <w:t xml:space="preserve">6.7% (115013)</w:t>
            </w:r>
          </w:p>
        </w:tc>
        <w:tc>
          <w:p>
            <w:pPr>
              <w:pStyle w:val="Compact"/>
              <w:jc w:val="left"/>
            </w:pPr>
            <w:r>
              <w:t xml:space="preserve">0.0% (0)</w:t>
            </w:r>
          </w:p>
        </w:tc>
        <w:tc>
          <w:p>
            <w:pPr>
              <w:pStyle w:val="Compact"/>
              <w:jc w:val="left"/>
            </w:pPr>
            <w:r>
              <w:t xml:space="preserve">19.1% (110948)</w:t>
            </w:r>
          </w:p>
        </w:tc>
        <w:tc>
          <w:p>
            <w:pPr>
              <w:pStyle w:val="Compact"/>
              <w:jc w:val="left"/>
            </w:pPr>
            <w:r>
              <w:t xml:space="preserve">56.1% (3003)</w:t>
            </w:r>
          </w:p>
        </w:tc>
        <w:tc>
          <w:p>
            <w:pPr>
              <w:pStyle w:val="Compact"/>
              <w:jc w:val="left"/>
            </w:pPr>
            <w:r>
              <w:t xml:space="preserve">19.5% (147)</w:t>
            </w:r>
          </w:p>
        </w:tc>
        <w:tc>
          <w:p>
            <w:pPr>
              <w:pStyle w:val="Compact"/>
              <w:jc w:val="left"/>
            </w:pPr>
            <w:r>
              <w:t xml:space="preserve">12.7% (16)</w:t>
            </w:r>
          </w:p>
        </w:tc>
        <w:tc>
          <w:p>
            <w:pPr>
              <w:pStyle w:val="Compact"/>
              <w:jc w:val="left"/>
            </w:pPr>
            <w:r>
              <w:t xml:space="preserve">12.3% (474)</w:t>
            </w:r>
          </w:p>
        </w:tc>
        <w:tc>
          <w:p>
            <w:pPr>
              <w:pStyle w:val="Compact"/>
              <w:jc w:val="left"/>
            </w:pPr>
            <w:r>
              <w:t xml:space="preserve">44.5% (73)</w:t>
            </w:r>
          </w:p>
        </w:tc>
        <w:tc>
          <w:p>
            <w:pPr>
              <w:pStyle w:val="Compact"/>
              <w:jc w:val="left"/>
            </w:pPr>
            <w:r>
              <w:t xml:space="preserve">35.6% (352)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p>
            <w:pPr>
              <w:pStyle w:val="Compact"/>
              <w:jc w:val="left"/>
            </w:pPr>
            <w:r>
              <w:t xml:space="preserve">15.9% (272152)</w:t>
            </w:r>
          </w:p>
        </w:tc>
        <w:tc>
          <w:p>
            <w:pPr>
              <w:pStyle w:val="Compact"/>
              <w:jc w:val="left"/>
            </w:pPr>
            <w:r>
              <w:t xml:space="preserve">11.6% (129653)</w:t>
            </w:r>
          </w:p>
        </w:tc>
        <w:tc>
          <w:p>
            <w:pPr>
              <w:pStyle w:val="Compact"/>
              <w:jc w:val="left"/>
            </w:pPr>
            <w:r>
              <w:t xml:space="preserve">24.2% (140459)</w:t>
            </w:r>
          </w:p>
        </w:tc>
        <w:tc>
          <w:p>
            <w:pPr>
              <w:pStyle w:val="Compact"/>
              <w:jc w:val="left"/>
            </w:pPr>
            <w:r>
              <w:t xml:space="preserve">12.5% (667)</w:t>
            </w:r>
          </w:p>
        </w:tc>
        <w:tc>
          <w:p>
            <w:pPr>
              <w:pStyle w:val="Compact"/>
              <w:jc w:val="left"/>
            </w:pPr>
            <w:r>
              <w:t xml:space="preserve">22.8% (172)</w:t>
            </w:r>
          </w:p>
        </w:tc>
        <w:tc>
          <w:p>
            <w:pPr>
              <w:pStyle w:val="Compact"/>
              <w:jc w:val="left"/>
            </w:pPr>
            <w:r>
              <w:t xml:space="preserve">25.4% (32)</w:t>
            </w:r>
          </w:p>
        </w:tc>
        <w:tc>
          <w:p>
            <w:pPr>
              <w:pStyle w:val="Compact"/>
              <w:jc w:val="left"/>
            </w:pPr>
            <w:r>
              <w:t xml:space="preserve">25.5% (981)</w:t>
            </w:r>
          </w:p>
        </w:tc>
        <w:tc>
          <w:p>
            <w:pPr>
              <w:pStyle w:val="Compact"/>
              <w:jc w:val="left"/>
            </w:pPr>
            <w:r>
              <w:t xml:space="preserve">21.3% (35)</w:t>
            </w:r>
          </w:p>
        </w:tc>
        <w:tc>
          <w:p>
            <w:pPr>
              <w:pStyle w:val="Compact"/>
              <w:jc w:val="left"/>
            </w:pPr>
            <w:r>
              <w:t xml:space="preserve">15.5% (153)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Stopped</w:t>
            </w:r>
          </w:p>
        </w:tc>
        <w:tc>
          <w:p>
            <w:pPr>
              <w:pStyle w:val="Compact"/>
              <w:jc w:val="left"/>
            </w:pPr>
            <w:r>
              <w:t xml:space="preserve">2.0% (34376)</w:t>
            </w:r>
          </w:p>
        </w:tc>
        <w:tc>
          <w:p>
            <w:pPr>
              <w:pStyle w:val="Compact"/>
              <w:jc w:val="left"/>
            </w:pPr>
            <w:r>
              <w:t xml:space="preserve">0.0% (0)</w:t>
            </w:r>
          </w:p>
        </w:tc>
        <w:tc>
          <w:p>
            <w:pPr>
              <w:pStyle w:val="Compact"/>
              <w:jc w:val="left"/>
            </w:pPr>
            <w:r>
              <w:t xml:space="preserve">5.3% (30745)</w:t>
            </w:r>
          </w:p>
        </w:tc>
        <w:tc>
          <w:p>
            <w:pPr>
              <w:pStyle w:val="Compact"/>
              <w:jc w:val="left"/>
            </w:pPr>
            <w:r>
              <w:t xml:space="preserve">10.3% (552)</w:t>
            </w:r>
          </w:p>
        </w:tc>
        <w:tc>
          <w:p>
            <w:pPr>
              <w:pStyle w:val="Compact"/>
              <w:jc w:val="left"/>
            </w:pPr>
            <w:r>
              <w:t xml:space="preserve">49.1% (370)</w:t>
            </w:r>
          </w:p>
        </w:tc>
        <w:tc>
          <w:p>
            <w:pPr>
              <w:pStyle w:val="Compact"/>
              <w:jc w:val="left"/>
            </w:pPr>
            <w:r>
              <w:t xml:space="preserve">59.5% (75)</w:t>
            </w:r>
          </w:p>
        </w:tc>
        <w:tc>
          <w:p>
            <w:pPr>
              <w:pStyle w:val="Compact"/>
              <w:jc w:val="left"/>
            </w:pPr>
            <w:r>
              <w:t xml:space="preserve">56.8% (2187)</w:t>
            </w:r>
          </w:p>
        </w:tc>
        <w:tc>
          <w:p>
            <w:pPr>
              <w:pStyle w:val="Compact"/>
              <w:jc w:val="left"/>
            </w:pPr>
            <w:r>
              <w:t xml:space="preserve">32.3% (53)</w:t>
            </w:r>
          </w:p>
        </w:tc>
        <w:tc>
          <w:p>
            <w:pPr>
              <w:pStyle w:val="Compact"/>
              <w:jc w:val="left"/>
            </w:pPr>
            <w:r>
              <w:t xml:space="preserve">39.8% (394)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Added</w:t>
            </w:r>
          </w:p>
        </w:tc>
        <w:tc>
          <w:p>
            <w:pPr>
              <w:pStyle w:val="Compact"/>
              <w:jc w:val="left"/>
            </w:pPr>
            <w:r>
              <w:t xml:space="preserve">1.6% (27275)</w:t>
            </w:r>
          </w:p>
        </w:tc>
        <w:tc>
          <w:p>
            <w:pPr>
              <w:pStyle w:val="Compact"/>
              <w:jc w:val="left"/>
            </w:pPr>
            <w:r>
              <w:t xml:space="preserve">0.0% (0)</w:t>
            </w:r>
          </w:p>
        </w:tc>
        <w:tc>
          <w:p>
            <w:pPr>
              <w:pStyle w:val="Compact"/>
              <w:jc w:val="left"/>
            </w:pPr>
            <w:r>
              <w:t xml:space="preserve">4.4% (25836)</w:t>
            </w:r>
          </w:p>
        </w:tc>
        <w:tc>
          <w:p>
            <w:pPr>
              <w:pStyle w:val="Compact"/>
              <w:jc w:val="left"/>
            </w:pPr>
            <w:r>
              <w:t xml:space="preserve">3.5% (189)</w:t>
            </w:r>
          </w:p>
        </w:tc>
        <w:tc>
          <w:p>
            <w:pPr>
              <w:pStyle w:val="Compact"/>
              <w:jc w:val="left"/>
            </w:pPr>
            <w:r>
              <w:t xml:space="preserve">19.0% (143)</w:t>
            </w:r>
          </w:p>
        </w:tc>
        <w:tc>
          <w:p>
            <w:pPr>
              <w:pStyle w:val="Compact"/>
              <w:jc w:val="left"/>
            </w:pPr>
            <w:r>
              <w:t xml:space="preserve">3.2% (4)</w:t>
            </w:r>
          </w:p>
        </w:tc>
        <w:tc>
          <w:p>
            <w:pPr>
              <w:pStyle w:val="Compact"/>
              <w:jc w:val="left"/>
            </w:pPr>
            <w:r>
              <w:t xml:space="preserve">21.7% (836)</w:t>
            </w:r>
          </w:p>
        </w:tc>
        <w:tc>
          <w:p>
            <w:pPr>
              <w:pStyle w:val="Compact"/>
              <w:jc w:val="left"/>
            </w:pPr>
            <w:r>
              <w:t xml:space="preserve">3.7% (6)</w:t>
            </w:r>
          </w:p>
        </w:tc>
        <w:tc>
          <w:p>
            <w:pPr>
              <w:pStyle w:val="Compact"/>
              <w:jc w:val="left"/>
            </w:pPr>
            <w:r>
              <w:t xml:space="preserve">26.4% (261)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Switched</w:t>
            </w:r>
          </w:p>
        </w:tc>
        <w:tc>
          <w:p>
            <w:pPr>
              <w:pStyle w:val="Compact"/>
              <w:jc w:val="left"/>
            </w:pPr>
            <w:r>
              <w:t xml:space="preserve">0.9% (14843)</w:t>
            </w:r>
          </w:p>
        </w:tc>
        <w:tc>
          <w:p>
            <w:pPr>
              <w:pStyle w:val="Compact"/>
              <w:jc w:val="left"/>
            </w:pPr>
            <w:r>
              <w:t xml:space="preserve">0.0% (0)</w:t>
            </w:r>
          </w:p>
        </w:tc>
        <w:tc>
          <w:p>
            <w:pPr>
              <w:pStyle w:val="Compact"/>
              <w:jc w:val="left"/>
            </w:pPr>
            <w:r>
              <w:t xml:space="preserve">2.1% (11930)</w:t>
            </w:r>
          </w:p>
        </w:tc>
        <w:tc>
          <w:p>
            <w:pPr>
              <w:pStyle w:val="Compact"/>
              <w:jc w:val="left"/>
            </w:pPr>
            <w:r>
              <w:t xml:space="preserve">11.3% (604)</w:t>
            </w:r>
          </w:p>
        </w:tc>
        <w:tc>
          <w:p>
            <w:pPr>
              <w:pStyle w:val="Compact"/>
              <w:jc w:val="left"/>
            </w:pPr>
            <w:r>
              <w:t xml:space="preserve">34.7% (262)</w:t>
            </w:r>
          </w:p>
        </w:tc>
        <w:tc>
          <w:p>
            <w:pPr>
              <w:pStyle w:val="Compact"/>
              <w:jc w:val="left"/>
            </w:pPr>
            <w:r>
              <w:t xml:space="preserve">65.1% (82)</w:t>
            </w:r>
          </w:p>
        </w:tc>
        <w:tc>
          <w:p>
            <w:pPr>
              <w:pStyle w:val="Compact"/>
              <w:jc w:val="left"/>
            </w:pPr>
            <w:r>
              <w:t xml:space="preserve">44.1% (1698)</w:t>
            </w:r>
          </w:p>
        </w:tc>
        <w:tc>
          <w:p>
            <w:pPr>
              <w:pStyle w:val="Compact"/>
              <w:jc w:val="left"/>
            </w:pPr>
            <w:r>
              <w:t xml:space="preserve">45.7% (75)</w:t>
            </w:r>
          </w:p>
        </w:tc>
        <w:tc>
          <w:p>
            <w:pPr>
              <w:pStyle w:val="Compact"/>
              <w:jc w:val="left"/>
            </w:pPr>
            <w:r>
              <w:t xml:space="preserve">19.4% (192)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drug within 5yrs</w:t>
            </w:r>
          </w:p>
        </w:tc>
        <w:tc>
          <w:p>
            <w:pPr>
              <w:pStyle w:val="Compact"/>
              <w:jc w:val="left"/>
            </w:pPr>
            <w:r>
              <w:t xml:space="preserve">0.7% (12626)</w:t>
            </w:r>
          </w:p>
        </w:tc>
        <w:tc>
          <w:p>
            <w:pPr>
              <w:pStyle w:val="Compact"/>
              <w:jc w:val="left"/>
            </w:pPr>
            <w:r>
              <w:t xml:space="preserve">0.4% (4237)</w:t>
            </w:r>
          </w:p>
        </w:tc>
        <w:tc>
          <w:p>
            <w:pPr>
              <w:pStyle w:val="Compact"/>
              <w:jc w:val="left"/>
            </w:pPr>
            <w:r>
              <w:t xml:space="preserve">1.4% (8242)</w:t>
            </w:r>
          </w:p>
        </w:tc>
        <w:tc>
          <w:p>
            <w:pPr>
              <w:pStyle w:val="Compact"/>
              <w:jc w:val="left"/>
            </w:pPr>
            <w:r>
              <w:t xml:space="preserve">0.9% (46)</w:t>
            </w:r>
          </w:p>
        </w:tc>
        <w:tc>
          <w:p>
            <w:pPr>
              <w:pStyle w:val="Compact"/>
              <w:jc w:val="left"/>
            </w:pPr>
            <w:r>
              <w:t xml:space="preserve">0.8% (6)</w:t>
            </w:r>
          </w:p>
        </w:tc>
        <w:tc>
          <w:p>
            <w:pPr>
              <w:pStyle w:val="Compact"/>
              <w:jc w:val="left"/>
            </w:pPr>
            <w:r>
              <w:t xml:space="preserve">0.8% (1)</w:t>
            </w:r>
          </w:p>
        </w:tc>
        <w:tc>
          <w:p>
            <w:pPr>
              <w:pStyle w:val="Compact"/>
              <w:jc w:val="left"/>
            </w:pPr>
            <w:r>
              <w:t xml:space="preserve">1.9% (74)</w:t>
            </w:r>
          </w:p>
        </w:tc>
        <w:tc>
          <w:p>
            <w:pPr>
              <w:pStyle w:val="Compact"/>
              <w:jc w:val="left"/>
            </w:pPr>
            <w:r>
              <w:t xml:space="preserve">6.1% (10)</w:t>
            </w:r>
          </w:p>
        </w:tc>
        <w:tc>
          <w:p>
            <w:pPr>
              <w:pStyle w:val="Compact"/>
              <w:jc w:val="left"/>
            </w:pPr>
            <w:r>
              <w:t xml:space="preserve">1.0% (10)</w:t>
            </w:r>
          </w:p>
        </w:tc>
      </w:tr>
    </w:tbl>
    <w:sectPr w:rsidR="0015425D" w:rsidRPr="0015425D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AAF65" w14:textId="77777777" w:rsidR="00FC37A3" w:rsidRDefault="00FC3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3454" w14:textId="77777777" w:rsidR="00FC37A3" w:rsidRDefault="00FC37A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F2443" w14:textId="77777777" w:rsidR="00FC37A3" w:rsidRDefault="00FC3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11846" w14:textId="77777777" w:rsidR="00FC37A3" w:rsidRDefault="00FC37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153DE" w14:textId="77777777" w:rsidR="00FC37A3" w:rsidRDefault="00FC3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12337"/>
    <w:pPr>
      <w:keepNext/>
      <w:keepLines/>
      <w:numPr>
        <w:numId w:val="24"/>
      </w:numPr>
      <w:spacing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2337"/>
    <w:pPr>
      <w:keepNext/>
      <w:keepLines/>
      <w:numPr>
        <w:ilvl w:val="1"/>
        <w:numId w:val="24"/>
      </w:numPr>
      <w:spacing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D12337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Meeting - Appendix</dc:title>
  <dc:creator/>
  <cp:keywords/>
  <dcterms:created xsi:type="dcterms:W3CDTF">2019-11-05T08:48:28Z</dcterms:created>
  <dcterms:modified xsi:type="dcterms:W3CDTF">2019-11-05T08:48:28Z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