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8E52" w14:textId="77777777" w:rsidR="0011614C" w:rsidRDefault="008B66BF">
      <w:pPr>
        <w:pStyle w:val="Heading1"/>
      </w:pPr>
      <w:bookmarkStart w:id="0" w:name="front-matter"/>
      <w:r>
        <w:t>Front Matter</w:t>
      </w:r>
    </w:p>
    <w:p w14:paraId="60758E53" w14:textId="77777777" w:rsidR="0011614C" w:rsidRDefault="008B66BF">
      <w:pPr>
        <w:pStyle w:val="FirstParagraph"/>
      </w:pPr>
      <w:r>
        <w:rPr>
          <w:b/>
          <w:bCs/>
        </w:rPr>
        <w:t xml:space="preserve">Title: </w:t>
      </w:r>
      <w:r>
        <w:br/>
        <w:t>A descriptive analysis of the data availability statements accompanying medRxiv preprints and a comparison with their published counterparts</w:t>
      </w:r>
    </w:p>
    <w:p w14:paraId="60758E54" w14:textId="77777777" w:rsidR="0011614C" w:rsidRDefault="008B66BF">
      <w:pPr>
        <w:pStyle w:val="BodyText"/>
      </w:pPr>
      <w:r>
        <w:t> </w:t>
      </w:r>
    </w:p>
    <w:p w14:paraId="60758E55" w14:textId="77777777" w:rsidR="0011614C" w:rsidRDefault="008B66BF">
      <w:pPr>
        <w:pStyle w:val="BodyText"/>
      </w:pPr>
      <w:r>
        <w:rPr>
          <w:b/>
          <w:bCs/>
        </w:rPr>
        <w:t>Authors and Affiliations</w:t>
      </w:r>
    </w:p>
    <w:p w14:paraId="60758E56" w14:textId="77777777" w:rsidR="0011614C" w:rsidRDefault="008B66BF">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60758E57" w14:textId="77777777" w:rsidR="0011614C" w:rsidRDefault="008B66BF">
      <w:pPr>
        <w:pStyle w:val="Compact"/>
        <w:numPr>
          <w:ilvl w:val="0"/>
          <w:numId w:val="26"/>
        </w:numPr>
      </w:pPr>
      <w:r>
        <w:t>Population Health Sciences, Bristol Medical School, University of Bristol, Bristol, UK</w:t>
      </w:r>
    </w:p>
    <w:p w14:paraId="60758E58" w14:textId="77777777" w:rsidR="0011614C" w:rsidRDefault="008B66BF">
      <w:pPr>
        <w:pStyle w:val="Compact"/>
        <w:numPr>
          <w:ilvl w:val="0"/>
          <w:numId w:val="26"/>
        </w:numPr>
      </w:pPr>
      <w:r>
        <w:t>MRC Integrative Epidemiology Unit at the University of Bristol, Bristol, UK</w:t>
      </w:r>
    </w:p>
    <w:p w14:paraId="60758E59" w14:textId="77777777" w:rsidR="0011614C" w:rsidRDefault="008B66BF">
      <w:pPr>
        <w:pStyle w:val="Compact"/>
        <w:numPr>
          <w:ilvl w:val="0"/>
          <w:numId w:val="26"/>
        </w:numPr>
      </w:pPr>
      <w:r>
        <w:t>Department of Health Sciences, University of Leicester, Leicester, UK</w:t>
      </w:r>
    </w:p>
    <w:p w14:paraId="60758E5A" w14:textId="77777777" w:rsidR="0011614C" w:rsidRDefault="008B66BF">
      <w:pPr>
        <w:pStyle w:val="FirstParagraph"/>
      </w:pPr>
      <w:r>
        <w:t> </w:t>
      </w:r>
    </w:p>
    <w:p w14:paraId="60758E5B" w14:textId="77777777" w:rsidR="0011614C" w:rsidRDefault="008B66BF">
      <w:pPr>
        <w:pStyle w:val="BodyText"/>
      </w:pPr>
      <w:r>
        <w:rPr>
          <w:b/>
          <w:bCs/>
        </w:rPr>
        <w:t>Corresponding author:</w:t>
      </w:r>
    </w:p>
    <w:p w14:paraId="60758E5C" w14:textId="77777777" w:rsidR="0011614C" w:rsidRDefault="008B66BF">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60758E5D" w14:textId="77777777" w:rsidR="0011614C" w:rsidRDefault="008B66BF">
      <w:pPr>
        <w:pStyle w:val="BodyText"/>
      </w:pPr>
      <w:r>
        <w:t> </w:t>
      </w:r>
    </w:p>
    <w:p w14:paraId="60758E5E" w14:textId="77777777" w:rsidR="0011614C" w:rsidRDefault="008B66BF">
      <w:pPr>
        <w:pStyle w:val="BodyText"/>
      </w:pPr>
      <w:r>
        <w:rPr>
          <w:b/>
          <w:bCs/>
        </w:rPr>
        <w:t>Keywords</w:t>
      </w:r>
    </w:p>
    <w:p w14:paraId="60758E5F" w14:textId="77777777" w:rsidR="0011614C" w:rsidRDefault="008B66BF">
      <w:pPr>
        <w:pStyle w:val="BodyText"/>
      </w:pPr>
      <w:r>
        <w:t>Reproducibility; Data sharing; Data availability statements; Journalology; Preprints; Descriptive study; medRxiv</w:t>
      </w:r>
    </w:p>
    <w:p w14:paraId="60758E60" w14:textId="77777777" w:rsidR="0011614C" w:rsidRDefault="008B66BF">
      <w:r>
        <w:br w:type="page"/>
      </w:r>
    </w:p>
    <w:p w14:paraId="60758E61" w14:textId="77777777" w:rsidR="0011614C" w:rsidRDefault="008B66BF">
      <w:pPr>
        <w:pStyle w:val="Heading1"/>
      </w:pPr>
      <w:bookmarkStart w:id="1" w:name="abstract"/>
      <w:bookmarkEnd w:id="0"/>
      <w:r>
        <w:lastRenderedPageBreak/>
        <w:t>Abstract</w:t>
      </w:r>
    </w:p>
    <w:p w14:paraId="60758E62" w14:textId="32F712F3" w:rsidR="0011614C" w:rsidRDefault="008B66BF">
      <w:pPr>
        <w:pStyle w:val="FirstParagraph"/>
      </w:pPr>
      <w:r>
        <w:rPr>
          <w:b/>
          <w:bCs/>
        </w:rPr>
        <w:t>Objective</w:t>
      </w:r>
      <w:r>
        <w:br/>
        <w:t>To determine whether medRxiv data availability statements describe open or closed data - that is, whether the data used in the study is openly available without restriction - and to examine if this changes on publication based on journal data</w:t>
      </w:r>
      <w:del w:id="2" w:author="Author" w:date="2021-03-30T15:32:00Z">
        <w:r w:rsidR="00E124B6">
          <w:delText xml:space="preserve"> </w:delText>
        </w:r>
      </w:del>
      <w:ins w:id="3" w:author="Author" w:date="2021-03-30T15:32:00Z">
        <w:r>
          <w:t>-</w:t>
        </w:r>
      </w:ins>
      <w:r>
        <w:t>sharing policy. Additionally, to examine whether data availability statements are sufficient to capture code availability declarations.</w:t>
      </w:r>
    </w:p>
    <w:p w14:paraId="60758E63" w14:textId="77777777" w:rsidR="0011614C" w:rsidRDefault="008B66BF">
      <w:pPr>
        <w:pStyle w:val="BodyText"/>
      </w:pPr>
      <w:r>
        <w:rPr>
          <w:b/>
          <w:bCs/>
        </w:rPr>
        <w:t>Design</w:t>
      </w:r>
      <w:r>
        <w:br/>
        <w:t>Observational study, following a pre-registered protocol, of preprints posted on the medRxiv repository between 25th June 2019 and 1st May 2020 and their published counterparts.</w:t>
      </w:r>
    </w:p>
    <w:p w14:paraId="60758E64" w14:textId="77777777" w:rsidR="0011614C" w:rsidRDefault="008B66BF">
      <w:pPr>
        <w:pStyle w:val="BodyText"/>
      </w:pPr>
      <w:r>
        <w:rPr>
          <w:b/>
          <w:bCs/>
        </w:rPr>
        <w:t>Main outcome measures</w:t>
      </w:r>
      <w:r>
        <w:br/>
        <w:t>Distribution of preprinted data availability statements across nine categories, determined by a prespecified classification system.</w:t>
      </w:r>
    </w:p>
    <w:p w14:paraId="60758E65" w14:textId="77777777" w:rsidR="0011614C" w:rsidRDefault="008B66BF">
      <w:pPr>
        <w:pStyle w:val="BodyText"/>
      </w:pPr>
      <w:r>
        <w:t>Change in the percentage of data availability statements describing open data between the preprinted and published versions of the same record, stratified by journal sharing policy.</w:t>
      </w:r>
    </w:p>
    <w:p w14:paraId="60758E66" w14:textId="77777777" w:rsidR="0011614C" w:rsidRDefault="008B66BF">
      <w:pPr>
        <w:pStyle w:val="BodyText"/>
      </w:pPr>
      <w:r>
        <w:t>Number of code availability declarations reported in the full-text preprint which were not captured in the corresponding data availability statement.</w:t>
      </w:r>
    </w:p>
    <w:p w14:paraId="60758E67" w14:textId="77777777" w:rsidR="0011614C" w:rsidRDefault="008B66BF">
      <w:pPr>
        <w:pStyle w:val="BodyText"/>
      </w:pPr>
      <w:r>
        <w:rPr>
          <w:b/>
          <w:bCs/>
        </w:rPr>
        <w:t>Results</w:t>
      </w:r>
      <w:r>
        <w:br/>
        <w:t>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14:paraId="60758E68" w14:textId="77777777" w:rsidR="0011614C" w:rsidRDefault="008B66BF">
      <w:pPr>
        <w:pStyle w:val="BodyText"/>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60758E69" w14:textId="77777777" w:rsidR="0011614C" w:rsidRDefault="008B66BF">
      <w:pPr>
        <w:pStyle w:val="BodyText"/>
      </w:pPr>
      <w:r>
        <w:rPr>
          <w:b/>
          <w:bCs/>
        </w:rPr>
        <w:t>Conclusion</w:t>
      </w:r>
      <w:r>
        <w:br/>
        <w:t>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60758E6A" w14:textId="77777777" w:rsidR="0011614C" w:rsidRDefault="008B66BF">
      <w:r>
        <w:br w:type="page"/>
      </w:r>
    </w:p>
    <w:p w14:paraId="60758E6B" w14:textId="77777777" w:rsidR="0011614C" w:rsidRDefault="008B66BF">
      <w:pPr>
        <w:pStyle w:val="Heading1"/>
      </w:pPr>
      <w:bookmarkStart w:id="4" w:name="intro"/>
      <w:bookmarkEnd w:id="1"/>
      <w:r>
        <w:lastRenderedPageBreak/>
        <w:t>Introduction</w:t>
      </w:r>
    </w:p>
    <w:p w14:paraId="60758E6C" w14:textId="77777777" w:rsidR="0011614C" w:rsidRDefault="008B66BF">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mandate data availability statements. These are dedicated sections of research articles, which are intended to provide readers with important information about whether the data described by the study are available and if so, where they can be obtained.[4]</w:t>
      </w:r>
    </w:p>
    <w:p w14:paraId="60758E6D" w14:textId="77777777" w:rsidR="0011614C" w:rsidRDefault="008B66BF">
      <w:pPr>
        <w:pStyle w:val="BodyText"/>
      </w:pPr>
      <w:r>
        <w:t>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sharing.[10]</w:t>
      </w:r>
    </w:p>
    <w:p w14:paraId="60758E6E" w14:textId="77777777" w:rsidR="0011614C" w:rsidRDefault="008B66BF">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60758E6F" w14:textId="77777777" w:rsidR="0011614C" w:rsidRDefault="008B66BF">
      <w:pPr>
        <w:pStyle w:val="Heading1"/>
      </w:pPr>
      <w:bookmarkStart w:id="5" w:name="methods"/>
      <w:bookmarkEnd w:id="4"/>
      <w:r>
        <w:lastRenderedPageBreak/>
        <w:t>Methods</w:t>
      </w:r>
    </w:p>
    <w:p w14:paraId="60758E70" w14:textId="77777777" w:rsidR="0011614C" w:rsidRDefault="008B66BF">
      <w:pPr>
        <w:pStyle w:val="Heading2"/>
      </w:pPr>
      <w:bookmarkStart w:id="6" w:name="protocol-and-ethics"/>
      <w:r>
        <w:t>Protocol and ethics</w:t>
      </w:r>
    </w:p>
    <w:p w14:paraId="60758E71" w14:textId="77777777" w:rsidR="0011614C" w:rsidRDefault="008B66BF">
      <w:pPr>
        <w:pStyle w:val="FirstParagraph"/>
      </w:pPr>
      <w:r>
        <w:t>A protocol for this analysis was registered in advance and followed at all stages of the study.[16] Any deviations from the protocol are described. Ethical approval was not required for this study.</w:t>
      </w:r>
    </w:p>
    <w:p w14:paraId="60758E72" w14:textId="77777777" w:rsidR="0011614C" w:rsidRDefault="008B66BF">
      <w:pPr>
        <w:pStyle w:val="Heading2"/>
      </w:pPr>
      <w:bookmarkStart w:id="7" w:name="data-extraction"/>
      <w:bookmarkEnd w:id="6"/>
      <w:r>
        <w:t>Data extraction</w:t>
      </w:r>
    </w:p>
    <w:p w14:paraId="60758E73" w14:textId="77777777" w:rsidR="0011614C" w:rsidRDefault="008B66BF">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packages.[17,18]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r>
        <w:rPr>
          <w:rStyle w:val="VerbatimChar"/>
        </w:rPr>
        <w:t>rcrossref</w:t>
      </w:r>
      <w:r>
        <w:t>.[19] Several other R packages were used for data cleaning and analysis. [20–33]</w:t>
      </w:r>
    </w:p>
    <w:p w14:paraId="60758E74" w14:textId="1F8758CF" w:rsidR="0011614C" w:rsidRDefault="00E124B6">
      <w:pPr>
        <w:pStyle w:val="BodyText"/>
      </w:pPr>
      <w:del w:id="8" w:author="Author" w:date="2021-03-30T15:32:00Z">
        <w:r>
          <w:delText>The</w:delText>
        </w:r>
      </w:del>
      <w:ins w:id="9" w:author="Author" w:date="2021-03-30T15:32:00Z">
        <w:r w:rsidR="008B66BF">
          <w:t>To extract the</w:t>
        </w:r>
      </w:ins>
      <w:r w:rsidR="008B66BF">
        <w:t xml:space="preserve"> data availability statements for published articles </w:t>
      </w:r>
      <w:del w:id="10" w:author="Author" w:date="2021-03-30T15:32:00Z">
        <w:r>
          <w:delText xml:space="preserve">were extracted </w:delText>
        </w:r>
      </w:del>
      <w:ins w:id="11" w:author="Author" w:date="2021-03-30T15:32:00Z">
        <w:r w:rsidR="008B66BF">
          <w:t xml:space="preserve">and the journals data-sharing policies, we browsed to the article or publication website and </w:t>
        </w:r>
      </w:ins>
      <w:r w:rsidR="008B66BF">
        <w:t xml:space="preserve">manually </w:t>
      </w:r>
      <w:ins w:id="12" w:author="Author" w:date="2021-03-30T15:32:00Z">
        <w:r w:rsidR="008B66BF">
          <w:t xml:space="preserve">copied the relevant material (where available) </w:t>
        </w:r>
      </w:ins>
      <w:r w:rsidR="008B66BF">
        <w:t>into an Excel file</w:t>
      </w:r>
      <w:del w:id="13" w:author="Author" w:date="2021-03-30T15:32:00Z">
        <w:r>
          <w:delText>, and</w:delText>
        </w:r>
      </w:del>
      <w:ins w:id="14" w:author="Author" w:date="2021-03-30T15:32:00Z">
        <w:r w:rsidR="008B66BF">
          <w:t>. The extracted data</w:t>
        </w:r>
      </w:ins>
      <w:r w:rsidR="008B66BF">
        <w:t xml:space="preserve"> are available for inspection (see Material availability section).</w:t>
      </w:r>
    </w:p>
    <w:p w14:paraId="60758E75" w14:textId="2666BB04" w:rsidR="0011614C" w:rsidRDefault="008B66BF">
      <w:pPr>
        <w:pStyle w:val="Heading2"/>
      </w:pPr>
      <w:bookmarkStart w:id="15" w:name="Xd2d9ec622e69fd579cefdf2e886020d39bf2ea7"/>
      <w:bookmarkStart w:id="16" w:name="categorization"/>
      <w:bookmarkEnd w:id="7"/>
      <w:r>
        <w:t>Categorization</w:t>
      </w:r>
      <w:del w:id="17" w:author="Author" w:date="2021-03-30T15:32:00Z">
        <w:r w:rsidR="00E124B6">
          <w:delText xml:space="preserve"> of data availability statements</w:delText>
        </w:r>
      </w:del>
      <w:bookmarkEnd w:id="15"/>
    </w:p>
    <w:p w14:paraId="60758E76" w14:textId="77777777" w:rsidR="0011614C" w:rsidRDefault="008B66BF">
      <w:pPr>
        <w:pStyle w:val="FirstParagraph"/>
      </w:pPr>
      <w:r>
        <w:t>A pre-specified classification system was developed to categorize each data availability statement as describing either open or closed data, with additional ordered sub-categories indicating the degree of openness (see Table 1). The system was based on the “Findability” and “Accessibility” elements of the FAIR framework,[34] the categories used by previous effort to categorize published data availability statements,[4,11], our own experience of medRxiv data availability statements, and discussion with colleagues.</w:t>
      </w:r>
      <w:ins w:id="18" w:author="Author" w:date="2021-03-30T15:32:00Z">
        <w:r>
          <w:t xml:space="preserve"> Illustrative examples of each category were taken from preprints included in our sample.[35–43]</w:t>
        </w:r>
      </w:ins>
    </w:p>
    <w:p w14:paraId="60758E77" w14:textId="77777777" w:rsidR="0011614C" w:rsidRDefault="008B66BF">
      <w:pPr>
        <w:pStyle w:val="BodyText"/>
      </w:pPr>
      <w:r>
        <w:t> </w:t>
      </w:r>
    </w:p>
    <w:p w14:paraId="60758E78" w14:textId="70ED129D" w:rsidR="0011614C" w:rsidRDefault="008B66BF" w:rsidP="008B66BF">
      <w:pPr>
        <w:pStyle w:val="BodyText"/>
      </w:pPr>
      <w:r>
        <w:t xml:space="preserve">Table 1: </w:t>
      </w:r>
      <w:bookmarkStart w:id="19" w:name="tab:categorylabels"/>
      <w:r>
        <w:t xml:space="preserve">Categories used to classify the data availability statements. Illustrative examples of each category were taken from preprints included in our sample (see </w:t>
      </w:r>
      <w:del w:id="20" w:author="Author" w:date="2021-03-30T15:32:00Z">
        <w:r w:rsidR="00E124B6">
          <w:delText>“</w:delText>
        </w:r>
      </w:del>
      <w:ins w:id="21" w:author="Author" w:date="2021-03-30T15:32:00Z">
        <w:r>
          <w:t>"</w:t>
        </w:r>
      </w:ins>
      <w:r>
        <w:t>Data Extraction</w:t>
      </w:r>
      <w:del w:id="22" w:author="Author" w:date="2021-03-30T15:32:00Z">
        <w:r w:rsidR="00E124B6">
          <w:delText>”).[35–43]</w:delText>
        </w:r>
      </w:del>
      <w:ins w:id="23" w:author="Author" w:date="2021-03-30T15:32:00Z">
        <w:r>
          <w:t>").</w:t>
        </w:r>
      </w:ins>
      <w:bookmarkEnd w:id="19"/>
    </w:p>
    <w:tbl>
      <w:tblPr>
        <w:tblW w:w="0" w:type="auto"/>
        <w:jc w:val="center"/>
        <w:tblLook w:val="0420" w:firstRow="1" w:lastRow="0" w:firstColumn="0" w:lastColumn="0" w:noHBand="0" w:noVBand="1"/>
      </w:tblPr>
      <w:tblGrid>
        <w:gridCol w:w="457"/>
        <w:gridCol w:w="1303"/>
        <w:gridCol w:w="2771"/>
        <w:gridCol w:w="4829"/>
      </w:tblGrid>
      <w:tr w:rsidR="008B66BF" w14:paraId="60758E7D" w14:textId="77777777">
        <w:trPr>
          <w:cantSplit/>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0758E79" w14:textId="77777777" w:rsidR="0011614C" w:rsidRDefault="008B66BF" w:rsidP="008B66BF">
            <w:pPr>
              <w:spacing w:before="100" w:after="100"/>
              <w:ind w:left="100" w:right="100"/>
              <w:jc w:val="center"/>
            </w:pPr>
            <w:r>
              <w:rPr>
                <w:rFonts w:ascii="Arial" w:eastAsia="Arial" w:hAnsi="Arial" w:cs="Arial"/>
                <w:b/>
                <w:color w:val="000000"/>
                <w:sz w:val="14"/>
                <w:szCs w:val="14"/>
              </w:rPr>
              <w:t>Key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0758E7A" w14:textId="77777777" w:rsidR="0011614C" w:rsidRDefault="008B66BF" w:rsidP="008B66BF">
            <w:pPr>
              <w:spacing w:before="100" w:after="100"/>
              <w:ind w:left="100" w:right="100"/>
              <w:jc w:val="center"/>
            </w:pPr>
            <w:r>
              <w:rPr>
                <w:rFonts w:ascii="Arial" w:eastAsia="Arial" w:hAnsi="Arial" w:cs="Arial"/>
                <w:b/>
                <w:color w:val="000000"/>
                <w:sz w:val="14"/>
                <w:szCs w:val="14"/>
              </w:rPr>
              <w:t>Main 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0758E7B" w14:textId="77777777" w:rsidR="0011614C" w:rsidRDefault="008B66BF" w:rsidP="008B66BF">
            <w:pPr>
              <w:spacing w:before="100" w:after="100"/>
              <w:ind w:left="100" w:right="100"/>
              <w:jc w:val="center"/>
            </w:pPr>
            <w:r>
              <w:rPr>
                <w:rFonts w:ascii="Arial" w:eastAsia="Arial" w:hAnsi="Arial" w:cs="Arial"/>
                <w:b/>
                <w:color w:val="000000"/>
                <w:sz w:val="14"/>
                <w:szCs w:val="14"/>
              </w:rPr>
              <w:t>Sub-category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0758E7C" w14:textId="77777777" w:rsidR="0011614C" w:rsidRDefault="008B66BF" w:rsidP="008B66BF">
            <w:pPr>
              <w:spacing w:before="100" w:after="100"/>
              <w:ind w:left="100" w:right="100"/>
              <w:jc w:val="center"/>
            </w:pPr>
            <w:r>
              <w:rPr>
                <w:rFonts w:ascii="Arial" w:eastAsia="Arial" w:hAnsi="Arial" w:cs="Arial"/>
                <w:b/>
                <w:color w:val="000000"/>
                <w:sz w:val="14"/>
                <w:szCs w:val="14"/>
              </w:rPr>
              <w:t>Example</w:t>
            </w:r>
          </w:p>
        </w:tc>
      </w:tr>
      <w:tr w:rsidR="0011614C" w14:paraId="60758E82" w14:textId="77777777">
        <w:trPr>
          <w:cantSplit/>
          <w:jc w:val="center"/>
        </w:trPr>
        <w:tc>
          <w:tcPr>
            <w:tcW w:w="0" w:type="auto"/>
            <w:shd w:val="clear" w:color="auto" w:fill="FFFFFF"/>
            <w:tcMar>
              <w:top w:w="0" w:type="dxa"/>
              <w:left w:w="0" w:type="dxa"/>
              <w:bottom w:w="0" w:type="dxa"/>
              <w:right w:w="0" w:type="dxa"/>
            </w:tcMar>
            <w:vAlign w:val="center"/>
          </w:tcPr>
          <w:p w14:paraId="60758E7E" w14:textId="77777777" w:rsidR="0011614C" w:rsidRDefault="008B66BF" w:rsidP="008B66BF">
            <w:pPr>
              <w:spacing w:before="100" w:after="100"/>
              <w:ind w:left="100" w:right="100"/>
              <w:jc w:val="center"/>
            </w:pPr>
            <w:r>
              <w:rPr>
                <w:rFonts w:ascii="Arial" w:eastAsia="Arial" w:hAnsi="Arial" w:cs="Arial"/>
                <w:b/>
                <w:color w:val="000000"/>
                <w:sz w:val="14"/>
                <w:szCs w:val="14"/>
              </w:rPr>
              <w:t>0</w:t>
            </w:r>
          </w:p>
        </w:tc>
        <w:tc>
          <w:tcPr>
            <w:tcW w:w="0" w:type="auto"/>
            <w:shd w:val="clear" w:color="auto" w:fill="FFFFFF"/>
            <w:tcMar>
              <w:top w:w="0" w:type="dxa"/>
              <w:left w:w="0" w:type="dxa"/>
              <w:bottom w:w="0" w:type="dxa"/>
              <w:right w:w="0" w:type="dxa"/>
            </w:tcMar>
            <w:vAlign w:val="center"/>
          </w:tcPr>
          <w:p w14:paraId="60758E7F" w14:textId="77777777" w:rsidR="0011614C" w:rsidRDefault="008B66BF" w:rsidP="008B66BF">
            <w:pPr>
              <w:spacing w:before="100" w:after="100"/>
              <w:ind w:left="100" w:right="100"/>
              <w:jc w:val="center"/>
            </w:pPr>
            <w:r>
              <w:rPr>
                <w:rFonts w:ascii="Arial" w:eastAsia="Arial" w:hAnsi="Arial" w:cs="Arial"/>
                <w:color w:val="000000"/>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60758E80" w14:textId="77777777" w:rsidR="0011614C" w:rsidRDefault="0011614C" w:rsidP="008B66BF">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60758E81" w14:textId="77777777" w:rsidR="0011614C" w:rsidRDefault="008B66BF" w:rsidP="008B66BF">
            <w:pPr>
              <w:spacing w:before="100" w:after="100"/>
              <w:ind w:left="100" w:right="100"/>
            </w:pPr>
            <w:r>
              <w:rPr>
                <w:rFonts w:ascii="Arial" w:eastAsia="Arial" w:hAnsi="Arial" w:cs="Arial"/>
                <w:color w:val="000000"/>
                <w:sz w:val="14"/>
                <w:szCs w:val="14"/>
              </w:rPr>
              <w:t>"Data sharing not applicable to this article as no datasets were generated or analysed during the current study." [35]</w:t>
            </w:r>
          </w:p>
        </w:tc>
      </w:tr>
      <w:tr w:rsidR="0011614C" w14:paraId="60758E87" w14:textId="77777777">
        <w:trPr>
          <w:cantSplit/>
          <w:jc w:val="center"/>
        </w:trPr>
        <w:tc>
          <w:tcPr>
            <w:tcW w:w="0" w:type="auto"/>
            <w:shd w:val="clear" w:color="auto" w:fill="DDDDDD"/>
            <w:tcMar>
              <w:top w:w="0" w:type="dxa"/>
              <w:left w:w="0" w:type="dxa"/>
              <w:bottom w:w="0" w:type="dxa"/>
              <w:right w:w="0" w:type="dxa"/>
            </w:tcMar>
            <w:vAlign w:val="center"/>
          </w:tcPr>
          <w:p w14:paraId="60758E83" w14:textId="77777777" w:rsidR="0011614C" w:rsidRDefault="008B66BF" w:rsidP="008B66BF">
            <w:pPr>
              <w:spacing w:before="100" w:after="100"/>
              <w:ind w:left="100" w:right="100"/>
              <w:jc w:val="center"/>
            </w:pPr>
            <w:r>
              <w:rPr>
                <w:rFonts w:ascii="Arial" w:eastAsia="Arial" w:hAnsi="Arial" w:cs="Arial"/>
                <w:b/>
                <w:color w:val="000000"/>
                <w:sz w:val="14"/>
                <w:szCs w:val="14"/>
              </w:rPr>
              <w:t>1</w:t>
            </w:r>
          </w:p>
        </w:tc>
        <w:tc>
          <w:tcPr>
            <w:tcW w:w="0" w:type="auto"/>
            <w:shd w:val="clear" w:color="auto" w:fill="DDDDDD"/>
            <w:tcMar>
              <w:top w:w="0" w:type="dxa"/>
              <w:left w:w="0" w:type="dxa"/>
              <w:bottom w:w="0" w:type="dxa"/>
              <w:right w:w="0" w:type="dxa"/>
            </w:tcMar>
            <w:vAlign w:val="center"/>
          </w:tcPr>
          <w:p w14:paraId="60758E84"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60758E85" w14:textId="77777777" w:rsidR="0011614C" w:rsidRDefault="008B66BF" w:rsidP="008B66BF">
            <w:pPr>
              <w:spacing w:before="100" w:after="100"/>
              <w:ind w:left="100" w:right="100"/>
              <w:jc w:val="center"/>
            </w:pPr>
            <w:r>
              <w:rPr>
                <w:rFonts w:ascii="Arial" w:eastAsia="Arial" w:hAnsi="Arial" w:cs="Arial"/>
                <w:color w:val="000000"/>
                <w:sz w:val="14"/>
                <w:szCs w:val="14"/>
              </w:rPr>
              <w:t>Data not made available</w:t>
            </w:r>
          </w:p>
        </w:tc>
        <w:tc>
          <w:tcPr>
            <w:tcW w:w="0" w:type="auto"/>
            <w:shd w:val="clear" w:color="auto" w:fill="DDDDDD"/>
            <w:tcMar>
              <w:top w:w="0" w:type="dxa"/>
              <w:left w:w="0" w:type="dxa"/>
              <w:bottom w:w="0" w:type="dxa"/>
              <w:right w:w="0" w:type="dxa"/>
            </w:tcMar>
            <w:vAlign w:val="center"/>
          </w:tcPr>
          <w:p w14:paraId="60758E86" w14:textId="77777777" w:rsidR="0011614C" w:rsidRDefault="008B66BF" w:rsidP="008B66BF">
            <w:pPr>
              <w:spacing w:before="100" w:after="100"/>
              <w:ind w:left="100" w:right="100"/>
            </w:pPr>
            <w:r>
              <w:rPr>
                <w:rFonts w:ascii="Arial" w:eastAsia="Arial" w:hAnsi="Arial" w:cs="Arial"/>
                <w:color w:val="000000"/>
                <w:sz w:val="14"/>
                <w:szCs w:val="14"/>
              </w:rPr>
              <w:t>"Not available for public" [36]</w:t>
            </w:r>
          </w:p>
        </w:tc>
      </w:tr>
      <w:tr w:rsidR="0011614C" w14:paraId="60758E8C" w14:textId="77777777">
        <w:trPr>
          <w:cantSplit/>
          <w:jc w:val="center"/>
        </w:trPr>
        <w:tc>
          <w:tcPr>
            <w:tcW w:w="0" w:type="auto"/>
            <w:shd w:val="clear" w:color="auto" w:fill="FFFFFF"/>
            <w:tcMar>
              <w:top w:w="0" w:type="dxa"/>
              <w:left w:w="0" w:type="dxa"/>
              <w:bottom w:w="0" w:type="dxa"/>
              <w:right w:w="0" w:type="dxa"/>
            </w:tcMar>
            <w:vAlign w:val="center"/>
          </w:tcPr>
          <w:p w14:paraId="60758E88" w14:textId="77777777" w:rsidR="0011614C" w:rsidRDefault="008B66BF" w:rsidP="008B66BF">
            <w:pPr>
              <w:spacing w:before="100" w:after="100"/>
              <w:ind w:left="100" w:right="100"/>
              <w:jc w:val="center"/>
            </w:pPr>
            <w:r>
              <w:rPr>
                <w:rFonts w:ascii="Arial" w:eastAsia="Arial" w:hAnsi="Arial" w:cs="Arial"/>
                <w:b/>
                <w:color w:val="000000"/>
                <w:sz w:val="14"/>
                <w:szCs w:val="14"/>
              </w:rPr>
              <w:t>2</w:t>
            </w:r>
          </w:p>
        </w:tc>
        <w:tc>
          <w:tcPr>
            <w:tcW w:w="0" w:type="auto"/>
            <w:shd w:val="clear" w:color="auto" w:fill="FFFFFF"/>
            <w:tcMar>
              <w:top w:w="0" w:type="dxa"/>
              <w:left w:w="0" w:type="dxa"/>
              <w:bottom w:w="0" w:type="dxa"/>
              <w:right w:w="0" w:type="dxa"/>
            </w:tcMar>
            <w:vAlign w:val="center"/>
          </w:tcPr>
          <w:p w14:paraId="60758E89"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60758E8A" w14:textId="77777777" w:rsidR="0011614C" w:rsidRDefault="008B66BF" w:rsidP="008B66BF">
            <w:pPr>
              <w:spacing w:before="100" w:after="100"/>
              <w:ind w:left="100" w:right="100"/>
              <w:jc w:val="center"/>
            </w:pPr>
            <w:r>
              <w:rPr>
                <w:rFonts w:ascii="Arial" w:eastAsia="Arial" w:hAnsi="Arial" w:cs="Arial"/>
                <w:color w:val="000000"/>
                <w:sz w:val="14"/>
                <w:szCs w:val="14"/>
              </w:rPr>
              <w:t>Data available on request to authors</w:t>
            </w:r>
          </w:p>
        </w:tc>
        <w:tc>
          <w:tcPr>
            <w:tcW w:w="0" w:type="auto"/>
            <w:shd w:val="clear" w:color="auto" w:fill="FFFFFF"/>
            <w:tcMar>
              <w:top w:w="0" w:type="dxa"/>
              <w:left w:w="0" w:type="dxa"/>
              <w:bottom w:w="0" w:type="dxa"/>
              <w:right w:w="0" w:type="dxa"/>
            </w:tcMar>
            <w:vAlign w:val="center"/>
          </w:tcPr>
          <w:p w14:paraId="60758E8B" w14:textId="77777777" w:rsidR="0011614C" w:rsidRDefault="008B66BF" w:rsidP="008B66BF">
            <w:pPr>
              <w:spacing w:before="100" w:after="100"/>
              <w:ind w:left="100" w:right="100"/>
            </w:pPr>
            <w:r>
              <w:rPr>
                <w:rFonts w:ascii="Arial" w:eastAsia="Arial" w:hAnsi="Arial" w:cs="Arial"/>
                <w:color w:val="000000"/>
                <w:sz w:val="14"/>
                <w:szCs w:val="14"/>
              </w:rPr>
              <w:t>"Data can be available upon reasonable request to the corresponding author." [37]</w:t>
            </w:r>
          </w:p>
        </w:tc>
      </w:tr>
      <w:tr w:rsidR="0011614C" w14:paraId="60758E91" w14:textId="77777777">
        <w:trPr>
          <w:cantSplit/>
          <w:jc w:val="center"/>
        </w:trPr>
        <w:tc>
          <w:tcPr>
            <w:tcW w:w="0" w:type="auto"/>
            <w:shd w:val="clear" w:color="auto" w:fill="DDDDDD"/>
            <w:tcMar>
              <w:top w:w="0" w:type="dxa"/>
              <w:left w:w="0" w:type="dxa"/>
              <w:bottom w:w="0" w:type="dxa"/>
              <w:right w:w="0" w:type="dxa"/>
            </w:tcMar>
            <w:vAlign w:val="center"/>
          </w:tcPr>
          <w:p w14:paraId="60758E8D" w14:textId="77777777" w:rsidR="0011614C" w:rsidRDefault="008B66BF" w:rsidP="008B66BF">
            <w:pPr>
              <w:spacing w:before="100" w:after="100"/>
              <w:ind w:left="100" w:right="100"/>
              <w:jc w:val="center"/>
            </w:pPr>
            <w:r>
              <w:rPr>
                <w:rFonts w:ascii="Arial" w:eastAsia="Arial" w:hAnsi="Arial" w:cs="Arial"/>
                <w:b/>
                <w:color w:val="000000"/>
                <w:sz w:val="14"/>
                <w:szCs w:val="14"/>
              </w:rPr>
              <w:lastRenderedPageBreak/>
              <w:t>3</w:t>
            </w:r>
          </w:p>
        </w:tc>
        <w:tc>
          <w:tcPr>
            <w:tcW w:w="0" w:type="auto"/>
            <w:shd w:val="clear" w:color="auto" w:fill="DDDDDD"/>
            <w:tcMar>
              <w:top w:w="0" w:type="dxa"/>
              <w:left w:w="0" w:type="dxa"/>
              <w:bottom w:w="0" w:type="dxa"/>
              <w:right w:w="0" w:type="dxa"/>
            </w:tcMar>
            <w:vAlign w:val="center"/>
          </w:tcPr>
          <w:p w14:paraId="60758E8E"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60758E8F" w14:textId="77777777" w:rsidR="0011614C" w:rsidRDefault="008B66BF" w:rsidP="008B66BF">
            <w:pPr>
              <w:spacing w:before="100" w:after="100"/>
              <w:ind w:left="100" w:right="100"/>
              <w:jc w:val="center"/>
            </w:pPr>
            <w:r>
              <w:rPr>
                <w:rFonts w:ascii="Arial" w:eastAsia="Arial" w:hAnsi="Arial" w:cs="Arial"/>
                <w:color w:val="000000"/>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60758E90" w14:textId="77777777" w:rsidR="0011614C" w:rsidRDefault="008B66BF" w:rsidP="008B66BF">
            <w:pPr>
              <w:spacing w:before="100" w:after="100"/>
              <w:ind w:left="100" w:right="100"/>
            </w:pPr>
            <w:r>
              <w:rPr>
                <w:rFonts w:ascii="Arial" w:eastAsia="Arial" w:hAnsi="Arial" w:cs="Arial"/>
                <w:color w:val="000000"/>
                <w:sz w:val="14"/>
                <w:szCs w:val="14"/>
              </w:rPr>
              <w:t>"The protocol and full dataset will be available at Open Science Framework upon peer review publication (https://osf.io/rvbuy/)." [38]</w:t>
            </w:r>
          </w:p>
        </w:tc>
      </w:tr>
      <w:tr w:rsidR="0011614C" w14:paraId="60758E96" w14:textId="77777777">
        <w:trPr>
          <w:cantSplit/>
          <w:jc w:val="center"/>
        </w:trPr>
        <w:tc>
          <w:tcPr>
            <w:tcW w:w="0" w:type="auto"/>
            <w:shd w:val="clear" w:color="auto" w:fill="FFFFFF"/>
            <w:tcMar>
              <w:top w:w="0" w:type="dxa"/>
              <w:left w:w="0" w:type="dxa"/>
              <w:bottom w:w="0" w:type="dxa"/>
              <w:right w:w="0" w:type="dxa"/>
            </w:tcMar>
            <w:vAlign w:val="center"/>
          </w:tcPr>
          <w:p w14:paraId="60758E92" w14:textId="77777777" w:rsidR="0011614C" w:rsidRDefault="008B66BF" w:rsidP="008B66BF">
            <w:pPr>
              <w:spacing w:before="100" w:after="100"/>
              <w:ind w:left="100" w:right="100"/>
              <w:jc w:val="center"/>
            </w:pPr>
            <w:r>
              <w:rPr>
                <w:rFonts w:ascii="Arial" w:eastAsia="Arial" w:hAnsi="Arial" w:cs="Arial"/>
                <w:b/>
                <w:color w:val="000000"/>
                <w:sz w:val="14"/>
                <w:szCs w:val="14"/>
              </w:rPr>
              <w:t>4</w:t>
            </w:r>
          </w:p>
        </w:tc>
        <w:tc>
          <w:tcPr>
            <w:tcW w:w="0" w:type="auto"/>
            <w:shd w:val="clear" w:color="auto" w:fill="FFFFFF"/>
            <w:tcMar>
              <w:top w:w="0" w:type="dxa"/>
              <w:left w:w="0" w:type="dxa"/>
              <w:bottom w:w="0" w:type="dxa"/>
              <w:right w:w="0" w:type="dxa"/>
            </w:tcMar>
            <w:vAlign w:val="center"/>
          </w:tcPr>
          <w:p w14:paraId="60758E93"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60758E94" w14:textId="77777777" w:rsidR="0011614C" w:rsidRDefault="008B66BF" w:rsidP="008B66BF">
            <w:pPr>
              <w:spacing w:before="100" w:after="100"/>
              <w:ind w:left="100" w:right="100"/>
              <w:jc w:val="center"/>
            </w:pPr>
            <w:r>
              <w:rPr>
                <w:rFonts w:ascii="Arial" w:eastAsia="Arial" w:hAnsi="Arial" w:cs="Arial"/>
                <w:color w:val="000000"/>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60758E95" w14:textId="77777777" w:rsidR="0011614C" w:rsidRDefault="008B66BF" w:rsidP="008B66BF">
            <w:pPr>
              <w:spacing w:before="100" w:after="100"/>
              <w:ind w:left="100" w:right="100"/>
            </w:pPr>
            <w:r>
              <w:rPr>
                <w:rFonts w:ascii="Arial" w:eastAsia="Arial" w:hAnsi="Arial" w:cs="Arial"/>
                <w:color w:val="000000"/>
                <w:sz w:val="14"/>
                <w:szCs w:val="14"/>
              </w:rPr>
              <w:t>"Data will be deposited in Dryad upon publication" [39]</w:t>
            </w:r>
          </w:p>
        </w:tc>
      </w:tr>
      <w:tr w:rsidR="0011614C" w14:paraId="60758E9B" w14:textId="77777777">
        <w:trPr>
          <w:cantSplit/>
          <w:jc w:val="center"/>
        </w:trPr>
        <w:tc>
          <w:tcPr>
            <w:tcW w:w="0" w:type="auto"/>
            <w:shd w:val="clear" w:color="auto" w:fill="DDDDDD"/>
            <w:tcMar>
              <w:top w:w="0" w:type="dxa"/>
              <w:left w:w="0" w:type="dxa"/>
              <w:bottom w:w="0" w:type="dxa"/>
              <w:right w:w="0" w:type="dxa"/>
            </w:tcMar>
            <w:vAlign w:val="center"/>
          </w:tcPr>
          <w:p w14:paraId="60758E97" w14:textId="77777777" w:rsidR="0011614C" w:rsidRDefault="008B66BF" w:rsidP="008B66BF">
            <w:pPr>
              <w:spacing w:before="100" w:after="100"/>
              <w:ind w:left="100" w:right="100"/>
              <w:jc w:val="center"/>
            </w:pPr>
            <w:r>
              <w:rPr>
                <w:rFonts w:ascii="Arial" w:eastAsia="Arial" w:hAnsi="Arial" w:cs="Arial"/>
                <w:b/>
                <w:color w:val="000000"/>
                <w:sz w:val="14"/>
                <w:szCs w:val="14"/>
              </w:rPr>
              <w:t>5</w:t>
            </w:r>
          </w:p>
        </w:tc>
        <w:tc>
          <w:tcPr>
            <w:tcW w:w="0" w:type="auto"/>
            <w:shd w:val="clear" w:color="auto" w:fill="DDDDDD"/>
            <w:tcMar>
              <w:top w:w="0" w:type="dxa"/>
              <w:left w:w="0" w:type="dxa"/>
              <w:bottom w:w="0" w:type="dxa"/>
              <w:right w:w="0" w:type="dxa"/>
            </w:tcMar>
            <w:vAlign w:val="center"/>
          </w:tcPr>
          <w:p w14:paraId="60758E98"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60758E99" w14:textId="77777777" w:rsidR="0011614C" w:rsidRDefault="008B66BF" w:rsidP="008B66BF">
            <w:pPr>
              <w:spacing w:before="100" w:after="100"/>
              <w:ind w:left="100" w:right="100"/>
              <w:jc w:val="center"/>
            </w:pPr>
            <w:r>
              <w:rPr>
                <w:rFonts w:ascii="Arial" w:eastAsia="Arial" w:hAnsi="Arial" w:cs="Arial"/>
                <w:color w:val="000000"/>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60758E9A" w14:textId="77777777" w:rsidR="0011614C" w:rsidRDefault="008B66BF" w:rsidP="008B66BF">
            <w:pPr>
              <w:spacing w:before="100" w:after="100"/>
              <w:ind w:left="100" w:right="100"/>
            </w:pPr>
            <w:r>
              <w:rPr>
                <w:rFonts w:ascii="Arial" w:eastAsia="Arial" w:hAnsi="Arial" w:cs="Arial"/>
                <w:color w:val="000000"/>
                <w:sz w:val="14"/>
                <w:szCs w:val="14"/>
              </w:rPr>
              <w:t xml:space="preserve">"Data were obtained from the international MSBase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(https://www.who.int/emergencies/diseases/novel-coronavirus-2019/situation-reports).   https://www.who.int/emergencies/diseases/novel-coronavirus-2019/situation-reports [40]</w:t>
            </w:r>
          </w:p>
        </w:tc>
      </w:tr>
      <w:tr w:rsidR="0011614C" w14:paraId="60758EA0" w14:textId="77777777">
        <w:trPr>
          <w:cantSplit/>
          <w:jc w:val="center"/>
        </w:trPr>
        <w:tc>
          <w:tcPr>
            <w:tcW w:w="0" w:type="auto"/>
            <w:shd w:val="clear" w:color="auto" w:fill="FFFFFF"/>
            <w:tcMar>
              <w:top w:w="0" w:type="dxa"/>
              <w:left w:w="0" w:type="dxa"/>
              <w:bottom w:w="0" w:type="dxa"/>
              <w:right w:w="0" w:type="dxa"/>
            </w:tcMar>
            <w:vAlign w:val="center"/>
          </w:tcPr>
          <w:p w14:paraId="60758E9C" w14:textId="77777777" w:rsidR="0011614C" w:rsidRDefault="008B66BF" w:rsidP="008B66BF">
            <w:pPr>
              <w:spacing w:before="100" w:after="100"/>
              <w:ind w:left="100" w:right="100"/>
              <w:jc w:val="center"/>
            </w:pPr>
            <w:r>
              <w:rPr>
                <w:rFonts w:ascii="Arial" w:eastAsia="Arial" w:hAnsi="Arial" w:cs="Arial"/>
                <w:b/>
                <w:color w:val="000000"/>
                <w:sz w:val="14"/>
                <w:szCs w:val="14"/>
              </w:rPr>
              <w:t>6</w:t>
            </w:r>
          </w:p>
        </w:tc>
        <w:tc>
          <w:tcPr>
            <w:tcW w:w="0" w:type="auto"/>
            <w:shd w:val="clear" w:color="auto" w:fill="FFFFFF"/>
            <w:tcMar>
              <w:top w:w="0" w:type="dxa"/>
              <w:left w:w="0" w:type="dxa"/>
              <w:bottom w:w="0" w:type="dxa"/>
              <w:right w:w="0" w:type="dxa"/>
            </w:tcMar>
            <w:vAlign w:val="center"/>
          </w:tcPr>
          <w:p w14:paraId="60758E9D" w14:textId="77777777" w:rsidR="0011614C" w:rsidRDefault="008B66BF" w:rsidP="008B66BF">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60758E9E" w14:textId="77777777" w:rsidR="0011614C" w:rsidRDefault="008B66BF" w:rsidP="008B66BF">
            <w:pPr>
              <w:spacing w:before="100" w:after="100"/>
              <w:ind w:left="100" w:right="100"/>
              <w:jc w:val="center"/>
            </w:pPr>
            <w:r>
              <w:rPr>
                <w:rFonts w:ascii="Arial" w:eastAsia="Arial" w:hAnsi="Arial" w:cs="Arial"/>
                <w:color w:val="000000"/>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60758E9F" w14:textId="77777777" w:rsidR="0011614C" w:rsidRDefault="008B66BF" w:rsidP="008B66BF">
            <w:pPr>
              <w:spacing w:before="100" w:after="100"/>
              <w:ind w:left="100" w:right="100"/>
            </w:pPr>
            <w:r>
              <w:rPr>
                <w:rFonts w:ascii="Arial" w:eastAsia="Arial" w:hAnsi="Arial" w:cs="Arial"/>
                <w:color w:val="000000"/>
                <w:sz w:val="14"/>
                <w:szCs w:val="14"/>
              </w:rPr>
              <w:t>"This research has been conducted using the UK Biobank Resource under application number 24494. All bona fide researchers can apply to use the UK Biobank resource for health related research that is in the public interest." [41]</w:t>
            </w:r>
          </w:p>
        </w:tc>
      </w:tr>
      <w:tr w:rsidR="0011614C" w14:paraId="60758EA5" w14:textId="77777777">
        <w:trPr>
          <w:cantSplit/>
          <w:jc w:val="center"/>
        </w:trPr>
        <w:tc>
          <w:tcPr>
            <w:tcW w:w="0" w:type="auto"/>
            <w:shd w:val="clear" w:color="auto" w:fill="DDDDDD"/>
            <w:tcMar>
              <w:top w:w="0" w:type="dxa"/>
              <w:left w:w="0" w:type="dxa"/>
              <w:bottom w:w="0" w:type="dxa"/>
              <w:right w:w="0" w:type="dxa"/>
            </w:tcMar>
            <w:vAlign w:val="center"/>
          </w:tcPr>
          <w:p w14:paraId="60758EA1" w14:textId="77777777" w:rsidR="0011614C" w:rsidRDefault="008B66BF" w:rsidP="008B66BF">
            <w:pPr>
              <w:spacing w:before="100" w:after="100"/>
              <w:ind w:left="100" w:right="100"/>
              <w:jc w:val="center"/>
            </w:pPr>
            <w:r>
              <w:rPr>
                <w:rFonts w:ascii="Arial" w:eastAsia="Arial" w:hAnsi="Arial" w:cs="Arial"/>
                <w:b/>
                <w:color w:val="000000"/>
                <w:sz w:val="14"/>
                <w:szCs w:val="14"/>
              </w:rPr>
              <w:t>7</w:t>
            </w:r>
          </w:p>
        </w:tc>
        <w:tc>
          <w:tcPr>
            <w:tcW w:w="0" w:type="auto"/>
            <w:shd w:val="clear" w:color="auto" w:fill="DDDDDD"/>
            <w:tcMar>
              <w:top w:w="0" w:type="dxa"/>
              <w:left w:w="0" w:type="dxa"/>
              <w:bottom w:w="0" w:type="dxa"/>
              <w:right w:w="0" w:type="dxa"/>
            </w:tcMar>
            <w:vAlign w:val="center"/>
          </w:tcPr>
          <w:p w14:paraId="60758EA2" w14:textId="77777777" w:rsidR="0011614C" w:rsidRDefault="008B66BF" w:rsidP="008B66BF">
            <w:pPr>
              <w:spacing w:before="100" w:after="100"/>
              <w:ind w:left="100" w:right="100"/>
              <w:jc w:val="center"/>
            </w:pPr>
            <w:r>
              <w:rPr>
                <w:rFonts w:ascii="Arial" w:eastAsia="Arial" w:hAnsi="Arial" w:cs="Arial"/>
                <w:color w:val="000000"/>
                <w:sz w:val="14"/>
                <w:szCs w:val="14"/>
              </w:rPr>
              <w:t>"Open"</w:t>
            </w:r>
          </w:p>
        </w:tc>
        <w:tc>
          <w:tcPr>
            <w:tcW w:w="0" w:type="auto"/>
            <w:shd w:val="clear" w:color="auto" w:fill="DDDDDD"/>
            <w:tcMar>
              <w:top w:w="0" w:type="dxa"/>
              <w:left w:w="0" w:type="dxa"/>
              <w:bottom w:w="0" w:type="dxa"/>
              <w:right w:w="0" w:type="dxa"/>
            </w:tcMar>
            <w:vAlign w:val="center"/>
          </w:tcPr>
          <w:p w14:paraId="60758EA3" w14:textId="77777777" w:rsidR="0011614C" w:rsidRDefault="008B66BF" w:rsidP="008B66BF">
            <w:pPr>
              <w:spacing w:before="100" w:after="100"/>
              <w:ind w:left="100" w:right="100"/>
              <w:jc w:val="center"/>
            </w:pPr>
            <w:r>
              <w:rPr>
                <w:rFonts w:ascii="Arial" w:eastAsia="Arial" w:hAnsi="Arial" w:cs="Arial"/>
                <w:color w:val="000000"/>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60758EA4" w14:textId="77777777" w:rsidR="0011614C" w:rsidRDefault="008B66BF" w:rsidP="008B66BF">
            <w:pPr>
              <w:spacing w:before="100" w:after="100"/>
              <w:ind w:left="100" w:right="100"/>
            </w:pPr>
            <w:r>
              <w:rPr>
                <w:rFonts w:ascii="Arial" w:eastAsia="Arial" w:hAnsi="Arial" w:cs="Arial"/>
                <w:color w:val="000000"/>
                <w:sz w:val="14"/>
                <w:szCs w:val="14"/>
              </w:rPr>
              <w:t>"All data related to this study are present in the paper or the Supplementary Materials. . ." [42]</w:t>
            </w:r>
          </w:p>
        </w:tc>
      </w:tr>
      <w:tr w:rsidR="008B66BF" w14:paraId="60758EAA"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0758EA6" w14:textId="77777777" w:rsidR="0011614C" w:rsidRDefault="008B66BF" w:rsidP="008B66BF">
            <w:pPr>
              <w:spacing w:before="100" w:after="100"/>
              <w:ind w:left="100" w:right="100"/>
              <w:jc w:val="center"/>
            </w:pPr>
            <w:r>
              <w:rPr>
                <w:rFonts w:ascii="Arial" w:eastAsia="Arial" w:hAnsi="Arial" w:cs="Arial"/>
                <w:b/>
                <w:color w:val="000000"/>
                <w:sz w:val="14"/>
                <w:szCs w:val="14"/>
              </w:rPr>
              <w:t>8</w:t>
            </w:r>
          </w:p>
        </w:tc>
        <w:tc>
          <w:tcPr>
            <w:tcW w:w="0" w:type="auto"/>
            <w:tcBorders>
              <w:bottom w:val="single" w:sz="16" w:space="0" w:color="666666"/>
            </w:tcBorders>
            <w:shd w:val="clear" w:color="auto" w:fill="FFFFFF"/>
            <w:tcMar>
              <w:top w:w="0" w:type="dxa"/>
              <w:left w:w="0" w:type="dxa"/>
              <w:bottom w:w="0" w:type="dxa"/>
              <w:right w:w="0" w:type="dxa"/>
            </w:tcMar>
            <w:vAlign w:val="center"/>
          </w:tcPr>
          <w:p w14:paraId="60758EA7" w14:textId="77777777" w:rsidR="0011614C" w:rsidRDefault="008B66BF" w:rsidP="008B66BF">
            <w:pPr>
              <w:spacing w:before="100" w:after="100"/>
              <w:ind w:left="100" w:right="100"/>
              <w:jc w:val="center"/>
            </w:pPr>
            <w:r>
              <w:rPr>
                <w:rFonts w:ascii="Arial" w:eastAsia="Arial" w:hAnsi="Arial" w:cs="Arial"/>
                <w:color w:val="000000"/>
                <w:sz w:val="14"/>
                <w:szCs w:val="14"/>
              </w:rPr>
              <w:t>"Open"</w:t>
            </w:r>
          </w:p>
        </w:tc>
        <w:tc>
          <w:tcPr>
            <w:tcW w:w="0" w:type="auto"/>
            <w:tcBorders>
              <w:bottom w:val="single" w:sz="16" w:space="0" w:color="666666"/>
            </w:tcBorders>
            <w:shd w:val="clear" w:color="auto" w:fill="FFFFFF"/>
            <w:tcMar>
              <w:top w:w="0" w:type="dxa"/>
              <w:left w:w="0" w:type="dxa"/>
              <w:bottom w:w="0" w:type="dxa"/>
              <w:right w:w="0" w:type="dxa"/>
            </w:tcMar>
            <w:vAlign w:val="center"/>
          </w:tcPr>
          <w:p w14:paraId="60758EA8" w14:textId="77777777" w:rsidR="0011614C" w:rsidRDefault="008B66BF" w:rsidP="008B66BF">
            <w:pPr>
              <w:spacing w:before="100" w:after="100"/>
              <w:ind w:left="100" w:right="100"/>
              <w:jc w:val="center"/>
            </w:pPr>
            <w:r>
              <w:rPr>
                <w:rFonts w:ascii="Arial" w:eastAsia="Arial" w:hAnsi="Arial" w:cs="Arial"/>
                <w:color w:val="000000"/>
                <w:sz w:val="14"/>
                <w:szCs w:val="14"/>
              </w:rPr>
              <w:t>Data available via a online repository that is not access-controlled e.g. Dryad, Zenodo</w:t>
            </w:r>
          </w:p>
        </w:tc>
        <w:tc>
          <w:tcPr>
            <w:tcW w:w="0" w:type="auto"/>
            <w:tcBorders>
              <w:bottom w:val="single" w:sz="16" w:space="0" w:color="666666"/>
            </w:tcBorders>
            <w:shd w:val="clear" w:color="auto" w:fill="FFFFFF"/>
            <w:tcMar>
              <w:top w:w="0" w:type="dxa"/>
              <w:left w:w="0" w:type="dxa"/>
              <w:bottom w:w="0" w:type="dxa"/>
              <w:right w:w="0" w:type="dxa"/>
            </w:tcMar>
            <w:vAlign w:val="center"/>
          </w:tcPr>
          <w:p w14:paraId="60758EA9" w14:textId="77777777" w:rsidR="0011614C" w:rsidRDefault="008B66BF" w:rsidP="008B66BF">
            <w:pPr>
              <w:spacing w:before="100" w:after="100"/>
              <w:ind w:left="100" w:right="100"/>
            </w:pPr>
            <w:r>
              <w:rPr>
                <w:rFonts w:ascii="Arial" w:eastAsia="Arial" w:hAnsi="Arial" w:cs="Arial"/>
                <w:color w:val="000000"/>
                <w:sz w:val="14"/>
                <w:szCs w:val="14"/>
              </w:rPr>
              <w:t>"Extracted data used in this meta-analysis and analysis code are available at www.doi.org/10.5281/zenodo.3149365." [43]</w:t>
            </w:r>
          </w:p>
        </w:tc>
      </w:tr>
    </w:tbl>
    <w:p w14:paraId="60758EAB" w14:textId="77777777" w:rsidR="0011614C" w:rsidRDefault="008B66BF">
      <w:pPr>
        <w:pStyle w:val="BodyText"/>
      </w:pPr>
      <w:r>
        <w:t> </w:t>
      </w:r>
    </w:p>
    <w:p w14:paraId="60758EAC" w14:textId="77777777" w:rsidR="0011614C" w:rsidRDefault="008B66BF">
      <w:pPr>
        <w:pStyle w:val="BodyText"/>
      </w:pPr>
      <w:r>
        <w:t>The data availability statement for each preprinted record were categorized by two independent researchers, using the groups presented in Table 1, while the statements for published articles were categorized using all groups barring Category 3 and 4 (“Available in the future”). Records for which the data availability statement was categorized as “Not applicable” (Category 1 from Table 1)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14:paraId="60758EAD" w14:textId="77777777" w:rsidR="0011614C" w:rsidRDefault="008B66BF">
      <w:pPr>
        <w:pStyle w:val="BodyText"/>
      </w:pPr>
      <w:r>
        <w:t>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 1.</w:t>
      </w:r>
    </w:p>
    <w:p w14:paraId="60758EAE" w14:textId="77777777" w:rsidR="0011614C" w:rsidRDefault="008B66BF">
      <w:pPr>
        <w:pStyle w:val="BodyText"/>
        <w:rPr>
          <w:ins w:id="24" w:author="Author" w:date="2021-03-30T15:32:00Z"/>
        </w:rPr>
      </w:pPr>
      <w:ins w:id="25" w:author="Author" w:date="2021-03-30T15:32:00Z">
        <w:r>
          <w:t>Similarly, the extracted data-sharing policies were classified by two independent reviewers according to whether the journal mandated data sharing (1) or not (0). Where the journal had no obvious data sharing policy, these were classified as not mandating data sharing.</w:t>
        </w:r>
      </w:ins>
    </w:p>
    <w:p w14:paraId="60758EAF" w14:textId="77777777" w:rsidR="0011614C" w:rsidRDefault="008B66BF">
      <w:pPr>
        <w:pStyle w:val="Heading2"/>
      </w:pPr>
      <w:bookmarkStart w:id="26" w:name="X00641fe355401941c0c4615b65f1e2a77f6e8fd"/>
      <w:bookmarkEnd w:id="16"/>
      <w:r>
        <w:t>Changes between preprinted and published statements</w:t>
      </w:r>
    </w:p>
    <w:p w14:paraId="60758EB0" w14:textId="77777777" w:rsidR="0011614C" w:rsidRDefault="008B66BF">
      <w:pPr>
        <w:pStyle w:val="FirstParagraph"/>
      </w:pPr>
      <w:r>
        <w:t xml:space="preserve">To assess if data availability statements change between preprint and published articles, we examined whether a discrepancy existed between the categories assigned to the </w:t>
      </w:r>
      <w:r>
        <w:lastRenderedPageBreak/>
        <w:t>preprinted and published statements, and the direction of the discrepancy (“more closed” or “more open”). Records were deemed to become “more open” if their data availability statement was categorised as “closed” at the preprint stage and “open” at the published stage. Conversely, records described as “more closed” were those moving from “open” at preprint to “closed” on publication.</w:t>
      </w:r>
    </w:p>
    <w:p w14:paraId="60758EB1" w14:textId="77777777" w:rsidR="0011614C" w:rsidRDefault="008B66BF">
      <w:pPr>
        <w:pStyle w:val="BodyText"/>
      </w:pPr>
      <w:r>
        <w:t>We declare a minor deviation from our protocol for this analysis.[16] Rather than investigating the data-sharing policy only for journals with the largest change in openness as intended,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 and compared the change in openness between these two categories. Note that Category 2 includes journals that encourage data sharing, but do not make it a condition of publication.</w:t>
      </w:r>
    </w:p>
    <w:p w14:paraId="60758EB2" w14:textId="77777777" w:rsidR="0011614C" w:rsidRDefault="008B66BF">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w:t>
      </w:r>
    </w:p>
    <w:p w14:paraId="60758EB3" w14:textId="77777777" w:rsidR="0011614C" w:rsidRDefault="008B66BF">
      <w:pPr>
        <w:pStyle w:val="Heading2"/>
      </w:pPr>
      <w:bookmarkStart w:id="27" w:name="code-availability"/>
      <w:bookmarkEnd w:id="26"/>
      <w:r>
        <w:t>Code availability</w:t>
      </w:r>
    </w:p>
    <w:p w14:paraId="60758EB4" w14:textId="77777777" w:rsidR="0011614C" w:rsidRDefault="008B66BF">
      <w:pPr>
        <w:pStyle w:val="FirstParagraph"/>
      </w:pPr>
      <w:r>
        <w:t>Finally, to assess whether data availability statements also capture the availability of programming code, such as STATA do files or R scripts, the data availability statement and full text PDF for a random sample of 400 preprinted records were assessed for code availability (1: “code availability described” and 2: “code availability not described”).</w:t>
      </w:r>
    </w:p>
    <w:p w14:paraId="60758EB5" w14:textId="77777777" w:rsidR="0011614C" w:rsidRDefault="008B66BF">
      <w:pPr>
        <w:pStyle w:val="Heading2"/>
      </w:pPr>
      <w:bookmarkStart w:id="28" w:name="patient-and-public-involvement"/>
      <w:bookmarkEnd w:id="27"/>
      <w:r>
        <w:t>Patient and public involvement</w:t>
      </w:r>
    </w:p>
    <w:p w14:paraId="60758EB6" w14:textId="77777777" w:rsidR="0011614C" w:rsidRDefault="008B66BF">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60758EB7" w14:textId="77777777" w:rsidR="0011614C" w:rsidRDefault="008B66BF">
      <w:r>
        <w:br w:type="page"/>
      </w:r>
    </w:p>
    <w:p w14:paraId="60758EB8" w14:textId="77777777" w:rsidR="0011614C" w:rsidRDefault="008B66BF">
      <w:pPr>
        <w:pStyle w:val="Heading1"/>
      </w:pPr>
      <w:bookmarkStart w:id="29" w:name="results"/>
      <w:bookmarkEnd w:id="5"/>
      <w:bookmarkEnd w:id="28"/>
      <w:r>
        <w:lastRenderedPageBreak/>
        <w:t>Results</w:t>
      </w:r>
    </w:p>
    <w:p w14:paraId="60758EB9" w14:textId="77777777" w:rsidR="0011614C" w:rsidRDefault="008B66BF">
      <w:pPr>
        <w:pStyle w:val="FirstParagraph"/>
      </w:pPr>
      <w:r>
        <w:t>The data availability statements accompanying 4101 preprints registered between 25th June 2019 and 1st May 2020 were extracted from the medRxiv preprint repository on the 26th May 2020 and were coded by two independent researchers according to the categories in Table 1. During this process, agreement between the raters was high (Cohen’s Kappa = 0.98; “almost perfect agreement”).[44]</w:t>
      </w:r>
    </w:p>
    <w:p w14:paraId="60758EBA" w14:textId="77777777" w:rsidR="0011614C" w:rsidRDefault="008B66BF">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(9.6%)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60758EBB" w14:textId="77777777" w:rsidR="0011614C" w:rsidRDefault="008B66BF">
      <w:pPr>
        <w:pStyle w:val="BodyText"/>
      </w:pPr>
      <w:r>
        <w:t> </w:t>
      </w:r>
    </w:p>
    <w:p w14:paraId="60758EBC" w14:textId="77777777" w:rsidR="0011614C" w:rsidRDefault="008B66BF">
      <w:pPr>
        <w:rPr>
          <w:ins w:id="30" w:author="Author" w:date="2021-03-30T15:32:00Z"/>
        </w:rPr>
      </w:pPr>
      <w:r>
        <w:rPr>
          <w:noProof/>
        </w:rPr>
        <w:drawing>
          <wp:inline distT="0" distB="0" distL="0" distR="0" wp14:anchorId="60758F76" wp14:editId="60758F77">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p>
    <w:p w14:paraId="60758EBD" w14:textId="77777777" w:rsidR="0011614C" w:rsidRDefault="008B66BF">
      <w:pPr>
        <w:pStyle w:val="ImageCaption"/>
      </w:pPr>
      <w:r w:rsidRPr="008B66BF">
        <w:t>Fig 1:</w:t>
      </w:r>
      <w:r>
        <w:t xml:space="preserve"> </w:t>
      </w:r>
      <w:r>
        <w:rPr>
          <w:iCs/>
        </w:rPr>
        <w:t>Distribution of the data availability statements of preprinted (Panel A) and published (Panel B) records by category from Table 1.</w:t>
      </w:r>
    </w:p>
    <w:p w14:paraId="60758EBE" w14:textId="77777777" w:rsidR="0011614C" w:rsidRDefault="008B66BF">
      <w:pPr>
        <w:pStyle w:val="BodyText"/>
      </w:pPr>
      <w:r>
        <w:t> </w:t>
      </w:r>
    </w:p>
    <w:p w14:paraId="60758EBF" w14:textId="77777777" w:rsidR="0011614C" w:rsidRDefault="008B66BF">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w:t>
      </w:r>
    </w:p>
    <w:p w14:paraId="60758EC0" w14:textId="77777777" w:rsidR="0011614C" w:rsidRDefault="008B66BF">
      <w:pPr>
        <w:pStyle w:val="BodyText"/>
      </w:pPr>
      <w:r>
        <w:t>Data availability statements more frequently described open data on publication compared to the preprinted record when the journal mandated data sharing (Table 2).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14:paraId="60758EC1" w14:textId="77777777" w:rsidR="0011614C" w:rsidRDefault="008B66BF">
      <w:pPr>
        <w:pStyle w:val="BodyText"/>
      </w:pPr>
      <w:r>
        <w:lastRenderedPageBreak/>
        <w:t> </w:t>
      </w:r>
    </w:p>
    <w:p w14:paraId="60758EC2" w14:textId="77777777" w:rsidR="0011614C" w:rsidRDefault="008B66BF" w:rsidP="008B66BF">
      <w:pPr>
        <w:pStyle w:val="BodyText"/>
      </w:pPr>
      <w:r>
        <w:t xml:space="preserve">Table 2: </w:t>
      </w:r>
      <w:bookmarkStart w:id="31" w:name="tab:tabs1"/>
      <w:r>
        <w:t>Change in openness of data availability statements from preprint to published article, grouped by journal data-sharing policy.</w:t>
      </w:r>
      <w:bookmarkEnd w:id="31"/>
    </w:p>
    <w:tbl>
      <w:tblPr>
        <w:tblW w:w="0" w:type="auto"/>
        <w:jc w:val="center"/>
        <w:tblLook w:val="0420" w:firstRow="1" w:lastRow="0" w:firstColumn="0" w:lastColumn="0" w:noHBand="0" w:noVBand="1"/>
      </w:tblPr>
      <w:tblGrid>
        <w:gridCol w:w="1646"/>
        <w:gridCol w:w="2343"/>
        <w:gridCol w:w="1325"/>
        <w:gridCol w:w="1289"/>
        <w:gridCol w:w="846"/>
        <w:gridCol w:w="973"/>
        <w:gridCol w:w="938"/>
      </w:tblGrid>
      <w:tr w:rsidR="0011614C" w14:paraId="60758EC8" w14:textId="77777777">
        <w:trPr>
          <w:cantSplit/>
          <w:tblHeader/>
          <w:jc w:val="center"/>
        </w:trPr>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3" w14:textId="77777777" w:rsidR="0011614C" w:rsidRDefault="008B66BF" w:rsidP="008B66BF">
            <w:pPr>
              <w:spacing w:before="100" w:after="100"/>
              <w:ind w:left="100" w:right="100"/>
            </w:pPr>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policy</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4" w14:textId="77777777" w:rsidR="0011614C" w:rsidRDefault="008B66BF" w:rsidP="008B66BF">
            <w:pPr>
              <w:spacing w:before="100" w:after="100"/>
              <w:ind w:left="100" w:right="100"/>
              <w:jc w:val="center"/>
            </w:pPr>
            <w:r>
              <w:rPr>
                <w:rFonts w:ascii="Arial" w:eastAsia="Arial" w:hAnsi="Arial" w:cs="Arial"/>
                <w:b/>
                <w:color w:val="000000"/>
                <w:sz w:val="16"/>
                <w:szCs w:val="16"/>
              </w:rPr>
              <w:t>Preprinted records subsequently published</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0758EC5" w14:textId="77777777" w:rsidR="0011614C" w:rsidRDefault="008B66BF" w:rsidP="008B66BF">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preprinted version</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6" w14:textId="77777777" w:rsidR="0011614C" w:rsidRDefault="008B66BF" w:rsidP="008B66BF">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published version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60758EC7" w14:textId="77777777" w:rsidR="0011614C" w:rsidRDefault="008B66BF" w:rsidP="008B66BF">
            <w:pPr>
              <w:spacing w:before="100" w:after="100"/>
              <w:ind w:left="100" w:right="100"/>
              <w:jc w:val="center"/>
            </w:pPr>
            <w:r>
              <w:rPr>
                <w:rFonts w:ascii="Arial" w:eastAsia="Arial" w:hAnsi="Arial" w:cs="Arial"/>
                <w:b/>
                <w:color w:val="000000"/>
                <w:sz w:val="16"/>
                <w:szCs w:val="16"/>
              </w:rPr>
              <w:t>Change in DAS from preprint to publication</w:t>
            </w:r>
          </w:p>
        </w:tc>
      </w:tr>
      <w:tr w:rsidR="0011614C" w14:paraId="60758ED0" w14:textId="77777777">
        <w:trPr>
          <w:cantSplit/>
          <w:tblHeader/>
          <w:jc w:val="center"/>
        </w:trPr>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9" w14:textId="77777777" w:rsidR="0011614C" w:rsidRDefault="0011614C" w:rsidP="008B66BF">
            <w:pPr>
              <w:spacing w:before="100" w:after="100"/>
              <w:ind w:left="100" w:right="100"/>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A" w14:textId="77777777" w:rsidR="0011614C" w:rsidRDefault="0011614C" w:rsidP="008B66BF">
            <w:pPr>
              <w:spacing w:before="100" w:after="10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0758ECB" w14:textId="77777777" w:rsidR="0011614C" w:rsidRDefault="0011614C" w:rsidP="008B66BF">
            <w:pPr>
              <w:spacing w:before="100" w:after="100"/>
              <w:ind w:left="100" w:right="100"/>
              <w:jc w:val="center"/>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60758ECC" w14:textId="77777777" w:rsidR="0011614C" w:rsidRDefault="0011614C" w:rsidP="008B66BF">
            <w:pPr>
              <w:spacing w:before="100" w:after="10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60758ECD" w14:textId="77777777" w:rsidR="0011614C" w:rsidRDefault="008B66BF" w:rsidP="008B66BF">
            <w:pPr>
              <w:spacing w:before="100" w:after="100"/>
              <w:ind w:left="100" w:right="100"/>
              <w:jc w:val="center"/>
            </w:pPr>
            <w:r>
              <w:rPr>
                <w:rFonts w:ascii="Arial" w:eastAsia="Arial" w:hAnsi="Arial" w:cs="Arial"/>
                <w:b/>
                <w:color w:val="000000"/>
                <w:sz w:val="16"/>
                <w:szCs w:val="16"/>
              </w:rPr>
              <w:t>More open</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60758ECE" w14:textId="77777777" w:rsidR="0011614C" w:rsidRDefault="008B66BF" w:rsidP="008B66BF">
            <w:pPr>
              <w:spacing w:before="100" w:after="100"/>
              <w:ind w:left="100" w:right="100"/>
              <w:jc w:val="center"/>
            </w:pPr>
            <w:r>
              <w:rPr>
                <w:rFonts w:ascii="Arial" w:eastAsia="Arial" w:hAnsi="Arial" w:cs="Arial"/>
                <w:b/>
                <w:color w:val="000000"/>
                <w:sz w:val="16"/>
                <w:szCs w:val="16"/>
              </w:rPr>
              <w:t>More closed</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60758ECF" w14:textId="77777777" w:rsidR="0011614C" w:rsidRDefault="008B66BF" w:rsidP="008B66BF">
            <w:pPr>
              <w:spacing w:before="100" w:after="100"/>
              <w:ind w:left="100" w:right="100"/>
              <w:jc w:val="center"/>
            </w:pPr>
            <w:r>
              <w:rPr>
                <w:rFonts w:ascii="Arial" w:eastAsia="Arial" w:hAnsi="Arial" w:cs="Arial"/>
                <w:b/>
                <w:color w:val="000000"/>
                <w:sz w:val="16"/>
                <w:szCs w:val="16"/>
              </w:rPr>
              <w:t>No change</w:t>
            </w:r>
            <w:r>
              <w:rPr>
                <w:rFonts w:ascii="Arial" w:eastAsia="Arial" w:hAnsi="Arial" w:cs="Arial"/>
                <w:b/>
                <w:color w:val="000000"/>
                <w:sz w:val="16"/>
                <w:szCs w:val="16"/>
              </w:rPr>
              <w:br/>
              <w:t xml:space="preserve"> (N)</w:t>
            </w:r>
          </w:p>
        </w:tc>
      </w:tr>
      <w:tr w:rsidR="0011614C" w14:paraId="60758ED8" w14:textId="77777777">
        <w:trPr>
          <w:cantSplit/>
          <w:jc w:val="center"/>
        </w:trPr>
        <w:tc>
          <w:tcPr>
            <w:tcW w:w="0" w:type="auto"/>
            <w:tcBorders>
              <w:right w:val="dotted" w:sz="2" w:space="0" w:color="000000"/>
            </w:tcBorders>
            <w:shd w:val="clear" w:color="auto" w:fill="FFFFFF"/>
            <w:tcMar>
              <w:top w:w="0" w:type="dxa"/>
              <w:left w:w="0" w:type="dxa"/>
              <w:bottom w:w="0" w:type="dxa"/>
              <w:right w:w="0" w:type="dxa"/>
            </w:tcMar>
            <w:vAlign w:val="center"/>
          </w:tcPr>
          <w:p w14:paraId="60758ED1" w14:textId="77777777" w:rsidR="0011614C" w:rsidRDefault="008B66BF" w:rsidP="008B66BF">
            <w:pPr>
              <w:spacing w:before="100" w:after="100"/>
              <w:ind w:left="100" w:right="100"/>
            </w:pPr>
            <w:r>
              <w:rPr>
                <w:rFonts w:ascii="Arial" w:eastAsia="Arial" w:hAnsi="Arial" w:cs="Arial"/>
                <w:b/>
                <w:color w:val="000000"/>
                <w:sz w:val="16"/>
                <w:szCs w:val="16"/>
              </w:rPr>
              <w:t>Does not mandate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60758ED2" w14:textId="77777777" w:rsidR="0011614C" w:rsidRDefault="008B66BF" w:rsidP="008B66BF">
            <w:pPr>
              <w:spacing w:before="100" w:after="100"/>
              <w:ind w:left="100" w:right="100"/>
              <w:jc w:val="center"/>
            </w:pPr>
            <w:r>
              <w:rPr>
                <w:rFonts w:ascii="Arial" w:eastAsia="Arial" w:hAnsi="Arial" w:cs="Arial"/>
                <w:color w:val="000000"/>
                <w:sz w:val="16"/>
                <w:szCs w:val="16"/>
              </w:rPr>
              <w:t>94</w:t>
            </w:r>
          </w:p>
        </w:tc>
        <w:tc>
          <w:tcPr>
            <w:tcW w:w="0" w:type="auto"/>
            <w:shd w:val="clear" w:color="auto" w:fill="FFFFFF"/>
            <w:tcMar>
              <w:top w:w="0" w:type="dxa"/>
              <w:left w:w="0" w:type="dxa"/>
              <w:bottom w:w="0" w:type="dxa"/>
              <w:right w:w="0" w:type="dxa"/>
            </w:tcMar>
            <w:vAlign w:val="center"/>
          </w:tcPr>
          <w:p w14:paraId="60758ED3" w14:textId="77777777" w:rsidR="0011614C" w:rsidRDefault="008B66BF" w:rsidP="008B66BF">
            <w:pPr>
              <w:spacing w:before="100" w:after="100"/>
              <w:ind w:left="100" w:right="100"/>
              <w:jc w:val="center"/>
            </w:pPr>
            <w:r>
              <w:rPr>
                <w:rFonts w:ascii="Arial" w:eastAsia="Arial" w:hAnsi="Arial" w:cs="Arial"/>
                <w:color w:val="000000"/>
                <w:sz w:val="16"/>
                <w:szCs w:val="16"/>
              </w:rPr>
              <w:t>20.2% (19)</w:t>
            </w:r>
          </w:p>
        </w:tc>
        <w:tc>
          <w:tcPr>
            <w:tcW w:w="0" w:type="auto"/>
            <w:tcBorders>
              <w:right w:val="dotted" w:sz="2" w:space="0" w:color="000000"/>
            </w:tcBorders>
            <w:shd w:val="clear" w:color="auto" w:fill="FFFFFF"/>
            <w:tcMar>
              <w:top w:w="0" w:type="dxa"/>
              <w:left w:w="0" w:type="dxa"/>
              <w:bottom w:w="0" w:type="dxa"/>
              <w:right w:w="0" w:type="dxa"/>
            </w:tcMar>
            <w:vAlign w:val="center"/>
          </w:tcPr>
          <w:p w14:paraId="60758ED4" w14:textId="77777777" w:rsidR="0011614C" w:rsidRDefault="008B66BF" w:rsidP="008B66BF">
            <w:pPr>
              <w:spacing w:before="100" w:after="100"/>
              <w:ind w:left="100" w:right="100"/>
              <w:jc w:val="center"/>
            </w:pPr>
            <w:r>
              <w:rPr>
                <w:rFonts w:ascii="Arial" w:eastAsia="Arial" w:hAnsi="Arial" w:cs="Arial"/>
                <w:color w:val="000000"/>
                <w:sz w:val="16"/>
                <w:szCs w:val="16"/>
              </w:rPr>
              <w:t>22.3% (21)</w:t>
            </w:r>
          </w:p>
        </w:tc>
        <w:tc>
          <w:tcPr>
            <w:tcW w:w="0" w:type="auto"/>
            <w:shd w:val="clear" w:color="auto" w:fill="FFFFFF"/>
            <w:tcMar>
              <w:top w:w="0" w:type="dxa"/>
              <w:left w:w="0" w:type="dxa"/>
              <w:bottom w:w="0" w:type="dxa"/>
              <w:right w:w="0" w:type="dxa"/>
            </w:tcMar>
            <w:vAlign w:val="center"/>
          </w:tcPr>
          <w:p w14:paraId="60758ED5" w14:textId="77777777" w:rsidR="0011614C" w:rsidRDefault="008B66BF" w:rsidP="008B66BF">
            <w:pPr>
              <w:spacing w:before="100" w:after="100"/>
              <w:ind w:left="100" w:right="100"/>
              <w:jc w:val="center"/>
            </w:pPr>
            <w:r>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60758ED6" w14:textId="77777777" w:rsidR="0011614C" w:rsidRDefault="008B66BF" w:rsidP="008B66BF">
            <w:pPr>
              <w:spacing w:before="100" w:after="100"/>
              <w:ind w:left="100" w:right="100"/>
              <w:jc w:val="center"/>
            </w:pPr>
            <w:r>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60758ED7" w14:textId="77777777" w:rsidR="0011614C" w:rsidRDefault="008B66BF" w:rsidP="008B66BF">
            <w:pPr>
              <w:spacing w:before="100" w:after="100"/>
              <w:ind w:left="100" w:right="100"/>
              <w:jc w:val="center"/>
            </w:pPr>
            <w:r>
              <w:rPr>
                <w:rFonts w:ascii="Arial" w:eastAsia="Arial" w:hAnsi="Arial" w:cs="Arial"/>
                <w:color w:val="000000"/>
                <w:sz w:val="16"/>
                <w:szCs w:val="16"/>
              </w:rPr>
              <w:t>76</w:t>
            </w:r>
          </w:p>
        </w:tc>
      </w:tr>
      <w:tr w:rsidR="008B66BF" w14:paraId="60758EE0" w14:textId="77777777">
        <w:trPr>
          <w:cantSplit/>
          <w:jc w:val="center"/>
        </w:trPr>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60758ED9" w14:textId="77777777" w:rsidR="0011614C" w:rsidRDefault="008B66BF" w:rsidP="008B66BF">
            <w:pPr>
              <w:spacing w:before="100" w:after="100"/>
              <w:ind w:left="100" w:right="100"/>
            </w:pPr>
            <w:r>
              <w:rPr>
                <w:rFonts w:ascii="Arial" w:eastAsia="Arial" w:hAnsi="Arial" w:cs="Arial"/>
                <w:b/>
                <w:color w:val="000000"/>
                <w:sz w:val="16"/>
                <w:szCs w:val="16"/>
              </w:rPr>
              <w:t>Mandates open data</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60758EDA" w14:textId="77777777" w:rsidR="0011614C" w:rsidRDefault="008B66BF" w:rsidP="008B66BF">
            <w:pPr>
              <w:spacing w:before="100" w:after="100"/>
              <w:ind w:left="100" w:right="100"/>
              <w:jc w:val="center"/>
            </w:pPr>
            <w:r>
              <w:rPr>
                <w:rFonts w:ascii="Arial" w:eastAsia="Arial" w:hAnsi="Arial" w:cs="Arial"/>
                <w:color w:val="000000"/>
                <w:sz w:val="16"/>
                <w:szCs w:val="16"/>
              </w:rPr>
              <w:t>57</w:t>
            </w:r>
          </w:p>
        </w:tc>
        <w:tc>
          <w:tcPr>
            <w:tcW w:w="0" w:type="auto"/>
            <w:tcBorders>
              <w:bottom w:val="single" w:sz="16" w:space="0" w:color="666666"/>
            </w:tcBorders>
            <w:shd w:val="clear" w:color="auto" w:fill="DDDDDD"/>
            <w:tcMar>
              <w:top w:w="0" w:type="dxa"/>
              <w:left w:w="0" w:type="dxa"/>
              <w:bottom w:w="0" w:type="dxa"/>
              <w:right w:w="0" w:type="dxa"/>
            </w:tcMar>
            <w:vAlign w:val="center"/>
          </w:tcPr>
          <w:p w14:paraId="60758EDB" w14:textId="77777777" w:rsidR="0011614C" w:rsidRDefault="008B66BF" w:rsidP="008B66BF">
            <w:pPr>
              <w:spacing w:before="100" w:after="100"/>
              <w:ind w:left="100" w:right="100"/>
              <w:jc w:val="center"/>
            </w:pPr>
            <w:r>
              <w:rPr>
                <w:rFonts w:ascii="Arial" w:eastAsia="Arial" w:hAnsi="Arial" w:cs="Arial"/>
                <w:color w:val="000000"/>
                <w:sz w:val="16"/>
                <w:szCs w:val="16"/>
              </w:rPr>
              <w:t>33.3% (19)</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60758EDC" w14:textId="77777777" w:rsidR="0011614C" w:rsidRDefault="008B66BF" w:rsidP="008B66BF">
            <w:pPr>
              <w:spacing w:before="100" w:after="100"/>
              <w:ind w:left="100" w:right="100"/>
              <w:jc w:val="center"/>
            </w:pPr>
            <w:r>
              <w:rPr>
                <w:rFonts w:ascii="Arial" w:eastAsia="Arial" w:hAnsi="Arial" w:cs="Arial"/>
                <w:color w:val="000000"/>
                <w:sz w:val="16"/>
                <w:szCs w:val="16"/>
              </w:rPr>
              <w:t>61.4% (35)</w:t>
            </w:r>
          </w:p>
        </w:tc>
        <w:tc>
          <w:tcPr>
            <w:tcW w:w="0" w:type="auto"/>
            <w:tcBorders>
              <w:bottom w:val="single" w:sz="16" w:space="0" w:color="666666"/>
            </w:tcBorders>
            <w:shd w:val="clear" w:color="auto" w:fill="DDDDDD"/>
            <w:tcMar>
              <w:top w:w="0" w:type="dxa"/>
              <w:left w:w="0" w:type="dxa"/>
              <w:bottom w:w="0" w:type="dxa"/>
              <w:right w:w="0" w:type="dxa"/>
            </w:tcMar>
            <w:vAlign w:val="center"/>
          </w:tcPr>
          <w:p w14:paraId="60758EDD" w14:textId="77777777" w:rsidR="0011614C" w:rsidRDefault="008B66BF" w:rsidP="008B66BF">
            <w:pPr>
              <w:spacing w:before="100" w:after="100"/>
              <w:ind w:left="100" w:right="100"/>
              <w:jc w:val="center"/>
            </w:pPr>
            <w:r>
              <w:rPr>
                <w:rFonts w:ascii="Arial" w:eastAsia="Arial" w:hAnsi="Arial" w:cs="Arial"/>
                <w:color w:val="000000"/>
                <w:sz w:val="16"/>
                <w:szCs w:val="16"/>
              </w:rPr>
              <w:t>16</w:t>
            </w:r>
          </w:p>
        </w:tc>
        <w:tc>
          <w:tcPr>
            <w:tcW w:w="0" w:type="auto"/>
            <w:tcBorders>
              <w:bottom w:val="single" w:sz="16" w:space="0" w:color="666666"/>
            </w:tcBorders>
            <w:shd w:val="clear" w:color="auto" w:fill="DDDDDD"/>
            <w:tcMar>
              <w:top w:w="0" w:type="dxa"/>
              <w:left w:w="0" w:type="dxa"/>
              <w:bottom w:w="0" w:type="dxa"/>
              <w:right w:w="0" w:type="dxa"/>
            </w:tcMar>
            <w:vAlign w:val="center"/>
          </w:tcPr>
          <w:p w14:paraId="60758EDE" w14:textId="77777777" w:rsidR="0011614C" w:rsidRDefault="008B66BF" w:rsidP="008B66BF">
            <w:pPr>
              <w:spacing w:before="100" w:after="100"/>
              <w:ind w:left="100" w:right="100"/>
              <w:jc w:val="center"/>
            </w:pPr>
            <w:r>
              <w:rPr>
                <w:rFonts w:ascii="Arial" w:eastAsia="Arial" w:hAnsi="Arial" w:cs="Arial"/>
                <w:color w:val="000000"/>
                <w:sz w:val="16"/>
                <w:szCs w:val="16"/>
              </w:rPr>
              <w:t>0</w:t>
            </w:r>
          </w:p>
        </w:tc>
        <w:tc>
          <w:tcPr>
            <w:tcW w:w="0" w:type="auto"/>
            <w:tcBorders>
              <w:bottom w:val="single" w:sz="16" w:space="0" w:color="666666"/>
            </w:tcBorders>
            <w:shd w:val="clear" w:color="auto" w:fill="DDDDDD"/>
            <w:tcMar>
              <w:top w:w="0" w:type="dxa"/>
              <w:left w:w="0" w:type="dxa"/>
              <w:bottom w:w="0" w:type="dxa"/>
              <w:right w:w="0" w:type="dxa"/>
            </w:tcMar>
            <w:vAlign w:val="center"/>
          </w:tcPr>
          <w:p w14:paraId="60758EDF" w14:textId="77777777" w:rsidR="0011614C" w:rsidRDefault="008B66BF" w:rsidP="008B66BF">
            <w:pPr>
              <w:spacing w:before="100" w:after="100"/>
              <w:ind w:left="100" w:right="100"/>
              <w:jc w:val="center"/>
            </w:pPr>
            <w:r>
              <w:rPr>
                <w:rFonts w:ascii="Arial" w:eastAsia="Arial" w:hAnsi="Arial" w:cs="Arial"/>
                <w:color w:val="000000"/>
                <w:sz w:val="16"/>
                <w:szCs w:val="16"/>
              </w:rPr>
              <w:t>41</w:t>
            </w:r>
          </w:p>
        </w:tc>
      </w:tr>
      <w:tr w:rsidR="0011614C" w14:paraId="60758EE2" w14:textId="77777777">
        <w:trPr>
          <w:cantSplit/>
          <w:jc w:val="center"/>
        </w:trPr>
        <w:tc>
          <w:tcPr>
            <w:tcW w:w="0" w:type="auto"/>
            <w:gridSpan w:val="7"/>
            <w:tcBorders>
              <w:right w:val="dotted" w:sz="2" w:space="0" w:color="000000"/>
            </w:tcBorders>
            <w:shd w:val="clear" w:color="auto" w:fill="FFFFFF"/>
            <w:tcMar>
              <w:top w:w="0" w:type="dxa"/>
              <w:left w:w="0" w:type="dxa"/>
              <w:bottom w:w="0" w:type="dxa"/>
              <w:right w:w="0" w:type="dxa"/>
            </w:tcMar>
            <w:vAlign w:val="center"/>
          </w:tcPr>
          <w:p w14:paraId="60758EE1" w14:textId="77777777" w:rsidR="0011614C" w:rsidRDefault="008B66BF" w:rsidP="008B66BF">
            <w:pPr>
              <w:spacing w:before="100" w:after="100"/>
              <w:ind w:left="100" w:right="100"/>
            </w:pPr>
            <w:r>
              <w:rPr>
                <w:rFonts w:ascii="Arial" w:eastAsia="Arial" w:hAnsi="Arial" w:cs="Arial"/>
                <w:color w:val="000000"/>
                <w:sz w:val="16"/>
                <w:szCs w:val="16"/>
              </w:rPr>
              <w:t>DAS: Data availability statement</w:t>
            </w:r>
          </w:p>
        </w:tc>
      </w:tr>
    </w:tbl>
    <w:p w14:paraId="60758EE3" w14:textId="77777777" w:rsidR="0011614C" w:rsidRDefault="008B66BF">
      <w:pPr>
        <w:pStyle w:val="BodyText"/>
      </w:pPr>
      <w:r>
        <w:t> </w:t>
      </w:r>
    </w:p>
    <w:p w14:paraId="60758EE4" w14:textId="77777777" w:rsidR="0011614C" w:rsidRDefault="008B66BF">
      <w:pPr>
        <w:pStyle w:val="BodyText"/>
      </w:pPr>
      <w:r>
        <w:t>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14:paraId="60758EE5" w14:textId="77777777" w:rsidR="0011614C" w:rsidRDefault="008B66BF">
      <w:pPr>
        <w:pStyle w:val="BodyText"/>
      </w:pPr>
      <w:r>
        <w:t>161 (4.1%)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60758EE6" w14:textId="77777777" w:rsidR="0011614C" w:rsidRDefault="008B66BF">
      <w:r>
        <w:br w:type="page"/>
      </w:r>
    </w:p>
    <w:p w14:paraId="60758EE7" w14:textId="77777777" w:rsidR="0011614C" w:rsidRDefault="008B66BF" w:rsidP="008B66BF">
      <w:pPr>
        <w:pStyle w:val="BodyText"/>
      </w:pPr>
      <w:r>
        <w:lastRenderedPageBreak/>
        <w:t xml:space="preserve">Table 3: </w:t>
      </w:r>
      <w:bookmarkStart w:id="32" w:name="tab:tabs3"/>
      <w:r>
        <w:t>Assessment of whether researchers promising to make data available on publication actually do so, and whether this differs if researchers included a link to an embargoed repository or not.</w:t>
      </w:r>
      <w:bookmarkEnd w:id="32"/>
    </w:p>
    <w:tbl>
      <w:tblPr>
        <w:tblW w:w="0" w:type="auto"/>
        <w:jc w:val="center"/>
        <w:tblLook w:val="0420" w:firstRow="1" w:lastRow="0" w:firstColumn="0" w:lastColumn="0" w:noHBand="0" w:noVBand="1"/>
      </w:tblPr>
      <w:tblGrid>
        <w:gridCol w:w="2538"/>
        <w:gridCol w:w="1147"/>
        <w:gridCol w:w="4284"/>
        <w:gridCol w:w="1391"/>
      </w:tblGrid>
      <w:tr w:rsidR="008B66BF" w14:paraId="60758EEC" w14:textId="77777777">
        <w:trPr>
          <w:cantSplit/>
          <w:tblHeader/>
          <w:jc w:val="center"/>
        </w:trPr>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60758EE8" w14:textId="77777777" w:rsidR="0011614C" w:rsidRDefault="008B66BF" w:rsidP="008B66BF">
            <w:pPr>
              <w:spacing w:before="100" w:after="100"/>
              <w:ind w:left="100" w:right="100"/>
            </w:pPr>
            <w:r>
              <w:rPr>
                <w:rFonts w:ascii="Arial" w:eastAsia="Arial" w:hAnsi="Arial" w:cs="Arial"/>
                <w:b/>
                <w:color w:val="000000"/>
                <w:sz w:val="16"/>
                <w:szCs w:val="16"/>
              </w:rPr>
              <w:t>Preprint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60758EE9" w14:textId="77777777" w:rsidR="0011614C" w:rsidRDefault="008B66BF" w:rsidP="008B66BF">
            <w:pPr>
              <w:spacing w:before="100" w:after="100"/>
              <w:ind w:left="100" w:right="100"/>
              <w:jc w:val="center"/>
            </w:pPr>
            <w:r>
              <w:rPr>
                <w:rFonts w:ascii="Arial" w:eastAsia="Arial" w:hAnsi="Arial" w:cs="Arial"/>
                <w:b/>
                <w:color w:val="000000"/>
                <w:sz w:val="16"/>
                <w:szCs w:val="16"/>
              </w:rPr>
              <w:t>Number of preprints</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60758EEA" w14:textId="77777777" w:rsidR="0011614C" w:rsidRDefault="008B66BF" w:rsidP="008B66BF">
            <w:pPr>
              <w:spacing w:before="100" w:after="100"/>
              <w:ind w:left="100" w:right="100"/>
              <w:jc w:val="center"/>
            </w:pPr>
            <w:r>
              <w:rPr>
                <w:rFonts w:ascii="Arial" w:eastAsia="Arial" w:hAnsi="Arial" w:cs="Arial"/>
                <w:b/>
                <w:color w:val="000000"/>
                <w:sz w:val="16"/>
                <w:szCs w:val="16"/>
              </w:rPr>
              <w:t>Published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60758EEB" w14:textId="77777777" w:rsidR="0011614C" w:rsidRDefault="008B66BF" w:rsidP="008B66BF">
            <w:pPr>
              <w:spacing w:before="100" w:after="100"/>
              <w:ind w:left="100" w:right="100"/>
              <w:jc w:val="center"/>
            </w:pPr>
            <w:r>
              <w:rPr>
                <w:rFonts w:ascii="Arial" w:eastAsia="Arial" w:hAnsi="Arial" w:cs="Arial"/>
                <w:b/>
                <w:color w:val="000000"/>
                <w:sz w:val="16"/>
                <w:szCs w:val="16"/>
              </w:rPr>
              <w:t>Number of published studies</w:t>
            </w:r>
          </w:p>
        </w:tc>
      </w:tr>
      <w:tr w:rsidR="0011614C" w14:paraId="60758EF1"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60758EED" w14:textId="77777777" w:rsidR="0011614C" w:rsidRDefault="008B66BF" w:rsidP="008B66BF">
            <w:pPr>
              <w:spacing w:before="100" w:after="100"/>
              <w:ind w:left="100" w:right="100"/>
            </w:pPr>
            <w:r>
              <w:rPr>
                <w:rFonts w:ascii="Arial" w:eastAsia="Arial" w:hAnsi="Arial" w:cs="Arial"/>
                <w:b/>
                <w:color w:val="000000"/>
                <w:sz w:val="16"/>
                <w:szCs w:val="16"/>
              </w:rPr>
              <w:t>Data available in the future, with a link to an embargoed repository provided</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0758EEE" w14:textId="77777777" w:rsidR="0011614C" w:rsidRDefault="008B66BF" w:rsidP="008B66BF">
            <w:pPr>
              <w:spacing w:before="100" w:after="100"/>
              <w:ind w:left="100" w:right="100"/>
              <w:jc w:val="center"/>
            </w:pPr>
            <w:r>
              <w:rPr>
                <w:rFonts w:ascii="Arial" w:eastAsia="Arial" w:hAnsi="Arial" w:cs="Arial"/>
                <w:color w:val="000000"/>
                <w:sz w:val="16"/>
                <w:szCs w:val="16"/>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EEF" w14:textId="77777777" w:rsidR="0011614C" w:rsidRDefault="008B66BF" w:rsidP="008B66BF">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EF0" w14:textId="77777777" w:rsidR="0011614C" w:rsidRDefault="008B66BF" w:rsidP="008B66BF">
            <w:pPr>
              <w:spacing w:before="100" w:after="100"/>
              <w:ind w:left="100" w:right="100"/>
              <w:jc w:val="center"/>
            </w:pPr>
            <w:r>
              <w:rPr>
                <w:rFonts w:ascii="Arial" w:eastAsia="Arial" w:hAnsi="Arial" w:cs="Arial"/>
                <w:color w:val="000000"/>
                <w:sz w:val="16"/>
                <w:szCs w:val="16"/>
              </w:rPr>
              <w:t>1 (33.3%)</w:t>
            </w:r>
          </w:p>
        </w:tc>
      </w:tr>
      <w:tr w:rsidR="0011614C" w14:paraId="60758EF6" w14:textId="77777777">
        <w:trPr>
          <w:cantSplit/>
          <w:jc w:val="center"/>
        </w:trPr>
        <w:tc>
          <w:tcPr>
            <w:tcW w:w="0" w:type="auto"/>
            <w:vMerge/>
            <w:shd w:val="clear" w:color="auto" w:fill="FFFFFF"/>
            <w:tcMar>
              <w:top w:w="0" w:type="dxa"/>
              <w:left w:w="0" w:type="dxa"/>
              <w:bottom w:w="0" w:type="dxa"/>
              <w:right w:w="0" w:type="dxa"/>
            </w:tcMar>
            <w:vAlign w:val="center"/>
          </w:tcPr>
          <w:p w14:paraId="60758EF2" w14:textId="77777777" w:rsidR="0011614C" w:rsidRDefault="0011614C" w:rsidP="008B66BF">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60758EF3" w14:textId="77777777" w:rsidR="0011614C" w:rsidRDefault="0011614C" w:rsidP="008B66BF">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60758EF4" w14:textId="77777777" w:rsidR="0011614C" w:rsidRDefault="008B66BF" w:rsidP="008B66BF">
            <w:pPr>
              <w:spacing w:before="100" w:after="100"/>
              <w:ind w:left="100" w:right="100"/>
            </w:pPr>
            <w:r>
              <w:rPr>
                <w:rFonts w:ascii="Arial" w:eastAsia="Arial" w:hAnsi="Arial" w:cs="Arial"/>
                <w:color w:val="000000"/>
                <w:sz w:val="16"/>
                <w:szCs w:val="16"/>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EF5" w14:textId="77777777" w:rsidR="0011614C" w:rsidRDefault="008B66BF" w:rsidP="008B66BF">
            <w:pPr>
              <w:spacing w:before="100" w:after="100"/>
              <w:ind w:left="100" w:right="100"/>
              <w:jc w:val="center"/>
            </w:pPr>
            <w:r>
              <w:rPr>
                <w:rFonts w:ascii="Arial" w:eastAsia="Arial" w:hAnsi="Arial" w:cs="Arial"/>
                <w:color w:val="000000"/>
                <w:sz w:val="16"/>
                <w:szCs w:val="16"/>
              </w:rPr>
              <w:t>1 (33.3%)</w:t>
            </w:r>
          </w:p>
        </w:tc>
      </w:tr>
      <w:tr w:rsidR="0011614C" w14:paraId="60758EFB"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60758EF7" w14:textId="77777777" w:rsidR="0011614C" w:rsidRDefault="0011614C" w:rsidP="008B66BF">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0758EF8" w14:textId="77777777" w:rsidR="0011614C" w:rsidRDefault="0011614C" w:rsidP="008B66BF">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60758EF9" w14:textId="77777777" w:rsidR="0011614C" w:rsidRDefault="008B66BF" w:rsidP="008B66BF">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60758EFA" w14:textId="77777777" w:rsidR="0011614C" w:rsidRDefault="008B66BF" w:rsidP="008B66BF">
            <w:pPr>
              <w:spacing w:before="100" w:after="100"/>
              <w:ind w:left="100" w:right="100"/>
              <w:jc w:val="center"/>
            </w:pPr>
            <w:r>
              <w:rPr>
                <w:rFonts w:ascii="Arial" w:eastAsia="Arial" w:hAnsi="Arial" w:cs="Arial"/>
                <w:color w:val="000000"/>
                <w:sz w:val="16"/>
                <w:szCs w:val="16"/>
              </w:rPr>
              <w:t>1 (33.3%)</w:t>
            </w:r>
          </w:p>
        </w:tc>
      </w:tr>
      <w:tr w:rsidR="0011614C" w14:paraId="60758F00"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60758EFC" w14:textId="77777777" w:rsidR="0011614C" w:rsidRDefault="008B66BF" w:rsidP="008B66BF">
            <w:pPr>
              <w:spacing w:before="100" w:after="100"/>
              <w:ind w:left="100" w:right="100"/>
            </w:pPr>
            <w:r>
              <w:rPr>
                <w:rFonts w:ascii="Arial" w:eastAsia="Arial" w:hAnsi="Arial" w:cs="Arial"/>
                <w:b/>
                <w:color w:val="000000"/>
                <w:sz w:val="16"/>
                <w:szCs w:val="16"/>
              </w:rPr>
              <w:t>Data available in the future, with no details of embargoed repository given</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0758EFD" w14:textId="77777777" w:rsidR="0011614C" w:rsidRDefault="008B66BF" w:rsidP="008B66BF">
            <w:pPr>
              <w:spacing w:before="100" w:after="100"/>
              <w:ind w:left="100" w:right="100"/>
              <w:jc w:val="center"/>
            </w:pPr>
            <w:r>
              <w:rPr>
                <w:rFonts w:ascii="Arial" w:eastAsia="Arial" w:hAnsi="Arial" w:cs="Arial"/>
                <w:color w:val="000000"/>
                <w:sz w:val="16"/>
                <w:szCs w:val="16"/>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EFE" w14:textId="77777777" w:rsidR="0011614C" w:rsidRDefault="008B66BF" w:rsidP="008B66BF">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EFF" w14:textId="77777777" w:rsidR="0011614C" w:rsidRDefault="008B66BF" w:rsidP="008B66BF">
            <w:pPr>
              <w:spacing w:before="100" w:after="100"/>
              <w:ind w:left="100" w:right="100"/>
              <w:jc w:val="center"/>
            </w:pPr>
            <w:r>
              <w:rPr>
                <w:rFonts w:ascii="Arial" w:eastAsia="Arial" w:hAnsi="Arial" w:cs="Arial"/>
                <w:color w:val="000000"/>
                <w:sz w:val="16"/>
                <w:szCs w:val="16"/>
              </w:rPr>
              <w:t>1 (14.3%)</w:t>
            </w:r>
          </w:p>
        </w:tc>
      </w:tr>
      <w:tr w:rsidR="0011614C" w14:paraId="60758F05" w14:textId="77777777">
        <w:trPr>
          <w:cantSplit/>
          <w:jc w:val="center"/>
        </w:trPr>
        <w:tc>
          <w:tcPr>
            <w:tcW w:w="0" w:type="auto"/>
            <w:vMerge/>
            <w:shd w:val="clear" w:color="auto" w:fill="FFFFFF"/>
            <w:tcMar>
              <w:top w:w="0" w:type="dxa"/>
              <w:left w:w="0" w:type="dxa"/>
              <w:bottom w:w="0" w:type="dxa"/>
              <w:right w:w="0" w:type="dxa"/>
            </w:tcMar>
            <w:vAlign w:val="center"/>
          </w:tcPr>
          <w:p w14:paraId="60758F01" w14:textId="77777777" w:rsidR="0011614C" w:rsidRDefault="0011614C" w:rsidP="008B66BF">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60758F02" w14:textId="77777777" w:rsidR="0011614C" w:rsidRDefault="0011614C" w:rsidP="008B66BF">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60758F03" w14:textId="77777777" w:rsidR="0011614C" w:rsidRDefault="008B66BF" w:rsidP="008B66BF">
            <w:pPr>
              <w:spacing w:before="100" w:after="100"/>
              <w:ind w:left="100" w:right="100"/>
            </w:pPr>
            <w:r>
              <w:rPr>
                <w:rFonts w:ascii="Arial" w:eastAsia="Arial" w:hAnsi="Arial" w:cs="Arial"/>
                <w:color w:val="000000"/>
                <w:sz w:val="16"/>
                <w:szCs w:val="16"/>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F04" w14:textId="77777777" w:rsidR="0011614C" w:rsidRDefault="008B66BF" w:rsidP="008B66BF">
            <w:pPr>
              <w:spacing w:before="100" w:after="100"/>
              <w:ind w:left="100" w:right="100"/>
              <w:jc w:val="center"/>
            </w:pPr>
            <w:r>
              <w:rPr>
                <w:rFonts w:ascii="Arial" w:eastAsia="Arial" w:hAnsi="Arial" w:cs="Arial"/>
                <w:color w:val="000000"/>
                <w:sz w:val="16"/>
                <w:szCs w:val="16"/>
              </w:rPr>
              <w:t>1 (14.3%)</w:t>
            </w:r>
          </w:p>
        </w:tc>
      </w:tr>
      <w:tr w:rsidR="0011614C" w14:paraId="60758F0A" w14:textId="77777777">
        <w:trPr>
          <w:cantSplit/>
          <w:jc w:val="center"/>
        </w:trPr>
        <w:tc>
          <w:tcPr>
            <w:tcW w:w="0" w:type="auto"/>
            <w:vMerge/>
            <w:shd w:val="clear" w:color="auto" w:fill="FFFFFF"/>
            <w:tcMar>
              <w:top w:w="0" w:type="dxa"/>
              <w:left w:w="0" w:type="dxa"/>
              <w:bottom w:w="0" w:type="dxa"/>
              <w:right w:w="0" w:type="dxa"/>
            </w:tcMar>
            <w:vAlign w:val="center"/>
          </w:tcPr>
          <w:p w14:paraId="60758F06" w14:textId="77777777" w:rsidR="0011614C" w:rsidRDefault="0011614C" w:rsidP="008B66BF">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60758F07" w14:textId="77777777" w:rsidR="0011614C" w:rsidRDefault="0011614C" w:rsidP="008B66BF">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60758F08" w14:textId="77777777" w:rsidR="0011614C" w:rsidRDefault="008B66BF" w:rsidP="008B66BF">
            <w:pPr>
              <w:spacing w:before="100" w:after="100"/>
              <w:ind w:left="100" w:right="100"/>
            </w:pPr>
            <w:r>
              <w:rPr>
                <w:rFonts w:ascii="Arial" w:eastAsia="Arial" w:hAnsi="Arial" w:cs="Arial"/>
                <w:color w:val="000000"/>
                <w:sz w:val="16"/>
                <w:szCs w:val="16"/>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60758F09" w14:textId="77777777" w:rsidR="0011614C" w:rsidRDefault="008B66BF" w:rsidP="008B66BF">
            <w:pPr>
              <w:spacing w:before="100" w:after="100"/>
              <w:ind w:left="100" w:right="100"/>
              <w:jc w:val="center"/>
            </w:pPr>
            <w:r>
              <w:rPr>
                <w:rFonts w:ascii="Arial" w:eastAsia="Arial" w:hAnsi="Arial" w:cs="Arial"/>
                <w:color w:val="000000"/>
                <w:sz w:val="16"/>
                <w:szCs w:val="16"/>
              </w:rPr>
              <w:t>1 (14.3%)</w:t>
            </w:r>
          </w:p>
        </w:tc>
      </w:tr>
      <w:tr w:rsidR="0011614C" w14:paraId="60758F0F"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60758F0B" w14:textId="77777777" w:rsidR="0011614C" w:rsidRDefault="0011614C" w:rsidP="008B66BF">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0758F0C" w14:textId="77777777" w:rsidR="0011614C" w:rsidRDefault="0011614C" w:rsidP="008B66BF">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60758F0D" w14:textId="77777777" w:rsidR="0011614C" w:rsidRDefault="008B66BF" w:rsidP="008B66BF">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60758F0E" w14:textId="77777777" w:rsidR="0011614C" w:rsidRDefault="008B66BF" w:rsidP="008B66BF">
            <w:pPr>
              <w:spacing w:before="100" w:after="100"/>
              <w:ind w:left="100" w:right="100"/>
              <w:jc w:val="center"/>
            </w:pPr>
            <w:r>
              <w:rPr>
                <w:rFonts w:ascii="Arial" w:eastAsia="Arial" w:hAnsi="Arial" w:cs="Arial"/>
                <w:color w:val="000000"/>
                <w:sz w:val="16"/>
                <w:szCs w:val="16"/>
              </w:rPr>
              <w:t>4 (57.1%)</w:t>
            </w:r>
          </w:p>
        </w:tc>
      </w:tr>
    </w:tbl>
    <w:p w14:paraId="60758F10" w14:textId="77777777" w:rsidR="0011614C" w:rsidRDefault="008B66BF">
      <w:pPr>
        <w:pStyle w:val="BodyText"/>
      </w:pPr>
      <w:r>
        <w:t> </w:t>
      </w:r>
    </w:p>
    <w:p w14:paraId="60758F11" w14:textId="77777777" w:rsidR="0011614C" w:rsidRDefault="008B66BF">
      <w:pPr>
        <w:pStyle w:val="BodyText"/>
      </w:pPr>
      <w:r>
        <w:t>Of the 400 records for which code availability was assessed, 75 mentioned code availability in the preprinted full-text manuscript. However, only 22 (29.3%) of these also described code availability in the corresponding data availability statement (Supplementary Table 4).</w:t>
      </w:r>
    </w:p>
    <w:p w14:paraId="60758F12" w14:textId="77777777" w:rsidR="0011614C" w:rsidRDefault="008B66BF">
      <w:pPr>
        <w:pStyle w:val="BodyText"/>
      </w:pPr>
      <w:r>
        <w:t> </w:t>
      </w:r>
    </w:p>
    <w:p w14:paraId="60758F13" w14:textId="77777777" w:rsidR="0011614C" w:rsidRDefault="008B66BF">
      <w:r>
        <w:br w:type="page"/>
      </w:r>
    </w:p>
    <w:p w14:paraId="60758F14" w14:textId="77777777" w:rsidR="0011614C" w:rsidRDefault="008B66BF">
      <w:pPr>
        <w:pStyle w:val="Heading1"/>
      </w:pPr>
      <w:bookmarkStart w:id="33" w:name="discussion"/>
      <w:bookmarkEnd w:id="29"/>
      <w:r>
        <w:lastRenderedPageBreak/>
        <w:t>Discussion</w:t>
      </w:r>
    </w:p>
    <w:p w14:paraId="60758F15" w14:textId="77777777" w:rsidR="0011614C" w:rsidRDefault="008B66BF">
      <w:pPr>
        <w:pStyle w:val="Heading2"/>
      </w:pPr>
      <w:bookmarkStart w:id="34" w:name="X7609904de97a4feb881e1da780208c554b951d7"/>
      <w:r>
        <w:t>Principal findings and comparison with other studies</w:t>
      </w:r>
    </w:p>
    <w:p w14:paraId="60758F16" w14:textId="77777777" w:rsidR="0011614C" w:rsidRDefault="008B66BF">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60758F17" w14:textId="77777777" w:rsidR="0011614C" w:rsidRDefault="008B66BF">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60758F18" w14:textId="77777777" w:rsidR="0011614C" w:rsidRDefault="008B66BF">
      <w:pPr>
        <w:pStyle w:val="BodyText"/>
      </w:pPr>
      <w:r>
        <w:t>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60758F19" w14:textId="77777777" w:rsidR="0011614C" w:rsidRDefault="008B66BF">
      <w:pPr>
        <w:pStyle w:val="BodyText"/>
      </w:pPr>
      <w:r>
        <w:t>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60758F1A" w14:textId="77777777" w:rsidR="0011614C" w:rsidRDefault="008B66BF">
      <w:pPr>
        <w:pStyle w:val="Heading2"/>
      </w:pPr>
      <w:bookmarkStart w:id="35" w:name="strengths-and-limitations"/>
      <w:bookmarkEnd w:id="34"/>
      <w:r>
        <w:t>Strengths and limitations</w:t>
      </w:r>
    </w:p>
    <w:p w14:paraId="60758F1B" w14:textId="77777777" w:rsidR="0011614C" w:rsidRDefault="008B66BF">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w:t>
      </w:r>
      <w:r>
        <w:lastRenderedPageBreak/>
        <w:t>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60758F1C" w14:textId="77777777" w:rsidR="0011614C" w:rsidRDefault="008B66BF">
      <w:pPr>
        <w:pStyle w:val="BodyText"/>
      </w:pPr>
      <w:r>
        <w:t>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further consideration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60758F1D" w14:textId="77777777" w:rsidR="0011614C" w:rsidRDefault="008B66BF">
      <w:pPr>
        <w:pStyle w:val="BodyText"/>
      </w:pPr>
      <w:r>
        <w:t> </w:t>
      </w:r>
    </w:p>
    <w:p w14:paraId="60758F1E" w14:textId="77777777" w:rsidR="0011614C" w:rsidRDefault="008B66BF">
      <w:pPr>
        <w:pStyle w:val="Heading2"/>
      </w:pPr>
      <w:bookmarkStart w:id="36" w:name="implications-for-policy"/>
      <w:bookmarkEnd w:id="35"/>
      <w:r>
        <w:t>Implications for policy</w:t>
      </w:r>
    </w:p>
    <w:p w14:paraId="60758F1F" w14:textId="77777777" w:rsidR="0011614C" w:rsidRDefault="008B66BF">
      <w:pPr>
        <w:pStyle w:val="FirstParagraph"/>
      </w:pPr>
      <w:moveToRangeStart w:id="37" w:author="Author" w:date="2021-03-30T15:32:00Z" w:name="move68010757"/>
      <w:moveTo w:id="38" w:author="Author" w:date="2021-03-30T15:32:00Z">
        <w:r>
          <w:t xml:space="preserve">Data availability statements are an important tool in the fight to make studies more reproducible. However, without critical review of these statements in line with strict data-sharing policies, authors default to not sharing their data or making it “available on request”. </w:t>
        </w:r>
      </w:moveTo>
      <w:moveToRangeEnd w:id="37"/>
      <w:r>
        <w:t>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60758F20" w14:textId="77777777" w:rsidR="0011614C" w:rsidRDefault="008B66BF">
      <w:pPr>
        <w:pStyle w:val="BodyText"/>
      </w:pPr>
      <w:r>
        <w:t>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14:paraId="51F012F6" w14:textId="77777777" w:rsidR="0011614C" w:rsidRDefault="008B66BF">
      <w:pPr>
        <w:pStyle w:val="BodyText"/>
        <w:rPr>
          <w:moveFrom w:id="39" w:author="Author" w:date="2021-03-30T15:32:00Z"/>
        </w:rPr>
      </w:pPr>
      <w:moveFromRangeStart w:id="40" w:author="Author" w:date="2021-03-30T15:32:00Z" w:name="move68010758"/>
      <w:moveFrom w:id="41" w:author="Author" w:date="2021-03-30T15:32:00Z">
        <w:r>
          <w:t> </w:t>
        </w:r>
      </w:moveFrom>
    </w:p>
    <w:p w14:paraId="02144003" w14:textId="77777777" w:rsidR="0011614C" w:rsidRDefault="008B66BF">
      <w:pPr>
        <w:pStyle w:val="Heading2"/>
        <w:rPr>
          <w:moveFrom w:id="42" w:author="Author" w:date="2021-03-30T15:32:00Z"/>
        </w:rPr>
      </w:pPr>
      <w:moveFrom w:id="43" w:author="Author" w:date="2021-03-30T15:32:00Z">
        <w:r>
          <w:lastRenderedPageBreak/>
          <w:t>Conclusion</w:t>
        </w:r>
      </w:moveFrom>
    </w:p>
    <w:p w14:paraId="3704423D" w14:textId="77777777" w:rsidR="00EB1346" w:rsidRDefault="008B66BF">
      <w:pPr>
        <w:pStyle w:val="FirstParagraph"/>
        <w:rPr>
          <w:del w:id="44" w:author="Author" w:date="2021-03-30T15:32:00Z"/>
        </w:rPr>
      </w:pPr>
      <w:moveFromRangeStart w:id="45" w:author="Author" w:date="2021-03-30T15:32:00Z" w:name="move68010757"/>
      <w:moveFromRangeEnd w:id="40"/>
      <w:moveFrom w:id="46" w:author="Author" w:date="2021-03-30T15:32:00Z">
        <w:r>
          <w:t xml:space="preserve">Data availability statements are an important tool in the fight to make studies more reproducible. However, without critical review of these statements in line with strict data-sharing policies, authors default to not sharing their data or making it “available on request”. </w:t>
        </w:r>
      </w:moveFrom>
      <w:moveFromRangeEnd w:id="45"/>
      <w:del w:id="47" w:author="Author" w:date="2021-03-30T15:32:00Z">
        <w:r w:rsidR="00E124B6">
          <w:delText>As such, we would strongly encourage all journals to reassess whether their data sharing policies are sufficiently stringent and consistently enforced.</w:delText>
        </w:r>
      </w:del>
    </w:p>
    <w:p w14:paraId="60758F21" w14:textId="4B9EE05C" w:rsidR="0011614C" w:rsidRDefault="008B66BF">
      <w:pPr>
        <w:pStyle w:val="BodyText"/>
      </w:pPr>
      <w:r>
        <w:t>However, while this study focuses primarily on the role of journals, some responsibility for enacting change rests with the research community at large. If researchers regularly shared our data, strict journal data</w:t>
      </w:r>
      <w:del w:id="48" w:author="Author" w:date="2021-03-30T15:32:00Z">
        <w:r w:rsidR="00E124B6">
          <w:delText xml:space="preserve"> </w:delText>
        </w:r>
      </w:del>
      <w:ins w:id="49" w:author="Author" w:date="2021-03-30T15:32:00Z">
        <w:r>
          <w:t>-</w:t>
        </w:r>
      </w:ins>
      <w:r>
        <w:t>sharing policies would not be needed. As such, we would encourage authors to consider sharing the data underlying future publications, regardless of whether the journal actually mandates it.</w:t>
      </w:r>
    </w:p>
    <w:p w14:paraId="60758F22" w14:textId="77777777" w:rsidR="0011614C" w:rsidRDefault="008B66BF">
      <w:pPr>
        <w:pStyle w:val="BodyText"/>
        <w:rPr>
          <w:moveTo w:id="50" w:author="Author" w:date="2021-03-30T15:32:00Z"/>
        </w:rPr>
      </w:pPr>
      <w:moveToRangeStart w:id="51" w:author="Author" w:date="2021-03-30T15:32:00Z" w:name="move68010758"/>
      <w:moveTo w:id="52" w:author="Author" w:date="2021-03-30T15:32:00Z">
        <w:r>
          <w:t> </w:t>
        </w:r>
      </w:moveTo>
    </w:p>
    <w:p w14:paraId="60758F23" w14:textId="77777777" w:rsidR="0011614C" w:rsidRDefault="008B66BF">
      <w:pPr>
        <w:pStyle w:val="Heading2"/>
        <w:rPr>
          <w:moveTo w:id="53" w:author="Author" w:date="2021-03-30T15:32:00Z"/>
        </w:rPr>
      </w:pPr>
      <w:bookmarkStart w:id="54" w:name="conclusion"/>
      <w:bookmarkEnd w:id="36"/>
      <w:moveTo w:id="55" w:author="Author" w:date="2021-03-30T15:32:00Z">
        <w:r>
          <w:t>Conclusion</w:t>
        </w:r>
      </w:moveTo>
    </w:p>
    <w:moveToRangeEnd w:id="51"/>
    <w:p w14:paraId="60758F24" w14:textId="77777777" w:rsidR="0011614C" w:rsidRDefault="008B66BF">
      <w:pPr>
        <w:pStyle w:val="FirstParagraph"/>
        <w:rPr>
          <w:ins w:id="56" w:author="Author" w:date="2021-03-30T15:32:00Z"/>
        </w:rPr>
      </w:pPr>
      <w:ins w:id="57" w:author="Author" w:date="2021-03-30T15:32:00Z">
        <w:r>
          <w:t>Requiring that authors submit a data availability statement is a good first step, but is insufficient to ensure data availability, as our work shows that authors most commonly use them to state that data is only available on request. However, strict editorial policies that mandate data sharing (where appropriate) as a condition of publication appear to be effective in making research data available. In addition to introduction of a dedicated code availability statement, a move towards mandated data sharing will help to ensure that future research is readily reproducible. We would strongly encourage all journal editors to examine whether their data availability policies are sufficiently stringent and consistently enforced.</w:t>
        </w:r>
      </w:ins>
    </w:p>
    <w:p w14:paraId="60758F25" w14:textId="77777777" w:rsidR="0011614C" w:rsidRDefault="008B66BF">
      <w:r>
        <w:br w:type="page"/>
      </w:r>
    </w:p>
    <w:p w14:paraId="60758F26" w14:textId="77777777" w:rsidR="0011614C" w:rsidRDefault="008B66BF">
      <w:pPr>
        <w:pStyle w:val="Heading1"/>
      </w:pPr>
      <w:bookmarkStart w:id="58" w:name="highlights"/>
      <w:bookmarkEnd w:id="33"/>
      <w:bookmarkEnd w:id="54"/>
      <w:r>
        <w:lastRenderedPageBreak/>
        <w:t>Highlights</w:t>
      </w:r>
    </w:p>
    <w:p w14:paraId="60758F27" w14:textId="77777777" w:rsidR="0011614C" w:rsidRDefault="008B66BF">
      <w:pPr>
        <w:pStyle w:val="Heading2"/>
      </w:pPr>
      <w:bookmarkStart w:id="59" w:name="what-is-already-known-on-this-topic"/>
      <w:r>
        <w:t>What is already known on this topic</w:t>
      </w:r>
    </w:p>
    <w:p w14:paraId="60758F28" w14:textId="77777777" w:rsidR="0011614C" w:rsidRDefault="008B66BF">
      <w:pPr>
        <w:numPr>
          <w:ilvl w:val="0"/>
          <w:numId w:val="27"/>
        </w:numPr>
      </w:pPr>
      <w:r>
        <w:t>Data sharing is increasingly seen as a core component of good research practice.</w:t>
      </w:r>
    </w:p>
    <w:p w14:paraId="60758F29" w14:textId="77777777" w:rsidR="0011614C" w:rsidRDefault="008B66BF">
      <w:pPr>
        <w:numPr>
          <w:ilvl w:val="0"/>
          <w:numId w:val="27"/>
        </w:numPr>
      </w:pPr>
      <w:r>
        <w:t>Data availability statements are completed by researchers when mandated, but by themselves, do not encourage researchers to make their data publicly available.</w:t>
      </w:r>
    </w:p>
    <w:p w14:paraId="60758F2A" w14:textId="77777777" w:rsidR="0011614C" w:rsidRDefault="008B66BF">
      <w:pPr>
        <w:pStyle w:val="Heading2"/>
      </w:pPr>
      <w:bookmarkStart w:id="60" w:name="what-this-study-adds"/>
      <w:bookmarkEnd w:id="59"/>
      <w:r>
        <w:t>What this study adds</w:t>
      </w:r>
    </w:p>
    <w:p w14:paraId="60758F2B" w14:textId="77777777" w:rsidR="0011614C" w:rsidRDefault="008B66BF">
      <w:pPr>
        <w:numPr>
          <w:ilvl w:val="0"/>
          <w:numId w:val="28"/>
        </w:numPr>
      </w:pPr>
      <w:r>
        <w:t>Similar to published articles, preprinted data availability statements most commonly claim to make data “available on request”.</w:t>
      </w:r>
    </w:p>
    <w:p w14:paraId="60758F2C" w14:textId="77777777" w:rsidR="0011614C" w:rsidRDefault="008B66BF">
      <w:pPr>
        <w:numPr>
          <w:ilvl w:val="0"/>
          <w:numId w:val="28"/>
        </w:numPr>
      </w:pPr>
      <w:r>
        <w:t>Strict editorial policies that mandate data sharing (where appropriate) as a condition of publication appear to be effective in making research data available.</w:t>
      </w:r>
    </w:p>
    <w:p w14:paraId="60758F2D" w14:textId="77777777" w:rsidR="0011614C" w:rsidRDefault="008B66BF">
      <w:r>
        <w:br w:type="page"/>
      </w:r>
    </w:p>
    <w:p w14:paraId="60758F2E" w14:textId="77777777" w:rsidR="0011614C" w:rsidRDefault="008B66BF">
      <w:pPr>
        <w:pStyle w:val="Heading1"/>
      </w:pPr>
      <w:bookmarkStart w:id="61" w:name="back-matter"/>
      <w:bookmarkEnd w:id="58"/>
      <w:bookmarkEnd w:id="60"/>
      <w:r>
        <w:lastRenderedPageBreak/>
        <w:t>Back Matter</w:t>
      </w:r>
    </w:p>
    <w:p w14:paraId="60758F2F" w14:textId="77777777" w:rsidR="0011614C" w:rsidRDefault="008B66BF">
      <w:pPr>
        <w:pStyle w:val="Heading2"/>
      </w:pPr>
      <w:bookmarkStart w:id="62" w:name="material-available-statement"/>
      <w:r>
        <w:t>Material available statement</w:t>
      </w:r>
    </w:p>
    <w:p w14:paraId="60758F30" w14:textId="77777777" w:rsidR="0011614C" w:rsidRDefault="008B66BF">
      <w:pPr>
        <w:pStyle w:val="FirstParagraph"/>
      </w:pPr>
      <w:r>
        <w:t xml:space="preserve">All materials (data, code and supporting information) are available on request (or alternatively can be found at </w:t>
      </w:r>
      <w:hyperlink r:id="rId9">
        <w:r>
          <w:rPr>
            <w:rStyle w:val="Hyperlink"/>
          </w:rPr>
          <w:t>https://github.com/mcguinlu/data-availability-impact</w:t>
        </w:r>
      </w:hyperlink>
      <w:r>
        <w:t>, archived at time of submission on Zenodo (DOI: 10.5281/zenodo.3968301)).</w:t>
      </w:r>
    </w:p>
    <w:p w14:paraId="60758F31" w14:textId="77777777" w:rsidR="0011614C" w:rsidRDefault="008B66BF">
      <w:pPr>
        <w:pStyle w:val="Heading2"/>
      </w:pPr>
      <w:bookmarkStart w:id="63" w:name="contributorship-statement"/>
      <w:bookmarkEnd w:id="62"/>
      <w:r>
        <w:t>Contributorship statement</w:t>
      </w:r>
    </w:p>
    <w:p w14:paraId="60758F32" w14:textId="77777777" w:rsidR="0011614C" w:rsidRDefault="008B66BF">
      <w:pPr>
        <w:pStyle w:val="FirstParagraph"/>
      </w:pPr>
      <w:r>
        <w:rPr>
          <w:b/>
          <w:bCs/>
        </w:rPr>
        <w:t>CRediT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60758F33" w14:textId="77777777" w:rsidR="0011614C" w:rsidRDefault="008B66BF">
      <w:pPr>
        <w:pStyle w:val="Heading2"/>
      </w:pPr>
      <w:bookmarkStart w:id="64" w:name="transparency-statement"/>
      <w:bookmarkEnd w:id="63"/>
      <w:r>
        <w:t>Transparency statement</w:t>
      </w:r>
    </w:p>
    <w:p w14:paraId="60758F34" w14:textId="77777777" w:rsidR="0011614C" w:rsidRDefault="008B66BF">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60758F35" w14:textId="77777777" w:rsidR="0011614C" w:rsidRDefault="008B66BF">
      <w:pPr>
        <w:pStyle w:val="Heading2"/>
      </w:pPr>
      <w:bookmarkStart w:id="65" w:name="acknowledgements"/>
      <w:bookmarkEnd w:id="64"/>
      <w:r>
        <w:t>Acknowledgements</w:t>
      </w:r>
    </w:p>
    <w:p w14:paraId="60758F36" w14:textId="77777777" w:rsidR="0011614C" w:rsidRDefault="008B66BF">
      <w:pPr>
        <w:pStyle w:val="FirstParagraph"/>
      </w:pPr>
      <w:r>
        <w:t>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14:paraId="60758F37" w14:textId="77777777" w:rsidR="0011614C" w:rsidRDefault="008B66BF">
      <w:pPr>
        <w:pStyle w:val="Heading2"/>
      </w:pPr>
      <w:bookmarkStart w:id="66" w:name="role-of-funders"/>
      <w:bookmarkEnd w:id="65"/>
      <w:r>
        <w:t>Role of funders</w:t>
      </w:r>
    </w:p>
    <w:p w14:paraId="60758F38" w14:textId="77777777" w:rsidR="0011614C" w:rsidRDefault="008B66BF">
      <w:pPr>
        <w:pStyle w:val="FirstParagraph"/>
      </w:pPr>
      <w:r>
        <w:t xml:space="preserve">LAM is supported by an National Institute for Health Research (NIHR; </w:t>
      </w:r>
      <w:hyperlink r:id="rId10">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60758F39" w14:textId="77777777" w:rsidR="0011614C" w:rsidRDefault="008B66BF">
      <w:pPr>
        <w:pStyle w:val="Heading2"/>
      </w:pPr>
      <w:bookmarkStart w:id="67" w:name="competing-interest-statement"/>
      <w:bookmarkEnd w:id="66"/>
      <w:r>
        <w:t>Competing interest statement</w:t>
      </w:r>
    </w:p>
    <w:p w14:paraId="60758F3A" w14:textId="77777777" w:rsidR="0011614C" w:rsidRDefault="008B66BF">
      <w:pPr>
        <w:pStyle w:val="FirstParagraph"/>
      </w:pPr>
      <w:r>
        <w:t>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14:paraId="60758F3B" w14:textId="77777777" w:rsidR="0011614C" w:rsidRDefault="008B66BF">
      <w:r>
        <w:br w:type="page"/>
      </w:r>
    </w:p>
    <w:p w14:paraId="60758F3C" w14:textId="77777777" w:rsidR="0011614C" w:rsidRDefault="008B66BF">
      <w:pPr>
        <w:pStyle w:val="Heading1"/>
      </w:pPr>
      <w:bookmarkStart w:id="68" w:name="references"/>
      <w:bookmarkEnd w:id="61"/>
      <w:bookmarkEnd w:id="67"/>
      <w:r>
        <w:lastRenderedPageBreak/>
        <w:t>References</w:t>
      </w:r>
    </w:p>
    <w:p w14:paraId="60758F3D" w14:textId="77777777" w:rsidR="0011614C" w:rsidRDefault="008B66BF">
      <w:pPr>
        <w:pStyle w:val="Bibliography"/>
      </w:pPr>
      <w:bookmarkStart w:id="69" w:name="ref-packer2018"/>
      <w:bookmarkStart w:id="70" w:name="refs"/>
      <w:r>
        <w:t xml:space="preserve">1 </w:t>
      </w:r>
      <w:r>
        <w:tab/>
        <w:t xml:space="preserve">Packer M. Data sharing in medical research. </w:t>
      </w:r>
      <w:r>
        <w:rPr>
          <w:i/>
          <w:iCs/>
        </w:rPr>
        <w:t>BMJ</w:t>
      </w:r>
      <w:r>
        <w:t xml:space="preserve"> 2018;k510. doi:</w:t>
      </w:r>
      <w:hyperlink r:id="rId11">
        <w:r>
          <w:rPr>
            <w:rStyle w:val="Hyperlink"/>
          </w:rPr>
          <w:t>10.1136/bmj.k510</w:t>
        </w:r>
      </w:hyperlink>
    </w:p>
    <w:p w14:paraId="60758F3E" w14:textId="77777777" w:rsidR="0011614C" w:rsidRDefault="008B66BF">
      <w:pPr>
        <w:pStyle w:val="Bibliography"/>
      </w:pPr>
      <w:bookmarkStart w:id="71" w:name="ref-taichman2016"/>
      <w:bookmarkEnd w:id="69"/>
      <w:r>
        <w:t xml:space="preserve">2 </w:t>
      </w:r>
      <w:r>
        <w:tab/>
      </w:r>
      <w:proofErr w:type="spellStart"/>
      <w:r>
        <w:t>Taichman</w:t>
      </w:r>
      <w:proofErr w:type="spellEnd"/>
      <w:r>
        <w:t xml:space="preserve"> DB, Backus J, </w:t>
      </w:r>
      <w:proofErr w:type="spellStart"/>
      <w:r>
        <w:t>Baethge</w:t>
      </w:r>
      <w:proofErr w:type="spellEnd"/>
      <w:r>
        <w:t xml:space="preserve"> C, </w:t>
      </w:r>
      <w:r>
        <w:rPr>
          <w:i/>
          <w:iCs/>
        </w:rPr>
        <w:t>et al.</w:t>
      </w:r>
      <w:r>
        <w:t xml:space="preserve"> Sharing clinical trial data. </w:t>
      </w:r>
      <w:r>
        <w:rPr>
          <w:i/>
          <w:iCs/>
        </w:rPr>
        <w:t>BMJ</w:t>
      </w:r>
      <w:r>
        <w:t xml:space="preserve"> 2016;i255. doi:</w:t>
      </w:r>
      <w:hyperlink r:id="rId12">
        <w:r>
          <w:rPr>
            <w:rStyle w:val="Hyperlink"/>
          </w:rPr>
          <w:t>10.1136/bmj.i255</w:t>
        </w:r>
      </w:hyperlink>
    </w:p>
    <w:p w14:paraId="60758F3F" w14:textId="77777777" w:rsidR="0011614C" w:rsidRDefault="008B66BF">
      <w:pPr>
        <w:pStyle w:val="Bibliography"/>
      </w:pPr>
      <w:bookmarkStart w:id="72" w:name="ref-krumholz2015"/>
      <w:bookmarkEnd w:id="71"/>
      <w:r>
        <w:t xml:space="preserve">3 </w:t>
      </w:r>
      <w:r>
        <w:tab/>
      </w:r>
      <w:proofErr w:type="spellStart"/>
      <w:r>
        <w:t>Krumholz</w:t>
      </w:r>
      <w:proofErr w:type="spellEnd"/>
      <w:r>
        <w:t xml:space="preserve"> HM. Why data sharing should be the expected norm. </w:t>
      </w:r>
      <w:r>
        <w:rPr>
          <w:i/>
          <w:iCs/>
        </w:rPr>
        <w:t>BMJ (Clinical research ed)</w:t>
      </w:r>
      <w:r>
        <w:t xml:space="preserve"> 2015;</w:t>
      </w:r>
      <w:r>
        <w:rPr>
          <w:b/>
          <w:bCs/>
        </w:rPr>
        <w:t>350</w:t>
      </w:r>
      <w:r>
        <w:t>:h599. doi:</w:t>
      </w:r>
      <w:hyperlink r:id="rId13">
        <w:r>
          <w:rPr>
            <w:rStyle w:val="Hyperlink"/>
          </w:rPr>
          <w:t>10.1136/bmj.h599</w:t>
        </w:r>
      </w:hyperlink>
    </w:p>
    <w:p w14:paraId="60758F40" w14:textId="77777777" w:rsidR="0011614C" w:rsidRDefault="008B66BF">
      <w:pPr>
        <w:pStyle w:val="Bibliography"/>
      </w:pPr>
      <w:bookmarkStart w:id="73" w:name="ref-federer2018"/>
      <w:bookmarkEnd w:id="72"/>
      <w:r>
        <w:t xml:space="preserve">4 </w:t>
      </w:r>
      <w:r>
        <w:tab/>
        <w:t xml:space="preserve">Federer LM, Belter CW, Joubert DJ, </w:t>
      </w:r>
      <w:r>
        <w:rPr>
          <w:i/>
          <w:iCs/>
        </w:rPr>
        <w:t>et al.</w:t>
      </w:r>
      <w:r>
        <w:t xml:space="preserve"> Data sharing in PLOS ONE: An analysis of Data Availability Statements. </w:t>
      </w:r>
      <w:r>
        <w:rPr>
          <w:i/>
          <w:iCs/>
        </w:rPr>
        <w:t>PLOS ONE</w:t>
      </w:r>
      <w:r>
        <w:t xml:space="preserve"> 2018;</w:t>
      </w:r>
      <w:r>
        <w:rPr>
          <w:b/>
          <w:bCs/>
        </w:rPr>
        <w:t>13</w:t>
      </w:r>
      <w:r>
        <w:t>:e0194768. doi:</w:t>
      </w:r>
      <w:hyperlink r:id="rId14">
        <w:r>
          <w:rPr>
            <w:rStyle w:val="Hyperlink"/>
          </w:rPr>
          <w:t>10.1371/journal.pone.0194768</w:t>
        </w:r>
      </w:hyperlink>
    </w:p>
    <w:p w14:paraId="60758F41" w14:textId="77777777" w:rsidR="0011614C" w:rsidRDefault="008B66BF">
      <w:pPr>
        <w:pStyle w:val="Bibliography"/>
      </w:pPr>
      <w:bookmarkStart w:id="74" w:name="ref-nosek2015"/>
      <w:bookmarkEnd w:id="73"/>
      <w:r>
        <w:t xml:space="preserve">5 </w:t>
      </w:r>
      <w:r>
        <w:tab/>
      </w:r>
      <w:proofErr w:type="spellStart"/>
      <w:r>
        <w:t>Nosek</w:t>
      </w:r>
      <w:proofErr w:type="spellEnd"/>
      <w:r>
        <w:t xml:space="preserve"> BA, Alter G, Banks GC, </w:t>
      </w:r>
      <w:r>
        <w:rPr>
          <w:i/>
          <w:iCs/>
        </w:rPr>
        <w:t>et al.</w:t>
      </w:r>
      <w:r>
        <w:t xml:space="preserve"> Promoting an open research culture. </w:t>
      </w:r>
      <w:r>
        <w:rPr>
          <w:i/>
          <w:iCs/>
        </w:rPr>
        <w:t>Science</w:t>
      </w:r>
      <w:r>
        <w:t xml:space="preserve"> 2015;</w:t>
      </w:r>
      <w:r>
        <w:rPr>
          <w:b/>
          <w:bCs/>
        </w:rPr>
        <w:t>348</w:t>
      </w:r>
      <w:r>
        <w:t>:1422–5. doi:</w:t>
      </w:r>
      <w:hyperlink r:id="rId15">
        <w:r>
          <w:rPr>
            <w:rStyle w:val="Hyperlink"/>
          </w:rPr>
          <w:t>10.1126/science.aab2374</w:t>
        </w:r>
      </w:hyperlink>
    </w:p>
    <w:p w14:paraId="60758F42" w14:textId="77777777" w:rsidR="0011614C" w:rsidRDefault="008B66BF">
      <w:pPr>
        <w:pStyle w:val="Bibliography"/>
      </w:pPr>
      <w:bookmarkStart w:id="75" w:name="ref-naudet2018"/>
      <w:bookmarkEnd w:id="74"/>
      <w:r>
        <w:t xml:space="preserve">6 </w:t>
      </w:r>
      <w:r>
        <w:tab/>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iCs/>
        </w:rPr>
        <w:t>et al.</w:t>
      </w:r>
      <w:r>
        <w:t xml:space="preserve"> Data sharing and reanalysis of randomized controlled trials in leading biomedical journals with a full data sharing policy: Survey of studies published in </w:t>
      </w:r>
      <w:r>
        <w:rPr>
          <w:i/>
          <w:iCs/>
        </w:rPr>
        <w:t>The BMJ</w:t>
      </w:r>
      <w:r>
        <w:t xml:space="preserve"> and </w:t>
      </w:r>
      <w:r>
        <w:rPr>
          <w:i/>
          <w:iCs/>
        </w:rPr>
        <w:t>PLOS Medicine</w:t>
      </w:r>
      <w:r>
        <w:t xml:space="preserve">. </w:t>
      </w:r>
      <w:r>
        <w:rPr>
          <w:i/>
          <w:iCs/>
        </w:rPr>
        <w:t>BMJ</w:t>
      </w:r>
      <w:r>
        <w:t xml:space="preserve"> 2018;k400. doi:</w:t>
      </w:r>
      <w:hyperlink r:id="rId16">
        <w:r>
          <w:rPr>
            <w:rStyle w:val="Hyperlink"/>
          </w:rPr>
          <w:t>10.1136/bmj.k400</w:t>
        </w:r>
      </w:hyperlink>
    </w:p>
    <w:p w14:paraId="60758F43" w14:textId="77777777" w:rsidR="0011614C" w:rsidRDefault="008B66BF">
      <w:pPr>
        <w:pStyle w:val="Bibliography"/>
      </w:pPr>
      <w:bookmarkStart w:id="76" w:name="ref-miyakawa2020"/>
      <w:bookmarkEnd w:id="75"/>
      <w:r>
        <w:t xml:space="preserve">7 </w:t>
      </w:r>
      <w:r>
        <w:tab/>
        <w:t xml:space="preserve">Miyakawa T. No raw data, no science: Another possible source of the reproducibility crisis. </w:t>
      </w:r>
      <w:r>
        <w:rPr>
          <w:i/>
          <w:iCs/>
        </w:rPr>
        <w:t>Molecular Brain</w:t>
      </w:r>
      <w:r>
        <w:t xml:space="preserve"> 2020;</w:t>
      </w:r>
      <w:r>
        <w:rPr>
          <w:b/>
          <w:bCs/>
        </w:rPr>
        <w:t>13</w:t>
      </w:r>
      <w:r>
        <w:t>:24. doi:</w:t>
      </w:r>
      <w:hyperlink r:id="rId17">
        <w:r>
          <w:rPr>
            <w:rStyle w:val="Hyperlink"/>
          </w:rPr>
          <w:t>10.1186/s13041-020-0552-2</w:t>
        </w:r>
      </w:hyperlink>
    </w:p>
    <w:p w14:paraId="60758F44" w14:textId="77777777" w:rsidR="0011614C" w:rsidRDefault="008B66BF">
      <w:pPr>
        <w:pStyle w:val="Bibliography"/>
      </w:pPr>
      <w:bookmarkStart w:id="77" w:name="ref-krawczyk2012"/>
      <w:bookmarkEnd w:id="76"/>
      <w:r>
        <w:t xml:space="preserve">8 </w:t>
      </w:r>
      <w:r>
        <w:tab/>
        <w:t xml:space="preserve">Krawczyk M, Reuben E. (Un)Available upon Request: Field Experiment on Researchers’ Willingness to Share Supplementary Materials. </w:t>
      </w:r>
      <w:r>
        <w:rPr>
          <w:i/>
          <w:iCs/>
        </w:rPr>
        <w:t>Accountability in Research</w:t>
      </w:r>
      <w:r>
        <w:t xml:space="preserve"> 2012;</w:t>
      </w:r>
      <w:r>
        <w:rPr>
          <w:b/>
          <w:bCs/>
        </w:rPr>
        <w:t>19</w:t>
      </w:r>
      <w:r>
        <w:t>:175–86. doi:</w:t>
      </w:r>
      <w:hyperlink r:id="rId18">
        <w:r>
          <w:rPr>
            <w:rStyle w:val="Hyperlink"/>
          </w:rPr>
          <w:t>10.1080/08989621.2012.678688</w:t>
        </w:r>
      </w:hyperlink>
    </w:p>
    <w:p w14:paraId="60758F45" w14:textId="77777777" w:rsidR="0011614C" w:rsidRDefault="008B66BF">
      <w:pPr>
        <w:pStyle w:val="Bibliography"/>
      </w:pPr>
      <w:bookmarkStart w:id="78" w:name="ref-vines2014"/>
      <w:bookmarkEnd w:id="77"/>
      <w:r>
        <w:t xml:space="preserve">9 </w:t>
      </w:r>
      <w:r>
        <w:tab/>
        <w:t xml:space="preserve">Vines TH, Albert AYK, Andrew RL, </w:t>
      </w:r>
      <w:r>
        <w:rPr>
          <w:i/>
          <w:iCs/>
        </w:rPr>
        <w:t>et al.</w:t>
      </w:r>
      <w:r>
        <w:t xml:space="preserve"> The Availability of Research Data Declines Rapidly with Article Age. </w:t>
      </w:r>
      <w:r>
        <w:rPr>
          <w:i/>
          <w:iCs/>
        </w:rPr>
        <w:t>Current Biology</w:t>
      </w:r>
      <w:r>
        <w:t xml:space="preserve"> 2014;</w:t>
      </w:r>
      <w:r>
        <w:rPr>
          <w:b/>
          <w:bCs/>
        </w:rPr>
        <w:t>24</w:t>
      </w:r>
      <w:r>
        <w:t>:94–7. doi:</w:t>
      </w:r>
      <w:hyperlink r:id="rId19">
        <w:r>
          <w:rPr>
            <w:rStyle w:val="Hyperlink"/>
          </w:rPr>
          <w:t>10.1016/j.cub.2013.11.014</w:t>
        </w:r>
      </w:hyperlink>
    </w:p>
    <w:p w14:paraId="60758F46" w14:textId="77777777" w:rsidR="0011614C" w:rsidRDefault="008B66BF">
      <w:pPr>
        <w:pStyle w:val="Bibliography"/>
      </w:pPr>
      <w:bookmarkStart w:id="79" w:name="ref-vasilevsky2017"/>
      <w:bookmarkEnd w:id="78"/>
      <w:r>
        <w:t xml:space="preserve">10 </w:t>
      </w:r>
      <w:r>
        <w:tab/>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iCs/>
        </w:rPr>
        <w:t>et al.</w:t>
      </w:r>
      <w:r>
        <w:t xml:space="preserve"> Reproducible and reusable research: Are journal data sharing policies meeting the mark? </w:t>
      </w:r>
      <w:r>
        <w:rPr>
          <w:i/>
          <w:iCs/>
        </w:rPr>
        <w:t>PeerJ</w:t>
      </w:r>
      <w:r>
        <w:t xml:space="preserve"> 2017;</w:t>
      </w:r>
      <w:r>
        <w:rPr>
          <w:b/>
          <w:bCs/>
        </w:rPr>
        <w:t>5</w:t>
      </w:r>
      <w:r>
        <w:t>. doi:</w:t>
      </w:r>
      <w:hyperlink r:id="rId20">
        <w:r>
          <w:rPr>
            <w:rStyle w:val="Hyperlink"/>
          </w:rPr>
          <w:t>10.7717/peerj.3208</w:t>
        </w:r>
      </w:hyperlink>
    </w:p>
    <w:p w14:paraId="60758F47" w14:textId="77777777" w:rsidR="0011614C" w:rsidRDefault="008B66BF">
      <w:pPr>
        <w:pStyle w:val="Bibliography"/>
      </w:pPr>
      <w:bookmarkStart w:id="80" w:name="ref-colavizza2020"/>
      <w:bookmarkEnd w:id="79"/>
      <w:r>
        <w:t xml:space="preserve">11 </w:t>
      </w:r>
      <w:r>
        <w:tab/>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iCs/>
        </w:rPr>
        <w:t>et al.</w:t>
      </w:r>
      <w:r>
        <w:t xml:space="preserve"> The citation advantage of linking publications to research data. </w:t>
      </w:r>
      <w:r>
        <w:rPr>
          <w:i/>
          <w:iCs/>
        </w:rPr>
        <w:t>PLOS ONE</w:t>
      </w:r>
      <w:r>
        <w:t xml:space="preserve"> 2020;</w:t>
      </w:r>
      <w:r>
        <w:rPr>
          <w:b/>
          <w:bCs/>
        </w:rPr>
        <w:t>15</w:t>
      </w:r>
      <w:r>
        <w:t>:e0230416. doi:</w:t>
      </w:r>
      <w:hyperlink r:id="rId21">
        <w:r>
          <w:rPr>
            <w:rStyle w:val="Hyperlink"/>
          </w:rPr>
          <w:t>10.1371/journal.pone.0230416</w:t>
        </w:r>
      </w:hyperlink>
    </w:p>
    <w:p w14:paraId="60758F48" w14:textId="77777777" w:rsidR="0011614C" w:rsidRDefault="008B66BF">
      <w:pPr>
        <w:pStyle w:val="Bibliography"/>
      </w:pPr>
      <w:bookmarkStart w:id="81" w:name="ref-roche2015"/>
      <w:bookmarkEnd w:id="80"/>
      <w:r>
        <w:t xml:space="preserve">12 </w:t>
      </w:r>
      <w:r>
        <w:tab/>
        <w:t xml:space="preserve">Roche DG, </w:t>
      </w:r>
      <w:proofErr w:type="spellStart"/>
      <w:r>
        <w:t>Kruuk</w:t>
      </w:r>
      <w:proofErr w:type="spellEnd"/>
      <w:r>
        <w:t xml:space="preserve"> LEB, </w:t>
      </w:r>
      <w:proofErr w:type="spellStart"/>
      <w:r>
        <w:t>Lanfear</w:t>
      </w:r>
      <w:proofErr w:type="spellEnd"/>
      <w:r>
        <w:t xml:space="preserve"> R, </w:t>
      </w:r>
      <w:r>
        <w:rPr>
          <w:i/>
          <w:iCs/>
        </w:rPr>
        <w:t>et al.</w:t>
      </w:r>
      <w:r>
        <w:t xml:space="preserve"> Public Data Archiving in Ecology and Evolution: How Well Are We Doing? </w:t>
      </w:r>
      <w:r>
        <w:rPr>
          <w:i/>
          <w:iCs/>
        </w:rPr>
        <w:t>PLOS Biology</w:t>
      </w:r>
      <w:r>
        <w:t xml:space="preserve"> 2015;</w:t>
      </w:r>
      <w:r>
        <w:rPr>
          <w:b/>
          <w:bCs/>
        </w:rPr>
        <w:t>13</w:t>
      </w:r>
      <w:r>
        <w:t>:e1002295. doi:</w:t>
      </w:r>
      <w:hyperlink r:id="rId22">
        <w:r>
          <w:rPr>
            <w:rStyle w:val="Hyperlink"/>
          </w:rPr>
          <w:t>10.1371/journal.pbio.1002295</w:t>
        </w:r>
      </w:hyperlink>
    </w:p>
    <w:p w14:paraId="60758F49" w14:textId="77777777" w:rsidR="0011614C" w:rsidRDefault="008B66BF">
      <w:pPr>
        <w:pStyle w:val="Bibliography"/>
      </w:pPr>
      <w:bookmarkStart w:id="82" w:name="ref-tan2020"/>
      <w:bookmarkEnd w:id="81"/>
      <w:r>
        <w:t xml:space="preserve">13 </w:t>
      </w:r>
      <w:r>
        <w:tab/>
        <w:t xml:space="preserve">Tan SC, Flanagan D, Morris E, </w:t>
      </w:r>
      <w:r>
        <w:rPr>
          <w:i/>
          <w:iCs/>
        </w:rPr>
        <w:t>et al.</w:t>
      </w:r>
      <w:r>
        <w:t xml:space="preserve"> Research data repositories chosen by researchers across broad range of disciplines, from an analysis of 145,000 data availability statements. </w:t>
      </w:r>
      <w:r>
        <w:rPr>
          <w:i/>
          <w:iCs/>
        </w:rPr>
        <w:t>Authorea</w:t>
      </w:r>
      <w:r>
        <w:t xml:space="preserve"> Published Online First: July 2020. doi:</w:t>
      </w:r>
      <w:hyperlink r:id="rId23">
        <w:r>
          <w:rPr>
            <w:rStyle w:val="Hyperlink"/>
          </w:rPr>
          <w:t>10.22541/au.159422974.49069472</w:t>
        </w:r>
      </w:hyperlink>
    </w:p>
    <w:p w14:paraId="60758F4A" w14:textId="77777777" w:rsidR="0011614C" w:rsidRDefault="008B66BF">
      <w:pPr>
        <w:pStyle w:val="Bibliography"/>
      </w:pPr>
      <w:bookmarkStart w:id="83" w:name="ref-rawlinson2019a"/>
      <w:bookmarkEnd w:id="82"/>
      <w:r>
        <w:t xml:space="preserve">14 </w:t>
      </w:r>
      <w:r>
        <w:tab/>
        <w:t xml:space="preserve">Rawlinson C, Bloom T. New preprint server for medical research. </w:t>
      </w:r>
      <w:r>
        <w:rPr>
          <w:i/>
          <w:iCs/>
        </w:rPr>
        <w:t>BMJ</w:t>
      </w:r>
      <w:r>
        <w:t xml:space="preserve"> 2019;</w:t>
      </w:r>
      <w:r>
        <w:rPr>
          <w:b/>
          <w:bCs/>
        </w:rPr>
        <w:t>365</w:t>
      </w:r>
      <w:r>
        <w:t>. doi:</w:t>
      </w:r>
      <w:hyperlink r:id="rId24">
        <w:r>
          <w:rPr>
            <w:rStyle w:val="Hyperlink"/>
          </w:rPr>
          <w:t>10.1136/bmj.l2301</w:t>
        </w:r>
      </w:hyperlink>
    </w:p>
    <w:p w14:paraId="60758F4B" w14:textId="77777777" w:rsidR="0011614C" w:rsidRDefault="008B66BF">
      <w:pPr>
        <w:pStyle w:val="Bibliography"/>
      </w:pPr>
      <w:bookmarkStart w:id="84" w:name="ref-fraser2020"/>
      <w:bookmarkEnd w:id="83"/>
      <w:r>
        <w:lastRenderedPageBreak/>
        <w:t xml:space="preserve">15 </w:t>
      </w:r>
      <w:r>
        <w:tab/>
        <w:t xml:space="preserve">Fraser N, Brierley L, Dey G, </w:t>
      </w:r>
      <w:r>
        <w:rPr>
          <w:i/>
          <w:iCs/>
        </w:rPr>
        <w:t>et al.</w:t>
      </w:r>
      <w:r>
        <w:t xml:space="preserve"> Preprinting a pandemic: The role of preprints in the COVID-19 pandemic. </w:t>
      </w:r>
      <w:r>
        <w:rPr>
          <w:i/>
          <w:iCs/>
        </w:rPr>
        <w:t>bioRxiv</w:t>
      </w:r>
      <w:r>
        <w:t xml:space="preserve"> 2020;2020.05.22.111294. doi:</w:t>
      </w:r>
      <w:hyperlink r:id="rId25">
        <w:r>
          <w:rPr>
            <w:rStyle w:val="Hyperlink"/>
          </w:rPr>
          <w:t>10.1101/2020.05.22.111294</w:t>
        </w:r>
      </w:hyperlink>
    </w:p>
    <w:p w14:paraId="60758F4C" w14:textId="77777777" w:rsidR="0011614C" w:rsidRDefault="008B66BF">
      <w:pPr>
        <w:pStyle w:val="Bibliography"/>
      </w:pPr>
      <w:bookmarkStart w:id="85" w:name="ref-mcguinness2020"/>
      <w:bookmarkEnd w:id="84"/>
      <w:r>
        <w:t xml:space="preserve">16 </w:t>
      </w:r>
      <w:r>
        <w:tab/>
        <w:t>McGuinness LA, Sheppard AL. Protocol for a descriptive analysis of the data availability statements accompanying medRxiv preprints. 2020.</w:t>
      </w:r>
    </w:p>
    <w:p w14:paraId="60758F4D" w14:textId="77777777" w:rsidR="0011614C" w:rsidRDefault="008B66BF">
      <w:pPr>
        <w:pStyle w:val="Bibliography"/>
      </w:pPr>
      <w:bookmarkStart w:id="86" w:name="ref-mcguinness2020b"/>
      <w:bookmarkEnd w:id="85"/>
      <w:r>
        <w:t xml:space="preserve">17 </w:t>
      </w:r>
      <w:r>
        <w:tab/>
        <w:t xml:space="preserve">McGuinness L, Schmidt L. Medrxivr: Accessing and searching medRxiv and bioRxiv preprint data in R. </w:t>
      </w:r>
      <w:r>
        <w:rPr>
          <w:i/>
          <w:iCs/>
        </w:rPr>
        <w:t xml:space="preserve">Journal of </w:t>
      </w:r>
      <w:proofErr w:type="gramStart"/>
      <w:r>
        <w:rPr>
          <w:i/>
          <w:iCs/>
        </w:rPr>
        <w:t>Open Source</w:t>
      </w:r>
      <w:proofErr w:type="gramEnd"/>
      <w:r>
        <w:rPr>
          <w:i/>
          <w:iCs/>
        </w:rPr>
        <w:t xml:space="preserve"> Software</w:t>
      </w:r>
      <w:r>
        <w:t xml:space="preserve"> 2020;</w:t>
      </w:r>
      <w:r>
        <w:rPr>
          <w:b/>
          <w:bCs/>
        </w:rPr>
        <w:t>5</w:t>
      </w:r>
      <w:r>
        <w:t>:2651. doi:</w:t>
      </w:r>
      <w:hyperlink r:id="rId26">
        <w:r>
          <w:rPr>
            <w:rStyle w:val="Hyperlink"/>
          </w:rPr>
          <w:t>10.21105/joss.02651</w:t>
        </w:r>
      </w:hyperlink>
    </w:p>
    <w:p w14:paraId="60758F4E" w14:textId="77777777" w:rsidR="0011614C" w:rsidRDefault="008B66BF">
      <w:pPr>
        <w:pStyle w:val="Bibliography"/>
      </w:pPr>
      <w:bookmarkStart w:id="87" w:name="ref-rvest"/>
      <w:bookmarkEnd w:id="86"/>
      <w:r>
        <w:t xml:space="preserve">18 </w:t>
      </w:r>
      <w:r>
        <w:tab/>
        <w:t xml:space="preserve">Wickham H. </w:t>
      </w:r>
      <w:r>
        <w:rPr>
          <w:i/>
          <w:iCs/>
        </w:rPr>
        <w:t>Rvest: Easily harvest (scrape) web pages</w:t>
      </w:r>
      <w:r>
        <w:t xml:space="preserve">. 2019. </w:t>
      </w:r>
      <w:hyperlink r:id="rId27">
        <w:r>
          <w:rPr>
            <w:rStyle w:val="Hyperlink"/>
          </w:rPr>
          <w:t>https://CRAN.R-project.org/package=rvest</w:t>
        </w:r>
      </w:hyperlink>
    </w:p>
    <w:p w14:paraId="60758F4F" w14:textId="3E1DC2FD" w:rsidR="0011614C" w:rsidRDefault="008B66BF">
      <w:pPr>
        <w:pStyle w:val="Bibliography"/>
      </w:pPr>
      <w:bookmarkStart w:id="88" w:name="ref-rcrossref"/>
      <w:bookmarkEnd w:id="87"/>
      <w:r>
        <w:t xml:space="preserve">19 </w:t>
      </w:r>
      <w:r>
        <w:tab/>
        <w:t xml:space="preserve">Chamberlain S, Zhu H, Jahn N, </w:t>
      </w:r>
      <w:r>
        <w:rPr>
          <w:i/>
          <w:iCs/>
        </w:rPr>
        <w:t>et al.</w:t>
      </w:r>
      <w:r>
        <w:t xml:space="preserve"> </w:t>
      </w:r>
      <w:r>
        <w:rPr>
          <w:i/>
          <w:iCs/>
        </w:rPr>
        <w:t>Rcrossref: Client for various ’</w:t>
      </w:r>
      <w:proofErr w:type="spellStart"/>
      <w:r>
        <w:rPr>
          <w:i/>
          <w:iCs/>
        </w:rPr>
        <w:t>CrossRef</w:t>
      </w:r>
      <w:proofErr w:type="spellEnd"/>
      <w:r>
        <w:rPr>
          <w:i/>
          <w:iCs/>
        </w:rPr>
        <w:t>’ ’APIs’</w:t>
      </w:r>
      <w:r>
        <w:t xml:space="preserve">. 2020. </w:t>
      </w:r>
      <w:hyperlink r:id="rId28">
        <w:r>
          <w:rPr>
            <w:rStyle w:val="Hyperlink"/>
          </w:rPr>
          <w:t>https://CRAN.R-project.org/package=rcrossref</w:t>
        </w:r>
      </w:hyperlink>
    </w:p>
    <w:p w14:paraId="60758F50" w14:textId="16CE289F" w:rsidR="0011614C" w:rsidRDefault="008B66BF">
      <w:pPr>
        <w:pStyle w:val="Bibliography"/>
      </w:pPr>
      <w:bookmarkStart w:id="89" w:name="ref-base"/>
      <w:bookmarkEnd w:id="88"/>
      <w:r>
        <w:t xml:space="preserve">20 </w:t>
      </w:r>
      <w:r>
        <w:tab/>
        <w:t xml:space="preserve">R Core Team. </w:t>
      </w:r>
      <w:r>
        <w:rPr>
          <w:i/>
          <w:iCs/>
        </w:rPr>
        <w:t>R: A language and environment for statistical computing</w:t>
      </w:r>
      <w:r>
        <w:t xml:space="preserve">. Vienna, Austria: : R Foundation for Statistical Computing 2019. </w:t>
      </w:r>
      <w:hyperlink r:id="rId29">
        <w:r>
          <w:rPr>
            <w:rStyle w:val="Hyperlink"/>
          </w:rPr>
          <w:t>https://www.R-project.org/</w:t>
        </w:r>
      </w:hyperlink>
    </w:p>
    <w:p w14:paraId="60758F51" w14:textId="77777777" w:rsidR="0011614C" w:rsidRDefault="008B66BF">
      <w:pPr>
        <w:pStyle w:val="Bibliography"/>
      </w:pPr>
      <w:bookmarkStart w:id="90" w:name="ref-devtools"/>
      <w:bookmarkEnd w:id="89"/>
      <w:r>
        <w:t xml:space="preserve">21 </w:t>
      </w:r>
      <w:r>
        <w:tab/>
        <w:t xml:space="preserve">Wickham H, Hester J, Chang W. </w:t>
      </w:r>
      <w:r>
        <w:rPr>
          <w:i/>
          <w:iCs/>
        </w:rPr>
        <w:t>Devtools: Tools to make developing r packages easier</w:t>
      </w:r>
      <w:r>
        <w:t xml:space="preserve">. 2019. </w:t>
      </w:r>
      <w:hyperlink r:id="rId30">
        <w:r>
          <w:rPr>
            <w:rStyle w:val="Hyperlink"/>
          </w:rPr>
          <w:t>https://CRAN.R-project.org/package=devtools</w:t>
        </w:r>
      </w:hyperlink>
    </w:p>
    <w:p w14:paraId="60758F52" w14:textId="77777777" w:rsidR="0011614C" w:rsidRDefault="008B66BF">
      <w:pPr>
        <w:pStyle w:val="Bibliography"/>
      </w:pPr>
      <w:bookmarkStart w:id="91" w:name="ref-dplyr"/>
      <w:bookmarkEnd w:id="90"/>
      <w:r>
        <w:t xml:space="preserve">22 </w:t>
      </w:r>
      <w:r>
        <w:tab/>
        <w:t xml:space="preserve">Wickham H, François R, Henry L, </w:t>
      </w:r>
      <w:r>
        <w:rPr>
          <w:i/>
          <w:iCs/>
        </w:rPr>
        <w:t>et al.</w:t>
      </w:r>
      <w:r>
        <w:t xml:space="preserve"> </w:t>
      </w:r>
      <w:r>
        <w:rPr>
          <w:i/>
          <w:iCs/>
        </w:rPr>
        <w:t>Dplyr: A grammar of data manipulation</w:t>
      </w:r>
      <w:r>
        <w:t xml:space="preserve">. 2019. </w:t>
      </w:r>
      <w:hyperlink r:id="rId31">
        <w:r>
          <w:rPr>
            <w:rStyle w:val="Hyperlink"/>
          </w:rPr>
          <w:t>https://CRAN.R-project.org/package=dplyr</w:t>
        </w:r>
      </w:hyperlink>
    </w:p>
    <w:p w14:paraId="60758F53" w14:textId="77777777" w:rsidR="0011614C" w:rsidRDefault="008B66BF">
      <w:pPr>
        <w:pStyle w:val="Bibliography"/>
      </w:pPr>
      <w:bookmarkStart w:id="92" w:name="ref-flextable"/>
      <w:bookmarkEnd w:id="91"/>
      <w:r>
        <w:t xml:space="preserve">23 </w:t>
      </w:r>
      <w:r>
        <w:tab/>
      </w:r>
      <w:proofErr w:type="spellStart"/>
      <w:r>
        <w:t>Gohel</w:t>
      </w:r>
      <w:proofErr w:type="spellEnd"/>
      <w:r>
        <w:t xml:space="preserve"> D. </w:t>
      </w:r>
      <w:r>
        <w:rPr>
          <w:i/>
          <w:iCs/>
        </w:rPr>
        <w:t>Flextable: Functions for tabular reporting</w:t>
      </w:r>
      <w:r>
        <w:t xml:space="preserve">. 2020. </w:t>
      </w:r>
      <w:hyperlink r:id="rId32">
        <w:r>
          <w:rPr>
            <w:rStyle w:val="Hyperlink"/>
          </w:rPr>
          <w:t>https://CRAN.R-project.org/package=flextable</w:t>
        </w:r>
      </w:hyperlink>
    </w:p>
    <w:p w14:paraId="60758F54" w14:textId="7DF924E3" w:rsidR="0011614C" w:rsidRDefault="008B66BF">
      <w:pPr>
        <w:pStyle w:val="Bibliography"/>
      </w:pPr>
      <w:bookmarkStart w:id="93" w:name="ref-ggplot2"/>
      <w:bookmarkEnd w:id="92"/>
      <w:r>
        <w:t xml:space="preserve">24 </w:t>
      </w:r>
      <w:r>
        <w:tab/>
        <w:t xml:space="preserve">Wickham H. </w:t>
      </w:r>
      <w:r>
        <w:rPr>
          <w:i/>
          <w:iCs/>
        </w:rPr>
        <w:t>ggplot2: Elegant graphics for data analysis</w:t>
      </w:r>
      <w:r>
        <w:t xml:space="preserve">. Springer-Verlag New York 2016. </w:t>
      </w:r>
      <w:hyperlink r:id="rId33">
        <w:r>
          <w:rPr>
            <w:rStyle w:val="Hyperlink"/>
          </w:rPr>
          <w:t>https://ggplot2.tidyverse.org</w:t>
        </w:r>
      </w:hyperlink>
    </w:p>
    <w:p w14:paraId="60758F55" w14:textId="77777777" w:rsidR="0011614C" w:rsidRDefault="008B66BF">
      <w:pPr>
        <w:pStyle w:val="Bibliography"/>
      </w:pPr>
      <w:bookmarkStart w:id="94" w:name="ref-grateful"/>
      <w:bookmarkEnd w:id="93"/>
      <w:r>
        <w:t xml:space="preserve">25 </w:t>
      </w:r>
      <w:r>
        <w:tab/>
        <w:t xml:space="preserve">Rodriguez-Sanchez F. </w:t>
      </w:r>
      <w:r>
        <w:rPr>
          <w:i/>
          <w:iCs/>
        </w:rPr>
        <w:t>Grateful: Facilitate citation of r packages</w:t>
      </w:r>
      <w:r>
        <w:t xml:space="preserve">. 2018. </w:t>
      </w:r>
      <w:hyperlink r:id="rId34">
        <w:r>
          <w:rPr>
            <w:rStyle w:val="Hyperlink"/>
          </w:rPr>
          <w:t>https://github.com/Pakillo/grateful</w:t>
        </w:r>
      </w:hyperlink>
    </w:p>
    <w:p w14:paraId="60758F56" w14:textId="77777777" w:rsidR="0011614C" w:rsidRDefault="008B66BF">
      <w:pPr>
        <w:pStyle w:val="Bibliography"/>
      </w:pPr>
      <w:bookmarkStart w:id="95" w:name="ref-here"/>
      <w:bookmarkEnd w:id="94"/>
      <w:r>
        <w:t xml:space="preserve">26 </w:t>
      </w:r>
      <w:r>
        <w:tab/>
        <w:t xml:space="preserve">Müller K. </w:t>
      </w:r>
      <w:r>
        <w:rPr>
          <w:i/>
          <w:iCs/>
        </w:rPr>
        <w:t>Here: A simpler way to find your files</w:t>
      </w:r>
      <w:r>
        <w:t xml:space="preserve">. 2017. </w:t>
      </w:r>
      <w:hyperlink r:id="rId35">
        <w:r>
          <w:rPr>
            <w:rStyle w:val="Hyperlink"/>
          </w:rPr>
          <w:t>https://CRAN.R-project.org/package=here</w:t>
        </w:r>
      </w:hyperlink>
    </w:p>
    <w:p w14:paraId="60758F57" w14:textId="77777777" w:rsidR="0011614C" w:rsidRDefault="008B66BF">
      <w:pPr>
        <w:pStyle w:val="Bibliography"/>
      </w:pPr>
      <w:bookmarkStart w:id="96" w:name="ref-irr"/>
      <w:bookmarkEnd w:id="95"/>
      <w:r>
        <w:t xml:space="preserve">27 </w:t>
      </w:r>
      <w:r>
        <w:tab/>
        <w:t xml:space="preserve">Gamer M, Lemon J, Fellows I, </w:t>
      </w:r>
      <w:r>
        <w:rPr>
          <w:i/>
          <w:iCs/>
        </w:rPr>
        <w:t>et al.</w:t>
      </w:r>
      <w:r>
        <w:t xml:space="preserve"> </w:t>
      </w:r>
      <w:r>
        <w:rPr>
          <w:i/>
          <w:iCs/>
        </w:rPr>
        <w:t>Irr: Various coefficients of interrater reliability and agreement</w:t>
      </w:r>
      <w:r>
        <w:t xml:space="preserve">. 2019. </w:t>
      </w:r>
      <w:hyperlink r:id="rId36">
        <w:r>
          <w:rPr>
            <w:rStyle w:val="Hyperlink"/>
          </w:rPr>
          <w:t>https://CRAN.R-project.org/package=irr</w:t>
        </w:r>
      </w:hyperlink>
    </w:p>
    <w:p w14:paraId="60758F58" w14:textId="5A092375" w:rsidR="0011614C" w:rsidRDefault="008B66BF">
      <w:pPr>
        <w:pStyle w:val="Bibliography"/>
      </w:pPr>
      <w:bookmarkStart w:id="97" w:name="ref-officer"/>
      <w:bookmarkEnd w:id="96"/>
      <w:r>
        <w:t xml:space="preserve">28 </w:t>
      </w:r>
      <w:r>
        <w:tab/>
      </w:r>
      <w:proofErr w:type="spellStart"/>
      <w:r>
        <w:t>Gohel</w:t>
      </w:r>
      <w:proofErr w:type="spellEnd"/>
      <w:r>
        <w:t xml:space="preserve"> D. </w:t>
      </w:r>
      <w:r>
        <w:rPr>
          <w:i/>
          <w:iCs/>
        </w:rPr>
        <w:t xml:space="preserve">Officer: Manipulation of </w:t>
      </w:r>
      <w:proofErr w:type="spellStart"/>
      <w:r>
        <w:rPr>
          <w:i/>
          <w:iCs/>
        </w:rPr>
        <w:t>microsoft</w:t>
      </w:r>
      <w:proofErr w:type="spellEnd"/>
      <w:r>
        <w:rPr>
          <w:i/>
          <w:iCs/>
        </w:rPr>
        <w:t xml:space="preserve"> word and PowerPoint documents</w:t>
      </w:r>
      <w:r>
        <w:t xml:space="preserve">. 2020. </w:t>
      </w:r>
      <w:hyperlink r:id="rId37">
        <w:r>
          <w:rPr>
            <w:rStyle w:val="Hyperlink"/>
          </w:rPr>
          <w:t>https://CRAN.R-project.org/package=officer</w:t>
        </w:r>
      </w:hyperlink>
    </w:p>
    <w:p w14:paraId="60758F59" w14:textId="77777777" w:rsidR="0011614C" w:rsidRDefault="008B66BF">
      <w:pPr>
        <w:pStyle w:val="Bibliography"/>
      </w:pPr>
      <w:bookmarkStart w:id="98" w:name="ref-patchwork"/>
      <w:bookmarkEnd w:id="97"/>
      <w:r>
        <w:t xml:space="preserve">29 </w:t>
      </w:r>
      <w:r>
        <w:tab/>
        <w:t xml:space="preserve">Pedersen TL. </w:t>
      </w:r>
      <w:r>
        <w:rPr>
          <w:i/>
          <w:iCs/>
        </w:rPr>
        <w:t>Patchwork: The composer of plots</w:t>
      </w:r>
      <w:r>
        <w:t xml:space="preserve">. 2019. </w:t>
      </w:r>
      <w:hyperlink r:id="rId38">
        <w:r>
          <w:rPr>
            <w:rStyle w:val="Hyperlink"/>
          </w:rPr>
          <w:t>https://CRAN.R-project.org/package=patchwork</w:t>
        </w:r>
      </w:hyperlink>
    </w:p>
    <w:p w14:paraId="60758F5A" w14:textId="77777777" w:rsidR="0011614C" w:rsidRDefault="008B66BF">
      <w:pPr>
        <w:pStyle w:val="Bibliography"/>
      </w:pPr>
      <w:bookmarkStart w:id="99" w:name="ref-RColorBrewer"/>
      <w:bookmarkEnd w:id="98"/>
      <w:r>
        <w:t xml:space="preserve">30 </w:t>
      </w:r>
      <w:r>
        <w:tab/>
        <w:t xml:space="preserve">Neuwirth E. </w:t>
      </w:r>
      <w:r>
        <w:rPr>
          <w:i/>
          <w:iCs/>
        </w:rPr>
        <w:t>RColorBrewer: ColorBrewer palettes</w:t>
      </w:r>
      <w:r>
        <w:t xml:space="preserve">. 2014. </w:t>
      </w:r>
      <w:hyperlink r:id="rId39">
        <w:r>
          <w:rPr>
            <w:rStyle w:val="Hyperlink"/>
          </w:rPr>
          <w:t>https://CRAN.R-project.org/package=RColorBrewer</w:t>
        </w:r>
      </w:hyperlink>
    </w:p>
    <w:p w14:paraId="60758F5B" w14:textId="2BA2173F" w:rsidR="0011614C" w:rsidRDefault="008B66BF">
      <w:pPr>
        <w:pStyle w:val="Bibliography"/>
      </w:pPr>
      <w:bookmarkStart w:id="100" w:name="ref-rio"/>
      <w:bookmarkEnd w:id="99"/>
      <w:r>
        <w:t xml:space="preserve">31 </w:t>
      </w:r>
      <w:r>
        <w:tab/>
        <w:t xml:space="preserve">Chan C, Chan GC, Leeper TJ, </w:t>
      </w:r>
      <w:r>
        <w:rPr>
          <w:i/>
          <w:iCs/>
        </w:rPr>
        <w:t>et al.</w:t>
      </w:r>
      <w:r>
        <w:t xml:space="preserve"> </w:t>
      </w:r>
      <w:r>
        <w:rPr>
          <w:i/>
          <w:iCs/>
        </w:rPr>
        <w:t>Rio: A swiss-army knife for data file i/o</w:t>
      </w:r>
      <w:r>
        <w:t xml:space="preserve">. 2018. </w:t>
      </w:r>
    </w:p>
    <w:p w14:paraId="60758F5C" w14:textId="77777777" w:rsidR="0011614C" w:rsidRDefault="008B66BF">
      <w:pPr>
        <w:pStyle w:val="Bibliography"/>
      </w:pPr>
      <w:bookmarkStart w:id="101" w:name="ref-stringr"/>
      <w:bookmarkEnd w:id="100"/>
      <w:r>
        <w:lastRenderedPageBreak/>
        <w:t xml:space="preserve">32 </w:t>
      </w:r>
      <w:r>
        <w:tab/>
        <w:t xml:space="preserve">Wickham H. </w:t>
      </w:r>
      <w:r>
        <w:rPr>
          <w:i/>
          <w:iCs/>
        </w:rPr>
        <w:t>Stringr: Simple, consistent wrappers for common string operations</w:t>
      </w:r>
      <w:r>
        <w:t xml:space="preserve">. 2019. </w:t>
      </w:r>
      <w:hyperlink r:id="rId40">
        <w:r>
          <w:rPr>
            <w:rStyle w:val="Hyperlink"/>
          </w:rPr>
          <w:t>https://CRAN.R-project.org/package=stringr</w:t>
        </w:r>
      </w:hyperlink>
    </w:p>
    <w:p w14:paraId="60758F5D" w14:textId="77777777" w:rsidR="0011614C" w:rsidRDefault="008B66BF">
      <w:pPr>
        <w:pStyle w:val="Bibliography"/>
      </w:pPr>
      <w:bookmarkStart w:id="102" w:name="ref-tibble"/>
      <w:bookmarkEnd w:id="101"/>
      <w:r>
        <w:t xml:space="preserve">33 </w:t>
      </w:r>
      <w:r>
        <w:tab/>
        <w:t xml:space="preserve">Müller K, Wickham H. </w:t>
      </w:r>
      <w:r>
        <w:rPr>
          <w:i/>
          <w:iCs/>
        </w:rPr>
        <w:t>Tibble: Simple data frames</w:t>
      </w:r>
      <w:r>
        <w:t xml:space="preserve">. 2019. </w:t>
      </w:r>
      <w:hyperlink r:id="rId41">
        <w:r>
          <w:rPr>
            <w:rStyle w:val="Hyperlink"/>
          </w:rPr>
          <w:t>https://CRAN.R-project.org/package=tibble</w:t>
        </w:r>
      </w:hyperlink>
    </w:p>
    <w:p w14:paraId="60758F5E" w14:textId="04629A44" w:rsidR="0011614C" w:rsidRDefault="008B66BF">
      <w:pPr>
        <w:pStyle w:val="Bibliography"/>
      </w:pPr>
      <w:bookmarkStart w:id="103" w:name="ref-wilkinson2016"/>
      <w:bookmarkEnd w:id="102"/>
      <w:r>
        <w:t xml:space="preserve">34 </w:t>
      </w:r>
      <w:r>
        <w:tab/>
        <w:t xml:space="preserve">Wilkinson MD, Dumontier M, </w:t>
      </w:r>
      <w:proofErr w:type="spellStart"/>
      <w:r>
        <w:t>Aalbersberg</w:t>
      </w:r>
      <w:proofErr w:type="spellEnd"/>
      <w:r>
        <w:t xml:space="preserve"> </w:t>
      </w:r>
      <w:proofErr w:type="spellStart"/>
      <w:r>
        <w:t>IjJ</w:t>
      </w:r>
      <w:proofErr w:type="spellEnd"/>
      <w:r>
        <w:t xml:space="preserve">, </w:t>
      </w:r>
      <w:r>
        <w:rPr>
          <w:i/>
          <w:iCs/>
        </w:rPr>
        <w:t>et al.</w:t>
      </w:r>
      <w:r>
        <w:t xml:space="preserve"> The FAIR Guiding Principles for scientific data management and stewardship. </w:t>
      </w:r>
      <w:r>
        <w:rPr>
          <w:i/>
          <w:iCs/>
        </w:rPr>
        <w:t>Scientific Data</w:t>
      </w:r>
      <w:r>
        <w:t xml:space="preserve"> 2016;</w:t>
      </w:r>
      <w:r>
        <w:rPr>
          <w:b/>
          <w:bCs/>
        </w:rPr>
        <w:t>3</w:t>
      </w:r>
      <w:r>
        <w:t>:160018. doi:</w:t>
      </w:r>
      <w:hyperlink r:id="rId42">
        <w:r>
          <w:rPr>
            <w:rStyle w:val="Hyperlink"/>
          </w:rPr>
          <w:t>10.1038/sdata.2016.18</w:t>
        </w:r>
      </w:hyperlink>
    </w:p>
    <w:p w14:paraId="60758F5F" w14:textId="77777777" w:rsidR="0011614C" w:rsidRDefault="008B66BF">
      <w:pPr>
        <w:pStyle w:val="Bibliography"/>
      </w:pPr>
      <w:bookmarkStart w:id="104" w:name="ref-ehrlich2019"/>
      <w:bookmarkEnd w:id="103"/>
      <w:r>
        <w:t xml:space="preserve">35 </w:t>
      </w:r>
      <w:r>
        <w:tab/>
        <w:t xml:space="preserve">Ehrlich OG, Testaverde J, Heller C, </w:t>
      </w:r>
      <w:r>
        <w:rPr>
          <w:i/>
          <w:iCs/>
        </w:rPr>
        <w:t>et al.</w:t>
      </w:r>
      <w:r>
        <w:t xml:space="preserve"> Crohns disease and ulcerative colitis patient perspectives on clinical trials and participation. </w:t>
      </w:r>
      <w:r>
        <w:rPr>
          <w:i/>
          <w:iCs/>
        </w:rPr>
        <w:t>medRxiv</w:t>
      </w:r>
      <w:r>
        <w:t xml:space="preserve"> 2019;19000273. doi:</w:t>
      </w:r>
      <w:hyperlink r:id="rId43">
        <w:r>
          <w:rPr>
            <w:rStyle w:val="Hyperlink"/>
          </w:rPr>
          <w:t>10.1101/19000273</w:t>
        </w:r>
      </w:hyperlink>
    </w:p>
    <w:p w14:paraId="60758F60" w14:textId="77777777" w:rsidR="0011614C" w:rsidRDefault="008B66BF">
      <w:pPr>
        <w:pStyle w:val="Bibliography"/>
      </w:pPr>
      <w:bookmarkStart w:id="105" w:name="ref-septiandri2019"/>
      <w:bookmarkEnd w:id="104"/>
      <w:r>
        <w:t xml:space="preserve">36 </w:t>
      </w:r>
      <w:r>
        <w:tab/>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iCs/>
        </w:rPr>
        <w:t>et al.</w:t>
      </w:r>
      <w:r>
        <w:t xml:space="preserve"> Cost-Sensitive Machine Learning Classification for Mass Tuberculosis Screening. </w:t>
      </w:r>
      <w:r>
        <w:rPr>
          <w:i/>
          <w:iCs/>
        </w:rPr>
        <w:t>medRxiv</w:t>
      </w:r>
      <w:r>
        <w:t xml:space="preserve"> 2019;19000190. doi:</w:t>
      </w:r>
      <w:hyperlink r:id="rId44">
        <w:r>
          <w:rPr>
            <w:rStyle w:val="Hyperlink"/>
          </w:rPr>
          <w:t>10.1101/19000190</w:t>
        </w:r>
      </w:hyperlink>
    </w:p>
    <w:p w14:paraId="60758F61" w14:textId="77777777" w:rsidR="0011614C" w:rsidRDefault="008B66BF">
      <w:pPr>
        <w:pStyle w:val="Bibliography"/>
      </w:pPr>
      <w:bookmarkStart w:id="106" w:name="ref-solis2019"/>
      <w:bookmarkEnd w:id="105"/>
      <w:r>
        <w:t xml:space="preserve">37 </w:t>
      </w:r>
      <w:r>
        <w:tab/>
        <w:t xml:space="preserve">Solis JCA, </w:t>
      </w:r>
      <w:proofErr w:type="spellStart"/>
      <w:r>
        <w:t>Storvoll</w:t>
      </w:r>
      <w:proofErr w:type="spellEnd"/>
      <w:r>
        <w:t xml:space="preserve"> I, </w:t>
      </w:r>
      <w:proofErr w:type="spellStart"/>
      <w:r>
        <w:t>Vanbelle</w:t>
      </w:r>
      <w:proofErr w:type="spellEnd"/>
      <w:r>
        <w:t xml:space="preserve"> S, </w:t>
      </w:r>
      <w:r>
        <w:rPr>
          <w:i/>
          <w:iCs/>
        </w:rPr>
        <w:t>et al.</w:t>
      </w:r>
      <w:r>
        <w:t xml:space="preserve"> Impact of spectrograms on the classification of wheezes and crackles in an educational setting. An interrater study. </w:t>
      </w:r>
      <w:r>
        <w:rPr>
          <w:i/>
          <w:iCs/>
        </w:rPr>
        <w:t>medRxiv</w:t>
      </w:r>
      <w:r>
        <w:t xml:space="preserve"> 2019;19005504. doi:</w:t>
      </w:r>
      <w:hyperlink r:id="rId45">
        <w:r>
          <w:rPr>
            <w:rStyle w:val="Hyperlink"/>
          </w:rPr>
          <w:t>10.1101/19005504</w:t>
        </w:r>
      </w:hyperlink>
    </w:p>
    <w:p w14:paraId="60758F62" w14:textId="77777777" w:rsidR="0011614C" w:rsidRDefault="008B66BF">
      <w:pPr>
        <w:pStyle w:val="Bibliography"/>
      </w:pPr>
      <w:bookmarkStart w:id="107" w:name="ref-ebbeling2019"/>
      <w:bookmarkEnd w:id="106"/>
      <w:r>
        <w:t xml:space="preserve">38 </w:t>
      </w:r>
      <w:r>
        <w:tab/>
      </w:r>
      <w:proofErr w:type="spellStart"/>
      <w:r>
        <w:t>Ebbeling</w:t>
      </w:r>
      <w:proofErr w:type="spellEnd"/>
      <w:r>
        <w:t xml:space="preserve"> CB, </w:t>
      </w:r>
      <w:proofErr w:type="spellStart"/>
      <w:r>
        <w:t>Bielak</w:t>
      </w:r>
      <w:proofErr w:type="spellEnd"/>
      <w:r>
        <w:t xml:space="preserve"> L, Lakin PR, </w:t>
      </w:r>
      <w:r>
        <w:rPr>
          <w:i/>
          <w:iCs/>
        </w:rPr>
        <w:t>et al.</w:t>
      </w:r>
      <w:r>
        <w:t xml:space="preserve"> Higher energy requirement during weight-loss maintenance on a low- versus high-carbohydrate diet: Secondary analyses from a randomized controlled feeding study. </w:t>
      </w:r>
      <w:r>
        <w:rPr>
          <w:i/>
          <w:iCs/>
        </w:rPr>
        <w:t>medRxiv</w:t>
      </w:r>
      <w:r>
        <w:t xml:space="preserve"> Published Online First: July 2019. doi:</w:t>
      </w:r>
      <w:hyperlink r:id="rId46">
        <w:r>
          <w:rPr>
            <w:rStyle w:val="Hyperlink"/>
          </w:rPr>
          <w:t>10.1101/19001248</w:t>
        </w:r>
      </w:hyperlink>
    </w:p>
    <w:p w14:paraId="60758F63" w14:textId="77777777" w:rsidR="0011614C" w:rsidRDefault="008B66BF">
      <w:pPr>
        <w:pStyle w:val="Bibliography"/>
      </w:pPr>
      <w:bookmarkStart w:id="108" w:name="ref-barry2020"/>
      <w:bookmarkEnd w:id="107"/>
      <w:r>
        <w:t xml:space="preserve">39 </w:t>
      </w:r>
      <w:r>
        <w:tab/>
        <w:t xml:space="preserve">Barry A, Bradley J, Stone W, </w:t>
      </w:r>
      <w:r>
        <w:rPr>
          <w:i/>
          <w:iCs/>
        </w:rPr>
        <w:t>et al.</w:t>
      </w:r>
      <w:r>
        <w:t xml:space="preserve"> Increased gametocyte production and mosquito infectivity in chronic versus incident Plasmodium falciparum infections. </w:t>
      </w:r>
      <w:r>
        <w:rPr>
          <w:i/>
          <w:iCs/>
        </w:rPr>
        <w:t>medRxiv</w:t>
      </w:r>
      <w:r>
        <w:t xml:space="preserve"> 2020;2020.04.08.20057927. doi:</w:t>
      </w:r>
      <w:hyperlink r:id="rId47">
        <w:r>
          <w:rPr>
            <w:rStyle w:val="Hyperlink"/>
          </w:rPr>
          <w:t>10.1101/2020.04.08.20057927</w:t>
        </w:r>
      </w:hyperlink>
    </w:p>
    <w:p w14:paraId="60758F64" w14:textId="77777777" w:rsidR="0011614C" w:rsidRDefault="008B66BF">
      <w:pPr>
        <w:pStyle w:val="Bibliography"/>
      </w:pPr>
      <w:bookmarkStart w:id="109" w:name="ref-malpas2019"/>
      <w:bookmarkEnd w:id="108"/>
      <w:r>
        <w:t xml:space="preserve">40 </w:t>
      </w:r>
      <w:r>
        <w:tab/>
        <w:t xml:space="preserve">Malpas CB, Ali </w:t>
      </w:r>
      <w:proofErr w:type="spellStart"/>
      <w:r>
        <w:t>Manouchehrinia</w:t>
      </w:r>
      <w:proofErr w:type="spellEnd"/>
      <w:r>
        <w:t xml:space="preserve"> A, </w:t>
      </w:r>
      <w:proofErr w:type="spellStart"/>
      <w:r>
        <w:t>Sharmin</w:t>
      </w:r>
      <w:proofErr w:type="spellEnd"/>
      <w:r>
        <w:t xml:space="preserve"> S, </w:t>
      </w:r>
      <w:r>
        <w:rPr>
          <w:i/>
          <w:iCs/>
        </w:rPr>
        <w:t>et al.</w:t>
      </w:r>
      <w:r>
        <w:t xml:space="preserve"> Early clinical markers of aggressive multiple sclerosis. </w:t>
      </w:r>
      <w:r>
        <w:rPr>
          <w:i/>
          <w:iCs/>
        </w:rPr>
        <w:t>medRxiv</w:t>
      </w:r>
      <w:r>
        <w:t xml:space="preserve"> Published Online First: July 2019. doi:</w:t>
      </w:r>
      <w:hyperlink r:id="rId48">
        <w:r>
          <w:rPr>
            <w:rStyle w:val="Hyperlink"/>
          </w:rPr>
          <w:t>10.1101/19002063</w:t>
        </w:r>
      </w:hyperlink>
    </w:p>
    <w:p w14:paraId="60758F65" w14:textId="77777777" w:rsidR="0011614C" w:rsidRDefault="008B66BF">
      <w:pPr>
        <w:pStyle w:val="Bibliography"/>
      </w:pPr>
      <w:bookmarkStart w:id="110" w:name="ref-knuppel2019"/>
      <w:bookmarkEnd w:id="109"/>
      <w:r>
        <w:t xml:space="preserve">41 </w:t>
      </w:r>
      <w:r>
        <w:tab/>
      </w:r>
      <w:proofErr w:type="spellStart"/>
      <w:r>
        <w:t>Knuppel</w:t>
      </w:r>
      <w:proofErr w:type="spellEnd"/>
      <w:r>
        <w:t xml:space="preserve"> A, Papier K, </w:t>
      </w:r>
      <w:proofErr w:type="spellStart"/>
      <w:r>
        <w:t>Fensom</w:t>
      </w:r>
      <w:proofErr w:type="spellEnd"/>
      <w:r>
        <w:t xml:space="preserve"> GK, </w:t>
      </w:r>
      <w:r>
        <w:rPr>
          <w:i/>
          <w:iCs/>
        </w:rPr>
        <w:t>et al.</w:t>
      </w:r>
      <w:r>
        <w:t xml:space="preserve"> Meat intake and cancer risk: Prospective analyses in UK Biobank. </w:t>
      </w:r>
      <w:r>
        <w:rPr>
          <w:i/>
          <w:iCs/>
        </w:rPr>
        <w:t>medRxiv</w:t>
      </w:r>
      <w:r>
        <w:t xml:space="preserve"> 2019;19003822. doi:</w:t>
      </w:r>
      <w:hyperlink r:id="rId49">
        <w:r>
          <w:rPr>
            <w:rStyle w:val="Hyperlink"/>
          </w:rPr>
          <w:t>10.1101/19003822</w:t>
        </w:r>
      </w:hyperlink>
    </w:p>
    <w:p w14:paraId="60758F66" w14:textId="77777777" w:rsidR="0011614C" w:rsidRDefault="008B66BF">
      <w:pPr>
        <w:pStyle w:val="Bibliography"/>
      </w:pPr>
      <w:bookmarkStart w:id="111" w:name="ref-thompson2019"/>
      <w:bookmarkEnd w:id="110"/>
      <w:r>
        <w:t xml:space="preserve">42 </w:t>
      </w:r>
      <w:r>
        <w:tab/>
        <w:t xml:space="preserve">Thompson ER, Bates L, Ibrahim IK, </w:t>
      </w:r>
      <w:r>
        <w:rPr>
          <w:i/>
          <w:iCs/>
        </w:rPr>
        <w:t>et al.</w:t>
      </w:r>
      <w:r>
        <w:t xml:space="preserve"> Novel delivery of cellular therapy to reduce ischaemia reperfusion injury in kidney transplantation. </w:t>
      </w:r>
      <w:r>
        <w:rPr>
          <w:i/>
          <w:iCs/>
        </w:rPr>
        <w:t>medRxiv</w:t>
      </w:r>
      <w:r>
        <w:t xml:space="preserve"> 2019;19005546. doi:</w:t>
      </w:r>
      <w:hyperlink r:id="rId50">
        <w:r>
          <w:rPr>
            <w:rStyle w:val="Hyperlink"/>
          </w:rPr>
          <w:t>10.1101/19005546</w:t>
        </w:r>
      </w:hyperlink>
    </w:p>
    <w:p w14:paraId="60758F67" w14:textId="77777777" w:rsidR="0011614C" w:rsidRDefault="008B66BF">
      <w:pPr>
        <w:pStyle w:val="Bibliography"/>
      </w:pPr>
      <w:bookmarkStart w:id="112" w:name="ref-moriarty2019a"/>
      <w:bookmarkEnd w:id="111"/>
      <w:r>
        <w:t xml:space="preserve">43 </w:t>
      </w:r>
      <w:r>
        <w:tab/>
        <w:t xml:space="preserve">Moriarty F, </w:t>
      </w:r>
      <w:proofErr w:type="spellStart"/>
      <w:r>
        <w:t>Ebell</w:t>
      </w:r>
      <w:proofErr w:type="spellEnd"/>
      <w:r>
        <w:t xml:space="preserve"> MH. A comparison of contemporary versus older studies of aspirin for primary prevention. </w:t>
      </w:r>
      <w:r>
        <w:rPr>
          <w:i/>
          <w:iCs/>
        </w:rPr>
        <w:t>medRxiv</w:t>
      </w:r>
      <w:r>
        <w:t xml:space="preserve"> 2019;19004267. doi:</w:t>
      </w:r>
      <w:hyperlink r:id="rId51">
        <w:r>
          <w:rPr>
            <w:rStyle w:val="Hyperlink"/>
          </w:rPr>
          <w:t>10.1101/19004267</w:t>
        </w:r>
      </w:hyperlink>
    </w:p>
    <w:p w14:paraId="60758F68" w14:textId="77777777" w:rsidR="0011614C" w:rsidRDefault="008B66BF">
      <w:pPr>
        <w:pStyle w:val="Bibliography"/>
      </w:pPr>
      <w:bookmarkStart w:id="113" w:name="ref-mchugh2012b"/>
      <w:bookmarkEnd w:id="112"/>
      <w:r>
        <w:t xml:space="preserve">44 </w:t>
      </w:r>
      <w:r>
        <w:tab/>
        <w:t xml:space="preserve">McHugh ML. Interrater reliability: The kappa statistic. </w:t>
      </w:r>
      <w:r>
        <w:rPr>
          <w:i/>
          <w:iCs/>
        </w:rPr>
        <w:t>Biochemia Medica</w:t>
      </w:r>
      <w:r>
        <w:t xml:space="preserve"> 2012;</w:t>
      </w:r>
      <w:r>
        <w:rPr>
          <w:b/>
          <w:bCs/>
        </w:rPr>
        <w:t>22</w:t>
      </w:r>
      <w:r>
        <w:t>:276–82.</w:t>
      </w:r>
    </w:p>
    <w:p w14:paraId="60758F69" w14:textId="77777777" w:rsidR="0011614C" w:rsidRDefault="008B66BF">
      <w:pPr>
        <w:pStyle w:val="Bibliography"/>
      </w:pPr>
      <w:bookmarkStart w:id="114" w:name="ref-chen2020"/>
      <w:bookmarkEnd w:id="113"/>
      <w:r>
        <w:lastRenderedPageBreak/>
        <w:t xml:space="preserve">45 </w:t>
      </w:r>
      <w:r>
        <w:tab/>
        <w:t xml:space="preserve">Chen L, Du X, Liu Y, </w:t>
      </w:r>
      <w:r>
        <w:rPr>
          <w:i/>
          <w:iCs/>
        </w:rPr>
        <w:t>et al.</w:t>
      </w:r>
      <w:r>
        <w:t xml:space="preserve"> Comparison of the Clinical Implications among Two Different Nutritional Indices in Hospitalized Patients with COVID-19. </w:t>
      </w:r>
      <w:r>
        <w:rPr>
          <w:i/>
          <w:iCs/>
        </w:rPr>
        <w:t>medRxiv</w:t>
      </w:r>
      <w:r>
        <w:t xml:space="preserve"> Published Online First: May 2020. doi:</w:t>
      </w:r>
      <w:hyperlink r:id="rId52">
        <w:r>
          <w:rPr>
            <w:rStyle w:val="Hyperlink"/>
          </w:rPr>
          <w:t>10.1101/2020.04.28.20082644</w:t>
        </w:r>
      </w:hyperlink>
    </w:p>
    <w:p w14:paraId="60758F6A" w14:textId="77777777" w:rsidR="0011614C" w:rsidRDefault="008B66BF">
      <w:pPr>
        <w:pStyle w:val="Bibliography"/>
      </w:pPr>
      <w:bookmarkStart w:id="115" w:name="ref-hashmi2020"/>
      <w:bookmarkEnd w:id="114"/>
      <w:r>
        <w:t xml:space="preserve">46 </w:t>
      </w:r>
      <w:r>
        <w:tab/>
        <w:t xml:space="preserve">Hashmi M, </w:t>
      </w:r>
      <w:proofErr w:type="spellStart"/>
      <w:r>
        <w:t>Taqi</w:t>
      </w:r>
      <w:proofErr w:type="spellEnd"/>
      <w:r>
        <w:t xml:space="preserve"> A, </w:t>
      </w:r>
      <w:proofErr w:type="spellStart"/>
      <w:r>
        <w:t>Memon</w:t>
      </w:r>
      <w:proofErr w:type="spellEnd"/>
      <w:r>
        <w:t xml:space="preserve"> MI, </w:t>
      </w:r>
      <w:r>
        <w:rPr>
          <w:i/>
          <w:iCs/>
        </w:rPr>
        <w:t>et al.</w:t>
      </w:r>
      <w:r>
        <w:t xml:space="preserve"> A national landscaping survey of critical care services in hospitals accredited for training in a lower-middle income country: Pakistan. </w:t>
      </w:r>
      <w:r>
        <w:rPr>
          <w:i/>
          <w:iCs/>
        </w:rPr>
        <w:t>medRxiv</w:t>
      </w:r>
      <w:r>
        <w:t xml:space="preserve"> Published Online First: April 2020. doi:</w:t>
      </w:r>
      <w:hyperlink r:id="rId53">
        <w:r>
          <w:rPr>
            <w:rStyle w:val="Hyperlink"/>
          </w:rPr>
          <w:t>10.1101/2020.04.22.20071555</w:t>
        </w:r>
      </w:hyperlink>
    </w:p>
    <w:p w14:paraId="60758F6B" w14:textId="77777777" w:rsidR="0011614C" w:rsidRDefault="008B66BF">
      <w:pPr>
        <w:pStyle w:val="Bibliography"/>
      </w:pPr>
      <w:bookmarkStart w:id="116" w:name="ref-peng2020"/>
      <w:bookmarkEnd w:id="115"/>
      <w:r>
        <w:t xml:space="preserve">47 </w:t>
      </w:r>
      <w:r>
        <w:tab/>
        <w:t xml:space="preserve">Peng L, Liu J, Xu W, </w:t>
      </w:r>
      <w:r>
        <w:rPr>
          <w:i/>
          <w:iCs/>
        </w:rPr>
        <w:t>et al.</w:t>
      </w:r>
      <w:r>
        <w:t xml:space="preserve"> 2019 Novel Coronavirus can be detected in urine, blood, anal </w:t>
      </w:r>
      <w:proofErr w:type="gramStart"/>
      <w:r>
        <w:t>swabs</w:t>
      </w:r>
      <w:proofErr w:type="gramEnd"/>
      <w:r>
        <w:t xml:space="preserve"> and oropharyngeal swabs samples. </w:t>
      </w:r>
      <w:r>
        <w:rPr>
          <w:i/>
          <w:iCs/>
        </w:rPr>
        <w:t>medRxiv</w:t>
      </w:r>
      <w:r>
        <w:t xml:space="preserve"> Published Online First: February 2020. doi:</w:t>
      </w:r>
      <w:hyperlink r:id="rId54">
        <w:r>
          <w:rPr>
            <w:rStyle w:val="Hyperlink"/>
          </w:rPr>
          <w:t>10.1101/2020.02.21.20026179</w:t>
        </w:r>
      </w:hyperlink>
    </w:p>
    <w:p w14:paraId="60758F6C" w14:textId="77777777" w:rsidR="0011614C" w:rsidRDefault="008B66BF">
      <w:pPr>
        <w:pStyle w:val="Bibliography"/>
      </w:pPr>
      <w:bookmarkStart w:id="117" w:name="ref-martin2019"/>
      <w:bookmarkEnd w:id="116"/>
      <w:r>
        <w:t xml:space="preserve">48 </w:t>
      </w:r>
      <w:r>
        <w:tab/>
        <w:t xml:space="preserve">Martin J, Hosking G, </w:t>
      </w:r>
      <w:proofErr w:type="spellStart"/>
      <w:r>
        <w:t>Wadon</w:t>
      </w:r>
      <w:proofErr w:type="spellEnd"/>
      <w:r>
        <w:t xml:space="preserve"> M, </w:t>
      </w:r>
      <w:r>
        <w:rPr>
          <w:i/>
          <w:iCs/>
        </w:rPr>
        <w:t>et al.</w:t>
      </w:r>
      <w:r>
        <w:t xml:space="preserve"> A brief report: De novo copy number variants in children with attention deficit hyperactivity disorder. </w:t>
      </w:r>
      <w:r>
        <w:rPr>
          <w:i/>
          <w:iCs/>
        </w:rPr>
        <w:t>medRxiv</w:t>
      </w:r>
      <w:r>
        <w:t xml:space="preserve"> Published Online First: December 2019. doi:</w:t>
      </w:r>
      <w:hyperlink r:id="rId55">
        <w:r>
          <w:rPr>
            <w:rStyle w:val="Hyperlink"/>
          </w:rPr>
          <w:t>10.1101/2019.12.12.19014555</w:t>
        </w:r>
      </w:hyperlink>
    </w:p>
    <w:p w14:paraId="60758F6D" w14:textId="77777777" w:rsidR="0011614C" w:rsidRDefault="008B66BF">
      <w:pPr>
        <w:pStyle w:val="Bibliography"/>
      </w:pPr>
      <w:bookmarkStart w:id="118" w:name="ref-martin2020"/>
      <w:bookmarkEnd w:id="117"/>
      <w:r>
        <w:t xml:space="preserve">49 </w:t>
      </w:r>
      <w:r>
        <w:tab/>
        <w:t xml:space="preserve">Martin J, Hosking G, </w:t>
      </w:r>
      <w:proofErr w:type="spellStart"/>
      <w:r>
        <w:t>Wadon</w:t>
      </w:r>
      <w:proofErr w:type="spellEnd"/>
      <w:r>
        <w:t xml:space="preserve"> M, </w:t>
      </w:r>
      <w:r>
        <w:rPr>
          <w:i/>
          <w:iCs/>
        </w:rPr>
        <w:t>et al.</w:t>
      </w:r>
      <w:r>
        <w:t xml:space="preserve"> A brief report: De novo copy number variants in children with attention deficit hyperactivity disorder. </w:t>
      </w:r>
      <w:r>
        <w:rPr>
          <w:i/>
          <w:iCs/>
        </w:rPr>
        <w:t>Translational Psychiatry</w:t>
      </w:r>
      <w:r>
        <w:t xml:space="preserve"> 2020;</w:t>
      </w:r>
      <w:r>
        <w:rPr>
          <w:b/>
          <w:bCs/>
        </w:rPr>
        <w:t>10</w:t>
      </w:r>
      <w:r>
        <w:t>:135. doi:</w:t>
      </w:r>
      <w:hyperlink r:id="rId56">
        <w:r>
          <w:rPr>
            <w:rStyle w:val="Hyperlink"/>
          </w:rPr>
          <w:t>10.1038/s41398-020-0821-y</w:t>
        </w:r>
      </w:hyperlink>
    </w:p>
    <w:p w14:paraId="60758F6E" w14:textId="77777777" w:rsidR="0011614C" w:rsidRDefault="008B66BF">
      <w:pPr>
        <w:pStyle w:val="Bibliography"/>
      </w:pPr>
      <w:bookmarkStart w:id="119" w:name="ref-hair2019"/>
      <w:bookmarkEnd w:id="118"/>
      <w:r>
        <w:t xml:space="preserve">50 </w:t>
      </w:r>
      <w:r>
        <w:tab/>
        <w:t xml:space="preserve">Hair K, Macleod MR, </w:t>
      </w:r>
      <w:proofErr w:type="spellStart"/>
      <w:r>
        <w:t>Sena</w:t>
      </w:r>
      <w:proofErr w:type="spellEnd"/>
      <w:r>
        <w:t xml:space="preserve"> ES, </w:t>
      </w:r>
      <w:r>
        <w:rPr>
          <w:i/>
          <w:iCs/>
        </w:rPr>
        <w:t>et al.</w:t>
      </w:r>
      <w:r>
        <w:t xml:space="preserve"> A randomised controlled trial of an Intervention to Improve Compliance with the ARRIVE guidelines (IICARus). </w:t>
      </w:r>
      <w:r>
        <w:rPr>
          <w:i/>
          <w:iCs/>
        </w:rPr>
        <w:t>Research Integrity and Peer Review</w:t>
      </w:r>
      <w:r>
        <w:t xml:space="preserve"> 2019;</w:t>
      </w:r>
      <w:r>
        <w:rPr>
          <w:b/>
          <w:bCs/>
        </w:rPr>
        <w:t>4</w:t>
      </w:r>
      <w:r>
        <w:t>:12. doi:</w:t>
      </w:r>
      <w:hyperlink r:id="rId57">
        <w:r>
          <w:rPr>
            <w:rStyle w:val="Hyperlink"/>
          </w:rPr>
          <w:t>10.1186/s41073-019-0069-3</w:t>
        </w:r>
      </w:hyperlink>
    </w:p>
    <w:p w14:paraId="60758F6F" w14:textId="77777777" w:rsidR="0011614C" w:rsidRDefault="008B66BF">
      <w:pPr>
        <w:pStyle w:val="Bibliography"/>
      </w:pPr>
      <w:bookmarkStart w:id="120" w:name="ref-kilkenny2010"/>
      <w:bookmarkEnd w:id="119"/>
      <w:r>
        <w:t xml:space="preserve">51 </w:t>
      </w:r>
      <w:r>
        <w:tab/>
        <w:t xml:space="preserve">Kilkenny C, Browne WJ, Cuthill IC, </w:t>
      </w:r>
      <w:r>
        <w:rPr>
          <w:i/>
          <w:iCs/>
        </w:rPr>
        <w:t>et al.</w:t>
      </w:r>
      <w:r>
        <w:t xml:space="preserve"> Improving Bioscience Research Reporting: The ARRIVE Guidelines for Reporting Animal Research. </w:t>
      </w:r>
      <w:r>
        <w:rPr>
          <w:i/>
          <w:iCs/>
        </w:rPr>
        <w:t>PLOS Biology</w:t>
      </w:r>
      <w:r>
        <w:t xml:space="preserve"> 2010;</w:t>
      </w:r>
      <w:r>
        <w:rPr>
          <w:b/>
          <w:bCs/>
        </w:rPr>
        <w:t>8</w:t>
      </w:r>
      <w:r>
        <w:t>:e1000412. doi:</w:t>
      </w:r>
      <w:hyperlink r:id="rId58">
        <w:r>
          <w:rPr>
            <w:rStyle w:val="Hyperlink"/>
          </w:rPr>
          <w:t>10.1371/journal.pbio.1000412</w:t>
        </w:r>
      </w:hyperlink>
    </w:p>
    <w:p w14:paraId="60758F70" w14:textId="77777777" w:rsidR="0011614C" w:rsidRDefault="008B66BF">
      <w:pPr>
        <w:pStyle w:val="Bibliography"/>
      </w:pPr>
      <w:bookmarkStart w:id="121" w:name="ref-goldacre2019"/>
      <w:bookmarkEnd w:id="120"/>
      <w:r>
        <w:t xml:space="preserve">52 </w:t>
      </w:r>
      <w:r>
        <w:tab/>
        <w:t xml:space="preserve">Goldacre B, Morton CE, DeVito NJ. Why researchers should share their analytic code. </w:t>
      </w:r>
      <w:r>
        <w:rPr>
          <w:i/>
          <w:iCs/>
        </w:rPr>
        <w:t>BMJ</w:t>
      </w:r>
      <w:r>
        <w:t xml:space="preserve"> 2019;l6365. doi:</w:t>
      </w:r>
      <w:hyperlink r:id="rId59">
        <w:r>
          <w:rPr>
            <w:rStyle w:val="Hyperlink"/>
          </w:rPr>
          <w:t>10.1136/bmj.l6365</w:t>
        </w:r>
      </w:hyperlink>
    </w:p>
    <w:p w14:paraId="60758F71" w14:textId="77777777" w:rsidR="0011614C" w:rsidRDefault="008B66BF">
      <w:pPr>
        <w:pStyle w:val="Bibliography"/>
      </w:pPr>
      <w:bookmarkStart w:id="122" w:name="ref-eglen2017"/>
      <w:bookmarkEnd w:id="121"/>
      <w:r>
        <w:t xml:space="preserve">53 </w:t>
      </w:r>
      <w:r>
        <w:tab/>
      </w:r>
      <w:proofErr w:type="spellStart"/>
      <w:r>
        <w:t>Eglen</w:t>
      </w:r>
      <w:proofErr w:type="spellEnd"/>
      <w:r>
        <w:t xml:space="preserve"> SJ, Marwick B, </w:t>
      </w:r>
      <w:proofErr w:type="spellStart"/>
      <w:r>
        <w:t>Halchenko</w:t>
      </w:r>
      <w:proofErr w:type="spellEnd"/>
      <w:r>
        <w:t xml:space="preserve"> YO, </w:t>
      </w:r>
      <w:r>
        <w:rPr>
          <w:i/>
          <w:iCs/>
        </w:rPr>
        <w:t>et al.</w:t>
      </w:r>
      <w:r>
        <w:t xml:space="preserve"> Towards standard practices for sharing computer code and programs in neuroscience. </w:t>
      </w:r>
      <w:r>
        <w:rPr>
          <w:i/>
          <w:iCs/>
        </w:rPr>
        <w:t>Nature neuroscience</w:t>
      </w:r>
      <w:r>
        <w:t xml:space="preserve"> 2017;</w:t>
      </w:r>
      <w:r>
        <w:rPr>
          <w:b/>
          <w:bCs/>
        </w:rPr>
        <w:t>20</w:t>
      </w:r>
      <w:r>
        <w:t>:770–3. doi:</w:t>
      </w:r>
      <w:hyperlink r:id="rId60">
        <w:r>
          <w:rPr>
            <w:rStyle w:val="Hyperlink"/>
          </w:rPr>
          <w:t>10.1038/nn.4550</w:t>
        </w:r>
      </w:hyperlink>
    </w:p>
    <w:p w14:paraId="60758F72" w14:textId="77777777" w:rsidR="0011614C" w:rsidRDefault="008B66BF">
      <w:pPr>
        <w:pStyle w:val="Bibliography"/>
      </w:pPr>
      <w:bookmarkStart w:id="123" w:name="ref-culina2020"/>
      <w:bookmarkEnd w:id="122"/>
      <w:r>
        <w:t xml:space="preserve">54 </w:t>
      </w:r>
      <w:r>
        <w:tab/>
      </w:r>
      <w:proofErr w:type="spellStart"/>
      <w:r>
        <w:t>Culina</w:t>
      </w:r>
      <w:proofErr w:type="spellEnd"/>
      <w:r>
        <w:t xml:space="preserve"> A, van den Berg I, Evans S, </w:t>
      </w:r>
      <w:r>
        <w:rPr>
          <w:i/>
          <w:iCs/>
        </w:rPr>
        <w:t>et al.</w:t>
      </w:r>
      <w:r>
        <w:t xml:space="preserve"> Low availability of code in ecology: A call for urgent action. </w:t>
      </w:r>
      <w:r>
        <w:rPr>
          <w:i/>
          <w:iCs/>
        </w:rPr>
        <w:t>PLOS Biology</w:t>
      </w:r>
      <w:r>
        <w:t xml:space="preserve"> 2020;</w:t>
      </w:r>
      <w:r>
        <w:rPr>
          <w:b/>
          <w:bCs/>
        </w:rPr>
        <w:t>18</w:t>
      </w:r>
      <w:r>
        <w:t>:e3000763. doi:</w:t>
      </w:r>
      <w:hyperlink r:id="rId61">
        <w:r>
          <w:rPr>
            <w:rStyle w:val="Hyperlink"/>
          </w:rPr>
          <w:t>10.1371/journal.pbio.3000763</w:t>
        </w:r>
      </w:hyperlink>
    </w:p>
    <w:p w14:paraId="60758F73" w14:textId="77777777" w:rsidR="0011614C" w:rsidRDefault="008B66BF">
      <w:pPr>
        <w:pStyle w:val="Bibliography"/>
      </w:pPr>
      <w:bookmarkStart w:id="124" w:name="ref-goodhill2014"/>
      <w:bookmarkEnd w:id="123"/>
      <w:r>
        <w:t xml:space="preserve">55 </w:t>
      </w:r>
      <w:r>
        <w:tab/>
      </w:r>
      <w:proofErr w:type="spellStart"/>
      <w:r>
        <w:t>Goodhill</w:t>
      </w:r>
      <w:proofErr w:type="spellEnd"/>
      <w:r>
        <w:t xml:space="preserve"> GJ. Practical costs of data sharing. </w:t>
      </w:r>
      <w:r>
        <w:rPr>
          <w:i/>
          <w:iCs/>
        </w:rPr>
        <w:t>Nature</w:t>
      </w:r>
      <w:r>
        <w:t xml:space="preserve"> 2014;</w:t>
      </w:r>
      <w:r>
        <w:rPr>
          <w:b/>
          <w:bCs/>
        </w:rPr>
        <w:t>509</w:t>
      </w:r>
      <w:r>
        <w:t>:33–3. doi:</w:t>
      </w:r>
      <w:hyperlink r:id="rId62">
        <w:r>
          <w:rPr>
            <w:rStyle w:val="Hyperlink"/>
          </w:rPr>
          <w:t>10.1038/509033b</w:t>
        </w:r>
      </w:hyperlink>
    </w:p>
    <w:p w14:paraId="60758F74" w14:textId="77777777" w:rsidR="0011614C" w:rsidRDefault="008B66BF">
      <w:pPr>
        <w:pStyle w:val="Bibliography"/>
      </w:pPr>
      <w:bookmarkStart w:id="125" w:name="ref-courbier2019"/>
      <w:bookmarkEnd w:id="124"/>
      <w:r>
        <w:t xml:space="preserve">56 </w:t>
      </w:r>
      <w:r>
        <w:tab/>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r>
        <w:rPr>
          <w:i/>
          <w:iCs/>
        </w:rPr>
        <w:t>Orphanet Journal of Rare Diseases</w:t>
      </w:r>
      <w:r>
        <w:t xml:space="preserve"> 2019;</w:t>
      </w:r>
      <w:r>
        <w:rPr>
          <w:b/>
          <w:bCs/>
        </w:rPr>
        <w:t>14</w:t>
      </w:r>
      <w:r>
        <w:t>:175. doi:</w:t>
      </w:r>
      <w:hyperlink r:id="rId63">
        <w:r>
          <w:rPr>
            <w:rStyle w:val="Hyperlink"/>
          </w:rPr>
          <w:t>10.1186/s13023-019-1123-4</w:t>
        </w:r>
      </w:hyperlink>
    </w:p>
    <w:p w14:paraId="60758F75" w14:textId="55C4D607" w:rsidR="0011614C" w:rsidRDefault="008B66BF">
      <w:pPr>
        <w:pStyle w:val="Bibliography"/>
      </w:pPr>
      <w:bookmarkStart w:id="126" w:name="ref-sanchez-tojar"/>
      <w:bookmarkEnd w:id="125"/>
      <w:r>
        <w:t xml:space="preserve">57 </w:t>
      </w:r>
      <w:r>
        <w:tab/>
        <w:t xml:space="preserve">Sánchez-Tójar A, </w:t>
      </w:r>
      <w:proofErr w:type="spellStart"/>
      <w:r>
        <w:t>Lagisz</w:t>
      </w:r>
      <w:proofErr w:type="spellEnd"/>
      <w:r>
        <w:t xml:space="preserve"> M, Moran NP, </w:t>
      </w:r>
      <w:r>
        <w:rPr>
          <w:i/>
          <w:iCs/>
        </w:rPr>
        <w:t>et al.</w:t>
      </w:r>
      <w:r>
        <w:t xml:space="preserve"> The jury is still out regarding the generality of adaptive “transgenerational” effects. </w:t>
      </w:r>
      <w:r>
        <w:rPr>
          <w:i/>
          <w:iCs/>
        </w:rPr>
        <w:t>Ecology Letters</w:t>
      </w:r>
      <w:r>
        <w:t>;</w:t>
      </w:r>
      <w:r>
        <w:rPr>
          <w:b/>
          <w:bCs/>
        </w:rPr>
        <w:t>n/a</w:t>
      </w:r>
      <w:r>
        <w:t>. doi:</w:t>
      </w:r>
      <w:hyperlink r:id="rId64">
        <w:r>
          <w:rPr>
            <w:rStyle w:val="Hyperlink"/>
          </w:rPr>
          <w:t>10.1111/ele.13479</w:t>
        </w:r>
      </w:hyperlink>
      <w:bookmarkEnd w:id="68"/>
      <w:bookmarkEnd w:id="70"/>
      <w:bookmarkEnd w:id="126"/>
    </w:p>
    <w:sectPr w:rsidR="0011614C" w:rsidSect="00BC1A05">
      <w:headerReference w:type="default" r:id="rId65"/>
      <w:footerReference w:type="default" r:id="rId6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42AC" w14:textId="77777777" w:rsidR="008B66BF" w:rsidRDefault="008B66BF">
      <w:pPr>
        <w:spacing w:after="0"/>
      </w:pPr>
      <w:r>
        <w:separator/>
      </w:r>
    </w:p>
  </w:endnote>
  <w:endnote w:type="continuationSeparator" w:id="0">
    <w:p w14:paraId="2101AE14" w14:textId="77777777" w:rsidR="008B66BF" w:rsidRDefault="008B66BF">
      <w:pPr>
        <w:spacing w:after="0"/>
      </w:pPr>
      <w:r>
        <w:continuationSeparator/>
      </w:r>
    </w:p>
  </w:endnote>
  <w:endnote w:type="continuationNotice" w:id="1">
    <w:p w14:paraId="5500EF77" w14:textId="77777777" w:rsidR="008B66BF" w:rsidRDefault="008B66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60758F7A" w14:textId="77777777" w:rsidR="00FC37A3" w:rsidRDefault="008B6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58F7B" w14:textId="77777777" w:rsidR="00FC37A3" w:rsidRDefault="007D1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37BEF" w14:textId="77777777" w:rsidR="008B66BF" w:rsidRDefault="008B66BF">
      <w:r>
        <w:separator/>
      </w:r>
    </w:p>
  </w:footnote>
  <w:footnote w:type="continuationSeparator" w:id="0">
    <w:p w14:paraId="63A87740" w14:textId="77777777" w:rsidR="008B66BF" w:rsidRDefault="008B66BF">
      <w:r>
        <w:continuationSeparator/>
      </w:r>
    </w:p>
  </w:footnote>
  <w:footnote w:type="continuationNotice" w:id="1">
    <w:p w14:paraId="13970B48" w14:textId="77777777" w:rsidR="008B66BF" w:rsidRDefault="008B66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DA7C7" w14:textId="77777777" w:rsidR="008B66BF" w:rsidRDefault="008B6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3F1ED7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C5F021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67DA9B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1614C"/>
    <w:rsid w:val="004703D3"/>
    <w:rsid w:val="004E29B3"/>
    <w:rsid w:val="00590D07"/>
    <w:rsid w:val="007765E8"/>
    <w:rsid w:val="00784D58"/>
    <w:rsid w:val="007C0CD0"/>
    <w:rsid w:val="007D1BC7"/>
    <w:rsid w:val="008B66BF"/>
    <w:rsid w:val="008D6863"/>
    <w:rsid w:val="00B86B75"/>
    <w:rsid w:val="00BC48D5"/>
    <w:rsid w:val="00C36279"/>
    <w:rsid w:val="00DC3D12"/>
    <w:rsid w:val="00E124B6"/>
    <w:rsid w:val="00E315A3"/>
    <w:rsid w:val="00EB13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E52"/>
  <w15:docId w15:val="{53B192EC-29C9-470D-B117-1B4C31A9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h599" TargetMode="External"/><Relationship Id="rId18" Type="http://schemas.openxmlformats.org/officeDocument/2006/relationships/hyperlink" Target="https://doi.org/10.1080/08989621.2012.678688" TargetMode="External"/><Relationship Id="rId26" Type="http://schemas.openxmlformats.org/officeDocument/2006/relationships/hyperlink" Target="https://doi.org/10.21105/joss.02651" TargetMode="External"/><Relationship Id="rId39" Type="http://schemas.openxmlformats.org/officeDocument/2006/relationships/hyperlink" Target="https://CRAN.R-project.org/package=RColorBrewer" TargetMode="External"/><Relationship Id="rId21" Type="http://schemas.openxmlformats.org/officeDocument/2006/relationships/hyperlink" Target="https://doi.org/10.1371/journal.pone.0230416" TargetMode="External"/><Relationship Id="rId34" Type="http://schemas.openxmlformats.org/officeDocument/2006/relationships/hyperlink" Target="https://github.com/Pakillo/grateful" TargetMode="External"/><Relationship Id="rId42" Type="http://schemas.openxmlformats.org/officeDocument/2006/relationships/hyperlink" Target="https://doi.org/10.1038/sdata.2016.18" TargetMode="External"/><Relationship Id="rId47" Type="http://schemas.openxmlformats.org/officeDocument/2006/relationships/hyperlink" Target="https://doi.org/10.1101/2020.04.08.20057927" TargetMode="External"/><Relationship Id="rId50" Type="http://schemas.openxmlformats.org/officeDocument/2006/relationships/hyperlink" Target="https://doi.org/10.1101/19005546" TargetMode="External"/><Relationship Id="rId55" Type="http://schemas.openxmlformats.org/officeDocument/2006/relationships/hyperlink" Target="https://doi.org/10.1101/2019.12.12.19014555" TargetMode="External"/><Relationship Id="rId63" Type="http://schemas.openxmlformats.org/officeDocument/2006/relationships/hyperlink" Target="https://doi.org/10.1186/s13023-019-1123-4" TargetMode="External"/><Relationship Id="rId68" Type="http://schemas.openxmlformats.org/officeDocument/2006/relationships/theme" Target="theme/theme1.xm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136/bmj.k400"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k510" TargetMode="External"/><Relationship Id="rId24" Type="http://schemas.openxmlformats.org/officeDocument/2006/relationships/hyperlink" Target="https://doi.org/10.1136/bmj.l2301" TargetMode="External"/><Relationship Id="rId32" Type="http://schemas.openxmlformats.org/officeDocument/2006/relationships/hyperlink" Target="https://CRAN.R-project.org/package=flextable" TargetMode="External"/><Relationship Id="rId37" Type="http://schemas.openxmlformats.org/officeDocument/2006/relationships/hyperlink" Target="https://CRAN.R-project.org/package=officer" TargetMode="External"/><Relationship Id="rId40" Type="http://schemas.openxmlformats.org/officeDocument/2006/relationships/hyperlink" Target="https://CRAN.R-project.org/package=stringr" TargetMode="External"/><Relationship Id="rId45" Type="http://schemas.openxmlformats.org/officeDocument/2006/relationships/hyperlink" Target="https://doi.org/10.1101/19005504" TargetMode="External"/><Relationship Id="rId53" Type="http://schemas.openxmlformats.org/officeDocument/2006/relationships/hyperlink" Target="https://doi.org/10.1101/2020.04.22.20071555" TargetMode="External"/><Relationship Id="rId58" Type="http://schemas.openxmlformats.org/officeDocument/2006/relationships/hyperlink" Target="https://doi.org/10.1371/journal.pbio.1000412"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26/science.aab2374" TargetMode="External"/><Relationship Id="rId23" Type="http://schemas.openxmlformats.org/officeDocument/2006/relationships/hyperlink" Target="https://doi.org/10.22541/au.159422974.49069472" TargetMode="External"/><Relationship Id="rId28" Type="http://schemas.openxmlformats.org/officeDocument/2006/relationships/hyperlink" Target="https://CRAN.R-project.org/package=rcrossref" TargetMode="External"/><Relationship Id="rId36" Type="http://schemas.openxmlformats.org/officeDocument/2006/relationships/hyperlink" Target="https://CRAN.R-project.org/package=irr" TargetMode="External"/><Relationship Id="rId49" Type="http://schemas.openxmlformats.org/officeDocument/2006/relationships/hyperlink" Target="https://doi.org/10.1101/19003822" TargetMode="External"/><Relationship Id="rId57" Type="http://schemas.openxmlformats.org/officeDocument/2006/relationships/hyperlink" Target="https://doi.org/10.1186/s41073-019-0069-3" TargetMode="External"/><Relationship Id="rId61" Type="http://schemas.openxmlformats.org/officeDocument/2006/relationships/hyperlink" Target="https://doi.org/10.1371/journal.pbio.3000763" TargetMode="External"/><Relationship Id="rId10" Type="http://schemas.openxmlformats.org/officeDocument/2006/relationships/hyperlink" Target="https://www.nihr.ac.uk/" TargetMode="External"/><Relationship Id="rId19" Type="http://schemas.openxmlformats.org/officeDocument/2006/relationships/hyperlink" Target="https://doi.org/10.1016/j.cub.2013.11.014" TargetMode="External"/><Relationship Id="rId31" Type="http://schemas.openxmlformats.org/officeDocument/2006/relationships/hyperlink" Target="https://CRAN.R-project.org/package=dplyr" TargetMode="External"/><Relationship Id="rId44" Type="http://schemas.openxmlformats.org/officeDocument/2006/relationships/hyperlink" Target="https://doi.org/10.1101/19000190" TargetMode="External"/><Relationship Id="rId52" Type="http://schemas.openxmlformats.org/officeDocument/2006/relationships/hyperlink" Target="https://doi.org/10.1101/2020.04.28.20082644" TargetMode="External"/><Relationship Id="rId60" Type="http://schemas.openxmlformats.org/officeDocument/2006/relationships/hyperlink" Target="https://doi.org/10.1038/nn.4550"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cguinlu/data-availability-impact" TargetMode="External"/><Relationship Id="rId14" Type="http://schemas.openxmlformats.org/officeDocument/2006/relationships/hyperlink" Target="https://doi.org/10.1371/journal.pone.0194768" TargetMode="External"/><Relationship Id="rId22" Type="http://schemas.openxmlformats.org/officeDocument/2006/relationships/hyperlink" Target="https://doi.org/10.1371/journal.pbio.1002295" TargetMode="External"/><Relationship Id="rId27" Type="http://schemas.openxmlformats.org/officeDocument/2006/relationships/hyperlink" Target="https://CRAN.R-project.org/package=rvest" TargetMode="External"/><Relationship Id="rId30" Type="http://schemas.openxmlformats.org/officeDocument/2006/relationships/hyperlink" Target="https://CRAN.R-project.org/package=devtools" TargetMode="External"/><Relationship Id="rId35" Type="http://schemas.openxmlformats.org/officeDocument/2006/relationships/hyperlink" Target="https://CRAN.R-project.org/package=here" TargetMode="External"/><Relationship Id="rId43" Type="http://schemas.openxmlformats.org/officeDocument/2006/relationships/hyperlink" Target="https://doi.org/10.1101/19000273" TargetMode="External"/><Relationship Id="rId48" Type="http://schemas.openxmlformats.org/officeDocument/2006/relationships/hyperlink" Target="https://doi.org/10.1101/19002063" TargetMode="External"/><Relationship Id="rId56" Type="http://schemas.openxmlformats.org/officeDocument/2006/relationships/hyperlink" Target="https://doi.org/10.1038/s41398-020-0821-y" TargetMode="External"/><Relationship Id="rId64" Type="http://schemas.openxmlformats.org/officeDocument/2006/relationships/hyperlink" Target="https://doi.org/10.1111/ele.13479" TargetMode="External"/><Relationship Id="rId8" Type="http://schemas.openxmlformats.org/officeDocument/2006/relationships/image" Target="media/image1.png"/><Relationship Id="rId51" Type="http://schemas.openxmlformats.org/officeDocument/2006/relationships/hyperlink" Target="https://doi.org/10.1101/19004267" TargetMode="External"/><Relationship Id="rId3" Type="http://schemas.openxmlformats.org/officeDocument/2006/relationships/settings" Target="settings.xml"/><Relationship Id="rId12" Type="http://schemas.openxmlformats.org/officeDocument/2006/relationships/hyperlink" Target="https://doi.org/10.1136/bmj.i255" TargetMode="External"/><Relationship Id="rId17" Type="http://schemas.openxmlformats.org/officeDocument/2006/relationships/hyperlink" Target="https://doi.org/10.1186/s13041-020-0552-2" TargetMode="External"/><Relationship Id="rId25" Type="http://schemas.openxmlformats.org/officeDocument/2006/relationships/hyperlink" Target="https://doi.org/10.1101/2020.05.22.111294" TargetMode="External"/><Relationship Id="rId33" Type="http://schemas.openxmlformats.org/officeDocument/2006/relationships/hyperlink" Target="https://ggplot2.tidyverse.org" TargetMode="External"/><Relationship Id="rId38" Type="http://schemas.openxmlformats.org/officeDocument/2006/relationships/hyperlink" Target="https://CRAN.R-project.org/package=patchwork" TargetMode="External"/><Relationship Id="rId46" Type="http://schemas.openxmlformats.org/officeDocument/2006/relationships/hyperlink" Target="https://doi.org/10.1101/19001248" TargetMode="External"/><Relationship Id="rId59" Type="http://schemas.openxmlformats.org/officeDocument/2006/relationships/hyperlink" Target="https://doi.org/10.1136/bmj.l6365" TargetMode="External"/><Relationship Id="rId67" Type="http://schemas.openxmlformats.org/officeDocument/2006/relationships/fontTable" Target="fontTable.xml"/><Relationship Id="rId20" Type="http://schemas.openxmlformats.org/officeDocument/2006/relationships/hyperlink" Target="https://doi.org/10.7717/peerj.3208" TargetMode="External"/><Relationship Id="rId41" Type="http://schemas.openxmlformats.org/officeDocument/2006/relationships/hyperlink" Target="https://CRAN.R-project.org/package=tibble" TargetMode="External"/><Relationship Id="rId54" Type="http://schemas.openxmlformats.org/officeDocument/2006/relationships/hyperlink" Target="https://doi.org/10.1101/2020.02.21.20026179" TargetMode="External"/><Relationship Id="rId62" Type="http://schemas.openxmlformats.org/officeDocument/2006/relationships/hyperlink" Target="https://doi.org/10.1038/50903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McGuinness</cp:lastModifiedBy>
  <cp:revision>2</cp:revision>
  <dcterms:created xsi:type="dcterms:W3CDTF">2021-03-30T14:31:00Z</dcterms:created>
  <dcterms:modified xsi:type="dcterms:W3CDTF">2021-03-30T14:37:00Z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bmj.csl</vt:lpwstr>
  </property>
  <property fmtid="{D5CDD505-2E9C-101B-9397-08002B2CF9AE}" pid="5" name="output">
    <vt:lpwstr/>
  </property>
  <property fmtid="{D5CDD505-2E9C-101B-9397-08002B2CF9AE}" pid="6" name="pandoc_args">
    <vt:lpwstr/>
  </property>
</Properties>
</file>