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 medRxiv</w:t>
      </w:r>
    </w:p>
    <w:p>
      <w:r>
        <w:br w:type="page"/>
      </w:r>
    </w:p>
    <w:p>
      <w:pPr>
        <w:pStyle w:val="Heading1"/>
      </w:pPr>
      <w:bookmarkStart w:id="22" w:name="abstract"/>
      <w:r>
        <w:t xml:space="preserve">Abstract</w:t>
      </w:r>
      <w:bookmarkEnd w:id="22"/>
    </w:p>
    <w:p>
      <w:pPr>
        <w:pStyle w:val="FirstParagraph"/>
      </w:pPr>
      <w:r>
        <w:rPr>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pPr>
        <w:pStyle w:val="BodyText"/>
      </w:pPr>
      <w:r>
        <w:rPr>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
        </w:rPr>
        <w:t xml:space="preserve">Main outcome measures</w:t>
      </w:r>
      <w:r>
        <w:br/>
      </w:r>
      <w:r>
        <w:t xml:space="preserve">Distribution of preprinted data availability statements across eight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
        </w:rPr>
        <w:t xml:space="preserve">Results</w:t>
      </w:r>
      <w:r>
        <w:br/>
      </w:r>
      <w:r>
        <w:t xml:space="preserve">4101 medRxiv preprints were included in our sample, of which 911 (22.2%) were categorized as describing open data, 3027 (73.8%) as describing closed data, 163 (4.0%) as not applicable (e.g. editorial, protocol). 379 (9.2%) preprints were subsequently published, and of these published articles, only 159 (42.0%) contained a data availability statement. Similar to the preprint stage, most published data availability statements described closed data (59 (37.1%) open, 96 (60.4%) closed, 4 (2.5%) not applicable).</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require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p>
      <w:pPr>
        <w:pStyle w:val="Heading1"/>
      </w:pPr>
      <w:bookmarkStart w:id="23" w:name="intro"/>
      <w:r>
        <w:t xml:space="preserve">Introduction</w:t>
      </w:r>
      <w:bookmarkEnd w:id="23"/>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require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pPr>
        <w:pStyle w:val="Heading1"/>
      </w:pPr>
      <w:bookmarkStart w:id="24" w:name="methods"/>
      <w:r>
        <w:t xml:space="preserve">Methods</w:t>
      </w:r>
      <w:bookmarkEnd w:id="24"/>
    </w:p>
    <w:p>
      <w:pPr>
        <w:pStyle w:val="Heading2"/>
      </w:pPr>
      <w:bookmarkStart w:id="25" w:name="protocol-and-ethics"/>
      <w:r>
        <w:t xml:space="preserve">Protocol and ethics</w:t>
      </w:r>
      <w:bookmarkEnd w:id="25"/>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p>
      <w:pPr>
        <w:pStyle w:val="Heading2"/>
      </w:pPr>
      <w:bookmarkStart w:id="26" w:name="categories"/>
      <w:r>
        <w:t xml:space="preserve">Categories</w:t>
      </w:r>
      <w:bookmarkEnd w:id="26"/>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[17]</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w:t>
      </w:r>
    </w:p>
    <w:p>
      <w:pPr>
        <w:pStyle w:val="Compact"/>
        <w:pStyle w:val=""/>
      </w:pPr>
      <w:r>
        <w:t xml:space="preserve">Table 1: Categories used to classify the data availability statements. Illustrative examples of each category were taken from preprints included in our sample (see</w:t>
      </w:r>
      <w:r>
        <w:t xml:space="preserve"> </w:t>
      </w:r>
      <w:r>
        <w:t xml:space="preserve">“</w:t>
      </w:r>
      <w:r>
        <w:t xml:space="preserve">Data Extraction</w:t>
      </w:r>
      <w:r>
        <w:t xml:space="preserve">”</w:t>
      </w:r>
      <w:r>
        <w:t xml:space="preserve">).</w:t>
      </w:r>
      <w:r>
        <w:t xml:space="preserve">[18–26]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 [15]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 [16]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 [17]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 [18]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deposited in Dryad upon publication" [19]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 [21]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 [22]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 [23]</w:t>
            </w:r>
          </w:p>
        </w:tc>
      </w:tr>
    </w:tbl>
    <w:p>
      <w:r>
        <w:br w:type="page"/>
      </w:r>
    </w:p>
    <w:p>
      <w:pPr>
        <w:pStyle w:val="Heading2"/>
      </w:pPr>
      <w:bookmarkStart w:id="27" w:name="data-extraction"/>
      <w:r>
        <w:t xml:space="preserve">Data extraction</w:t>
      </w:r>
      <w:bookmarkEnd w:id="27"/>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[27,28]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[29]</w:t>
      </w:r>
      <w:r>
        <w:t xml:space="preserve"> </w:t>
      </w:r>
      <w:r>
        <w:t xml:space="preserve">Several other R packages were used for data cleaning and analysis.</w:t>
      </w:r>
      <w:r>
        <w:t xml:space="preserve"> </w:t>
      </w:r>
      <w:r>
        <w:t xml:space="preserve">[30–43]</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28" w:name="analysis"/>
      <w:r>
        <w:t xml:space="preserve">Analysis</w:t>
      </w:r>
      <w:bookmarkEnd w:id="28"/>
    </w:p>
    <w:p>
      <w:pPr>
        <w:pStyle w:val="FirstParagraph"/>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w:t>
      </w:r>
      <w:r>
        <w:t xml:space="preserve"> </w:t>
      </w:r>
      <w:r>
        <w:t xml:space="preserve">1</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w:t>
      </w:r>
    </w:p>
    <w:p>
      <w:pPr>
        <w:pStyle w:val="BodyText"/>
      </w:pPr>
      <w:r>
        <w:t xml:space="preserve">To assess if data availability statements change between preprint and published articles, we examined whether a discrepancy existed between the categories assigned to the preprinted and published statements, and the direction of the discrepancy (more</w:t>
      </w:r>
      <w:r>
        <w:t xml:space="preserve"> </w:t>
      </w:r>
      <w:r>
        <w:t xml:space="preserve">“</w:t>
      </w:r>
      <w:r>
        <w:t xml:space="preserve">closed</w:t>
      </w:r>
      <w:r>
        <w:t xml:space="preserve">”</w:t>
      </w:r>
      <w:r>
        <w:t xml:space="preserve"> </w:t>
      </w:r>
      <w:r>
        <w:t xml:space="preserve">or more</w:t>
      </w:r>
      <w:r>
        <w:t xml:space="preserve"> </w:t>
      </w:r>
      <w:r>
        <w:t xml:space="preserve">“</w:t>
      </w:r>
      <w:r>
        <w:t xml:space="preserve">open</w:t>
      </w:r>
      <w:r>
        <w:t xml:space="preserve">”</w:t>
      </w:r>
      <w:r>
        <w:t xml:space="preserve">). We declare a minor deviation from our protocol,</w:t>
      </w:r>
      <w:r>
        <w:t xml:space="preserve">[16]</w:t>
      </w:r>
      <w:r>
        <w:t xml:space="preserve"> </w:t>
      </w:r>
      <w:r>
        <w:t xml:space="preserve">in relation to this analysis. Rather than investigating the data-sharing policy only for journals with the largest change in openness,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p>
      <w:pPr>
        <w:pStyle w:val="BodyText"/>
      </w:pPr>
      <w:r>
        <w:t xml:space="preserve">Finally, to assess whether data availability statements also capture the availability of programming code, such as STATA do files or R scripts, the data availability statement and full text PDF for a random sample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29" w:name="patient-and-public-involvement"/>
      <w:r>
        <w:t xml:space="preserve">Patient and public involvement</w:t>
      </w:r>
      <w:bookmarkEnd w:id="29"/>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p>
      <w:pPr>
        <w:pStyle w:val="Heading1"/>
      </w:pPr>
      <w:bookmarkStart w:id="30" w:name="results"/>
      <w:r>
        <w:t xml:space="preserve">Results</w:t>
      </w:r>
      <w:bookmarkEnd w:id="30"/>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(9.2%)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 When grouped by data-sharing policy, there was a greater change towards data availability statements which described open data in journals requiring/mandating data sharing versus those that did not (Table</w:t>
      </w:r>
      <w:r>
        <w:t xml:space="preserve"> </w:t>
      </w:r>
      <w:r>
        <w:t xml:space="preserve">2</w:t>
      </w:r>
      <w:r>
        <w:t xml:space="preserve">). Moreover, the data availability statements for 8 articles published in journals that did not require open data sharing became less open on publication (Table</w:t>
      </w:r>
      <w:r>
        <w:t xml:space="preserve"> </w:t>
      </w:r>
      <w:r>
        <w:t xml:space="preserve">2</w:t>
      </w:r>
      <w:r>
        <w:t xml:space="preserve">).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Compact"/>
        <w:pStyle w:val=""/>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Policy category</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journals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records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preprint</w:t>
              <w:br/>
              <w:t xml:space="preserve"> % (N)</w:t>
            </w:r>
          </w:p>
        </w:tc>
        <w:tc>
          <w:tcPr>
            <w:vMerge w:val="restart"/>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publication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from preprint to publication</w:t>
            </w:r>
          </w:p>
        </w:tc>
      </w:tr>
      <w:tr>
        <w:trPr>
          <w:cantSplit/>
          <w:trHeight w:val="360" w:hRule="auto"/>
          <w:tblHeader/>
        </w:trPr>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change</w:t>
              <w:br/>
              <w:t xml:space="preserve"> (N)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Does not require open data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 (19)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 (21)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Requires open data</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 (19)</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bl>
    <w:p>
      <w:pPr>
        <w:pStyle w:val="BodyText"/>
      </w:pPr>
      <w:r>
        <w:t xml:space="preserve"> </w:t>
      </w:r>
    </w:p>
    <w:p>
      <w:pPr>
        <w:pStyle w:val="BodyText"/>
      </w:pPr>
      <w:r>
        <w:t xml:space="preserve">161 (3.9%)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pPr>
        <w:pStyle w:val="BodyText"/>
      </w:pPr>
      <w:r>
        <w:t xml:space="preserve"> </w:t>
      </w:r>
    </w:p>
    <w:p>
      <w:pPr>
        <w:pStyle w:val="Compact"/>
        <w:pStyle w:val=""/>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Preprint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preprints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Published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(link)</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(no link)</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Of these, only 53 (70.7%) preprints also described code availability in their data availability statements (Table</w:t>
      </w:r>
      <w:r>
        <w:t xml:space="preserve"> </w:t>
      </w:r>
      <w:r>
        <w:t xml:space="preserve">4</w:t>
      </w:r>
      <w:r>
        <w:t xml:space="preserve">).</w:t>
      </w:r>
    </w:p>
    <w:p>
      <w:pPr>
        <w:pStyle w:val="BodyText"/>
      </w:pPr>
      <w:r>
        <w:t xml:space="preserve"> </w:t>
      </w:r>
    </w:p>
    <w:p>
      <w:pPr>
        <w:pStyle w:val="Compact"/>
        <w:pStyle w:val=""/>
      </w:pPr>
      <w:r>
        <w:t xml:space="preserve">Table 4: Comparison of code availability declarations between data availability statements and full text manuscripts.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2"/>
            <w:tcBorders>
              <w:bottom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Full text</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_</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r>
      <w:tr>
        <w:trPr>
          <w:cantSplit/>
          <w:trHeight w:val="360" w:hRule="auto"/>
        </w:trPr>
        <w:tc>
          <w:tcPr>
            <w:vMerge w:val="restart"/>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Data availability statement</w:t>
            </w: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360" w:hRule="auto"/>
        </w:trPr>
        <w:tc>
          <w:tcPr>
            <w:vMerge/>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w:t>
            </w:r>
          </w:p>
        </w:tc>
      </w:tr>
    </w:tbl>
    <w:p>
      <w:pPr>
        <w:pStyle w:val="BodyText"/>
      </w:pPr>
      <w:r>
        <w:t xml:space="preserve"> </w:t>
      </w:r>
    </w:p>
    <w:p>
      <w:r>
        <w:br w:type="page"/>
      </w:r>
    </w:p>
    <w:p>
      <w:pPr>
        <w:pStyle w:val="Heading1"/>
      </w:pPr>
      <w:bookmarkStart w:id="32" w:name="discussion"/>
      <w:r>
        <w:t xml:space="preserve">Discussion</w:t>
      </w:r>
      <w:bookmarkEnd w:id="32"/>
    </w:p>
    <w:p>
      <w:pPr>
        <w:pStyle w:val="Heading2"/>
      </w:pPr>
      <w:bookmarkStart w:id="33" w:name="X7609904de97a4feb881e1da780208c554b951d7"/>
      <w:r>
        <w:t xml:space="preserve">Principal findings and comparison with other studies</w:t>
      </w:r>
      <w:bookmarkEnd w:id="33"/>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require data to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pPr>
        <w:pStyle w:val="Heading2"/>
      </w:pPr>
      <w:bookmarkStart w:id="34" w:name="strengths-and-limitations"/>
      <w:r>
        <w:t xml:space="preserve">Strengths and limitations</w:t>
      </w:r>
      <w:bookmarkEnd w:id="34"/>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final limitation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is situation is perfectly reasonable, as long as statements are explicit in justifying the lack of open data.</w:t>
      </w:r>
    </w:p>
    <w:p>
      <w:pPr>
        <w:pStyle w:val="Heading2"/>
      </w:pPr>
      <w:bookmarkStart w:id="35" w:name="implications-for-policy"/>
      <w:r>
        <w:t xml:space="preserve">Implications for policy</w:t>
      </w:r>
      <w:bookmarkEnd w:id="35"/>
    </w:p>
    <w:p>
      <w:pPr>
        <w:pStyle w:val="FirstParagraph"/>
      </w:pPr>
      <w:r>
        <w:t xml:space="preserve">Based on our analysis, there is a greater change towards describing open data between preprinted and published data availability statements in journals that require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Heading2"/>
      </w:pPr>
      <w:bookmarkStart w:id="36" w:name="conclusion"/>
      <w:r>
        <w:t xml:space="preserve">Conclusion</w:t>
      </w:r>
      <w:bookmarkEnd w:id="36"/>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As such, we would strongly encourage all journals to reassess whether their data sharing policies are sufficiently stringent and consistently enforced.</w:t>
      </w:r>
    </w:p>
    <w:p>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requires it.</w:t>
      </w:r>
    </w:p>
    <w:p>
      <w:r>
        <w:br w:type="page"/>
      </w:r>
    </w:p>
    <w:p>
      <w:pPr>
        <w:pStyle w:val="Heading1"/>
      </w:pPr>
      <w:bookmarkStart w:id="37" w:name="highlights"/>
      <w:r>
        <w:t xml:space="preserve">Highlights</w:t>
      </w:r>
      <w:bookmarkEnd w:id="37"/>
    </w:p>
    <w:p>
      <w:pPr>
        <w:pStyle w:val="Heading2"/>
      </w:pPr>
      <w:bookmarkStart w:id="38" w:name="what-is-already-known-on-this-topic"/>
      <w:r>
        <w:t xml:space="preserve">What is already known on this topic</w:t>
      </w:r>
      <w:bookmarkEnd w:id="38"/>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required, but by themselves, do not encourage researchers to make their data publicly available.</w:t>
      </w:r>
    </w:p>
    <w:p>
      <w:pPr>
        <w:pStyle w:val="Heading2"/>
      </w:pPr>
      <w:bookmarkStart w:id="39" w:name="what-this-study-adds"/>
      <w:r>
        <w:t xml:space="preserve">What this study adds</w:t>
      </w:r>
      <w:bookmarkEnd w:id="39"/>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r>
        <w:br w:type="page"/>
      </w:r>
    </w:p>
    <w:p>
      <w:pPr>
        <w:pStyle w:val="Heading1"/>
      </w:pPr>
      <w:bookmarkStart w:id="40" w:name="back-matter"/>
      <w:r>
        <w:t xml:space="preserve">Back Matter</w:t>
      </w:r>
      <w:bookmarkEnd w:id="40"/>
    </w:p>
    <w:p>
      <w:pPr>
        <w:pStyle w:val="Heading2"/>
      </w:pPr>
      <w:bookmarkStart w:id="41" w:name="material-available-statement"/>
      <w:r>
        <w:t xml:space="preserve">Material available statement</w:t>
      </w:r>
      <w:bookmarkEnd w:id="41"/>
    </w:p>
    <w:p>
      <w:pPr>
        <w:pStyle w:val="FirstParagraph"/>
      </w:pPr>
      <w:r>
        <w:t xml:space="preserve">All materials (data, code and supporting information) are available on request (or alternatively can be found at</w:t>
      </w:r>
      <w:r>
        <w:t xml:space="preserve"> </w:t>
      </w:r>
      <w:hyperlink r:id="rId42">
        <w:r>
          <w:rPr>
            <w:rStyle w:val="Hyperlink"/>
          </w:rPr>
          <w:t xml:space="preserve">https://github.com/mcguinlu/data-availability-impact</w:t>
        </w:r>
      </w:hyperlink>
      <w:r>
        <w:t xml:space="preserve">, archived at time of submission on Zenodo (DOI: 10.5281/zenodo.3968301)).</w:t>
      </w:r>
    </w:p>
    <w:p>
      <w:pPr>
        <w:pStyle w:val="Heading2"/>
      </w:pPr>
      <w:bookmarkStart w:id="43" w:name="contributorship-statement"/>
      <w:r>
        <w:t xml:space="preserve">Contributorship statement</w:t>
      </w:r>
      <w:bookmarkEnd w:id="43"/>
    </w:p>
    <w:p>
      <w:pPr>
        <w:pStyle w:val="FirstParagraph"/>
      </w:pPr>
      <w:r>
        <w:rPr>
          <w:b/>
        </w:rPr>
        <w:t xml:space="preserve">CReditT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44" w:name="transparency-statement"/>
      <w:r>
        <w:t xml:space="preserve">Transparency statement</w:t>
      </w:r>
      <w:bookmarkEnd w:id="44"/>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45" w:name="acknowledgements"/>
      <w:r>
        <w:t xml:space="preserve">Acknowledgements</w:t>
      </w:r>
      <w:bookmarkEnd w:id="45"/>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pPr>
        <w:pStyle w:val="Heading2"/>
      </w:pPr>
      <w:bookmarkStart w:id="46" w:name="role-of-funders"/>
      <w:r>
        <w:t xml:space="preserve">Role of funders</w:t>
      </w:r>
      <w:bookmarkEnd w:id="46"/>
    </w:p>
    <w:p>
      <w:pPr>
        <w:pStyle w:val="FirstParagraph"/>
      </w:pPr>
      <w:r>
        <w:t xml:space="preserve">LAM is supported by an National Institute for Health Research (NIHR;</w:t>
      </w:r>
      <w:r>
        <w:t xml:space="preserve"> </w:t>
      </w:r>
      <w:hyperlink r:id="rId47">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p>
      <w:pPr>
        <w:pStyle w:val="Heading2"/>
      </w:pPr>
      <w:bookmarkStart w:id="48" w:name="competing-interest-statement"/>
      <w:r>
        <w:t xml:space="preserve">Competing interest statement</w:t>
      </w:r>
      <w:bookmarkEnd w:id="48"/>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p>
      <w:pPr>
        <w:pStyle w:val="Heading1"/>
      </w:pPr>
      <w:bookmarkStart w:id="49" w:name="references"/>
      <w:r>
        <w:t xml:space="preserve">References</w:t>
      </w:r>
      <w:bookmarkEnd w:id="49"/>
    </w:p>
    <w:bookmarkStart w:id="161" w:name="refs"/>
    <w:bookmarkStart w:id="51"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0">
        <w:r>
          <w:rPr>
            <w:rStyle w:val="Hyperlink"/>
          </w:rPr>
          <w:t xml:space="preserve">10.1136/bmj.k510</w:t>
        </w:r>
      </w:hyperlink>
    </w:p>
    <w:bookmarkEnd w:id="51"/>
    <w:bookmarkStart w:id="53"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52">
        <w:r>
          <w:rPr>
            <w:rStyle w:val="Hyperlink"/>
          </w:rPr>
          <w:t xml:space="preserve">10.1136/bmj.i255</w:t>
        </w:r>
      </w:hyperlink>
    </w:p>
    <w:bookmarkEnd w:id="53"/>
    <w:bookmarkStart w:id="55"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54">
        <w:r>
          <w:rPr>
            <w:rStyle w:val="Hyperlink"/>
          </w:rPr>
          <w:t xml:space="preserve">10.1136/bmj.h599</w:t>
        </w:r>
      </w:hyperlink>
    </w:p>
    <w:bookmarkEnd w:id="55"/>
    <w:bookmarkStart w:id="57"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56">
        <w:r>
          <w:rPr>
            <w:rStyle w:val="Hyperlink"/>
          </w:rPr>
          <w:t xml:space="preserve">10.1371/journal.pone.0194768</w:t>
        </w:r>
      </w:hyperlink>
    </w:p>
    <w:bookmarkEnd w:id="57"/>
    <w:bookmarkStart w:id="59" w:name="ref-nosek2015"/>
    <w:p>
      <w:pPr>
        <w:pStyle w:val="Bibliography"/>
      </w:pPr>
      <w:r>
        <w:t xml:space="preserve">5 Nosek BA, Alter G, Banks GC</w:t>
      </w:r>
      <w:r>
        <w:t xml:space="preserve"> </w:t>
      </w:r>
      <w:r>
        <w:rPr>
          <w:i/>
        </w:rPr>
        <w:t xml:space="preserve">et al.</w:t>
      </w:r>
      <w:r>
        <w:t xml:space="preserve"> </w:t>
      </w:r>
      <w:r>
        <w:t xml:space="preserve">Promoting an open research culture.</w:t>
      </w:r>
      <w:r>
        <w:t xml:space="preserve"> </w:t>
      </w:r>
      <w:r>
        <w:rPr>
          <w:i/>
        </w:rPr>
        <w:t xml:space="preserve">Science</w:t>
      </w:r>
      <w:r>
        <w:t xml:space="preserve"> </w:t>
      </w:r>
      <w:r>
        <w:t xml:space="preserve">2015;</w:t>
      </w:r>
      <w:r>
        <w:rPr>
          <w:b/>
        </w:rPr>
        <w:t xml:space="preserve">348</w:t>
      </w:r>
      <w:r>
        <w:t xml:space="preserve">:1422–5. doi:</w:t>
      </w:r>
      <w:hyperlink r:id="rId58">
        <w:r>
          <w:rPr>
            <w:rStyle w:val="Hyperlink"/>
          </w:rPr>
          <w:t xml:space="preserve">10.1126/science.aab2374</w:t>
        </w:r>
      </w:hyperlink>
    </w:p>
    <w:bookmarkEnd w:id="59"/>
    <w:bookmarkStart w:id="61" w:name="ref-naudet2018"/>
    <w:p>
      <w:pPr>
        <w:pStyle w:val="Bibliography"/>
      </w:pPr>
      <w:r>
        <w:t xml:space="preserve">6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0">
        <w:r>
          <w:rPr>
            <w:rStyle w:val="Hyperlink"/>
          </w:rPr>
          <w:t xml:space="preserve">10.1136/bmj.k400</w:t>
        </w:r>
      </w:hyperlink>
    </w:p>
    <w:bookmarkEnd w:id="61"/>
    <w:bookmarkStart w:id="63" w:name="ref-miyakawa2020"/>
    <w:p>
      <w:pPr>
        <w:pStyle w:val="Bibliography"/>
      </w:pPr>
      <w:r>
        <w:t xml:space="preserve">7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2">
        <w:r>
          <w:rPr>
            <w:rStyle w:val="Hyperlink"/>
          </w:rPr>
          <w:t xml:space="preserve">10.1186/s13041-020-0552-2</w:t>
        </w:r>
      </w:hyperlink>
    </w:p>
    <w:bookmarkEnd w:id="63"/>
    <w:bookmarkStart w:id="65" w:name="ref-krawczyk2012"/>
    <w:p>
      <w:pPr>
        <w:pStyle w:val="Bibliography"/>
      </w:pPr>
      <w:r>
        <w:t xml:space="preserve">8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64">
        <w:r>
          <w:rPr>
            <w:rStyle w:val="Hyperlink"/>
          </w:rPr>
          <w:t xml:space="preserve">10.1080/08989621.2012.678688</w:t>
        </w:r>
      </w:hyperlink>
    </w:p>
    <w:bookmarkEnd w:id="65"/>
    <w:bookmarkStart w:id="67" w:name="ref-vines2014"/>
    <w:p>
      <w:pPr>
        <w:pStyle w:val="Bibliography"/>
      </w:pPr>
      <w:r>
        <w:t xml:space="preserve">9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66">
        <w:r>
          <w:rPr>
            <w:rStyle w:val="Hyperlink"/>
          </w:rPr>
          <w:t xml:space="preserve">10.1016/j.cub.2013.11.014</w:t>
        </w:r>
      </w:hyperlink>
    </w:p>
    <w:bookmarkEnd w:id="67"/>
    <w:bookmarkStart w:id="69" w:name="ref-vasilevsky2017"/>
    <w:p>
      <w:pPr>
        <w:pStyle w:val="Bibliography"/>
      </w:pPr>
      <w:r>
        <w:t xml:space="preserve">10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68">
        <w:r>
          <w:rPr>
            <w:rStyle w:val="Hyperlink"/>
          </w:rPr>
          <w:t xml:space="preserve">10.7717/peerj.3208</w:t>
        </w:r>
      </w:hyperlink>
    </w:p>
    <w:bookmarkEnd w:id="69"/>
    <w:bookmarkStart w:id="71" w:name="ref-colavizza2020"/>
    <w:p>
      <w:pPr>
        <w:pStyle w:val="Bibliography"/>
      </w:pPr>
      <w:r>
        <w:t xml:space="preserve">11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0">
        <w:r>
          <w:rPr>
            <w:rStyle w:val="Hyperlink"/>
          </w:rPr>
          <w:t xml:space="preserve">10.1371/journal.pone.0230416</w:t>
        </w:r>
      </w:hyperlink>
    </w:p>
    <w:bookmarkEnd w:id="71"/>
    <w:bookmarkStart w:id="73" w:name="ref-roche2015"/>
    <w:p>
      <w:pPr>
        <w:pStyle w:val="Bibliography"/>
      </w:pPr>
      <w:r>
        <w:t xml:space="preserve">12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2">
        <w:r>
          <w:rPr>
            <w:rStyle w:val="Hyperlink"/>
          </w:rPr>
          <w:t xml:space="preserve">10.1371/journal.pbio.1002295</w:t>
        </w:r>
      </w:hyperlink>
    </w:p>
    <w:bookmarkEnd w:id="73"/>
    <w:bookmarkStart w:id="75" w:name="ref-tan2020"/>
    <w:p>
      <w:pPr>
        <w:pStyle w:val="Bibliography"/>
      </w:pPr>
      <w:r>
        <w:t xml:space="preserve">13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74">
        <w:r>
          <w:rPr>
            <w:rStyle w:val="Hyperlink"/>
          </w:rPr>
          <w:t xml:space="preserve">10.22541/au.159422974.49069472</w:t>
        </w:r>
      </w:hyperlink>
    </w:p>
    <w:bookmarkEnd w:id="75"/>
    <w:bookmarkStart w:id="77" w:name="ref-rawlinson2019a"/>
    <w:p>
      <w:pPr>
        <w:pStyle w:val="Bibliography"/>
      </w:pPr>
      <w:r>
        <w:t xml:space="preserve">14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76">
        <w:r>
          <w:rPr>
            <w:rStyle w:val="Hyperlink"/>
          </w:rPr>
          <w:t xml:space="preserve">10.1136/bmj.l2301</w:t>
        </w:r>
      </w:hyperlink>
    </w:p>
    <w:bookmarkEnd w:id="77"/>
    <w:bookmarkStart w:id="79" w:name="ref-fraser2020"/>
    <w:p>
      <w:pPr>
        <w:pStyle w:val="Bibliography"/>
      </w:pPr>
      <w:r>
        <w:t xml:space="preserve">15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78">
        <w:r>
          <w:rPr>
            <w:rStyle w:val="Hyperlink"/>
          </w:rPr>
          <w:t xml:space="preserve">10.1101/2020.05.22.111294</w:t>
        </w:r>
      </w:hyperlink>
    </w:p>
    <w:bookmarkEnd w:id="79"/>
    <w:bookmarkStart w:id="80" w:name="ref-mcguinness2020"/>
    <w:p>
      <w:pPr>
        <w:pStyle w:val="Bibliography"/>
      </w:pPr>
      <w:r>
        <w:t xml:space="preserve">16 McGuinness LA, Sheppard AL. Protocol for a descriptive analysis of the data availability statements accompanying medRxiv preprints. 2020.</w:t>
      </w:r>
    </w:p>
    <w:bookmarkEnd w:id="80"/>
    <w:bookmarkStart w:id="82" w:name="ref-wilkinson2016"/>
    <w:p>
      <w:pPr>
        <w:pStyle w:val="Bibliography"/>
      </w:pPr>
      <w:r>
        <w:t xml:space="preserve">17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81">
        <w:r>
          <w:rPr>
            <w:rStyle w:val="Hyperlink"/>
          </w:rPr>
          <w:t xml:space="preserve">10.1038/sdata.2016.18</w:t>
        </w:r>
      </w:hyperlink>
    </w:p>
    <w:bookmarkEnd w:id="82"/>
    <w:bookmarkStart w:id="84" w:name="ref-ehrlich2019"/>
    <w:p>
      <w:pPr>
        <w:pStyle w:val="Bibliography"/>
      </w:pPr>
      <w:r>
        <w:t xml:space="preserve">18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83">
        <w:r>
          <w:rPr>
            <w:rStyle w:val="Hyperlink"/>
          </w:rPr>
          <w:t xml:space="preserve">10.1101/19000273</w:t>
        </w:r>
      </w:hyperlink>
    </w:p>
    <w:bookmarkEnd w:id="84"/>
    <w:bookmarkStart w:id="86" w:name="ref-septiandri2019"/>
    <w:p>
      <w:pPr>
        <w:pStyle w:val="Bibliography"/>
      </w:pPr>
      <w:r>
        <w:t xml:space="preserve">19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85">
        <w:r>
          <w:rPr>
            <w:rStyle w:val="Hyperlink"/>
          </w:rPr>
          <w:t xml:space="preserve">10.1101/19000190</w:t>
        </w:r>
      </w:hyperlink>
    </w:p>
    <w:bookmarkEnd w:id="86"/>
    <w:bookmarkStart w:id="88" w:name="ref-solis2019"/>
    <w:p>
      <w:pPr>
        <w:pStyle w:val="Bibliography"/>
      </w:pPr>
      <w:r>
        <w:t xml:space="preserve">20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87">
        <w:r>
          <w:rPr>
            <w:rStyle w:val="Hyperlink"/>
          </w:rPr>
          <w:t xml:space="preserve">10.1101/19005504</w:t>
        </w:r>
      </w:hyperlink>
    </w:p>
    <w:bookmarkEnd w:id="88"/>
    <w:bookmarkStart w:id="90" w:name="ref-ebbeling2019"/>
    <w:p>
      <w:pPr>
        <w:pStyle w:val="Bibliography"/>
      </w:pPr>
      <w:r>
        <w:t xml:space="preserve">21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89">
        <w:r>
          <w:rPr>
            <w:rStyle w:val="Hyperlink"/>
          </w:rPr>
          <w:t xml:space="preserve">10.1101/19001248</w:t>
        </w:r>
      </w:hyperlink>
    </w:p>
    <w:bookmarkEnd w:id="90"/>
    <w:bookmarkStart w:id="92" w:name="ref-barry2020"/>
    <w:p>
      <w:pPr>
        <w:pStyle w:val="Bibliography"/>
      </w:pPr>
      <w:r>
        <w:t xml:space="preserve">22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91">
        <w:r>
          <w:rPr>
            <w:rStyle w:val="Hyperlink"/>
          </w:rPr>
          <w:t xml:space="preserve">10.1101/2020.04.08.20057927</w:t>
        </w:r>
      </w:hyperlink>
    </w:p>
    <w:bookmarkEnd w:id="92"/>
    <w:bookmarkStart w:id="94" w:name="ref-malpas2019"/>
    <w:p>
      <w:pPr>
        <w:pStyle w:val="Bibliography"/>
      </w:pPr>
      <w:r>
        <w:t xml:space="preserve">23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93">
        <w:r>
          <w:rPr>
            <w:rStyle w:val="Hyperlink"/>
          </w:rPr>
          <w:t xml:space="preserve">10.1101/19002063</w:t>
        </w:r>
      </w:hyperlink>
    </w:p>
    <w:bookmarkEnd w:id="94"/>
    <w:bookmarkStart w:id="96" w:name="ref-knuppel2019"/>
    <w:p>
      <w:pPr>
        <w:pStyle w:val="Bibliography"/>
      </w:pPr>
      <w:r>
        <w:t xml:space="preserve">24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95">
        <w:r>
          <w:rPr>
            <w:rStyle w:val="Hyperlink"/>
          </w:rPr>
          <w:t xml:space="preserve">10.1101/19003822</w:t>
        </w:r>
      </w:hyperlink>
    </w:p>
    <w:bookmarkEnd w:id="96"/>
    <w:bookmarkStart w:id="98" w:name="ref-thompson2019"/>
    <w:p>
      <w:pPr>
        <w:pStyle w:val="Bibliography"/>
      </w:pPr>
      <w:r>
        <w:t xml:space="preserve">25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97">
        <w:r>
          <w:rPr>
            <w:rStyle w:val="Hyperlink"/>
          </w:rPr>
          <w:t xml:space="preserve">10.1101/19005546</w:t>
        </w:r>
      </w:hyperlink>
    </w:p>
    <w:bookmarkEnd w:id="98"/>
    <w:bookmarkStart w:id="100" w:name="ref-moriarty2019a"/>
    <w:p>
      <w:pPr>
        <w:pStyle w:val="Bibliography"/>
      </w:pPr>
      <w:r>
        <w:t xml:space="preserve">26 Moriarty F, Ebell MH. A comparison of contemporary versus older studies of aspirin for primary prevention.</w:t>
      </w:r>
      <w:r>
        <w:t xml:space="preserve"> </w:t>
      </w:r>
      <w:r>
        <w:rPr>
          <w:i/>
        </w:rPr>
        <w:t xml:space="preserve">medRxiv</w:t>
      </w:r>
      <w:r>
        <w:t xml:space="preserve"> </w:t>
      </w:r>
      <w:r>
        <w:t xml:space="preserve">2019;19004267. doi:</w:t>
      </w:r>
      <w:hyperlink r:id="rId99">
        <w:r>
          <w:rPr>
            <w:rStyle w:val="Hyperlink"/>
          </w:rPr>
          <w:t xml:space="preserve">10.1101/19004267</w:t>
        </w:r>
      </w:hyperlink>
    </w:p>
    <w:bookmarkEnd w:id="100"/>
    <w:bookmarkStart w:id="102" w:name="ref-medrxivr"/>
    <w:p>
      <w:pPr>
        <w:pStyle w:val="Bibliography"/>
      </w:pPr>
      <w:r>
        <w:t xml:space="preserve">27 McGuinness LA, Schmidt L. Medrxivr: Accessing medRxiv data in r. 2020.</w:t>
      </w:r>
      <w:hyperlink r:id="rId101">
        <w:r>
          <w:rPr>
            <w:rStyle w:val="Hyperlink"/>
          </w:rPr>
          <w:t xml:space="preserve">https://github.com/mcguinlu/medrxivr</w:t>
        </w:r>
      </w:hyperlink>
    </w:p>
    <w:bookmarkEnd w:id="102"/>
    <w:bookmarkStart w:id="104" w:name="ref-rvest"/>
    <w:p>
      <w:pPr>
        <w:pStyle w:val="Bibliography"/>
      </w:pPr>
      <w:r>
        <w:t xml:space="preserve">28 Wickham H.</w:t>
      </w:r>
      <w:r>
        <w:t xml:space="preserve"> </w:t>
      </w:r>
      <w:r>
        <w:rPr>
          <w:i/>
        </w:rPr>
        <w:t xml:space="preserve">Rvest: Easily harvest (scrape) web pages</w:t>
      </w:r>
      <w:r>
        <w:t xml:space="preserve">. 2019.</w:t>
      </w:r>
      <w:r>
        <w:t xml:space="preserve"> </w:t>
      </w:r>
      <w:hyperlink r:id="rId103">
        <w:r>
          <w:rPr>
            <w:rStyle w:val="Hyperlink"/>
          </w:rPr>
          <w:t xml:space="preserve">https://CRAN.R-project.org/package=rvest</w:t>
        </w:r>
      </w:hyperlink>
    </w:p>
    <w:bookmarkEnd w:id="104"/>
    <w:bookmarkStart w:id="106" w:name="ref-rcrossref"/>
    <w:p>
      <w:pPr>
        <w:pStyle w:val="Bibliography"/>
      </w:pPr>
      <w:r>
        <w:t xml:space="preserve">29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105">
        <w:r>
          <w:rPr>
            <w:rStyle w:val="Hyperlink"/>
          </w:rPr>
          <w:t xml:space="preserve">https://CRAN.R-project.org/package=rcrossref</w:t>
        </w:r>
      </w:hyperlink>
    </w:p>
    <w:bookmarkEnd w:id="106"/>
    <w:bookmarkStart w:id="108" w:name="ref-base"/>
    <w:p>
      <w:pPr>
        <w:pStyle w:val="Bibliography"/>
      </w:pPr>
      <w:r>
        <w:t xml:space="preserve">30 R Core Team.</w:t>
      </w:r>
      <w:r>
        <w:t xml:space="preserve"> </w:t>
      </w:r>
      <w:r>
        <w:rPr>
          <w:i/>
        </w:rPr>
        <w:t xml:space="preserve">R: A language and environment for statistical computing</w:t>
      </w:r>
      <w:r>
        <w:t xml:space="preserve">. Vienna, Austria:: R Foundation for Statistical Computing 2019.</w:t>
      </w:r>
      <w:r>
        <w:t xml:space="preserve"> </w:t>
      </w:r>
      <w:hyperlink r:id="rId107">
        <w:r>
          <w:rPr>
            <w:rStyle w:val="Hyperlink"/>
          </w:rPr>
          <w:t xml:space="preserve">https://www.R-project.org/</w:t>
        </w:r>
      </w:hyperlink>
    </w:p>
    <w:bookmarkEnd w:id="108"/>
    <w:bookmarkStart w:id="110" w:name="ref-devtools"/>
    <w:p>
      <w:pPr>
        <w:pStyle w:val="Bibliography"/>
      </w:pPr>
      <w:r>
        <w:t xml:space="preserve">31 Wickham H, Hester J, Chang W.</w:t>
      </w:r>
      <w:r>
        <w:t xml:space="preserve"> </w:t>
      </w:r>
      <w:r>
        <w:rPr>
          <w:i/>
        </w:rPr>
        <w:t xml:space="preserve">Devtools: Tools to make developing r packages easier</w:t>
      </w:r>
      <w:r>
        <w:t xml:space="preserve">. 2019.</w:t>
      </w:r>
      <w:r>
        <w:t xml:space="preserve"> </w:t>
      </w:r>
      <w:hyperlink r:id="rId109">
        <w:r>
          <w:rPr>
            <w:rStyle w:val="Hyperlink"/>
          </w:rPr>
          <w:t xml:space="preserve">https://CRAN.R-project.org/package=devtools</w:t>
        </w:r>
      </w:hyperlink>
    </w:p>
    <w:bookmarkEnd w:id="110"/>
    <w:bookmarkStart w:id="112" w:name="ref-dplyr"/>
    <w:p>
      <w:pPr>
        <w:pStyle w:val="Bibliography"/>
      </w:pPr>
      <w:r>
        <w:t xml:space="preserve">32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111">
        <w:r>
          <w:rPr>
            <w:rStyle w:val="Hyperlink"/>
          </w:rPr>
          <w:t xml:space="preserve">https://CRAN.R-project.org/package=dplyr</w:t>
        </w:r>
      </w:hyperlink>
    </w:p>
    <w:bookmarkEnd w:id="112"/>
    <w:bookmarkStart w:id="114" w:name="ref-flextable"/>
    <w:p>
      <w:pPr>
        <w:pStyle w:val="Bibliography"/>
      </w:pPr>
      <w:r>
        <w:t xml:space="preserve">33 Gohel D.</w:t>
      </w:r>
      <w:r>
        <w:t xml:space="preserve"> </w:t>
      </w:r>
      <w:r>
        <w:rPr>
          <w:i/>
        </w:rPr>
        <w:t xml:space="preserve">Flextable: Functions for tabular reporting</w:t>
      </w:r>
      <w:r>
        <w:t xml:space="preserve">. 2020.</w:t>
      </w:r>
      <w:r>
        <w:t xml:space="preserve"> </w:t>
      </w:r>
      <w:hyperlink r:id="rId113">
        <w:r>
          <w:rPr>
            <w:rStyle w:val="Hyperlink"/>
          </w:rPr>
          <w:t xml:space="preserve">https://CRAN.R-project.org/package=flextable</w:t>
        </w:r>
      </w:hyperlink>
    </w:p>
    <w:bookmarkEnd w:id="114"/>
    <w:bookmarkStart w:id="116" w:name="ref-ggplot2"/>
    <w:p>
      <w:pPr>
        <w:pStyle w:val="Bibliography"/>
      </w:pPr>
      <w:r>
        <w:t xml:space="preserve">34 Wickham H.</w:t>
      </w:r>
      <w:r>
        <w:t xml:space="preserve"> </w:t>
      </w:r>
      <w:r>
        <w:rPr>
          <w:i/>
        </w:rPr>
        <w:t xml:space="preserve">Ggplot2: Elegant graphics for data analysis</w:t>
      </w:r>
      <w:r>
        <w:t xml:space="preserve">. Springer-Verlag New York 2016.</w:t>
      </w:r>
      <w:r>
        <w:t xml:space="preserve"> </w:t>
      </w:r>
      <w:hyperlink r:id="rId115">
        <w:r>
          <w:rPr>
            <w:rStyle w:val="Hyperlink"/>
          </w:rPr>
          <w:t xml:space="preserve">https://ggplot2.tidyverse.org</w:t>
        </w:r>
      </w:hyperlink>
    </w:p>
    <w:bookmarkEnd w:id="116"/>
    <w:bookmarkStart w:id="118" w:name="ref-grateful"/>
    <w:p>
      <w:pPr>
        <w:pStyle w:val="Bibliography"/>
      </w:pPr>
      <w:r>
        <w:t xml:space="preserve">35 Rodriguez-Sanchez F.</w:t>
      </w:r>
      <w:r>
        <w:t xml:space="preserve"> </w:t>
      </w:r>
      <w:r>
        <w:rPr>
          <w:i/>
        </w:rPr>
        <w:t xml:space="preserve">Grateful: Facilitate citation of r packages</w:t>
      </w:r>
      <w:r>
        <w:t xml:space="preserve">. 2018.</w:t>
      </w:r>
      <w:r>
        <w:t xml:space="preserve"> </w:t>
      </w:r>
      <w:hyperlink r:id="rId117">
        <w:r>
          <w:rPr>
            <w:rStyle w:val="Hyperlink"/>
          </w:rPr>
          <w:t xml:space="preserve">https://github.com/Pakillo/grateful</w:t>
        </w:r>
      </w:hyperlink>
    </w:p>
    <w:bookmarkEnd w:id="118"/>
    <w:bookmarkStart w:id="120" w:name="ref-here"/>
    <w:p>
      <w:pPr>
        <w:pStyle w:val="Bibliography"/>
      </w:pPr>
      <w:r>
        <w:t xml:space="preserve">36 Müller K.</w:t>
      </w:r>
      <w:r>
        <w:t xml:space="preserve"> </w:t>
      </w:r>
      <w:r>
        <w:rPr>
          <w:i/>
        </w:rPr>
        <w:t xml:space="preserve">Here: A simpler way to find your files</w:t>
      </w:r>
      <w:r>
        <w:t xml:space="preserve">. 2017.</w:t>
      </w:r>
      <w:r>
        <w:t xml:space="preserve"> </w:t>
      </w:r>
      <w:hyperlink r:id="rId119">
        <w:r>
          <w:rPr>
            <w:rStyle w:val="Hyperlink"/>
          </w:rPr>
          <w:t xml:space="preserve">https://CRAN.R-project.org/package=here</w:t>
        </w:r>
      </w:hyperlink>
    </w:p>
    <w:bookmarkEnd w:id="120"/>
    <w:bookmarkStart w:id="122" w:name="ref-irr"/>
    <w:p>
      <w:pPr>
        <w:pStyle w:val="Bibliography"/>
      </w:pPr>
      <w:r>
        <w:t xml:space="preserve">37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21">
        <w:r>
          <w:rPr>
            <w:rStyle w:val="Hyperlink"/>
          </w:rPr>
          <w:t xml:space="preserve">https://CRAN.R-project.org/package=irr</w:t>
        </w:r>
      </w:hyperlink>
    </w:p>
    <w:bookmarkEnd w:id="122"/>
    <w:bookmarkStart w:id="124" w:name="ref-officer"/>
    <w:p>
      <w:pPr>
        <w:pStyle w:val="Bibliography"/>
      </w:pPr>
      <w:r>
        <w:t xml:space="preserve">38 Gohel D.</w:t>
      </w:r>
      <w:r>
        <w:t xml:space="preserve"> </w:t>
      </w:r>
      <w:r>
        <w:rPr>
          <w:i/>
        </w:rPr>
        <w:t xml:space="preserve">Officer: Manipulation of microsoft word and powerpoint documents</w:t>
      </w:r>
      <w:r>
        <w:t xml:space="preserve">. 2020.</w:t>
      </w:r>
      <w:r>
        <w:t xml:space="preserve"> </w:t>
      </w:r>
      <w:hyperlink r:id="rId123">
        <w:r>
          <w:rPr>
            <w:rStyle w:val="Hyperlink"/>
          </w:rPr>
          <w:t xml:space="preserve">https://CRAN.R-project.org/package=officer</w:t>
        </w:r>
      </w:hyperlink>
    </w:p>
    <w:bookmarkEnd w:id="124"/>
    <w:bookmarkStart w:id="126" w:name="ref-patchwork"/>
    <w:p>
      <w:pPr>
        <w:pStyle w:val="Bibliography"/>
      </w:pPr>
      <w:r>
        <w:t xml:space="preserve">39 Pedersen TL.</w:t>
      </w:r>
      <w:r>
        <w:t xml:space="preserve"> </w:t>
      </w:r>
      <w:r>
        <w:rPr>
          <w:i/>
        </w:rPr>
        <w:t xml:space="preserve">Patchwork: The composer of plots</w:t>
      </w:r>
      <w:r>
        <w:t xml:space="preserve">. 2019.</w:t>
      </w:r>
      <w:r>
        <w:t xml:space="preserve"> </w:t>
      </w:r>
      <w:hyperlink r:id="rId125">
        <w:r>
          <w:rPr>
            <w:rStyle w:val="Hyperlink"/>
          </w:rPr>
          <w:t xml:space="preserve">https://CRAN.R-project.org/package=patchwork</w:t>
        </w:r>
      </w:hyperlink>
    </w:p>
    <w:bookmarkEnd w:id="126"/>
    <w:bookmarkStart w:id="128" w:name="ref-RColorBrewer"/>
    <w:p>
      <w:pPr>
        <w:pStyle w:val="Bibliography"/>
      </w:pPr>
      <w:r>
        <w:t xml:space="preserve">40 Neuwirth E.</w:t>
      </w:r>
      <w:r>
        <w:t xml:space="preserve"> </w:t>
      </w:r>
      <w:r>
        <w:rPr>
          <w:i/>
        </w:rPr>
        <w:t xml:space="preserve">RColorBrewer: ColorBrewer palettes</w:t>
      </w:r>
      <w:r>
        <w:t xml:space="preserve">. 2014.</w:t>
      </w:r>
      <w:r>
        <w:t xml:space="preserve"> </w:t>
      </w:r>
      <w:hyperlink r:id="rId127">
        <w:r>
          <w:rPr>
            <w:rStyle w:val="Hyperlink"/>
          </w:rPr>
          <w:t xml:space="preserve">https://CRAN.R-project.org/package=RColorBrewer</w:t>
        </w:r>
      </w:hyperlink>
    </w:p>
    <w:bookmarkEnd w:id="128"/>
    <w:bookmarkStart w:id="129" w:name="ref-rio"/>
    <w:p>
      <w:pPr>
        <w:pStyle w:val="Bibliography"/>
      </w:pPr>
      <w:r>
        <w:t xml:space="preserve">41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29"/>
    <w:bookmarkStart w:id="131" w:name="ref-stringr"/>
    <w:p>
      <w:pPr>
        <w:pStyle w:val="Bibliography"/>
      </w:pPr>
      <w:r>
        <w:t xml:space="preserve">42 Wickham H.</w:t>
      </w:r>
      <w:r>
        <w:t xml:space="preserve"> </w:t>
      </w:r>
      <w:r>
        <w:rPr>
          <w:i/>
        </w:rPr>
        <w:t xml:space="preserve">Stringr: Simple, consistent wrappers for common string operations</w:t>
      </w:r>
      <w:r>
        <w:t xml:space="preserve">. 2019.</w:t>
      </w:r>
      <w:r>
        <w:t xml:space="preserve"> </w:t>
      </w:r>
      <w:hyperlink r:id="rId130">
        <w:r>
          <w:rPr>
            <w:rStyle w:val="Hyperlink"/>
          </w:rPr>
          <w:t xml:space="preserve">https://CRAN.R-project.org/package=stringr</w:t>
        </w:r>
      </w:hyperlink>
    </w:p>
    <w:bookmarkEnd w:id="131"/>
    <w:bookmarkStart w:id="133" w:name="ref-tibble"/>
    <w:p>
      <w:pPr>
        <w:pStyle w:val="Bibliography"/>
      </w:pPr>
      <w:r>
        <w:t xml:space="preserve">43 Müller K, Wickham H.</w:t>
      </w:r>
      <w:r>
        <w:t xml:space="preserve"> </w:t>
      </w:r>
      <w:r>
        <w:rPr>
          <w:i/>
        </w:rPr>
        <w:t xml:space="preserve">Tibble: Simple data frames</w:t>
      </w:r>
      <w:r>
        <w:t xml:space="preserve">. 2019.</w:t>
      </w:r>
      <w:r>
        <w:t xml:space="preserve"> </w:t>
      </w:r>
      <w:hyperlink r:id="rId132">
        <w:r>
          <w:rPr>
            <w:rStyle w:val="Hyperlink"/>
          </w:rPr>
          <w:t xml:space="preserve">https://CRAN.R-project.org/package=tibble</w:t>
        </w:r>
      </w:hyperlink>
    </w:p>
    <w:bookmarkEnd w:id="133"/>
    <w:bookmarkStart w:id="134" w:name="ref-mchugh2012b"/>
    <w:p>
      <w:pPr>
        <w:pStyle w:val="Bibliography"/>
      </w:pPr>
      <w:r>
        <w:t xml:space="preserve">44 McHugh ML. Interrater reliability: The kappa statistic.</w:t>
      </w:r>
      <w:r>
        <w:t xml:space="preserve"> </w:t>
      </w:r>
      <w:r>
        <w:rPr>
          <w:i/>
        </w:rPr>
        <w:t xml:space="preserve">Biochemia Medica</w:t>
      </w:r>
      <w:r>
        <w:t xml:space="preserve"> </w:t>
      </w:r>
      <w:r>
        <w:t xml:space="preserve">2012;</w:t>
      </w:r>
      <w:r>
        <w:rPr>
          <w:b/>
        </w:rPr>
        <w:t xml:space="preserve">22</w:t>
      </w:r>
      <w:r>
        <w:t xml:space="preserve">:276–82.</w:t>
      </w:r>
    </w:p>
    <w:bookmarkEnd w:id="134"/>
    <w:bookmarkStart w:id="136" w:name="ref-chen2020"/>
    <w:p>
      <w:pPr>
        <w:pStyle w:val="Bibliography"/>
      </w:pPr>
      <w:r>
        <w:t xml:space="preserve">45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35">
        <w:r>
          <w:rPr>
            <w:rStyle w:val="Hyperlink"/>
          </w:rPr>
          <w:t xml:space="preserve">10.1101/2020.04.28.20082644</w:t>
        </w:r>
      </w:hyperlink>
    </w:p>
    <w:bookmarkEnd w:id="136"/>
    <w:bookmarkStart w:id="138" w:name="ref-hashmi2020"/>
    <w:p>
      <w:pPr>
        <w:pStyle w:val="Bibliography"/>
      </w:pPr>
      <w:r>
        <w:t xml:space="preserve">46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37">
        <w:r>
          <w:rPr>
            <w:rStyle w:val="Hyperlink"/>
          </w:rPr>
          <w:t xml:space="preserve">10.1101/2020.04.22.20071555</w:t>
        </w:r>
      </w:hyperlink>
    </w:p>
    <w:bookmarkEnd w:id="138"/>
    <w:bookmarkStart w:id="140" w:name="ref-peng2020"/>
    <w:p>
      <w:pPr>
        <w:pStyle w:val="Bibliography"/>
      </w:pPr>
      <w:r>
        <w:t xml:space="preserve">47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39">
        <w:r>
          <w:rPr>
            <w:rStyle w:val="Hyperlink"/>
          </w:rPr>
          <w:t xml:space="preserve">10.1101/2020.02.21.20026179</w:t>
        </w:r>
      </w:hyperlink>
    </w:p>
    <w:bookmarkEnd w:id="140"/>
    <w:bookmarkStart w:id="142" w:name="ref-martin2019"/>
    <w:p>
      <w:pPr>
        <w:pStyle w:val="Bibliography"/>
      </w:pPr>
      <w:r>
        <w:t xml:space="preserve">48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1">
        <w:r>
          <w:rPr>
            <w:rStyle w:val="Hyperlink"/>
          </w:rPr>
          <w:t xml:space="preserve">10.1101/2019.12.12.19014555</w:t>
        </w:r>
      </w:hyperlink>
    </w:p>
    <w:bookmarkEnd w:id="142"/>
    <w:bookmarkStart w:id="144" w:name="ref-martin2020"/>
    <w:p>
      <w:pPr>
        <w:pStyle w:val="Bibliography"/>
      </w:pPr>
      <w:r>
        <w:t xml:space="preserve">49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3">
        <w:r>
          <w:rPr>
            <w:rStyle w:val="Hyperlink"/>
          </w:rPr>
          <w:t xml:space="preserve">10.1038/s41398-020-0821-y</w:t>
        </w:r>
      </w:hyperlink>
    </w:p>
    <w:bookmarkEnd w:id="144"/>
    <w:bookmarkStart w:id="146" w:name="ref-hair2019"/>
    <w:p>
      <w:pPr>
        <w:pStyle w:val="Bibliography"/>
      </w:pPr>
      <w:r>
        <w:t xml:space="preserve">50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45">
        <w:r>
          <w:rPr>
            <w:rStyle w:val="Hyperlink"/>
          </w:rPr>
          <w:t xml:space="preserve">10.1186/s41073-019-0069-3</w:t>
        </w:r>
      </w:hyperlink>
    </w:p>
    <w:bookmarkEnd w:id="146"/>
    <w:bookmarkStart w:id="148" w:name="ref-kilkenny2010"/>
    <w:p>
      <w:pPr>
        <w:pStyle w:val="Bibliography"/>
      </w:pPr>
      <w:r>
        <w:t xml:space="preserve">51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47">
        <w:r>
          <w:rPr>
            <w:rStyle w:val="Hyperlink"/>
          </w:rPr>
          <w:t xml:space="preserve">10.1371/journal.pbio.1000412</w:t>
        </w:r>
      </w:hyperlink>
    </w:p>
    <w:bookmarkEnd w:id="148"/>
    <w:bookmarkStart w:id="150" w:name="ref-goldacre2019"/>
    <w:p>
      <w:pPr>
        <w:pStyle w:val="Bibliography"/>
      </w:pPr>
      <w:r>
        <w:t xml:space="preserve">52 Goldacre B, Morton CE, DeVito NJ. Why researchers should share their analytic code.</w:t>
      </w:r>
      <w:r>
        <w:t xml:space="preserve"> </w:t>
      </w:r>
      <w:r>
        <w:rPr>
          <w:i/>
        </w:rPr>
        <w:t xml:space="preserve">BMJ</w:t>
      </w:r>
      <w:r>
        <w:t xml:space="preserve"> </w:t>
      </w:r>
      <w:r>
        <w:t xml:space="preserve">2019;l6365. doi:</w:t>
      </w:r>
      <w:hyperlink r:id="rId149">
        <w:r>
          <w:rPr>
            <w:rStyle w:val="Hyperlink"/>
          </w:rPr>
          <w:t xml:space="preserve">10.1136/bmj.l6365</w:t>
        </w:r>
      </w:hyperlink>
    </w:p>
    <w:bookmarkEnd w:id="150"/>
    <w:bookmarkStart w:id="152" w:name="ref-eglen2017"/>
    <w:p>
      <w:pPr>
        <w:pStyle w:val="Bibliography"/>
      </w:pPr>
      <w:r>
        <w:t xml:space="preserve">53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1">
        <w:r>
          <w:rPr>
            <w:rStyle w:val="Hyperlink"/>
          </w:rPr>
          <w:t xml:space="preserve">10.1038/nn.4550</w:t>
        </w:r>
      </w:hyperlink>
    </w:p>
    <w:bookmarkEnd w:id="152"/>
    <w:bookmarkStart w:id="154" w:name="ref-culina2020"/>
    <w:p>
      <w:pPr>
        <w:pStyle w:val="Bibliography"/>
      </w:pPr>
      <w:r>
        <w:t xml:space="preserve">54 Culina A, van den Berg I, Evans S</w:t>
      </w:r>
      <w:r>
        <w:t xml:space="preserve"> </w:t>
      </w:r>
      <w:r>
        <w:rPr>
          <w:i/>
        </w:rPr>
        <w:t xml:space="preserve">et al.</w:t>
      </w:r>
      <w:r>
        <w:t xml:space="preserve"> </w:t>
      </w:r>
      <w:r>
        <w:t xml:space="preserve">Low availability of code in ecology: A call for urgent action.</w:t>
      </w:r>
      <w:r>
        <w:t xml:space="preserve"> </w:t>
      </w:r>
      <w:r>
        <w:rPr>
          <w:i/>
        </w:rPr>
        <w:t xml:space="preserve">PLOS Biology</w:t>
      </w:r>
      <w:r>
        <w:t xml:space="preserve"> </w:t>
      </w:r>
      <w:r>
        <w:t xml:space="preserve">2020;</w:t>
      </w:r>
      <w:r>
        <w:rPr>
          <w:b/>
        </w:rPr>
        <w:t xml:space="preserve">18</w:t>
      </w:r>
      <w:r>
        <w:t xml:space="preserve">:e3000763. doi:</w:t>
      </w:r>
      <w:hyperlink r:id="rId153">
        <w:r>
          <w:rPr>
            <w:rStyle w:val="Hyperlink"/>
          </w:rPr>
          <w:t xml:space="preserve">10.1371/journal.pbio.3000763</w:t>
        </w:r>
      </w:hyperlink>
    </w:p>
    <w:bookmarkEnd w:id="154"/>
    <w:bookmarkStart w:id="156" w:name="ref-goodhill2014"/>
    <w:p>
      <w:pPr>
        <w:pStyle w:val="Bibliography"/>
      </w:pPr>
      <w:r>
        <w:t xml:space="preserve">55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5">
        <w:r>
          <w:rPr>
            <w:rStyle w:val="Hyperlink"/>
          </w:rPr>
          <w:t xml:space="preserve">10.1038/509033b</w:t>
        </w:r>
      </w:hyperlink>
    </w:p>
    <w:bookmarkEnd w:id="156"/>
    <w:bookmarkStart w:id="158" w:name="ref-courbier2019"/>
    <w:p>
      <w:pPr>
        <w:pStyle w:val="Bibliography"/>
      </w:pPr>
      <w:r>
        <w:t xml:space="preserve">56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57">
        <w:r>
          <w:rPr>
            <w:rStyle w:val="Hyperlink"/>
          </w:rPr>
          <w:t xml:space="preserve">10.1186/s13023-019-1123-4</w:t>
        </w:r>
      </w:hyperlink>
    </w:p>
    <w:bookmarkEnd w:id="158"/>
    <w:bookmarkStart w:id="160" w:name="ref-sanchez-tojar"/>
    <w:p>
      <w:pPr>
        <w:pStyle w:val="Bibliography"/>
      </w:pPr>
      <w:r>
        <w:t xml:space="preserve">57 Sánchez-Tójar A, Lagisz M, Moran NP</w:t>
      </w:r>
      <w:r>
        <w:t xml:space="preserve"> </w:t>
      </w:r>
      <w:r>
        <w:rPr>
          <w:i/>
        </w:rPr>
        <w:t xml:space="preserve">et al.</w:t>
      </w:r>
      <w:r>
        <w:t xml:space="preserve"> </w:t>
      </w:r>
      <w:r>
        <w:t xml:space="preserve">The jury is still out regarding the generality of adaptive ‘transgenerational’ effects.</w:t>
      </w:r>
      <w:r>
        <w:t xml:space="preserve"> </w:t>
      </w:r>
      <w:r>
        <w:rPr>
          <w:i/>
        </w:rPr>
        <w:t xml:space="preserve">Ecology Letters</w:t>
      </w:r>
      <w:r>
        <w:t xml:space="preserve">;</w:t>
      </w:r>
      <w:r>
        <w:rPr>
          <w:b/>
        </w:rPr>
        <w:t xml:space="preserve">n/a</w:t>
      </w:r>
      <w:r>
        <w:t xml:space="preserve">. doi:</w:t>
      </w:r>
      <w:hyperlink r:id="rId159">
        <w:r>
          <w:rPr>
            <w:rStyle w:val="Hyperlink"/>
          </w:rPr>
          <w:t xml:space="preserve">10.1111/ele.13479</w:t>
        </w:r>
      </w:hyperlink>
    </w:p>
    <w:bookmarkEnd w:id="160"/>
    <w:bookmarkEnd w:id="161"/>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127" Target="https://CRAN.R-project.org/package=RColorBrewer" TargetMode="External" /><Relationship Type="http://schemas.openxmlformats.org/officeDocument/2006/relationships/hyperlink" Id="rId109" Target="https://CRAN.R-project.org/package=devtools" TargetMode="External" /><Relationship Type="http://schemas.openxmlformats.org/officeDocument/2006/relationships/hyperlink" Id="rId111" Target="https://CRAN.R-project.org/package=dplyr" TargetMode="External" /><Relationship Type="http://schemas.openxmlformats.org/officeDocument/2006/relationships/hyperlink" Id="rId113" Target="https://CRAN.R-project.org/package=flextable" TargetMode="External" /><Relationship Type="http://schemas.openxmlformats.org/officeDocument/2006/relationships/hyperlink" Id="rId119" Target="https://CRAN.R-project.org/package=here" TargetMode="External" /><Relationship Type="http://schemas.openxmlformats.org/officeDocument/2006/relationships/hyperlink" Id="rId121" Target="https://CRAN.R-project.org/package=irr" TargetMode="External" /><Relationship Type="http://schemas.openxmlformats.org/officeDocument/2006/relationships/hyperlink" Id="rId123" Target="https://CRAN.R-project.org/package=officer" TargetMode="External" /><Relationship Type="http://schemas.openxmlformats.org/officeDocument/2006/relationships/hyperlink" Id="rId125" Target="https://CRAN.R-project.org/package=patchwork" TargetMode="External" /><Relationship Type="http://schemas.openxmlformats.org/officeDocument/2006/relationships/hyperlink" Id="rId105" Target="https://CRAN.R-project.org/package=rcrossref" TargetMode="External" /><Relationship Type="http://schemas.openxmlformats.org/officeDocument/2006/relationships/hyperlink" Id="rId103" Target="https://CRAN.R-project.org/package=rvest" TargetMode="External" /><Relationship Type="http://schemas.openxmlformats.org/officeDocument/2006/relationships/hyperlink" Id="rId130" Target="https://CRAN.R-project.org/package=stringr" TargetMode="External" /><Relationship Type="http://schemas.openxmlformats.org/officeDocument/2006/relationships/hyperlink" Id="rId13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81"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85" Target="https://doi.org/10.1101/19000190" TargetMode="External" /><Relationship Type="http://schemas.openxmlformats.org/officeDocument/2006/relationships/hyperlink" Id="rId83" Target="https://doi.org/10.1101/19000273" TargetMode="External" /><Relationship Type="http://schemas.openxmlformats.org/officeDocument/2006/relationships/hyperlink" Id="rId89" Target="https://doi.org/10.1101/19001248" TargetMode="External" /><Relationship Type="http://schemas.openxmlformats.org/officeDocument/2006/relationships/hyperlink" Id="rId93" Target="https://doi.org/10.1101/19002063" TargetMode="External" /><Relationship Type="http://schemas.openxmlformats.org/officeDocument/2006/relationships/hyperlink" Id="rId95" Target="https://doi.org/10.1101/19003822" TargetMode="External" /><Relationship Type="http://schemas.openxmlformats.org/officeDocument/2006/relationships/hyperlink" Id="rId99" Target="https://doi.org/10.1101/19004267" TargetMode="External" /><Relationship Type="http://schemas.openxmlformats.org/officeDocument/2006/relationships/hyperlink" Id="rId87" Target="https://doi.org/10.1101/19005504" TargetMode="External" /><Relationship Type="http://schemas.openxmlformats.org/officeDocument/2006/relationships/hyperlink" Id="rId97"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91"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115" Target="https://ggplot2.tidyverse.org" TargetMode="External" /><Relationship Type="http://schemas.openxmlformats.org/officeDocument/2006/relationships/hyperlink" Id="rId117" Target="https://github.com/Pakillo/grateful" TargetMode="External" /><Relationship Type="http://schemas.openxmlformats.org/officeDocument/2006/relationships/hyperlink" Id="rId42" Target="https://github.com/mcguinlu/data-availability-impact" TargetMode="External" /><Relationship Type="http://schemas.openxmlformats.org/officeDocument/2006/relationships/hyperlink" Id="rId101" Target="https://github.com/mcguinlu/medrxivr" TargetMode="External" /><Relationship Type="http://schemas.openxmlformats.org/officeDocument/2006/relationships/hyperlink" Id="rId107" Target="https://www.R-project.org/" TargetMode="External" /><Relationship Type="http://schemas.openxmlformats.org/officeDocument/2006/relationships/hyperlink" Id="rId47" Target="https://www.nihr.ac.uk/"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27" Target="https://CRAN.R-project.org/package=RColorBrewer" TargetMode="External" /><Relationship Type="http://schemas.openxmlformats.org/officeDocument/2006/relationships/hyperlink" Id="rId109" Target="https://CRAN.R-project.org/package=devtools" TargetMode="External" /><Relationship Type="http://schemas.openxmlformats.org/officeDocument/2006/relationships/hyperlink" Id="rId111" Target="https://CRAN.R-project.org/package=dplyr" TargetMode="External" /><Relationship Type="http://schemas.openxmlformats.org/officeDocument/2006/relationships/hyperlink" Id="rId113" Target="https://CRAN.R-project.org/package=flextable" TargetMode="External" /><Relationship Type="http://schemas.openxmlformats.org/officeDocument/2006/relationships/hyperlink" Id="rId119" Target="https://CRAN.R-project.org/package=here" TargetMode="External" /><Relationship Type="http://schemas.openxmlformats.org/officeDocument/2006/relationships/hyperlink" Id="rId121" Target="https://CRAN.R-project.org/package=irr" TargetMode="External" /><Relationship Type="http://schemas.openxmlformats.org/officeDocument/2006/relationships/hyperlink" Id="rId123" Target="https://CRAN.R-project.org/package=officer" TargetMode="External" /><Relationship Type="http://schemas.openxmlformats.org/officeDocument/2006/relationships/hyperlink" Id="rId125" Target="https://CRAN.R-project.org/package=patchwork" TargetMode="External" /><Relationship Type="http://schemas.openxmlformats.org/officeDocument/2006/relationships/hyperlink" Id="rId105" Target="https://CRAN.R-project.org/package=rcrossref" TargetMode="External" /><Relationship Type="http://schemas.openxmlformats.org/officeDocument/2006/relationships/hyperlink" Id="rId103" Target="https://CRAN.R-project.org/package=rvest" TargetMode="External" /><Relationship Type="http://schemas.openxmlformats.org/officeDocument/2006/relationships/hyperlink" Id="rId130" Target="https://CRAN.R-project.org/package=stringr" TargetMode="External" /><Relationship Type="http://schemas.openxmlformats.org/officeDocument/2006/relationships/hyperlink" Id="rId13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81"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85" Target="https://doi.org/10.1101/19000190" TargetMode="External" /><Relationship Type="http://schemas.openxmlformats.org/officeDocument/2006/relationships/hyperlink" Id="rId83" Target="https://doi.org/10.1101/19000273" TargetMode="External" /><Relationship Type="http://schemas.openxmlformats.org/officeDocument/2006/relationships/hyperlink" Id="rId89" Target="https://doi.org/10.1101/19001248" TargetMode="External" /><Relationship Type="http://schemas.openxmlformats.org/officeDocument/2006/relationships/hyperlink" Id="rId93" Target="https://doi.org/10.1101/19002063" TargetMode="External" /><Relationship Type="http://schemas.openxmlformats.org/officeDocument/2006/relationships/hyperlink" Id="rId95" Target="https://doi.org/10.1101/19003822" TargetMode="External" /><Relationship Type="http://schemas.openxmlformats.org/officeDocument/2006/relationships/hyperlink" Id="rId99" Target="https://doi.org/10.1101/19004267" TargetMode="External" /><Relationship Type="http://schemas.openxmlformats.org/officeDocument/2006/relationships/hyperlink" Id="rId87" Target="https://doi.org/10.1101/19005504" TargetMode="External" /><Relationship Type="http://schemas.openxmlformats.org/officeDocument/2006/relationships/hyperlink" Id="rId97"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91"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115" Target="https://ggplot2.tidyverse.org" TargetMode="External" /><Relationship Type="http://schemas.openxmlformats.org/officeDocument/2006/relationships/hyperlink" Id="rId117" Target="https://github.com/Pakillo/grateful" TargetMode="External" /><Relationship Type="http://schemas.openxmlformats.org/officeDocument/2006/relationships/hyperlink" Id="rId42" Target="https://github.com/mcguinlu/data-availability-impact" TargetMode="External" /><Relationship Type="http://schemas.openxmlformats.org/officeDocument/2006/relationships/hyperlink" Id="rId101" Target="https://github.com/mcguinlu/medrxivr" TargetMode="External" /><Relationship Type="http://schemas.openxmlformats.org/officeDocument/2006/relationships/hyperlink" Id="rId107" Target="https://www.R-project.org/" TargetMode="External" /><Relationship Type="http://schemas.openxmlformats.org/officeDocument/2006/relationships/hyperlink" Id="rId47" Target="https://www.nihr.ac.uk/"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2020-09-21T09:23:22Z</dcterms:created>
  <dcterms:modified xsi:type="dcterms:W3CDTF">2020-09-21T09:23:22Z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