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5"/>
      </w:pPr>
      <w:bookmarkStart w:id="20" w:name="section"/>
      <w:bookmarkEnd w:id="20"/>
    </w:p>
    <w:p>
      <w:pPr>
        <w:pStyle w:val="Heading1"/>
      </w:pPr>
      <w:bookmarkStart w:id="21" w:name="supplementary-tables"/>
      <w:r>
        <w:t xml:space="preserve">Supplementary Tables</w:t>
      </w:r>
      <w:bookmarkEnd w:id="21"/>
    </w:p>
    <w:p>
      <w:pPr>
        <w:pStyle w:val="Heading2"/>
      </w:pPr>
      <w:bookmarkStart w:id="22" w:name="X22dec5ee22b58753ef73e845e08978291f7ba1b"/>
      <w:r>
        <w:t xml:space="preserve">ST 1: Change in data availability statement openness by preprint decision category and journal policy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Preprint decision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data policy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journals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records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preprint</w:t>
              <w:br/>
              <w:t xml:space="preserve"> %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publication</w:t>
              <w:br/>
              <w:t xml:space="preserve"> % (N)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Change from preprint to publication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More open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More closed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No change</w:t>
              <w:br/>
              <w:t xml:space="preserve"> (N)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(1) Data not made available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28.6% (2)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(2) Data available on request to authors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31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63.6% (7)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(3) Data will be made available in the future (link provided)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(4) Data will be made available in the future (no link provided)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75%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66.7% (2)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(5) Data available from central repository (access-controlled or open access), but insufficient detail available to find specific dataset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33.3% (5)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(6) Data available from central access-controlled repository, and sufficient details included to identify specific dataset e.g. via extract or accession ID or date stamp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(7) Data available in the manuscript/supplementary files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(9)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55.6%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(8)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(8) Data available via a online repository that is not access-controlled e.g. GitHub, Zenodo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60%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(11)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(11)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</w:tr>
    </w:tbl>
    <w:p>
      <w:pPr>
        <w:pStyle w:val="Heading5"/>
      </w:pPr>
      <w:bookmarkStart w:id="23" w:name="section-1"/>
      <w:bookmarkEnd w:id="23"/>
    </w:p>
    <w:p>
      <w:pPr>
        <w:pStyle w:val="Heading2"/>
      </w:pPr>
      <w:bookmarkStart w:id="24" w:name="X4f7578dbe358582482c9981bd4860269950b7ba"/>
      <w:r>
        <w:t xml:space="preserve">ST 2: Change in data availability statement openness by journal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data policy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records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preprint</w:t>
              <w:br/>
              <w:t xml:space="preserve"> %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publication</w:t>
              <w:br/>
              <w:t xml:space="preserve"> % (N)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Change from preprint to publication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More open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More closed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No change</w:t>
              <w:br/>
              <w:t xml:space="preserve"> (N)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Acta Neuropathologica Communications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Alzheimer's Research &amp; Therapy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Annals of the Rheumatic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Archives of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Asia-Pacific Journal of Ophthalmology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BMC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BMC Endocrine Disorders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BMC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BMC Ophthalmology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BMC Pediatrics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BMC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BMJ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BMJ Global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33.3%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BMJ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33.3%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33.3%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BMJ Open Quality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Cell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Cell Discovery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Clinical Epigenetics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Clinical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EBioMedicine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EClinicalMedicine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Egyptian Journal of Medical Human 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Epidemics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Epidemiology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ESMO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European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European Respiratory Journal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Eurosurveillance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Experimental Eye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F1000Research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75% (3)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Family Practice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Frontiers in Bioengineering and Biotechnology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Frontiers in Immunology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Frontiers in Integrative Neuroscience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Frontiers in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Frontiers in Neurology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Frontiers in Nutrition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Frontiers in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Frontiers in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Gates Open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Genetics in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Genome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Human Brain Mapping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Human Molecular 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Implementation Science Communications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International Journal of Behavioral Nutrition and Physical Activity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International Journal of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International Journal of Health Geographics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International Journal of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JAMA Network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Clinical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Clinical Pathology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Experimental Orthopaedics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Infection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Medical Internet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Neurology, Neurosurgery &amp;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Oncology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Pregnancy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The Royal Society Interface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Journal of Virology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mBio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Molecular &amp; Cellular Proteomics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Molecular Autism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Multiple Sclerosis Journal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Nature Machine Intelligence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Nature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NeuroImage: Clinical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Neurology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Neurology - Neuroimmunology Neuroinflammation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Occupational and Environmental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PeerJ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PLOS Computational Biology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PLOS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PLOS Neglected Tropical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PLOS ONE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41.9% (13)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67.7% (21)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PLOS Pathogens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Prostate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Psychiatry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Respiratory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Science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Scientific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Scientific Reports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16.7%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16.7%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Supportive Care in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Swiss Medical Weekly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The British Journal of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The Lancet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Translational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Vaccine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Does not require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Wellcome Open Research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Requires open data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(2)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100% (2)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</w:t>
            </w:r>
          </w:p>
        </w:tc>
      </w:tr>
    </w:tbl>
    <w:p>
      <w:pPr>
        <w:pStyle w:val="Heading5"/>
      </w:pPr>
      <w:bookmarkStart w:id="25" w:name="section-2"/>
      <w:bookmarkEnd w:id="25"/>
    </w:p>
    <w:p>
      <w:pPr>
        <w:pStyle w:val="Heading1"/>
      </w:pPr>
      <w:bookmarkStart w:id="26" w:name="supplementary-materials"/>
      <w:r>
        <w:t xml:space="preserve">Supplementary Materials</w:t>
      </w:r>
      <w:bookmarkEnd w:id="26"/>
    </w:p>
    <w:p>
      <w:pPr>
        <w:pStyle w:val="Heading2"/>
      </w:pPr>
      <w:bookmarkStart w:id="27" w:name="Xdb91a7735c2e6232113b2a6fd7a2818bd093a14"/>
      <w:r>
        <w:t xml:space="preserve">SM 1: decision examples for data availability statements meeting mutliple categories</w:t>
      </w:r>
      <w:bookmarkEnd w:id="27"/>
    </w:p>
    <w:p>
      <w:pPr>
        <w:pStyle w:val="FirstParagraph"/>
      </w:pPr>
      <w:r>
        <w:t xml:space="preserve">For items that met the criteria for multiple categories (e.g. </w:t>
      </w:r>
      <w:r>
        <w:t xml:space="preserve">“</w:t>
      </w:r>
      <w:r>
        <w:t xml:space="preserve">Most of the data analyzed in this manuscript are provided either within the manuscript itself, or in the manuscript posted by Sasani et al. on bioRxiv at</w:t>
      </w:r>
      <w:r>
        <w:t xml:space="preserve"> </w:t>
      </w:r>
      <w:hyperlink r:id="rId28">
        <w:r>
          <w:rPr>
            <w:rStyle w:val="Hyperlink"/>
          </w:rPr>
          <w:t xml:space="preserve">https://www.biorxiv.org/content/10.1101/552117v2</w:t>
        </w:r>
      </w:hyperlink>
      <w:r>
        <w:t xml:space="preserve"> </w:t>
      </w:r>
      <w:r>
        <w:t xml:space="preserve">and its accompanying links; additional data may be accessed by contacting the corresponding author (Dr. Cawthon).</w:t>
      </w:r>
      <w:r>
        <w:t xml:space="preserve">”</w:t>
      </w:r>
      <w:r>
        <w:t xml:space="preserve">), we took a conservative approach, and categorized them based on the least permissive aspect of the statement. This approach was taken on the basis that</w:t>
      </w:r>
      <w:r>
        <w:t xml:space="preserve"> </w:t>
      </w:r>
      <w:r>
        <w:rPr>
          <w:i/>
          <w:b/>
        </w:rPr>
        <w:t xml:space="preserve">all</w:t>
      </w:r>
      <w:r>
        <w:t xml:space="preserve"> </w:t>
      </w:r>
      <w:r>
        <w:t xml:space="preserve">data must be available - for example, in the above statement, the additional information that is available on request may be required in order to reproduce the analysis.</w:t>
      </w:r>
    </w:p>
    <w:sectPr w:rsidR="003A669F" w:rsidRPr="003A669F" w:rsidSect="00BC1A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72848"/>
    <w:pPr>
      <w:keepNext/>
      <w:keepLines/>
      <w:numPr>
        <w:numId w:val="24"/>
      </w:numPr>
      <w:spacing w:before="240"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Style1">
    <w:name w:val="Style1"/>
    <w:basedOn w:val="TableNormal"/>
    <w:uiPriority w:val="99"/>
    <w:rsid w:val="00B521C7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rsid w:val="00B52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8" Target="https://www.biorxiv.org/content/10.1101/552117v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biorxiv.org/content/10.1101/552117v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dcterms:created xsi:type="dcterms:W3CDTF">2020-07-31T08:52:52Z</dcterms:created>
  <dcterms:modified xsi:type="dcterms:W3CDTF">2020-07-31T08:52:52Z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ama.csl</vt:lpwstr>
  </property>
  <property fmtid="{D5CDD505-2E9C-101B-9397-08002B2CF9AE}" pid="4" name="output">
    <vt:lpwstr/>
  </property>
</Properties>
</file>