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8.png" ContentType="image/png"/>
  <Override PartName="/word/media/rId162.png" ContentType="image/png"/>
  <Override PartName="/word/media/rId189.png" ContentType="image/png"/>
  <Override PartName="/word/media/rId183.png" ContentType="image/png"/>
  <Override PartName="/word/media/rId185.png" ContentType="image/png"/>
  <Override PartName="/word/media/rId181.png" ContentType="image/png"/>
  <Override PartName="/word/media/rId191.png" ContentType="image/png"/>
  <Override PartName="/word/media/rId193.png" ContentType="image/png"/>
  <Override PartName="/word/media/rId187.png" ContentType="image/png"/>
  <Override PartName="/word/media/rId167.png" ContentType="image/png"/>
  <Override PartName="/word/media/rId200.png" ContentType="image/png"/>
  <Override PartName="/word/media/rId170.png" ContentType="image/png"/>
  <Override PartName="/word/media/rId195.png" ContentType="image/png"/>
  <Override PartName="/word/media/rId232.png" ContentType="image/png"/>
  <Override PartName="/word/media/rId216.png" ContentType="image/png"/>
  <Override PartName="/word/media/rId75.png" ContentType="image/png"/>
  <Override PartName="/word/media/rId628.png" ContentType="image/png"/>
  <Override PartName="/word/media/rId627.png" ContentType="image/png"/>
  <Override PartName="/word/media/rId67.png" ContentType="image/png"/>
  <Override PartName="/word/media/rId121.png" ContentType="image/png"/>
  <Override PartName="/word/media/rId129.png" ContentType="image/png"/>
  <Override PartName="/word/media/rId608.png" ContentType="image/png"/>
  <Override PartName="/word/media/rId607.png" ContentType="image/png"/>
  <Override PartName="/word/media/rId606.png" ContentType="image/png"/>
  <Override PartName="/word/media/rId609.png" ContentType="image/png"/>
  <Override PartName="/word/media/rId128.png" ContentType="image/png"/>
  <Override PartName="/word/media/rId125.png" ContentType="image/png"/>
  <Override PartName="/word/media/rId133.png" ContentType="image/png"/>
  <Override PartName="/word/media/rId130.png" ContentType="image/png"/>
  <Override PartName="/word/media/rId126.png" ContentType="image/png"/>
  <Override PartName="/word/media/rId134.png" ContentType="image/png"/>
  <Override PartName="/word/media/rId124.png" ContentType="image/png"/>
  <Override PartName="/word/media/rId144.png" ContentType="image/png"/>
  <Override PartName="/word/media/rId131.png" ContentType="image/png"/>
  <Override PartName="/word/media/rId146.png" ContentType="image/png"/>
  <Override PartName="/word/media/rId119.png" ContentType="image/png"/>
  <Override PartName="/word/media/rId1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32829</w:t>
      </w:r>
    </w:p>
    <w:p>
      <w:pPr>
        <w:pStyle w:val="BodyText"/>
      </w:pPr>
      <w:r>
        <w:t xml:space="preserve">Table words: 3092</w:t>
      </w:r>
    </w:p>
    <w:p>
      <w:pPr>
        <w:pStyle w:val="BodyText"/>
      </w:pPr>
      <w:r>
        <w:t xml:space="preserve">Days: 311</w:t>
      </w:r>
    </w:p>
    <w:p>
      <w:pPr>
        <w:pStyle w:val="BodyText"/>
      </w:pPr>
      <w:r>
        <w:t xml:space="preserve">Words behind: -2918</w:t>
      </w:r>
    </w:p>
    <w:p>
      <w:pPr>
        <w:pStyle w:val="BodyText"/>
      </w:pPr>
      <w:r>
        <w:t xml:space="preserve">Words today: 4882</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125c124b-084d-4a9f-be52-c35a92c89423" w:name="tab:diagnosticCriteria-table"/>
      <w:r>
        <w:t xml:space="preserve">Overview of the DSM-5 criteria for dementia and vascular dementia.[@edition2013diagnostic]</w:t>
      </w:r>
      <w:bookmarkEnd w:id="125c124b-084d-4a9f-be52-c35a92c8942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76</w:t>
        </w:r>
      </w:hyperlink>
      <w:r>
        <w:rPr>
          <w:vertAlign w:val="superscript"/>
        </w:rPr>
        <w:t xml:space="preserve">,</w:t>
      </w:r>
      <w:hyperlink w:anchor="ref-schalkwyk2020">
        <w:r>
          <w:rPr>
            <w:rStyle w:val="Hyperlink"/>
            <w:vertAlign w:val="superscript"/>
          </w:rPr>
          <w:t xml:space="preserve">77</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78</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79</w:t>
        </w:r>
      </w:hyperlink>
      <w:r>
        <w:rPr>
          <w:vertAlign w:val="superscript"/>
        </w:rPr>
        <w:t xml:space="preserve">,</w:t>
      </w:r>
      <w:hyperlink w:anchor="ref-nicholson2021">
        <w:r>
          <w:rPr>
            <w:rStyle w:val="Hyperlink"/>
            <w:vertAlign w:val="superscript"/>
          </w:rPr>
          <w:t xml:space="preserve">80</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78</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81</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82</w:t>
        </w:r>
      </w:hyperlink>
      <w:r>
        <w:rPr>
          <w:vertAlign w:val="superscript"/>
        </w:rPr>
        <w:t xml:space="preserve">,</w:t>
      </w:r>
      <w:hyperlink w:anchor="ref-mcguinness2018">
        <w:r>
          <w:rPr>
            <w:rStyle w:val="Hyperlink"/>
            <w:vertAlign w:val="superscript"/>
          </w:rPr>
          <w:t xml:space="preserve">83</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84</w:t>
        </w:r>
      </w:hyperlink>
      <w:r>
        <w:rPr>
          <w:vertAlign w:val="superscript"/>
        </w:rPr>
        <w:t xml:space="preserve">,</w:t>
      </w:r>
      <w:hyperlink w:anchor="ref-stewart1993">
        <w:r>
          <w:rPr>
            <w:rStyle w:val="Hyperlink"/>
            <w:vertAlign w:val="superscript"/>
          </w:rPr>
          <w:t xml:space="preserve">85</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84</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86</w:t>
        </w:r>
      </w:hyperlink>
      <w:r>
        <w:rPr>
          <w:vertAlign w:val="superscript"/>
        </w:rPr>
        <w:t xml:space="preserve">–</w:t>
      </w:r>
      <w:hyperlink w:anchor="ref-mccartney2016">
        <w:r>
          <w:rPr>
            <w:rStyle w:val="Hyperlink"/>
            <w:vertAlign w:val="superscript"/>
          </w:rPr>
          <w:t xml:space="preserve">88</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84</w:t>
        </w:r>
      </w:hyperlink>
      <w:r>
        <w:t xml:space="preserve"> </w:t>
      </w:r>
      <w:r>
        <w:t xml:space="preserve">In terms of this thesis, patient sex is considered to be of particular interest.</w:t>
      </w:r>
      <w:hyperlink w:anchor="ref-arain2009">
        <w:r>
          <w:rPr>
            <w:rStyle w:val="Hyperlink"/>
            <w:vertAlign w:val="superscript"/>
          </w:rPr>
          <w:t xml:space="preserve">86</w:t>
        </w:r>
      </w:hyperlink>
      <w:r>
        <w:rPr>
          <w:vertAlign w:val="superscript"/>
        </w:rPr>
        <w:t xml:space="preserve">,</w:t>
      </w:r>
      <w:hyperlink w:anchor="ref-letenneur1999">
        <w:r>
          <w:rPr>
            <w:rStyle w:val="Hyperlink"/>
            <w:vertAlign w:val="superscript"/>
          </w:rPr>
          <w:t xml:space="preserve">89</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91</w:t>
        </w:r>
      </w:hyperlink>
    </w:p>
    <w:p>
      <w:pPr>
        <w:pStyle w:val="BodyText"/>
      </w:pPr>
      <w:r>
        <w:t xml:space="preserve">Despite their advantages, IPD meta-analysis are rarely performed.</w:t>
      </w:r>
      <w:hyperlink w:anchor="ref-tugwell2010">
        <w:r>
          <w:rPr>
            <w:rStyle w:val="Hyperlink"/>
            <w:vertAlign w:val="superscript"/>
          </w:rPr>
          <w:t xml:space="preserve">92</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93</w:t>
        </w:r>
      </w:hyperlink>
      <w:r>
        <w:rPr>
          <w:vertAlign w:val="superscript"/>
        </w:rPr>
        <w:t xml:space="preserve">,</w:t>
      </w:r>
      <w:hyperlink w:anchor="ref-ventresca2020">
        <w:r>
          <w:rPr>
            <w:rStyle w:val="Hyperlink"/>
            <w:vertAlign w:val="superscript"/>
          </w:rPr>
          <w:t xml:space="preserve">94</w:t>
        </w:r>
      </w:hyperlink>
      <w:r>
        <w:t xml:space="preserve"> </w:t>
      </w:r>
      <w:r>
        <w:t xml:space="preserve">The data underlying primary studies are frequently not publicly available,</w:t>
      </w:r>
      <w:hyperlink w:anchor="ref-alsheikh-ali2011">
        <w:r>
          <w:rPr>
            <w:rStyle w:val="Hyperlink"/>
            <w:vertAlign w:val="superscript"/>
          </w:rPr>
          <w:t xml:space="preserve">95</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96</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97</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98</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9.9</w:t>
      </w:r>
      <w:r>
        <w:t xml:space="preserve"> </w:t>
      </w:r>
      <w:r>
        <w:t xml:space="preserve">for a discussion of the group’s involvement and Appendix</w:t>
      </w:r>
      <w:r>
        <w:t xml:space="preserve"> </w:t>
      </w:r>
      <w:r>
        <w:t xml:space="preserve">11.1.2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9</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9</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9.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12.2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11.1.1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99</w:t>
        </w:r>
      </w:hyperlink>
      <w:r>
        <w:t xml:space="preserve"> </w:t>
      </w:r>
      <w:r>
        <w:t xml:space="preserve">and bioRxiv</w:t>
      </w:r>
      <w:hyperlink w:anchor="ref-sever2019">
        <w:r>
          <w:rPr>
            <w:rStyle w:val="Hyperlink"/>
            <w:vertAlign w:val="superscript"/>
          </w:rPr>
          <w:t xml:space="preserve">100</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12.2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99</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101</w:t>
        </w:r>
      </w:hyperlink>
      <w:r>
        <w:rPr>
          <w:vertAlign w:val="superscript"/>
        </w:rPr>
        <w:t xml:space="preserve">,</w:t>
      </w:r>
      <w:hyperlink w:anchor="ref-gusenbauer2020">
        <w:r>
          <w:rPr>
            <w:rStyle w:val="Hyperlink"/>
            <w:vertAlign w:val="superscript"/>
          </w:rPr>
          <w:t xml:space="preserve">102</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108</w:t>
        </w:r>
      </w:hyperlink>
      <w:r>
        <w:rPr>
          <w:vertAlign w:val="superscript"/>
        </w:rPr>
        <w:t xml:space="preserve">,</w:t>
      </w:r>
      <w:hyperlink w:anchor="ref-laprie1992">
        <w:r>
          <w:rPr>
            <w:rStyle w:val="Hyperlink"/>
            <w:vertAlign w:val="superscript"/>
          </w:rPr>
          <w:t xml:space="preserve">109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109</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110</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5000 times), and several use cases have been reported. It has been used to investigate the role of preprints in the response to the 2019 coronavirus outbreak,</w:t>
      </w:r>
      <w:hyperlink w:anchor="ref-kodvanj2020">
        <w:r>
          <w:rPr>
            <w:rStyle w:val="Hyperlink"/>
            <w:vertAlign w:val="superscript"/>
          </w:rPr>
          <w:t xml:space="preserve">114</w:t>
        </w:r>
      </w:hyperlink>
      <w:r>
        <w:t xml:space="preserve"> </w:t>
      </w:r>
      <w:r>
        <w:t xml:space="preserve">perform searches of preprints as part of a systematic review,</w:t>
      </w:r>
      <w:hyperlink w:anchor="ref-noone2020">
        <w:r>
          <w:rPr>
            <w:rStyle w:val="Hyperlink"/>
            <w:vertAlign w:val="superscript"/>
          </w:rPr>
          <w:t xml:space="preserve">115</w:t>
        </w:r>
      </w:hyperlink>
      <w:r>
        <w:rPr>
          <w:vertAlign w:val="superscript"/>
        </w:rPr>
        <w:t xml:space="preserve">,</w:t>
      </w:r>
      <w:hyperlink w:anchor="ref-grassly2020">
        <w:r>
          <w:rPr>
            <w:rStyle w:val="Hyperlink"/>
            <w:vertAlign w:val="superscript"/>
          </w:rPr>
          <w:t xml:space="preserve">116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118</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12.4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119</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120</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11.2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121</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122</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55"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w:t>
      </w:r>
      <w:r>
        <w:t xml:space="preserve"> </w:t>
      </w:r>
      <w:r>
        <w:rPr>
          <w:rStyle w:val="VerbatimChar"/>
        </w:rPr>
        <w:t xml:space="preserve">n_included</w:t>
      </w:r>
      <w:r>
        <w:t xml:space="preserve"> </w:t>
      </w:r>
      <w:r>
        <w:t xml:space="preserve">primary studies 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synthesists but may contain important unpublished studies. As a sensitivity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9</w:t>
      </w:r>
      <w:r>
        <w:t xml:space="preserve">.</w:t>
      </w:r>
    </w:p>
    <w:p>
      <w:pPr>
        <w:pStyle w:val="BodyText"/>
      </w:pPr>
      <w:r>
        <w:t xml:space="preserve"> </w:t>
      </w:r>
      <w:r>
        <w:t xml:space="preserve"> </w:t>
      </w:r>
    </w:p>
    <w:bookmarkEnd w:id="91"/>
    <w:bookmarkStart w:id="116"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123</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reviewers and an information specialist (see Acknowledgments and Author declaration).</w:t>
      </w:r>
      <w:r>
        <w:t xml:space="preserve"> </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124</w:t>
        </w:r>
      </w:hyperlink>
      <w:r>
        <w:t xml:space="preserve"> </w:t>
      </w:r>
      <w:r>
        <w:t xml:space="preserve">the specific databases searched via this platform are listed in Appendix</w:t>
      </w:r>
      <w:r>
        <w:t xml:space="preserve"> </w:t>
      </w:r>
      <w:r>
        <w:t xml:space="preserve">11.3.2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11.3.1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11.3.1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11.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3</w:t>
      </w:r>
      <w:r>
        <w:t xml:space="preserve"> </w:t>
      </w:r>
      <w:r>
        <w:t xml:space="preserve">to identify potentially relevant preprinted studies (see Appendix</w:t>
      </w:r>
      <w:r>
        <w:t xml:space="preserve"> </w:t>
      </w:r>
      <w:r>
        <w:t xml:space="preserve">11.3.3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125</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126</w:t>
        </w:r>
      </w:hyperlink>
      <w:r>
        <w:t xml:space="preserve"> </w:t>
      </w:r>
      <w:r>
        <w:t xml:space="preserve">and Rayyan, a web-based screening application.</w:t>
      </w:r>
      <w:hyperlink w:anchor="ref-ouzzani2016">
        <w:r>
          <w:rPr>
            <w:rStyle w:val="Hyperlink"/>
            <w:vertAlign w:val="superscript"/>
          </w:rPr>
          <w:t xml:space="preserve">127</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records were rescreened by me with a 1 month lag to intra-rater consistency.</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82</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 and its subtypes.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screened for dementia at baseline and prevalent cases excluded.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w:t>
      </w:r>
      <w:hyperlink w:anchor="ref-organizationwho1993">
        <w:r>
          <w:rPr>
            <w:rStyle w:val="Hyperlink"/>
            <w:vertAlign w:val="superscript"/>
          </w:rPr>
          <w:t xml:space="preserve">128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129</w:t>
        </w:r>
      </w:hyperlink>
      <w:r>
        <w:t xml:space="preserve"> </w:t>
      </w:r>
      <w:r>
        <w:t xml:space="preserve">or Diagnostic and Statistical Manual of Mental Disorders (DSM) criteria.</w:t>
      </w:r>
      <w:hyperlink w:anchor="ref-edition2013">
        <w:r>
          <w:rPr>
            <w:rStyle w:val="Hyperlink"/>
            <w:vertAlign w:val="superscript"/>
          </w:rPr>
          <w:t xml:space="preserve">130</w:t>
        </w:r>
      </w:hyperlink>
      <w:r>
        <w:t xml:space="preserve"> </w:t>
      </w:r>
      <w:r>
        <w:t xml:space="preserve">Studies utilising electronic health records were the exception to this, as it was assumed that these criteria were used when entering the outcome into the EHR.</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Studies which presented no evidence of attempting to exclude prevalent cases from their analyses were also excluded. Studies that measure change in continuous cognitive measures (e.g. MoCA score) without attempt to map these scores to ordinal groups (e.g. no dementia/dementia) were excluded. Conference abstracts with no corresponding full-text publication were examined, and where required, I contacted authors to obtain information on the study’s status.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131</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131</w:t>
        </w:r>
      </w:hyperlink>
      <w:r>
        <w:t xml:space="preserve"> </w:t>
      </w:r>
      <w:r>
        <w:t xml:space="preserve">Given the small number of included studies in this review as a proportion of the total number screened, this is an important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134</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135</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8"/>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bookmarkStart w:id="99"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9"/>
    <w:bookmarkStart w:id="100"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136</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This was implemented in a systematic manner, with the raw group data being extracted and a cleaning script written to combine the groups for analysis.</w:t>
      </w:r>
    </w:p>
    <w:p>
      <w:pPr>
        <w:pStyle w:val="BodyText"/>
      </w:pPr>
      <w:r>
        <w:t xml:space="preserve"> </w:t>
      </w:r>
    </w:p>
    <w:bookmarkEnd w:id="100"/>
    <w:bookmarkStart w:id="101"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137</w:t>
        </w:r>
      </w:hyperlink>
    </w:p>
    <w:p>
      <w:pPr>
        <w:pStyle w:val="BodyText"/>
      </w:pPr>
      <w:r>
        <w:t xml:space="preserve"> </w:t>
      </w:r>
    </w:p>
    <w:bookmarkEnd w:id="102"/>
    <w:bookmarkStart w:id="103"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If the outcome is rare, as is the case for dementia outcomes at and estimated prevalence of odds and risk ratios approximate each other.</w:t>
      </w:r>
      <w:r>
        <w:t xml:space="preserve"> </w:t>
      </w:r>
      <w:r>
        <w:t xml:space="preserve">However, hazard ratios provide a very different interpretation, taking into account person-timea-at-risk in each treatment group. As such, different effect estimates can be one potential problem that precludes a meta-analysis of all studies.</w:t>
      </w:r>
      <w:hyperlink w:anchor="ref-mckenzie2019">
        <w:r>
          <w:rPr>
            <w:rStyle w:val="Hyperlink"/>
            <w:vertAlign w:val="superscript"/>
          </w:rPr>
          <w:t xml:space="preserve">138</w:t>
        </w:r>
      </w:hyperlink>
    </w:p>
    <w:p>
      <w:pPr>
        <w:pStyle w:val="BodyText"/>
      </w:pPr>
      <w:r>
        <w:t xml:space="preserve">Several existing reviews do not distinguish between the types of effect measures and include all existing studies in a single meta-analysis to produce an overall effect. In addition, there is some evidence of manipulation of effect estimates in previous reviews,(e.g. Chou, Sci Reports - at least one study disagrees with) but this is not accurately documented in the review text.</w:t>
      </w:r>
      <w:r>
        <w:t xml:space="preserve"> </w:t>
      </w:r>
    </w:p>
    <w:p>
      <w:pPr>
        <w:pStyle w:val="BodyText"/>
      </w:pPr>
      <w:r>
        <w:t xml:space="preserve">In this review, studies reporting hazard ratios were synthesised separately to those reporting odds/risk ratios.</w:t>
      </w:r>
    </w:p>
    <w:p>
      <w:pPr>
        <w:pStyle w:val="BodyText"/>
      </w:pPr>
      <w:r>
        <w:t xml:space="preserve"> </w:t>
      </w:r>
    </w:p>
    <w:bookmarkEnd w:id="103"/>
    <w:bookmarkEnd w:id="104"/>
    <w:bookmarkStart w:id="109" w:name="risk-of-bias"/>
    <w:p>
      <w:pPr>
        <w:pStyle w:val="Heading3"/>
      </w:pPr>
      <w:r>
        <w:t xml:space="preserve">Risk-of-bias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9.1.1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risk-of-bias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83</w:t>
        </w:r>
      </w:hyperlink>
      <w:r>
        <w:rPr>
          <w:vertAlign w:val="superscript"/>
        </w:rPr>
        <w:t xml:space="preserve">,</w:t>
      </w:r>
      <w:hyperlink w:anchor="ref-sterne2016">
        <w:r>
          <w:rPr>
            <w:rStyle w:val="Hyperlink"/>
            <w:vertAlign w:val="superscript"/>
          </w:rPr>
          <w:t xml:space="preserve">139</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140</w:t>
        </w:r>
      </w:hyperlink>
      <w:r>
        <w:rPr>
          <w:vertAlign w:val="superscript"/>
        </w:rPr>
        <w:t xml:space="preserve">,</w:t>
      </w:r>
      <w:hyperlink w:anchor="ref-juni2001">
        <w:r>
          <w:rPr>
            <w:rStyle w:val="Hyperlink"/>
            <w:vertAlign w:val="superscript"/>
          </w:rPr>
          <w:t xml:space="preserve">141</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and challenges in the comparison of results from different tools.</w:t>
      </w:r>
      <w:r>
        <w:t xml:space="preserve"> </w:t>
      </w:r>
      <w:r>
        <w:t xml:space="preserve"> </w:t>
      </w:r>
      <w:r>
        <w:t xml:space="preserve">As part of this shift, the community also moved from checklist or score based tools towards domain-based methods, in which different potential sources of bias in a study are assessed in order. Additionally, bias should be assessed at the result (defined as a a specific outcome at a specific timepoint) rather than the study level. For example, a study may report on the efficacy of an intervention at six months and two years follow-up. In this case, missing outcome data that is not an issue at six months may introduce bias at 2 year follow-up, and assigning a bias judgement to the study as a whole masks the different level of bias for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Randomized controlled trials were assessed using the RoB2 tool.</w:t>
      </w:r>
      <w:hyperlink w:anchor="ref-sterne2019">
        <w:r>
          <w:rPr>
            <w:rStyle w:val="Hyperlink"/>
            <w:vertAlign w:val="superscript"/>
          </w:rPr>
          <w:t xml:space="preserve">142</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139</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 studies should be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143</w:t>
        </w:r>
      </w:hyperlink>
      <w:r>
        <w:t xml:space="preserve"> </w:t>
      </w:r>
      <w:r>
        <w:t xml:space="preserve">but was insufficiently developed at the time the risk-of-bias assessments for this review were performed. Instead, I used a version of the ROBINS-I tool informed by the preliminary ROBINS-E tool (</w:t>
      </w:r>
      <w:r>
        <w:t xml:space="preserve">“</w:t>
      </w:r>
      <w:r>
        <w:t xml:space="preserve">Risk of Bias In Non-randomised Studies – of Exposure</w:t>
      </w:r>
      <w:r>
        <w:t xml:space="preserve">”</w:t>
      </w:r>
      <w:r>
        <w:t xml:space="preserve">), which I had applied in a published review.</w:t>
      </w:r>
      <w:hyperlink w:anchor="ref-french2019">
        <w:r>
          <w:rPr>
            <w:rStyle w:val="Hyperlink"/>
            <w:vertAlign w:val="superscript"/>
          </w:rPr>
          <w:t xml:space="preserve">144</w:t>
        </w:r>
      </w:hyperlink>
      <w:r>
        <w:t xml:space="preserve"> </w:t>
      </w:r>
      <w:r>
        <w:t xml:space="preserve">The version had no signalling questions and so judgements were made at the domain level. The motivation for this using this tool above other established tools such as the Newcastle-Ottowa scale (NOS).</w:t>
      </w:r>
      <w:hyperlink w:anchor="ref-wells2000">
        <w:r>
          <w:rPr>
            <w:rStyle w:val="Hyperlink"/>
            <w:vertAlign w:val="superscript"/>
          </w:rPr>
          <w:t xml:space="preserve">145</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146</w:t>
        </w:r>
      </w:hyperlink>
      <w:r>
        <w:t xml:space="preserve"> </w:t>
      </w:r>
      <w:r>
        <w:t xml:space="preserve">as identified by a review of risk-of-bias assessments in systematic reviews of Mendelian randomisation studies (advance results from this review were obtained from contact with the authors.).</w:t>
      </w:r>
      <w:r>
        <w:t xml:space="preserve"> </w:t>
      </w:r>
      <w:r>
        <w:t xml:space="preserve"> </w:t>
      </w:r>
      <w:r>
        <w:t xml:space="preserve">A copy of this tool is available in Appendix</w:t>
      </w:r>
      <w:r>
        <w:t xml:space="preserve"> </w:t>
      </w:r>
      <w:r>
        <w:t xml:space="preserve">11.3.5</w:t>
      </w:r>
      <w:r>
        <w:t xml:space="preserve">, but in summary, results were assessed for bias arising from weak instruments, genetic and other confounding, pleiotropy, and selection of participants.</w:t>
      </w:r>
    </w:p>
    <w:p>
      <w:pPr>
        <w:pStyle w:val="BodyText"/>
      </w:pPr>
      <w:r>
        <w:t xml:space="preserve"> </w:t>
      </w:r>
    </w:p>
    <w:bookmarkEnd w:id="107"/>
    <w:bookmarkStart w:id="108" w:name="methods-rob-m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hyperlink w:anchor="ref-zotero-15123">
        <w:r>
          <w:rPr>
            <w:rStyle w:val="Hyperlink"/>
            <w:vertAlign w:val="superscript"/>
          </w:rPr>
          <w:t xml:space="preserve">147</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w:t>
      </w:r>
    </w:p>
    <w:p>
      <w:pPr>
        <w:pStyle w:val="BodyText"/>
      </w:pPr>
      <w:r>
        <w:t xml:space="preserve">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9</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A random-effects meta-analysis model was employed to combine the different included studies.</w:t>
      </w:r>
      <w:r>
        <w:t xml:space="preserve"> </w:t>
      </w:r>
      <w:r>
        <w:t xml:space="preserve"> </w:t>
      </w:r>
      <w:r>
        <w:t xml:space="preserve">The fixed-effect method was implemented as:</w:t>
      </w:r>
    </w:p>
    <w:p>
      <w:pPr>
        <w:pStyle w:val="BodyText"/>
      </w:pPr>
      <w:r>
        <w:t xml:space="preserve">Results were stratified into subgroups on the basis of the overall risk of bias assessment, and summary estimates for each subgroup, in addition to an overall effect estimate, are displayed. Additional descriptive statistics are presented, while prediction intervals are shown as a dotted line around the overall effect estimate. Finally, a test subgroup differences between studies at different levels of risk of bias was performed (see subsequent Section</w:t>
      </w:r>
      <w:r>
        <w:t xml:space="preserve"> </w:t>
      </w:r>
      <w:r>
        <w:t xml:space="preserve">4.3.8.4</w:t>
      </w:r>
      <w:r>
        <w:t xml:space="preserve">).</w:t>
      </w:r>
    </w:p>
    <w:p>
      <w:pPr>
        <w:pStyle w:val="BodyText"/>
      </w:pPr>
      <w:r>
        <w:t xml:space="preserve">[Do I need to include]</w:t>
      </w:r>
    </w:p>
    <w:p>
      <w:pPr>
        <w:pStyle w:val="BodyText"/>
      </w:pPr>
      <w:r>
        <w:t xml:space="preserve">Random-effects analyses assume that differences in study design and execution mean that the study effects are normally distributed around a common treatment effect (</w:t>
      </w:r>
      <m:oMath>
        <m:r>
          <m:t>μ</m:t>
        </m:r>
      </m:oMath>
      <w:r>
        <w:t xml:space="preserve">) with a variance of</w:t>
      </w:r>
      <w:r>
        <w:t xml:space="preserve"> </w:t>
      </w:r>
      <m:oMath>
        <m:sSup>
          <m:e>
            <m:r>
              <m:t>τ</m:t>
            </m:r>
          </m:e>
          <m:sup>
            <m:r>
              <m:t>2</m:t>
            </m:r>
          </m:sup>
        </m:sSup>
      </m:oMath>
    </w:p>
    <w:p>
      <w:pPr>
        <w:pStyle w:val="BodyText"/>
      </w:pPr>
      <m:oMathPara>
        <m:oMathParaPr>
          <m:jc m:val="center"/>
        </m:oMathParaPr>
        <m:oMath>
          <m:sSub>
            <m:e>
              <m:r>
                <m:t>θ</m:t>
              </m:r>
            </m:e>
            <m:sub>
              <m:r>
                <m:t>i</m:t>
              </m:r>
            </m:sub>
          </m:sSub>
          <m:r>
            <m:rPr>
              <m:sty m:val="p"/>
            </m:rPr>
            <m:t>∼</m:t>
          </m:r>
          <m:r>
            <m:rPr>
              <m:sty m:val="p"/>
              <m:scr m:val="script"/>
            </m:rPr>
            <m:t>N</m:t>
          </m:r>
          <m:r>
            <m:rPr>
              <m:sty m:val="p"/>
            </m:rPr>
            <m:t>(</m:t>
          </m:r>
          <m:r>
            <m:t>μ</m:t>
          </m:r>
          <m:r>
            <m:rPr>
              <m:sty m:val="p"/>
            </m:rPr>
            <m:t>,</m:t>
          </m:r>
          <m:sSup>
            <m:e>
              <m:r>
                <m:t>τ</m:t>
              </m:r>
            </m:e>
            <m:sup>
              <m:r>
                <m:t>2</m:t>
              </m:r>
            </m:sup>
          </m:sSup>
          <m:r>
            <m:rPr>
              <m:sty m:val="p"/>
            </m:rPr>
            <m:t>)</m:t>
          </m:r>
          <m:r>
            <m:t>  </m:t>
          </m:r>
          <m:r>
            <m:rPr>
              <m:sty m:val="p"/>
            </m:rPr>
            <m:t>(</m:t>
          </m:r>
          <m:r>
            <m:t>6</m:t>
          </m:r>
          <m:r>
            <m:rPr>
              <m:sty m:val="p"/>
            </m:rPr>
            <m:t>)</m:t>
          </m:r>
        </m:oMath>
      </m:oMathPara>
    </w:p>
    <w:p>
      <w:pPr>
        <w:pStyle w:val="FirstParagraph"/>
      </w:pPr>
      <w:r>
        <w:t xml:space="preserve">Random-effects methods estimate</w:t>
      </w:r>
      <w:r>
        <w:t xml:space="preserve"> </w:t>
      </w:r>
      <m:oMath>
        <m:sSup>
          <m:e>
            <m:r>
              <m:t>τ</m:t>
            </m:r>
          </m:e>
          <m:sup>
            <m:r>
              <m:t>2</m:t>
            </m:r>
          </m:sup>
        </m:sSup>
      </m:oMath>
      <w:r>
        <w:t xml:space="preserve"> </w:t>
      </w:r>
      <w:r>
        <w:t xml:space="preserve">to estimate the common effect (</w:t>
      </w:r>
      <m:oMath>
        <m:r>
          <m:t>μ</m:t>
        </m:r>
      </m:oMath>
      <w:r>
        <w:t xml:space="preserve">). There are many estimators of</w:t>
      </w:r>
      <w:r>
        <w:t xml:space="preserve"> </w:t>
      </w:r>
      <m:oMath>
        <m:sSup>
          <m:e>
            <m:r>
              <m:t>τ</m:t>
            </m:r>
          </m:e>
          <m:sup>
            <m:r>
              <m:t>2</m:t>
            </m:r>
          </m:sup>
        </m:sSup>
      </m:oMath>
      <w:r>
        <w:t xml:space="preserve"> </w:t>
      </w:r>
      <w:r>
        <w:t xml:space="preserve">with varying assumptions,</w:t>
      </w:r>
      <w:hyperlink w:anchor="ref-Veroniki2016">
        <w:r>
          <w:rPr>
            <w:rStyle w:val="Hyperlink"/>
            <w:bCs/>
            <w:b/>
            <w:vertAlign w:val="superscript"/>
          </w:rPr>
          <w:t xml:space="preserve">Veroniki2016?</w:t>
        </w:r>
      </w:hyperlink>
      <w:r>
        <w:rPr>
          <w:vertAlign w:val="superscript"/>
        </w:rPr>
        <w:t xml:space="preserve">,</w:t>
      </w:r>
      <w:hyperlink w:anchor="ref-Bakbergenuly2020">
        <w:r>
          <w:rPr>
            <w:rStyle w:val="Hyperlink"/>
            <w:bCs/>
            <w:b/>
            <w:vertAlign w:val="superscript"/>
          </w:rPr>
          <w:t xml:space="preserve">Bakbergenuly2020?</w:t>
        </w:r>
      </w:hyperlink>
      <w:r>
        <w:t xml:space="preserve"> the details of which are beyond the scope of this article. The estimate of</w:t>
      </w:r>
      <w:r>
        <w:t xml:space="preserve"> </w:t>
      </w:r>
      <m:oMath>
        <m:sSup>
          <m:e>
            <m:r>
              <m:t>τ</m:t>
            </m:r>
          </m:e>
          <m:sup>
            <m:r>
              <m:t>2</m:t>
            </m:r>
          </m:sup>
        </m:sSup>
      </m:oMath>
      <w:r>
        <w:t xml:space="preserve"> </w:t>
      </w:r>
      <w:r>
        <w:t xml:space="preserve">is incorporated into the weighting of each study</w:t>
      </w:r>
    </w:p>
    <w:p>
      <w:pPr>
        <w:pStyle w:val="BodyText"/>
      </w:pPr>
      <m:oMathPara>
        <m:oMathParaPr>
          <m:jc m:val="center"/>
        </m:oMathParaPr>
        <m:oMath>
          <m:sSub>
            <m:e>
              <m:r>
                <m:t>w</m:t>
              </m:r>
            </m:e>
            <m:sub>
              <m:r>
                <m:t>i</m:t>
              </m:r>
            </m:sub>
          </m:sSub>
          <m:r>
            <m:rPr>
              <m:sty m:val="p"/>
            </m:rPr>
            <m:t>=</m:t>
          </m:r>
          <m:f>
            <m:fPr>
              <m:type m:val="bar"/>
            </m:fPr>
            <m:num>
              <m:r>
                <m:t>1</m:t>
              </m:r>
            </m:num>
            <m:den>
              <m:sSub>
                <m:e>
                  <m:r>
                    <m:t>v</m:t>
                  </m:r>
                </m:e>
                <m:sub>
                  <m:r>
                    <m:t>i</m:t>
                  </m:r>
                </m:sub>
              </m:sSub>
              <m:r>
                <m:rPr>
                  <m:sty m:val="p"/>
                </m:rPr>
                <m:t>+</m:t>
              </m:r>
              <m:acc>
                <m:accPr>
                  <m:chr m:val="̂"/>
                </m:accPr>
                <m:e>
                  <m:sSup>
                    <m:e>
                      <m:r>
                        <m:t>τ</m:t>
                      </m:r>
                    </m:e>
                    <m:sup>
                      <m:r>
                        <m:t>2</m:t>
                      </m:r>
                    </m:sup>
                  </m:sSup>
                </m:e>
              </m:acc>
            </m:den>
          </m:f>
          <m:r>
            <m:t>  </m:t>
          </m:r>
          <m:r>
            <m:rPr>
              <m:sty m:val="p"/>
            </m:rPr>
            <m:t>(</m:t>
          </m:r>
          <m:r>
            <m:t>7</m:t>
          </m:r>
          <m:r>
            <m:rPr>
              <m:sty m:val="p"/>
            </m:rPr>
            <m:t>)</m:t>
          </m:r>
        </m:oMath>
      </m:oMathPara>
    </w:p>
    <w:bookmarkEnd w:id="110"/>
    <w:bookmarkStart w:id="111" w:name="dose-response-analyses"/>
    <w:p>
      <w:pPr>
        <w:pStyle w:val="Heading4"/>
      </w:pPr>
      <w:r>
        <w:t xml:space="preserve">Dose-response analyses</w:t>
      </w:r>
    </w:p>
    <w:p>
      <w:pPr>
        <w:pStyle w:val="FirstParagraph"/>
      </w:pPr>
      <w:r>
        <w:t xml:space="preserve">This was particularly important for the dose response meta-analysis, where the number of participants and the cut-offs per category were often not reported.</w:t>
      </w:r>
    </w:p>
    <w:p>
      <w:pPr>
        <w:pStyle w:val="BodyText"/>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w:t>
      </w:r>
    </w:p>
    <w:p>
      <w:pPr>
        <w:pStyle w:val="BodyText"/>
      </w:pPr>
      <w:r>
        <w:t xml:space="preserve">Studies were excluded from this analysis if the number of categories was less than three, if the exposure cut-off points for for each category were not reported (e.g. if the study reports splitting participants into quartiles and comparing the highest vs lowest without giving the quartile bands).</w:t>
      </w:r>
    </w:p>
    <w:p>
      <w:pPr>
        <w:pStyle w:val="BodyText"/>
      </w:pPr>
      <w:r>
        <w:t xml:space="preserve">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 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w:t>
      </w:r>
    </w:p>
    <w:p>
      <w:pPr>
        <w:pStyle w:val="BodyText"/>
      </w:pPr>
      <w:r>
        <w:t xml:space="preserve">Where this was not reported in the study, I contacted the corresponding author to attempt to obtain the required information (see Section</w:t>
      </w:r>
      <w:r>
        <w:t xml:space="preserve"> </w:t>
      </w:r>
      <w:r>
        <w:t xml:space="preserve">4.3.6.4</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w:t>
      </w:r>
      <w:r>
        <w:t xml:space="preserve"> </w:t>
      </w:r>
    </w:p>
    <w:p>
      <w:pPr>
        <w:pStyle w:val="BodyText"/>
      </w:pPr>
      <w:r>
        <w:t xml:space="preserve">Finally, I investigated the potential for small study effects, which may be caused by publication bias, both visually using funnel plots and statistically using Egger’s regression test.</w:t>
      </w:r>
      <w:r>
        <w:t xml:space="preserve"> </w:t>
      </w:r>
    </w:p>
    <w:p>
      <w:pPr>
        <w:pStyle w:val="BodyText"/>
      </w:pPr>
      <w:r>
        <w:t xml:space="preserve"> </w:t>
      </w:r>
      <w:r>
        <w:t xml:space="preserve"> </w:t>
      </w:r>
    </w:p>
    <w:bookmarkEnd w:id="112"/>
    <w:bookmarkStart w:id="113"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148</w:t>
        </w:r>
      </w:hyperlink>
      <w:r>
        <w:t xml:space="preserve"> </w:t>
      </w:r>
      <w:r>
        <w:t xml:space="preserve">As such,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 In response to this criticism, I developed a new visualisation tool was designed to allow for</w:t>
      </w:r>
      <w:r>
        <w:t xml:space="preserve"> </w:t>
      </w:r>
      <w:r>
        <w:t xml:space="preserve">“</w:t>
      </w:r>
      <w:r>
        <w:t xml:space="preserve">paired</w:t>
      </w:r>
      <w:r>
        <w:t xml:space="preserve">”</w:t>
      </w:r>
      <w:r>
        <w:t xml:space="preserve"> </w:t>
      </w:r>
      <w:r>
        <w:t xml:space="preserve">forest plots, as recommended by the ROB2 publication, where the risk-of-bias assessment is presented alongside the results.</w:t>
      </w:r>
      <w:hyperlink w:anchor="ref-sterne2019">
        <w:r>
          <w:rPr>
            <w:rStyle w:val="Hyperlink"/>
            <w:vertAlign w:val="superscript"/>
          </w:rPr>
          <w:t xml:space="preserve">142</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149</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150</w:t>
        </w:r>
      </w:hyperlink>
      <w:r>
        <w:t xml:space="preserve"> </w:t>
      </w:r>
      <w:r>
        <w:t xml:space="preserve"> </w:t>
      </w:r>
      <w:r>
        <w:t xml:space="preserve">A summary of this tool is contained in Appendix</w:t>
      </w:r>
      <w:r>
        <w:t xml:space="preserve"> </w:t>
      </w:r>
      <w:r>
        <w:t xml:space="preserve">12.2</w:t>
      </w:r>
      <w:r>
        <w:t xml:space="preserve">, and all forest plots presented in this Chapter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rPr>
          <w:bCs/>
          <w:b/>
        </w:rPr>
        <w:t xml:space="preserve">[Note: Julian, I am particularly interested in your feedback on this section, and the corresponding results section (Section</w:t>
      </w:r>
      <w:r>
        <w:rPr>
          <w:bCs/>
          <w:b/>
        </w:rPr>
        <w:t xml:space="preserve"> </w:t>
      </w:r>
      <w:r>
        <w:rPr>
          <w:bCs/>
          <w:b/>
        </w:rPr>
        <w:t xml:space="preserve">??</w:t>
      </w:r>
      <w:r>
        <w:rPr>
          <w:bCs/>
          <w:b/>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2.6.1</w:t>
      </w:r>
      <w:r>
        <w:t xml:space="preserve">) but their inclusion in a systematic review.</w:t>
      </w:r>
    </w:p>
    <w:p>
      <w:pPr>
        <w:pStyle w:val="BodyText"/>
      </w:pPr>
      <w:r>
        <w:t xml:space="preserve">As a sensitivity analysis, I explored the additional evidential value of including preprints in each meta-analysis performed,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40"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w:t>
      </w:r>
    </w:p>
    <w:p>
      <w:pPr>
        <w:pStyle w:val="BodyText"/>
      </w:pPr>
      <w:r>
        <w:t xml:space="preserve">Of the random sample of 500 records screened to ensure the accuracy of the study design filters, no eligible records were identified. Many of those excluded by the filters were basic science studies, commentaries or educational articles, as expected.</w:t>
      </w:r>
      <w:r>
        <w:t xml:space="preserve"> </w:t>
      </w:r>
    </w:p>
    <w:p>
      <w:pPr>
        <w:pStyle w:val="BodyText"/>
      </w:pPr>
      <w:r>
        <w:t xml:space="preserve"> </w:t>
      </w:r>
      <w:r>
        <w:t xml:space="preserve"> </w:t>
      </w:r>
    </w:p>
    <w:bookmarkEnd w:id="117"/>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A PRISMA (Preferred Reporting Items for Systematic Reviews and Meta-analyses) flow diagram,</w:t>
      </w:r>
      <w:hyperlink w:anchor="ref-page2021">
        <w:r>
          <w:rPr>
            <w:rStyle w:val="Hyperlink"/>
            <w:vertAlign w:val="superscript"/>
          </w:rPr>
          <w:t xml:space="preserve">82</w:t>
        </w:r>
      </w:hyperlink>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Common reasons for exclusion at the full text-stage included studies that reported on the wrong exposures (n = XXX; most commonly a inelgible lipid fraction), used the wrong study design (n= XXX), or reported on a wrong outcome (n=24; e.g. change in cognitive scores).</w:t>
      </w:r>
    </w:p>
    <w:bookmarkEnd w:id="118"/>
    <w:bookmarkStart w:id="120" w:name="validation-of-screening"/>
    <w:p>
      <w:pPr>
        <w:pStyle w:val="Heading3"/>
      </w:pPr>
      <w:r>
        <w:t xml:space="preserve">Validation of screening</w:t>
      </w:r>
    </w:p>
    <w:p>
      <w:pPr>
        <w:pStyle w:val="FirstParagraph"/>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p>
      <w:pPr>
        <w:pStyle w:val="BodyText"/>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151</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specifically around the definition of cognitive decline/MCI versus dementia,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 94 reports describing 80 unique studies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ref-ancelin2012a">
        <w:r>
          <w:rPr>
            <w:rStyle w:val="Hyperlink"/>
            <w:vertAlign w:val="superscript"/>
          </w:rPr>
          <w:t xml:space="preserve">152</w:t>
        </w:r>
      </w:hyperlink>
      <w:r>
        <w:rPr>
          <w:vertAlign w:val="superscript"/>
        </w:rPr>
        <w:t xml:space="preserve">–</w:t>
      </w:r>
      <w:hyperlink w:anchor="ref-zimetbaum1992">
        <w:r>
          <w:rPr>
            <w:rStyle w:val="Hyperlink"/>
            <w:vertAlign w:val="superscript"/>
          </w:rPr>
          <w:t xml:space="preserve">227</w:t>
        </w:r>
      </w:hyperlink>
      <w:r>
        <w:t xml:space="preserve"> </w:t>
      </w: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175</w:t>
        </w:r>
      </w:hyperlink>
      <w:r>
        <w:t xml:space="preserve"> </w:t>
      </w:r>
      <w:r>
        <w:t xml:space="preserve">and the JUPITER trial</w:t>
      </w:r>
      <w:hyperlink w:anchor="ref-ridker2008">
        <w:r>
          <w:rPr>
            <w:rStyle w:val="Hyperlink"/>
            <w:vertAlign w:val="superscript"/>
          </w:rPr>
          <w:t xml:space="preserve">204</w:t>
        </w:r>
      </w:hyperlink>
      <w:r>
        <w:t xml:space="preserve">) both examining statins use on all-cause dementia in older adults. A similarly small number of Mendelian randomisation studies were identified, several of which employed a two-sample approach using the identical summary statistics from published GWAS, leading to complications in the synthesis (see Section</w:t>
      </w:r>
      <w:r>
        <w:t xml:space="preserve"> </w:t>
      </w:r>
      <w:r>
        <w:t xml:space="preserve">4.4.7</w:t>
      </w:r>
      <w:r>
        <w:t xml:space="preserve">).</w:t>
      </w:r>
    </w:p>
    <w:p>
      <w:pPr>
        <w:pStyle w:val="BodyText"/>
      </w:pPr>
      <w:r>
        <w:t xml:space="preserve">Of the</w:t>
      </w:r>
      <w:r>
        <w:t xml:space="preserve"> </w:t>
      </w:r>
      <w:r>
        <w:rPr>
          <w:rStyle w:val="VerbatimChar"/>
        </w:rPr>
        <w:t xml:space="preserve">r_nrsi_included</w:t>
      </w:r>
      <w:r>
        <w:t xml:space="preserve"> </w:t>
      </w:r>
      <w:r>
        <w:t xml:space="preserve">non-randomised studies examining treatments that modify lipid levels, all examined statin use (n = 31; 100%), while a small number also examined other non-statins agents such as fibrates (n = 2; 6.45%). In the 43 non-randomised studies of exposure, hypercholesterolemia n = 19; 44.19% and n = 21; 48.84% were the most frequently reported risk factors.</w:t>
      </w:r>
    </w:p>
    <w:p>
      <w:pPr>
        <w:pStyle w:val="BodyText"/>
      </w:pPr>
      <w:r>
        <w:t xml:space="preserve">In terms of outcomes, the vast majority of studies examined either all-cause dementia (n = 61; 76.25%) or Alzheimer’s disease (n = 50; 62.5%), with only a small proportion examining vascular dementia n = 16; 20%. Some rarer outcome classifications such as vascular-component or mixed dementia were also investigated.</w:t>
      </w:r>
    </w:p>
    <w:p>
      <w:pPr>
        <w:pStyle w:val="BodyText"/>
      </w:pPr>
      <w:r>
        <w:t xml:space="preserve">Three included reports were preprints (denoted in the Table</w:t>
      </w:r>
      <w:r>
        <w:t xml:space="preserve"> </w:t>
      </w:r>
      <w:r>
        <w:t xml:space="preserve">10</w:t>
      </w:r>
      <w:r>
        <w:t xml:space="preserve"> </w:t>
      </w:r>
      <w:r>
        <w:t xml:space="preserve">using an asterisk),</w:t>
      </w:r>
      <w:hyperlink w:anchor="ref-ridker2008">
        <w:r>
          <w:rPr>
            <w:rStyle w:val="Hyperlink"/>
            <w:vertAlign w:val="superscript"/>
          </w:rPr>
          <w:t xml:space="preserve">204</w:t>
        </w:r>
      </w:hyperlink>
      <w:r>
        <w:rPr>
          <w:vertAlign w:val="superscript"/>
        </w:rPr>
        <w:t xml:space="preserve">,</w:t>
      </w:r>
      <w:hyperlink w:anchor="ref-so2017">
        <w:r>
          <w:rPr>
            <w:rStyle w:val="Hyperlink"/>
            <w:vertAlign w:val="superscript"/>
          </w:rPr>
          <w:t xml:space="preserve">208</w:t>
        </w:r>
      </w:hyperlink>
      <w:r>
        <w:rPr>
          <w:vertAlign w:val="superscript"/>
        </w:rPr>
        <w:t xml:space="preserve">,</w:t>
      </w:r>
      <w:hyperlink w:anchor="ref-zhu2017">
        <w:r>
          <w:rPr>
            <w:rStyle w:val="Hyperlink"/>
            <w:vertAlign w:val="superscript"/>
          </w:rPr>
          <w:t xml:space="preserve">228</w:t>
        </w:r>
      </w:hyperlink>
      <w:r>
        <w:t xml:space="preserve"> </w:t>
      </w:r>
      <w:r>
        <w:t xml:space="preserve">one of which had subsequently been published and was captured by the primary literature search.</w:t>
      </w:r>
      <w:hyperlink w:anchor="ref-zhu2018">
        <w:r>
          <w:rPr>
            <w:rStyle w:val="Hyperlink"/>
            <w:vertAlign w:val="superscript"/>
          </w:rPr>
          <w:t xml:space="preserve">229</w:t>
        </w:r>
      </w:hyperlink>
      <w:r>
        <w:t xml:space="preserve"> </w:t>
      </w:r>
      <w:r>
        <w:t xml:space="preserve">All three included preprints were obtained from the bioRxiv preprint server and described a Mendelian randomisation analysis.</w:t>
      </w:r>
    </w:p>
    <w:p>
      <w:pPr>
        <w:pStyle w:val="TableCaption"/>
      </w:pPr>
      <w:r>
        <w:t xml:space="preserve">Table 10:</w:t>
      </w:r>
      <w:r>
        <w:t xml:space="preserve"> </w:t>
      </w:r>
      <w:bookmarkStart w:id="133e86e6-ea92-4108-b0a7-f97bb375b163" w:name="tab:studyCharacteristics-table"/>
      <w:r>
        <w:t xml:space="preserve">Characteristics of included studies, stratified by study design. Note that three studies reported on multiple study designs, and these have been duplicated across the relevant sub-sections.</w:t>
      </w:r>
      <w:bookmarkEnd w:id="133e86e6-ea92-4108-b0a7-f97bb375b16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Of interest, several of the included studies were conducted in Taiwan (n = 10; 12.5%),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several eligible studies reported as conference abstracts did not present numerical results. These reports were included in the analysis to enable assessment of risk of bias due to missing evidence (see Section</w:t>
      </w:r>
      <w:r>
        <w:t xml:space="preserve"> </w:t>
      </w:r>
      <w:r>
        <w:t xml:space="preserve">4.3.7.4</w:t>
      </w:r>
      <w:r>
        <w:t xml:space="preserve">).</w:t>
      </w:r>
    </w:p>
    <w:p>
      <w:pPr>
        <w:pStyle w:val="BodyText"/>
      </w:pPr>
      <w:r>
        <w:t xml:space="preserve"> </w:t>
      </w:r>
    </w:p>
    <w:bookmarkEnd w:id="122"/>
    <w:bookmarkStart w:id="123" w:name="risk-of-bias-res"/>
    <w:p>
      <w:pPr>
        <w:pStyle w:val="Heading3"/>
      </w:pPr>
      <w:r>
        <w:t xml:space="preserve">Risk of bias</w:t>
      </w:r>
    </w:p>
    <w:p>
      <w:pPr>
        <w:pStyle w:val="FirstParagraph"/>
      </w:pPr>
      <w:r>
        <w:t xml:space="preserve">As discussed above, the results of the risk-of-bias assessments are presented alongside their corresponding result. A more detailed discussion fo the sources and directions of bias is presented in Chapter</w:t>
      </w:r>
      <w:r>
        <w:t xml:space="preserve"> </w:t>
      </w:r>
      <w:r>
        <w:t xml:space="preserve">8</w:t>
      </w:r>
      <w:r>
        <w:t xml:space="preserve">, and so this section</w:t>
      </w:r>
    </w:p>
    <w:p>
      <w:pPr>
        <w:pStyle w:val="BodyText"/>
      </w:pPr>
      <w:r>
        <w:t xml:space="preserve">However, as a brief summary of the biases at play:</w:t>
      </w:r>
    </w:p>
    <w:bookmarkEnd w:id="123"/>
    <w:bookmarkStart w:id="127" w:name="all-cause-dementia"/>
    <w:p>
      <w:pPr>
        <w:pStyle w:val="Heading3"/>
      </w:pPr>
      <w:r>
        <w:t xml:space="preserve">All-cause dementia</w:t>
      </w:r>
    </w:p>
    <w:p>
      <w:pPr>
        <w:pStyle w:val="FirstParagraph"/>
      </w:pPr>
      <w:r>
        <w:rPr>
          <w:bCs/>
          <w:b/>
        </w:rPr>
        <w:t xml:space="preserve">Statins</w:t>
      </w:r>
    </w:p>
    <w:p>
      <w:pPr>
        <w:pStyle w:val="BodyText"/>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 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 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evidence of a protective effect of statins use on all-cause dementia risk (HR: 0.77, 95%CI: 0.65-0.90, Figure</w:t>
      </w:r>
      <w:r>
        <w:t xml:space="preserve"> </w:t>
      </w:r>
      <w:r>
        <w:t xml:space="preserve">7</w:t>
      </w:r>
      <w:r>
        <w:t xml:space="preserve">).</w:t>
      </w:r>
    </w:p>
    <w:p>
      <w:pPr>
        <w:pStyle w:val="BodyText"/>
      </w:pPr>
      <w:r>
        <w:drawing>
          <wp:inline>
            <wp:extent cx="5943600" cy="4075611"/>
            <wp:effectExtent b="0" l="0" r="0" t="0"/>
            <wp:docPr descr="Figure 7: Random 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genetically lowered LDL-c levels via HMGCR inhibition on the risk of all-cause dementia, which provided weak evidence for an effect (RR: 0.90, 95%CI: 0.29-2.81).</w:t>
      </w:r>
    </w:p>
    <w:p>
      <w:pPr>
        <w:pStyle w:val="BodyText"/>
      </w:pPr>
      <w:r>
        <w:t xml:space="preserve"> </w:t>
      </w:r>
    </w:p>
    <w:p>
      <w:pPr>
        <w:pStyle w:val="BodyText"/>
      </w:pPr>
      <w:r>
        <w:rPr>
          <w:bCs/>
          <w:b/>
        </w:rPr>
        <w:t xml:space="preserve">Lipids</w:t>
      </w:r>
    </w:p>
    <w:p>
      <w:pPr>
        <w:pStyle w:val="BodyText"/>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11 studies reported on the association of hypercholesterolemia with all-cause dementia and provided weak evidence for an effect (HR: 1.05, 95%CI: 0.94-1.18, Figure</w:t>
      </w:r>
      <w:r>
        <w:t xml:space="preserve"> </w:t>
      </w:r>
      <w:r>
        <w:t xml:space="preserve">8</w:t>
      </w:r>
      <w:r>
        <w:t xml:space="preserve">)</w:t>
      </w:r>
    </w:p>
    <w:p>
      <w:pPr>
        <w:pStyle w:val="BodyText"/>
      </w:pPr>
      <w:r>
        <w:drawing>
          <wp:inline>
            <wp:extent cx="5943600" cy="4585062"/>
            <wp:effectExtent b="0" l="0" r="0" t="0"/>
            <wp:docPr descr="Figure 8: shortcap:"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6"/>
                    <a:stretch>
                      <a:fillRect/>
                    </a:stretch>
                  </pic:blipFill>
                  <pic:spPr bwMode="auto">
                    <a:xfrm>
                      <a:off x="0" y="0"/>
                      <a:ext cx="5943600" cy="4585062"/>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Very weak evidence for an effect on all-cause dementia was found for total cholesterol (N = 5; HR: 0.97, 95%CI: 0.87-1.07), LDL-c (N = 4; HR: 1.04, 95%CI: 0.96-1.13), HDL-c (N = 4; HR: 1.04, 95%CI: 0.96-1.13) or triglycerides (N = 4; HR: 1.04, 95%CI: 0.96-1.13). Forest plots for these analyses are presented in Appendix</w:t>
      </w:r>
      <w:r>
        <w:t xml:space="preserve"> </w:t>
      </w:r>
      <w:r>
        <w:t xml:space="preserve">11.3.6</w:t>
      </w:r>
      <w:r>
        <w:t xml:space="preserve">.</w:t>
      </w:r>
    </w:p>
    <w:p>
      <w:pPr>
        <w:pStyle w:val="BodyText"/>
      </w:pPr>
      <w:r>
        <w:t xml:space="preserve">Finally, there were no identified Mendelian randomisation analysis examining the effect of lipid levels on all-cause dementia risk.</w:t>
      </w:r>
    </w:p>
    <w:p>
      <w:pPr>
        <w:pStyle w:val="BodyText"/>
      </w:pPr>
      <w:r>
        <w:t xml:space="preserve"> </w:t>
      </w:r>
    </w:p>
    <w:bookmarkEnd w:id="127"/>
    <w:bookmarkStart w:id="132" w:name="res-AD"/>
    <w:p>
      <w:pPr>
        <w:pStyle w:val="Heading3"/>
      </w:pPr>
      <w:r>
        <w:t xml:space="preserve">Alzheimer’s disease</w:t>
      </w:r>
    </w:p>
    <w:p>
      <w:pPr>
        <w:pStyle w:val="FirstParagraph"/>
      </w:pPr>
      <w:r>
        <w:t xml:space="preserve">There were no randomised trials of statin, or any other lipid regulating agent, use on Alzheimer’s disease, though several observational studies reported on this outcome and provid evidence for a protective effect (N = 11; HR: 0.83, 95%CI: 0.69-1.00; Figure</w:t>
      </w:r>
      <w:r>
        <w:t xml:space="preserve"> </w:t>
      </w:r>
      <w:r>
        <w:t xml:space="preserve">9</w:t>
      </w:r>
      <w:r>
        <w:t xml:space="preserve">).</w:t>
      </w:r>
    </w:p>
    <w:p>
      <w:pPr>
        <w:pStyle w:val="BodyText"/>
      </w:pPr>
      <w:r>
        <w:drawing>
          <wp:inline>
            <wp:extent cx="5943600" cy="3056708"/>
            <wp:effectExtent b="0" l="0" r="0" t="0"/>
            <wp:docPr descr="Figure 9: Random 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8"/>
                    <a:stretch>
                      <a:fillRect/>
                    </a:stretch>
                  </pic:blipFill>
                  <pic:spPr bwMode="auto">
                    <a:xfrm>
                      <a:off x="0" y="0"/>
                      <a:ext cx="5943600" cy="3056708"/>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by HMGCR inhibition (mediated by a single SNP; rs17238484). 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w:t>
      </w:r>
    </w:p>
    <w:p>
      <w:pPr>
        <w:pStyle w:val="BodyText"/>
      </w:pPr>
      <w:r>
        <w:drawing>
          <wp:inline>
            <wp:extent cx="5943600" cy="1867988"/>
            <wp:effectExtent b="0" l="0" r="0" t="0"/>
            <wp:docPr descr="Figure 10: Random effects meta-analysis of LDL-c lowering via genetic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9"/>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Lipids</w:t>
      </w:r>
    </w:p>
    <w:p>
      <w:pPr>
        <w:pStyle w:val="BodyText"/>
      </w:pPr>
      <w:r>
        <w:t xml:space="preserve">9 studies reported on the association of hypercholesterolemia with all-cause dementia and provided weak evidence for an effect (HR: 0.91, 95%CI: 0.76-1.10, Figure</w:t>
      </w:r>
      <w:r>
        <w:t xml:space="preserve"> </w:t>
      </w:r>
      <w:r>
        <w:t xml:space="preserve">11</w:t>
      </w:r>
      <w:r>
        <w:t xml:space="preserve">)</w:t>
      </w:r>
    </w:p>
    <w:p>
      <w:pPr>
        <w:pStyle w:val="BodyText"/>
      </w:pPr>
      <w:r>
        <w:drawing>
          <wp:inline>
            <wp:extent cx="5943600" cy="3566160"/>
            <wp:effectExtent b="0" l="0" r="0" t="0"/>
            <wp:docPr descr="Figure 11: shortcap:"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0"/>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p>
    <w:p>
      <w:pPr>
        <w:pStyle w:val="BodyText"/>
      </w:pPr>
      <w:r>
        <w:t xml:space="preserve">Similarly to all-cause dementia everal studies analysed individual lipid fractions by estimating the risk of dementia per 1 standard deviation increase in that fraction. Very weak evidence for an effect on all-cause dementia was found for total cholesterol (N = 5; HR: 1.00, 95%CI: 0.93-1.07), LDL-c (N = 4; HR: 0.99, 95%CI: 0.91-1.07), HDL-c (N = 4; HR: 0.99, 95%CI: 0.91-1.07) or triglycerides (N = 4; HR: 0.99, 95%CI: 0.91-1.07). Forest plots for these analyses are presented in Appendix</w:t>
      </w:r>
      <w:r>
        <w:t xml:space="preserve"> </w:t>
      </w:r>
      <w:r>
        <w:t xml:space="preserve">11.3.6</w:t>
      </w:r>
      <w:r>
        <w:t xml:space="preserve">.</w:t>
      </w:r>
    </w:p>
    <w:p>
      <w:pPr>
        <w:pStyle w:val="BodyText"/>
      </w:pPr>
      <w:r>
        <w:t xml:space="preserve">Finally, there were several identified Mendelian randomisation studies examining the effect of genetically lowered LDL-c on Alzheimer’s disease risk (Figure</w:t>
      </w:r>
      <w:r>
        <w:t xml:space="preserve"> </w:t>
      </w:r>
      <w:r>
        <w:t xml:space="preserve">(mrDuplication)). However, all of these studies used a two-sample approach, making use of summary statistics from the GLGC and IGAP consortia. Due to this overlap, which would result in a falsely precise estimate caused by multiple counting of participants, no meta-analysis of these studies was performed. However, across all analysis, using varying number of SNPS, no evidence for an effect was observed (Figure</w:t>
      </w:r>
      <w:r>
        <w:t xml:space="preserve"> </w:t>
      </w:r>
      <w:r>
        <w:t xml:space="preserve">(mrDuplication)).</w:t>
      </w:r>
    </w:p>
    <w:p>
      <w:pPr>
        <w:pStyle w:val="BodyText"/>
      </w:pPr>
      <w:r>
        <w:drawing>
          <wp:inline>
            <wp:extent cx="5943600" cy="2971800"/>
            <wp:effectExtent b="0" l="0" r="0" t="0"/>
            <wp:docPr descr="Figure 12: Summary of duplication of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2"/>
    <w:bookmarkStart w:id="135" w:name="vascular-dementia"/>
    <w:p>
      <w:pPr>
        <w:pStyle w:val="Heading3"/>
      </w:pPr>
      <w:r>
        <w:t xml:space="preserve">Vascular dementia</w:t>
      </w:r>
    </w:p>
    <w:p>
      <w:pPr>
        <w:pStyle w:val="FirstParagraph"/>
      </w:pPr>
      <w:r>
        <w:rPr>
          <w:bCs/>
          <w:b/>
        </w:rPr>
        <w:t xml:space="preserve">Statins</w:t>
      </w:r>
    </w:p>
    <w:p>
      <w:pPr>
        <w:pStyle w:val="BodyText"/>
      </w:pPr>
      <w:r>
        <w:t xml:space="preserve">As noted above, there was substantially less literature available on the association of my risk factors of interest and vascular dementia.</w:t>
      </w:r>
    </w:p>
    <w:p>
      <w:pPr>
        <w:pStyle w:val="BodyText"/>
      </w:pPr>
      <w:r>
        <w:t xml:space="preserve">There were no randomised trials for this outcome. Three prospective cohort studies examined statin use and vascular dementia, though meta-analysis of these studies provided very weak evidence for an effect (N = 3; HR: 1.02, 95%CI: 0.77-1.36; Figure</w:t>
      </w:r>
      <w:r>
        <w:t xml:space="preserve"> </w:t>
      </w:r>
      <w:r>
        <w:t xml:space="preserve">??</w:t>
      </w:r>
      <w:r>
        <w:t xml:space="preserve">).</w:t>
      </w:r>
    </w:p>
    <w:p>
      <w:pPr>
        <w:pStyle w:val="BodyText"/>
      </w:pPr>
      <w:r>
        <w:drawing>
          <wp:inline>
            <wp:extent cx="5943600" cy="2037805"/>
            <wp:effectExtent b="0" l="0" r="0" t="0"/>
            <wp:docPr descr="Figure 13: Random 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3"/>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p>
      <w:pPr>
        <w:pStyle w:val="BodyText"/>
      </w:pPr>
      <w:r>
        <w:rPr>
          <w:bCs/>
          <w:b/>
        </w:rPr>
        <w:t xml:space="preserve">Lipids</w:t>
      </w:r>
    </w:p>
    <w:p>
      <w:pPr>
        <w:pStyle w:val="BodyText"/>
      </w:pPr>
      <w:r>
        <w:t xml:space="preserve">3 studies reported on the association of hypercholesterolemia with all-cause dementia and provided weak evidence for an effect (HR: 1.20, 95%CI: 1.00-1.44, Figure</w:t>
      </w:r>
      <w:r>
        <w:t xml:space="preserve"> </w:t>
      </w:r>
      <w:r>
        <w:t xml:space="preserve">14</w:t>
      </w:r>
      <w:r>
        <w:t xml:space="preserve">)</w:t>
      </w:r>
    </w:p>
    <w:p>
      <w:pPr>
        <w:pStyle w:val="BodyText"/>
      </w:pPr>
      <w:r>
        <w:drawing>
          <wp:inline>
            <wp:extent cx="5943600" cy="2037805"/>
            <wp:effectExtent b="0" l="0" r="0" t="0"/>
            <wp:docPr descr="Figure 14: shortcap:"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4"/>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t xml:space="preserve">Similarly to all-cause dementia everal studies analysed individual lipid fractions by estimating the risk of dementia per 1 standard deviation increase in that fraction. Very weak evidence for an effect on all-cause dementia was found for total cholesterol (N = 2; HR: 1.05, 95%CI: 0.79-1.41), LDL-c (N = 1; HR: 0.83, 95%CI: 0.60-1.14), HDL-c (N = 1; HR: 0.83, 95%CI: 0.60-1.14) or triglycerides (N = 1; HR: 0.83, 95%CI: 0.60-1.14). Forest plots for these analyses are presented in Appendix</w:t>
      </w:r>
      <w:r>
        <w:t xml:space="preserve"> </w:t>
      </w:r>
      <w:r>
        <w:t xml:space="preserve">11.3.6</w:t>
      </w:r>
      <w:r>
        <w:t xml:space="preserve">.</w:t>
      </w:r>
    </w:p>
    <w:p>
      <w:pPr>
        <w:pStyle w:val="BodyText"/>
      </w:pPr>
      <w:r>
        <w:t xml:space="preserve">Finally, there were no identified Mendelian randomisation analysis examining the effect of lipid levels on vascular dementia risk.</w:t>
      </w:r>
    </w:p>
    <w:p>
      <w:pPr>
        <w:pStyle w:val="BodyText"/>
      </w:pPr>
      <w:r>
        <w:t xml:space="preserve"> </w:t>
      </w:r>
    </w:p>
    <w:bookmarkEnd w:id="135"/>
    <w:bookmarkStart w:id="136"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p>
      <w:pPr>
        <w:pStyle w:val="BodyText"/>
      </w:pPr>
      <w:r>
        <w:t xml:space="preserve"> </w:t>
      </w:r>
    </w:p>
    <w:bookmarkEnd w:id="136"/>
    <w:bookmarkStart w:id="137" w:name="sources-of-heterogeneity"/>
    <w:p>
      <w:pPr>
        <w:pStyle w:val="Heading3"/>
      </w:pPr>
      <w:r>
        <w:t xml:space="preserve">Sources of heterogeneity</w:t>
      </w:r>
    </w:p>
    <w:p>
      <w:pPr>
        <w:pStyle w:val="FirstParagraph"/>
      </w:pPr>
      <w:r>
        <w:t xml:space="preserve">Data on another potentially important source of heterogeneity</w:t>
      </w:r>
      <w:r>
        <w:t xml:space="preserve"> </w:t>
      </w:r>
      <w:r>
        <w:t xml:space="preserve">Plus other such as education level and baseline cognitive scores, but data were either not reported for most studies or when reported, were too diverse to synthesize.</w:t>
      </w:r>
    </w:p>
    <w:p>
      <w:pPr>
        <w:pStyle w:val="BodyText"/>
      </w:pPr>
      <w:r>
        <w:t xml:space="preserve">Across all analysis with</w:t>
      </w:r>
    </w:p>
    <w:p>
      <w:pPr>
        <w:pStyle w:val="BodyText"/>
      </w:pPr>
      <w:r>
        <w:t xml:space="preserve"> </w:t>
      </w:r>
      <w:r>
        <w:t xml:space="preserve"> </w:t>
      </w:r>
    </w:p>
    <w:bookmarkEnd w:id="137"/>
    <w:bookmarkStart w:id="138" w:name="sys-rev-pub-bias"/>
    <w:p>
      <w:pPr>
        <w:pStyle w:val="Heading3"/>
      </w:pPr>
      <w:r>
        <w:t xml:space="preserve">Small study effects</w:t>
      </w:r>
    </w:p>
    <w:p>
      <w:pPr>
        <w:pStyle w:val="FirstParagraph"/>
      </w:pPr>
      <w:r>
        <w:t xml:space="preserve">There was little evidence of small study effects across the evidence base (Figure</w:t>
      </w:r>
      <w:r>
        <w:t xml:space="preserve"> </w:t>
      </w:r>
      <w:r>
        <w:t xml:space="preserve">15</w:t>
      </w:r>
      <w:r>
        <w:t xml:space="preserve">).</w:t>
      </w:r>
    </w:p>
    <w:p>
      <w:pPr>
        <w:pStyle w:val="BodyText"/>
      </w:pPr>
      <w:r>
        <w:t xml:space="preserve"> </w:t>
      </w:r>
    </w:p>
    <w:p>
      <w:pPr>
        <w:pStyle w:val="CaptionedFigure"/>
      </w:pPr>
      <w:r>
        <w:drawing>
          <wp:inline>
            <wp:extent cx="5943600" cy="1867988"/>
            <wp:effectExtent b="0" l="0" r="0" t="0"/>
            <wp:docPr descr="Figure 15: Funnel plot of results examining the relationship between statins and any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15: Funnel plot of results examining the relationship between statins and any dementia</w:t>
      </w:r>
    </w:p>
    <w:p>
      <w:pPr>
        <w:pStyle w:val="BodyText"/>
      </w:pPr>
      <w:r>
        <w:t xml:space="preserve"> </w:t>
      </w:r>
    </w:p>
    <w:bookmarkEnd w:id="138"/>
    <w:bookmarkStart w:id="139" w:name="sys-rev-including-preprints-re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208</w:t>
        </w:r>
      </w:hyperlink>
      <w:r>
        <w:rPr>
          <w:vertAlign w:val="superscript"/>
        </w:rPr>
        <w:t xml:space="preserve">,</w:t>
      </w:r>
      <w:hyperlink w:anchor="ref-andrews2019a">
        <w:r>
          <w:rPr>
            <w:rStyle w:val="Hyperlink"/>
            <w:bCs/>
            <w:b/>
            <w:vertAlign w:val="superscript"/>
          </w:rPr>
          <w:t xml:space="preserve">andrews2019a?</w:t>
        </w:r>
      </w:hyperlink>
    </w:p>
    <w:p>
      <w:pPr>
        <w:pStyle w:val="BodyText"/>
      </w:pPr>
      <w:r>
        <w:t xml:space="preserve">All identified preprinted studies were. However, including preprints did provide useful additional evidence value in a number of meta-analysis. For example, re-analysing the results of available for the effect of HMGCR SNPS on Alzheimer’s disease (Figure @ref) in Mendelian randomisation studies, illustrates that the result only available from a preprint contributed 78% of the weight in a fixed-effect meta-analysis.</w:t>
      </w:r>
    </w:p>
    <w:p>
      <w:pPr>
        <w:pStyle w:val="BodyText"/>
      </w:pPr>
      <w:r>
        <w:t xml:space="preserve"> </w:t>
      </w:r>
    </w:p>
    <w:p>
      <w:pPr>
        <w:pStyle w:val="BodyText"/>
      </w:pPr>
      <w:r>
        <w:t xml:space="preserve">(ref:preprintWeights-caption) Amount of information added by inclusion of preprinted results, estimated from the weight assigned to the study in a random-effect meta-analysis</w:t>
      </w:r>
    </w:p>
    <w:p>
      <w:pPr>
        <w:pStyle w:val="TableCaption"/>
      </w:pPr>
      <w:r>
        <w:t xml:space="preserve">Table 11:</w:t>
      </w:r>
      <w:r>
        <w:t xml:space="preserve"> </w:t>
      </w:r>
      <w:bookmarkStart w:id="6eebf158-5ceb-4c7e-82c3-69697b8fc3a6" w:name="tab:preprintWeights-table"/>
      <w:r>
        <w:t xml:space="preserve">(ref:preprintWeights-caption)</w:t>
      </w:r>
      <w:bookmarkEnd w:id="6eebf158-5ceb-4c7e-82c3-69697b8fc3a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Design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Weight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pStyle w:val="BodyText"/>
      </w:pPr>
      <w:r>
        <w:t xml:space="preserve"> </w:t>
      </w:r>
    </w:p>
    <w:p>
      <w:pPr>
        <w:pStyle w:val="BodyText"/>
      </w:pPr>
      <w:r>
        <w:t xml:space="preserve">Investigation of the publication status of the two unique preprints indicated that one has since been published (in late 2019 date),</w:t>
      </w:r>
      <w:hyperlink w:anchor="ref-andrews2019">
        <w:r>
          <w:rPr>
            <w:rStyle w:val="Hyperlink"/>
            <w:vertAlign w:val="superscript"/>
          </w:rPr>
          <w:t xml:space="preserve">230</w:t>
        </w:r>
      </w:hyperlink>
      <w:r>
        <w:rPr>
          <w:vertAlign w:val="superscript"/>
        </w:rPr>
        <w:t xml:space="preserve">,</w:t>
      </w:r>
      <w:hyperlink w:anchor="ref-andrews2021">
        <w:r>
          <w:rPr>
            <w:rStyle w:val="Hyperlink"/>
            <w:bCs/>
            <w:b/>
            <w:vertAlign w:val="superscript"/>
          </w:rPr>
          <w:t xml:space="preserve">andrews2021?</w:t>
        </w:r>
      </w:hyperlink>
      <w:r>
        <w:t xml:space="preserve">. The final preprint has not yet been published.</w:t>
      </w:r>
      <w:hyperlink w:anchor="ref-so2017">
        <w:r>
          <w:rPr>
            <w:rStyle w:val="Hyperlink"/>
            <w:vertAlign w:val="superscript"/>
          </w:rPr>
          <w:t xml:space="preserve">208</w:t>
        </w:r>
      </w:hyperlink>
    </w:p>
    <w:p>
      <w:pPr>
        <w:pStyle w:val="BodyText"/>
      </w:pPr>
      <w:r>
        <w:t xml:space="preserve"> </w:t>
      </w:r>
      <w:r>
        <w:t xml:space="preserve"> </w:t>
      </w:r>
    </w:p>
    <w:bookmarkEnd w:id="139"/>
    <w:bookmarkEnd w:id="140"/>
    <w:bookmarkStart w:id="152"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discussion seeks to to summarise the key findings in terms of literature sources and results as reported. A detailed comparison across the evidence sources, exposure measures and sources of bias reported here is presented as part of the triangulation exercise (Chapter</w:t>
      </w:r>
      <w:r>
        <w:t xml:space="preserve"> </w:t>
      </w:r>
      <w:r>
        <w:t xml:space="preserve">8</w:t>
      </w:r>
      <w:r>
        <w:t xml:space="preserve">).</w:t>
      </w:r>
    </w:p>
    <w:p>
      <w:pPr>
        <w:pStyle w:val="BodyText"/>
      </w:pPr>
      <w:r>
        <w:t xml:space="preserve"> </w:t>
      </w:r>
    </w:p>
    <w:bookmarkStart w:id="142"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heterogenity in exposure (e.g. mid-life in studies of lipids with late-life lipid reduction in RCTs) or alternatively due to biases within the non-randomised studies.</w:t>
      </w:r>
    </w:p>
    <w:p>
      <w:pPr>
        <w:pStyle w:val="BodyText"/>
      </w:pPr>
      <w:r>
        <w:t xml:space="preserve">Some evidence that age has impact on observed lipid-dementia relationship - use to link</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comparatively new study design (as illustrated in Figure</w:t>
      </w:r>
      <w:r>
        <w:t xml:space="preserve"> </w:t>
      </w:r>
      <w:r>
        <w:t xml:space="preserve">16</w:t>
      </w:r>
      <w:r>
        <w:t xml:space="preserve">), and so only appears in the literature in recent years, driven by the availability of Alzheimer’s disease summary genome wide association studies (GWAS) that form the basis of two-sample Mendelian randomisation approach.</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6: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1"/>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w:t>
      </w:r>
      <w:r>
        <w:t xml:space="preserve"> </w:t>
      </w:r>
      <w:r>
        <w:rPr>
          <w:bCs/>
          <w:b/>
        </w:rPr>
        <w:t xml:space="preserve">Can’t look forward to other chapter</w:t>
      </w:r>
      <w:r>
        <w:t xml:space="preserve"> </w:t>
      </w:r>
      <w:r>
        <w:t xml:space="preserve">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75</w:t>
        </w:r>
      </w:hyperlink>
      <w:r>
        <w:t xml:space="preserve"> </w:t>
      </w:r>
      <w:r>
        <w:t xml:space="preserve">For vascular dementia, few Mendelian randomisation studies examined this outcome, primarily because of the absence (until recently) of GWAS of this outcome.</w:t>
      </w:r>
    </w:p>
    <w:p>
      <w:pPr>
        <w:pStyle w:val="BodyText"/>
      </w:pPr>
      <w:r>
        <w:t xml:space="preserve">Of note, this review did not include the commonly cited PROSPER study, which examined the effect of pravastatin on CVD risk,</w:t>
      </w:r>
      <w:hyperlink w:anchor="ref-shepherd2002a">
        <w:r>
          <w:rPr>
            <w:rStyle w:val="Hyperlink"/>
            <w:vertAlign w:val="superscript"/>
          </w:rPr>
          <w:t xml:space="preserve">231</w:t>
        </w:r>
      </w:hyperlink>
      <w:r>
        <w:t xml:space="preserve"> </w:t>
      </w:r>
      <w:r>
        <w:t xml:space="preserve">reporting on cognitive outcomes as one of several secondary outcomes. While widely cited in relation to the effect of statins on dementia and included in the Cochrane review of RCTs on this topic,</w:t>
      </w:r>
      <w:hyperlink w:anchor="ref-mcguinness2016">
        <w:r>
          <w:rPr>
            <w:rStyle w:val="Hyperlink"/>
            <w:vertAlign w:val="superscript"/>
          </w:rPr>
          <w:t xml:space="preserve">232</w:t>
        </w:r>
      </w:hyperlink>
      <w:r>
        <w:t xml:space="preserve"> </w:t>
      </w:r>
      <w:r>
        <w:t xml:space="preserve">the trial only reported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233</w:t>
        </w:r>
      </w:hyperlink>
      <w:r>
        <w:rPr>
          <w:vertAlign w:val="superscript"/>
        </w:rPr>
        <w:t xml:space="preserve">,</w:t>
      </w:r>
      <w:hyperlink w:anchor="ref-yamada2009a">
        <w:r>
          <w:rPr>
            <w:rStyle w:val="Hyperlink"/>
            <w:vertAlign w:val="superscript"/>
          </w:rPr>
          <w:t xml:space="preserve">234</w:t>
        </w:r>
      </w:hyperlink>
      <w:r>
        <w:t xml:space="preserve"> </w:t>
      </w:r>
      <w:r>
        <w:t xml:space="preserve">In addition, there were some concerns over the potential for estimates to be missing from the meta-analysis of observational studies not at random, given the preferential reporting of significant results observed in a number of analysis (see Section</w:t>
      </w:r>
      <w:r>
        <w:t xml:space="preserve"> </w:t>
      </w:r>
      <w:r>
        <w:t xml:space="preserve">4.4.5</w:t>
      </w:r>
      <w:r>
        <w:t xml:space="preserve">).</w:t>
      </w:r>
    </w:p>
    <w:p>
      <w:pPr>
        <w:pStyle w:val="BodyText"/>
      </w:pPr>
      <w:r>
        <w:t xml:space="preserve">Generalisability was aided by the large number of studies performed using the Taiwan health database, which represents a good sources of evidence on non-Caucasian populations</w:t>
      </w:r>
    </w:p>
    <w:p>
      <w:pPr>
        <w:pStyle w:val="BodyText"/>
      </w:pPr>
      <w:r>
        <w:t xml:space="preserve"> </w:t>
      </w:r>
    </w:p>
    <w:bookmarkEnd w:id="142"/>
    <w:bookmarkStart w:id="143" w:name="rev-previous-reviews"/>
    <w:p>
      <w:pPr>
        <w:pStyle w:val="Heading3"/>
      </w:pPr>
      <w:r>
        <w:t xml:space="preserve">Comparison with 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235</w:t>
        </w:r>
      </w:hyperlink>
      <w:r>
        <w:rPr>
          <w:vertAlign w:val="superscript"/>
        </w:rPr>
        <w:t xml:space="preserve">–</w:t>
      </w:r>
      <w:hyperlink w:anchor="ref-kuzma2018a">
        <w:r>
          <w:rPr>
            <w:rStyle w:val="Hyperlink"/>
            <w:vertAlign w:val="superscript"/>
          </w:rPr>
          <w:t xml:space="preserve">238</w:t>
        </w:r>
      </w:hyperlink>
      <w:r>
        <w:rPr>
          <w:vertAlign w:val="superscript"/>
        </w:rPr>
        <w:t xml:space="preserve">,</w:t>
      </w:r>
      <w:hyperlink w:anchor="ref-kuzma2018a">
        <w:r>
          <w:rPr>
            <w:rStyle w:val="Hyperlink"/>
            <w:vertAlign w:val="superscript"/>
          </w:rPr>
          <w:t xml:space="preserve">238</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142</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56</w:t>
        </w:r>
      </w:hyperlink>
      <w:r>
        <w:rPr>
          <w:vertAlign w:val="superscript"/>
        </w:rPr>
        <w:t xml:space="preserve">,</w:t>
      </w:r>
      <w:hyperlink w:anchor="ref-poly2020">
        <w:r>
          <w:rPr>
            <w:rStyle w:val="Hyperlink"/>
            <w:vertAlign w:val="superscript"/>
          </w:rPr>
          <w:t xml:space="preserve">237</w:t>
        </w:r>
      </w:hyperlink>
    </w:p>
    <w:p>
      <w:pPr>
        <w:pStyle w:val="BodyText"/>
      </w:pPr>
      <w:r>
        <w:t xml:space="preserve">Similar the on previous review of Mendelian randomisation studies examining risk factors for Alzhiemer’s disease was conducted prior to the majority of MR studies included in this review being published, and extracted results including SNPs in APoE4 (see the following section for a discussion of the bias this introduces).</w:t>
      </w:r>
    </w:p>
    <w:p>
      <w:pPr>
        <w:pStyle w:val="BodyText"/>
      </w:pPr>
      <w:r>
        <w:t xml:space="preserve">However, 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239</w:t>
        </w:r>
      </w:hyperlink>
      <w:r>
        <w:rPr>
          <w:vertAlign w:val="superscript"/>
        </w:rPr>
        <w:t xml:space="preserve">,</w:t>
      </w:r>
      <w:hyperlink w:anchor="ref-smith2011">
        <w:r>
          <w:rPr>
            <w:rStyle w:val="Hyperlink"/>
            <w:vertAlign w:val="superscript"/>
          </w:rPr>
          <w:t xml:space="preserve">240</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3"/>
    <w:bookmarkStart w:id="145" w:name="rev-discussion-MR"/>
    <w:p>
      <w:pPr>
        <w:pStyle w:val="Heading3"/>
      </w:pPr>
      <w:r>
        <w:t xml:space="preserve">Inclusion of Mendelian randomisations studies</w:t>
      </w:r>
    </w:p>
    <w:p>
      <w:pPr>
        <w:pStyle w:val="FirstParagraph"/>
      </w:pPr>
      <w:r>
        <w:t xml:space="preserve">One of the strengths of this review is it’s inclusion of Mendelian randomisation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drawing>
          <wp:inline>
            <wp:extent cx="5943600" cy="3274567"/>
            <wp:effectExtent b="0" l="0" r="0" t="0"/>
            <wp:docPr descr="Figure 17: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44"/>
                    <a:stretch>
                      <a:fillRect/>
                    </a:stretch>
                  </pic:blipFill>
                  <pic:spPr bwMode="auto">
                    <a:xfrm>
                      <a:off x="0" y="0"/>
                      <a:ext cx="5943600" cy="3274567"/>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16</w:t>
      </w:r>
      <w:r>
        <w:t xml:space="preserve"> </w:t>
      </w:r>
      <w:r>
        <w:t xml:space="preserve">demonstrates that Mendelian randomisation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241</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242</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243</w:t>
        </w:r>
      </w:hyperlink>
      <w:r>
        <w:rPr>
          <w:vertAlign w:val="superscript"/>
        </w:rPr>
        <w:t xml:space="preserve">,</w:t>
      </w:r>
      <w:hyperlink w:anchor="ref-wagner2020">
        <w:r>
          <w:rPr>
            <w:rStyle w:val="Hyperlink"/>
            <w:vertAlign w:val="superscript"/>
          </w:rPr>
          <w:t xml:space="preserve">244</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Mendelian randomisation frameworks - c.f. EHR databases, which contain the same underlying sample but use different sub-samples on account of the distinct codes/conditions and timepoints used to defined the study cohorts, Mendelian randomisation analysis can be multiple studies using the exact same summary statistics from the same cohorts</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 @ref()), increasing number of ApoE4 alleles is a major independent risk factor for Alzheimer’s disease, and so violates the exclusion restriction criteria of .</w:t>
      </w:r>
    </w:p>
    <w:p>
      <w:pPr>
        <w:pStyle w:val="BodyText"/>
      </w:pPr>
      <w:r>
        <w:t xml:space="preserve">Introduce assumptions underlying Mendelian randomisation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t xml:space="preserve">Recommend future large scale GWAS of other dementia outcomes, notably vascular dementia, or the use of existing GWAS to</w:t>
      </w:r>
      <w:r>
        <w:t xml:space="preserve"> </w:t>
      </w:r>
    </w:p>
    <w:p>
      <w:pPr>
        <w:pStyle w:val="BodyText"/>
      </w:pPr>
      <w:r>
        <w:t xml:space="preserve">A key example of the importance of . In almost all cases, Mendelian randomisation studies examine. A clear exampe of this is Ben et al, 2017, where the ApoE variants were not sufficient identified and excluded, and the published paper detailed evidence for a protective effect of LDL-c was identified (</w:t>
      </w:r>
      <w:r>
        <w:rPr>
          <w:rStyle w:val="VerbatimChar"/>
        </w:rPr>
        <w:t xml:space="preserve">estimate(0.83, .75,.92,"RR")</w:t>
      </w:r>
      <w:r>
        <w:t xml:space="preserve">).</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this finding towards the null.</w:t>
      </w:r>
      <w:hyperlink w:anchor="ref-benn2017a">
        <w:r>
          <w:rPr>
            <w:rStyle w:val="Hyperlink"/>
            <w:vertAlign w:val="superscript"/>
          </w:rPr>
          <w:t xml:space="preserve">245</w:t>
        </w:r>
      </w:hyperlink>
    </w:p>
    <w:p>
      <w:pPr>
        <w:pStyle w:val="BodyText"/>
      </w:pPr>
      <w:r>
        <w:t xml:space="preserve"> </w:t>
      </w:r>
    </w:p>
    <w:bookmarkEnd w:id="145"/>
    <w:bookmarkStart w:id="147"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18: Growth of preprint repositories over time -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46"/>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(sys-rev-including-preprints-res), and indicated that results available only via preprinted reports can contribute substantially to a meta-analysis. Of note, all three included preprints described Mendelian randomisation analysis,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 and nicely illustrates the dual advantages of preprinted reports to evidence syntheses. Firstly, preprints provide an advance snapshot of the literature, capturing preprinted articles that are subsequently published but were not . Secondly, inclusion of preprints allows for results that may never be formally published to be included in an evidence synthesis exercise.</w:t>
      </w:r>
    </w:p>
    <w:p>
      <w:pPr>
        <w:pStyle w:val="BodyText"/>
      </w:pPr>
      <w:r>
        <w:t xml:space="preserve">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228</w:t>
        </w:r>
      </w:hyperlink>
      <w:r>
        <w:t xml:space="preserve"> </w:t>
      </w:r>
      <w:r>
        <w:t xml:space="preserve">which was subsequently published in Nature Communications in January 2018, following peer-review.</w:t>
      </w:r>
      <w:hyperlink w:anchor="ref-zhu2018">
        <w:r>
          <w:rPr>
            <w:rStyle w:val="Hyperlink"/>
            <w:vertAlign w:val="superscript"/>
          </w:rPr>
          <w:t xml:space="preserve">229</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 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47"/>
    <w:bookmarkStart w:id="148" w:name="sys-rev-open-data"/>
    <w:p>
      <w:pPr>
        <w:pStyle w:val="Heading3"/>
      </w:pPr>
      <w:r>
        <w:t xml:space="preserve">Open data sharing</w:t>
      </w:r>
    </w:p>
    <w:p>
      <w:pPr>
        <w:pStyle w:val="FirstParagraph"/>
      </w:pPr>
      <w:r>
        <w:t xml:space="preserve">As discussed in Section</w:t>
      </w:r>
      <w:r>
        <w:t xml:space="preserve"> </w:t>
      </w:r>
      <w:r>
        <w:t xml:space="preserve">4.4.9</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246</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247</w:t>
        </w:r>
      </w:hyperlink>
      <w:r>
        <w:t xml:space="preserve"> </w:t>
      </w:r>
      <w:r>
        <w:t xml:space="preserve">and is not too costly to systematic reviewers,</w:t>
      </w:r>
      <w:hyperlink w:anchor="ref-cooper2019">
        <w:r>
          <w:rPr>
            <w:rStyle w:val="Hyperlink"/>
            <w:vertAlign w:val="superscript"/>
          </w:rPr>
          <w:t xml:space="preserve">248</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249</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48"/>
    <w:bookmarkStart w:id="151" w:name="strengths-and-limitations"/>
    <w:p>
      <w:pPr>
        <w:pStyle w:val="Heading3"/>
      </w:pPr>
      <w:r>
        <w:t xml:space="preserve">Strengths and limitations</w:t>
      </w:r>
    </w:p>
    <w:bookmarkStart w:id="149"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235</w:t>
        </w:r>
      </w:hyperlink>
      <w:r>
        <w:rPr>
          <w:vertAlign w:val="superscript"/>
        </w:rPr>
        <w:t xml:space="preserve">–</w:t>
      </w:r>
      <w:hyperlink w:anchor="ref-poly2020">
        <w:r>
          <w:rPr>
            <w:rStyle w:val="Hyperlink"/>
            <w:vertAlign w:val="superscript"/>
          </w:rPr>
          <w:t xml:space="preserve">237</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risk-of-bias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9"/>
    <w:bookmarkStart w:id="150"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250</w:t>
        </w:r>
      </w:hyperlink>
      <w:r>
        <w:t xml:space="preserve"> </w:t>
      </w:r>
      <w:hyperlink w:anchor="ref-mcguinness2019validity">
        <w:r>
          <w:rPr>
            <w:rStyle w:val="Hyperlink"/>
            <w:vertAlign w:val="superscript"/>
          </w:rPr>
          <w:t xml:space="preserve">251</w:t>
        </w:r>
      </w:hyperlink>
      <w:r>
        <w:rPr>
          <w:vertAlign w:val="superscript"/>
        </w:rPr>
        <w:t xml:space="preserve">,</w:t>
      </w:r>
      <w:hyperlink w:anchor="ref-wilkinson2018">
        <w:r>
          <w:rPr>
            <w:rStyle w:val="Hyperlink"/>
            <w:vertAlign w:val="superscript"/>
          </w:rPr>
          <w:t xml:space="preserve">252</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253</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0"/>
    <w:bookmarkEnd w:id="151"/>
    <w:bookmarkEnd w:id="152"/>
    <w:bookmarkStart w:id="153"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3"/>
    <w:bookmarkStart w:id="154" w:name="references-2"/>
    <w:p>
      <w:pPr>
        <w:pStyle w:val="Heading2"/>
      </w:pPr>
      <w:r>
        <w:t xml:space="preserve">References</w:t>
      </w:r>
    </w:p>
    <w:bookmarkEnd w:id="154"/>
    <w:bookmarkEnd w:id="155"/>
    <w:bookmarkStart w:id="207" w:name="cprd-analysis-heading"/>
    <w:p>
      <w:pPr>
        <w:pStyle w:val="Heading1"/>
      </w:pPr>
      <w:r>
        <w:t xml:space="preserve">Primary analysis of lipid regulating agents and dementia outcomes</w:t>
      </w:r>
    </w:p>
    <w:p>
      <w:pPr>
        <w:pStyle w:val="FirstParagraph"/>
      </w:pPr>
    </w:p>
    <w:bookmarkStart w:id="156"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56"/>
    <w:bookmarkStart w:id="157"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9</w:t>
      </w:r>
      <w:r>
        <w:t xml:space="preserve">.</w:t>
      </w:r>
    </w:p>
    <w:p>
      <w:pPr>
        <w:pStyle w:val="BodyText"/>
      </w:pPr>
      <w:r>
        <w:t xml:space="preserve"> </w:t>
      </w:r>
    </w:p>
    <w:bookmarkEnd w:id="157"/>
    <w:bookmarkStart w:id="177" w:name="methods-1"/>
    <w:p>
      <w:pPr>
        <w:pStyle w:val="Heading2"/>
      </w:pPr>
      <w:r>
        <w:t xml:space="preserve">Methods</w:t>
      </w:r>
    </w:p>
    <w:bookmarkStart w:id="158"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254</w:t>
        </w:r>
      </w:hyperlink>
      <w:r>
        <w:t xml:space="preserve"> </w:t>
      </w:r>
      <w:r>
        <w:t xml:space="preserve">and amendments to this are recorded in Appendix</w:t>
      </w:r>
      <w:r>
        <w:t xml:space="preserve"> </w:t>
      </w:r>
      <w:r>
        <w:t xml:space="preserve">11.4.1</w:t>
      </w:r>
      <w:r>
        <w:t xml:space="preserve">.</w:t>
      </w:r>
      <w:hyperlink w:anchor="ref-vonelm2008">
        <w:r>
          <w:rPr>
            <w:rStyle w:val="Hyperlink"/>
            <w:vertAlign w:val="superscript"/>
          </w:rPr>
          <w:t xml:space="preserve">255</w:t>
        </w:r>
      </w:hyperlink>
    </w:p>
    <w:p>
      <w:pPr>
        <w:pStyle w:val="BodyText"/>
      </w:pPr>
      <w:r>
        <w:t xml:space="preserve"> </w:t>
      </w:r>
    </w:p>
    <w:bookmarkEnd w:id="158"/>
    <w:bookmarkStart w:id="159"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256</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257</w:t>
        </w:r>
      </w:hyperlink>
      <w:r>
        <w:rPr>
          <w:vertAlign w:val="superscript"/>
        </w:rPr>
        <w:t xml:space="preserve">,</w:t>
      </w:r>
      <w:hyperlink w:anchor="ref-wood2001revitalizing">
        <w:r>
          <w:rPr>
            <w:rStyle w:val="Hyperlink"/>
            <w:vertAlign w:val="superscript"/>
          </w:rPr>
          <w:t xml:space="preserve">258</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256</w:t>
        </w:r>
      </w:hyperlink>
      <w:r>
        <w:rPr>
          <w:vertAlign w:val="superscript"/>
        </w:rPr>
        <w:t xml:space="preserve">,</w:t>
      </w:r>
      <w:hyperlink w:anchor="ref-mathur2014">
        <w:r>
          <w:rPr>
            <w:rStyle w:val="Hyperlink"/>
            <w:vertAlign w:val="superscript"/>
          </w:rPr>
          <w:t xml:space="preserve">259</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260</w:t>
        </w:r>
      </w:hyperlink>
      <w:r>
        <w:t xml:space="preserve"> </w:t>
      </w:r>
      <w:r>
        <w:t xml:space="preserve">All clinical events, included clinical test results and diagnoses, can be identified by a specific Read code. The codes use a nested approach (see Table</w:t>
      </w:r>
      <w:r>
        <w:t xml:space="preserve"> </w:t>
      </w:r>
      <w:r>
        <w:t xml:space="preserve">12</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12:</w:t>
      </w:r>
      <w:r>
        <w:t xml:space="preserve"> </w:t>
      </w:r>
      <w:bookmarkStart w:id="f4d43ae4-37a9-4145-9331-bb11a9f25b74"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f4d43ae4-37a9-4145-9331-bb11a9f25b7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9"/>
    <w:bookmarkStart w:id="160"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261</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0"/>
    <w:bookmarkStart w:id="161"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262</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1"/>
    <w:bookmarkStart w:id="163"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19</w:t>
      </w:r>
      <w:r>
        <w:t xml:space="preserve">). The diagnosis date of the outcome was determined by the first record of a relevant code.</w:t>
      </w:r>
    </w:p>
    <w:p>
      <w:pPr>
        <w:pStyle w:val="BodyText"/>
      </w:pPr>
      <w:r>
        <w:drawing>
          <wp:inline>
            <wp:extent cx="5943600" cy="3168282"/>
            <wp:effectExtent b="0" l="0" r="0" t="0"/>
            <wp:docPr descr="Figure 19: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2"/>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63"/>
    <w:bookmarkStart w:id="164"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263</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64"/>
    <w:bookmarkStart w:id="165"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264</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265</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266</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264</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267</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268</w:t>
        </w:r>
      </w:hyperlink>
      <w:r>
        <w:t xml:space="preserve"> </w:t>
      </w:r>
      <w:r>
        <w:t xml:space="preserve">to investigate the impact of multiple imputation on the results.</w:t>
      </w:r>
    </w:p>
    <w:p>
      <w:pPr>
        <w:pStyle w:val="BodyText"/>
      </w:pPr>
      <w:r>
        <w:t xml:space="preserve"> </w:t>
      </w:r>
      <w:r>
        <w:t xml:space="preserve"> </w:t>
      </w:r>
    </w:p>
    <w:bookmarkEnd w:id="165"/>
    <w:bookmarkStart w:id="166"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66"/>
    <w:bookmarkStart w:id="168"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20</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269</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20</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269</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20: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67"/>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8"/>
    <w:bookmarkStart w:id="169"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270</w:t>
        </w:r>
      </w:hyperlink>
      <w:r>
        <w:rPr>
          <w:vertAlign w:val="superscript"/>
        </w:rPr>
        <w:t xml:space="preserve">–</w:t>
      </w:r>
      <w:hyperlink w:anchor="ref-pencina2007">
        <w:r>
          <w:rPr>
            <w:rStyle w:val="Hyperlink"/>
            <w:vertAlign w:val="superscript"/>
          </w:rPr>
          <w:t xml:space="preserve">272</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69"/>
    <w:bookmarkStart w:id="176" w:name="sensitivity-analyses"/>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71"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273</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21</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274</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275</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21: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0"/>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71"/>
    <w:bookmarkStart w:id="172"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72"/>
    <w:bookmarkStart w:id="173"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276</w:t>
        </w:r>
      </w:hyperlink>
    </w:p>
    <w:p>
      <w:pPr>
        <w:pStyle w:val="BodyText"/>
      </w:pPr>
      <w:r>
        <w:t xml:space="preserve"> </w:t>
      </w:r>
    </w:p>
    <w:bookmarkEnd w:id="173"/>
    <w:bookmarkStart w:id="174"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74"/>
    <w:bookmarkStart w:id="175"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277</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75"/>
    <w:bookmarkEnd w:id="176"/>
    <w:bookmarkEnd w:id="177"/>
    <w:bookmarkStart w:id="198" w:name="results-1"/>
    <w:p>
      <w:pPr>
        <w:pStyle w:val="Heading2"/>
      </w:pPr>
      <w:r>
        <w:t xml:space="preserve">Results</w:t>
      </w:r>
    </w:p>
    <w:bookmarkStart w:id="179"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22</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2: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8"/>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15</w:t>
      </w:r>
      <w:r>
        <w:t xml:space="preserve">). The distribution of baseline characteristics across the seven drug classes can be seen in Table</w:t>
      </w:r>
      <w:r>
        <w:t xml:space="preserve"> </w:t>
      </w:r>
      <w:r>
        <w:t xml:space="preserve">13</w:t>
      </w:r>
      <w:r>
        <w:t xml:space="preserve">.</w:t>
      </w:r>
    </w:p>
    <w:p>
      <w:pPr>
        <w:pStyle w:val="TableCaption"/>
      </w:pPr>
      <w:r>
        <w:t xml:space="preserve">Table 13:</w:t>
      </w:r>
      <w:r>
        <w:t xml:space="preserve"> </w:t>
      </w:r>
      <w:bookmarkStart w:id="946e169e-f7c1-4d0f-bc7e-1578a86addb5" w:name="tab:cprdCharacteristics-table"/>
      <w:r>
        <w:t xml:space="preserve">Patient characteristics by drug class. Summary statistics are presented as "% (N)" unless otherwise specified in the variable name.</w:t>
      </w:r>
      <w:bookmarkEnd w:id="946e169e-f7c1-4d0f-bc7e-1578a86addb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13</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14:</w:t>
      </w:r>
      <w:r>
        <w:t xml:space="preserve"> </w:t>
      </w:r>
      <w:bookmarkStart w:id="c3b646c4-d7de-41e5-81d3-d7de43d2e055" w:name="tab:cprdSSA-table"/>
      <w:r>
        <w:t xml:space="preserve">Participants who stopped, switched or added treatments by initial treatment type.</w:t>
      </w:r>
      <w:bookmarkEnd w:id="c3b646c4-d7de-41e5-81d3-d7de43d2e05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bookmarkEnd w:id="179"/>
    <w:bookmarkStart w:id="180"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0"/>
    <w:bookmarkStart w:id="182"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15</w:t>
      </w:r>
      <w:r>
        <w:t xml:space="preserve">.</w:t>
      </w:r>
    </w:p>
    <w:p>
      <w:pPr>
        <w:pStyle w:val="TableCaption"/>
      </w:pPr>
      <w:r>
        <w:t xml:space="preserve">Table 15:</w:t>
      </w:r>
      <w:r>
        <w:t xml:space="preserve"> </w:t>
      </w:r>
      <w:bookmarkStart w:id="907e0de6-a81f-4263-ae3a-ad840b4c1b8f" w:name="tab:followUp-table"/>
      <w:r>
        <w:t xml:space="preserve">Summary</w:t>
      </w:r>
      <w:bookmarkEnd w:id="907e0de6-a81f-4263-ae3a-ad840b4c1b8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23</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3: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1"/>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82"/>
    <w:bookmarkStart w:id="197"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84"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265</w:t>
        </w:r>
      </w:hyperlink>
    </w:p>
    <w:p>
      <w:pPr>
        <w:pStyle w:val="BodyText"/>
      </w:pPr>
      <w:r>
        <w:t xml:space="preserve"> </w:t>
      </w:r>
    </w:p>
    <w:p>
      <w:pPr>
        <w:pStyle w:val="BodyText"/>
      </w:pPr>
      <w:r>
        <w:drawing>
          <wp:inline>
            <wp:extent cx="5943600" cy="4087549"/>
            <wp:effectExtent b="0" l="0" r="0" t="0"/>
            <wp:docPr descr="Figure 24: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83"/>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4"/>
    <w:bookmarkStart w:id="186"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25</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5: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85"/>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26</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6: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87"/>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8"/>
    <w:bookmarkStart w:id="190"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27</w:t>
      </w:r>
      <w:r>
        <w:t xml:space="preserve">).</w:t>
      </w:r>
    </w:p>
    <w:p>
      <w:pPr>
        <w:pStyle w:val="BodyText"/>
      </w:pPr>
      <w:r>
        <w:t xml:space="preserve"> </w:t>
      </w:r>
    </w:p>
    <w:p>
      <w:pPr>
        <w:pStyle w:val="BodyText"/>
      </w:pPr>
      <w:r>
        <w:drawing>
          <wp:inline>
            <wp:extent cx="5943600" cy="1664208"/>
            <wp:effectExtent b="0" l="0" r="0" t="0"/>
            <wp:docPr descr="Figure 27: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9"/>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16</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16:</w:t>
      </w:r>
      <w:r>
        <w:t xml:space="preserve"> </w:t>
      </w:r>
      <w:bookmarkStart w:id="cf7cee01-6ed7-4390-8733-6e30681a1905" w:name="tab:diagnosisType-table"/>
      <w:r>
        <w:t xml:space="preserve">Frequency of diagnoses by grouped year of cohort entry</w:t>
      </w:r>
      <w:bookmarkEnd w:id="cf7cee01-6ed7-4390-8733-6e30681a190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0"/>
    <w:bookmarkStart w:id="192"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28</w:t>
      </w:r>
      <w:r>
        <w:t xml:space="preserve">).</w:t>
      </w:r>
    </w:p>
    <w:p>
      <w:pPr>
        <w:pStyle w:val="BodyText"/>
      </w:pPr>
      <w:r>
        <w:drawing>
          <wp:inline>
            <wp:extent cx="5943600" cy="4068214"/>
            <wp:effectExtent b="0" l="0" r="0" t="0"/>
            <wp:docPr descr="Figure 28: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1"/>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17</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17:</w:t>
      </w:r>
      <w:r>
        <w:t xml:space="preserve"> </w:t>
      </w:r>
      <w:bookmarkStart w:id="9f754cc3-fada-4a42-bf38-6f14da007b08" w:name="tab:statinTypeTable-table"/>
      <w:r>
        <w:t xml:space="preserve">Summary of statin properties (lipophilicity vs hydrophilicity) by grouped year of prescription.</w:t>
      </w:r>
      <w:bookmarkEnd w:id="9f754cc3-fada-4a42-bf38-6f14da007b0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29</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9: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93"/>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4"/>
    <w:bookmarkStart w:id="196"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30</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277</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0: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95"/>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96"/>
    <w:bookmarkEnd w:id="197"/>
    <w:bookmarkEnd w:id="198"/>
    <w:bookmarkStart w:id="205" w:name="discussion-2"/>
    <w:p>
      <w:pPr>
        <w:pStyle w:val="Heading2"/>
      </w:pPr>
      <w:r>
        <w:t xml:space="preserve">Discussion</w:t>
      </w:r>
    </w:p>
    <w:bookmarkStart w:id="199"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9"/>
    <w:bookmarkStart w:id="201"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9</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278</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31</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279</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31: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0"/>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19</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280</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281</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4.4.11</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201"/>
    <w:bookmarkStart w:id="202"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282</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251</w:t>
        </w:r>
      </w:hyperlink>
      <w:r>
        <w:rPr>
          <w:vertAlign w:val="superscript"/>
        </w:rPr>
        <w:t xml:space="preserve">,</w:t>
      </w:r>
      <w:hyperlink w:anchor="ref-wilkinson2018">
        <w:r>
          <w:rPr>
            <w:rStyle w:val="Hyperlink"/>
            <w:vertAlign w:val="superscript"/>
          </w:rPr>
          <w:t xml:space="preserve">252</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202"/>
    <w:bookmarkStart w:id="203"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283</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284</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203"/>
    <w:bookmarkStart w:id="204"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280</w:t>
        </w:r>
      </w:hyperlink>
    </w:p>
    <w:p>
      <w:pPr>
        <w:pStyle w:val="BodyText"/>
      </w:pPr>
      <w:r>
        <w:t xml:space="preserve">Regardless, this analysis has provided an additional source of evidence for the triangulation exercise presented in Chapter</w:t>
      </w:r>
      <w:r>
        <w:t xml:space="preserve"> </w:t>
      </w:r>
      <w:r>
        <w:t xml:space="preserve">9</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204"/>
    <w:bookmarkEnd w:id="205"/>
    <w:bookmarkStart w:id="206" w:name="references-3"/>
    <w:p>
      <w:pPr>
        <w:pStyle w:val="Heading2"/>
      </w:pPr>
      <w:r>
        <w:t xml:space="preserve">References</w:t>
      </w:r>
    </w:p>
    <w:p>
      <w:pPr>
        <w:pStyle w:val="FirstParagraph"/>
      </w:pPr>
      <w:r>
        <w:t xml:space="preserve">— Hold — Hold</w:t>
      </w:r>
    </w:p>
    <w:bookmarkEnd w:id="206"/>
    <w:bookmarkEnd w:id="207"/>
    <w:bookmarkStart w:id="231" w:name="ipd-heading"/>
    <w:p>
      <w:pPr>
        <w:pStyle w:val="Heading1"/>
      </w:pPr>
      <w:r>
        <w:t xml:space="preserve">Individual participant data meta-analysis</w:t>
      </w:r>
    </w:p>
    <w:p>
      <w:pPr>
        <w:pStyle w:val="FirstParagraph"/>
      </w:pPr>
    </w:p>
    <w:bookmarkStart w:id="208" w:name="lay-summary-4"/>
    <w:p>
      <w:pPr>
        <w:pStyle w:val="Heading2"/>
      </w:pPr>
      <w:r>
        <w:t xml:space="preserve">Lay Summary</w:t>
      </w:r>
    </w:p>
    <w:p>
      <w:pPr>
        <w:pStyle w:val="FirstParagraph"/>
      </w:pPr>
      <w:r>
        <w:t xml:space="preserve">As part of a broader investigation into the relationship between lipid levels and dementia risk, I sought to</w:t>
      </w:r>
    </w:p>
    <w:p>
      <w:pPr>
        <w:pStyle w:val="BodyText"/>
      </w:pPr>
      <w:r>
        <w:t xml:space="preserve"> </w:t>
      </w:r>
    </w:p>
    <w:p>
      <w:pPr>
        <w:pStyle w:val="BodyText"/>
      </w:pPr>
      <w:r>
        <w:t xml:space="preserve"> </w:t>
      </w:r>
    </w:p>
    <w:bookmarkEnd w:id="208"/>
    <w:bookmarkStart w:id="209"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Justify analysis based on findings of systematic review - suggestion of variation of effect by age, specifically</w:t>
      </w:r>
    </w:p>
    <w:p>
      <w:pPr>
        <w:pStyle w:val="BodyText"/>
      </w:pPr>
      <w:r>
        <w:t xml:space="preserve"> </w:t>
      </w:r>
    </w:p>
    <w:bookmarkEnd w:id="209"/>
    <w:bookmarkStart w:id="215" w:name="methods-2"/>
    <w:p>
      <w:pPr>
        <w:pStyle w:val="Heading2"/>
      </w:pPr>
      <w:r>
        <w:t xml:space="preserve">Methods</w:t>
      </w:r>
    </w:p>
    <w:bookmarkStart w:id="210" w:name="eligibility-criteria"/>
    <w:p>
      <w:pPr>
        <w:pStyle w:val="Heading3"/>
      </w:pPr>
      <w:r>
        <w:t xml:space="preserve">Eligibility criteria</w:t>
      </w:r>
    </w:p>
    <w:p>
      <w:pPr>
        <w:pStyle w:val="FirstParagraph"/>
      </w:pPr>
      <w:r>
        <w:t xml:space="preserve">Eligible data sources were defined as those that contained lipid measurements and 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(cprd-heading).</w:t>
      </w:r>
    </w:p>
    <w:bookmarkEnd w:id="210"/>
    <w:bookmarkStart w:id="211" w:name="applying-for-data-access"/>
    <w:p>
      <w:pPr>
        <w:pStyle w:val="Heading3"/>
      </w:pPr>
      <w:r>
        <w:t xml:space="preserve">Applying for data access</w:t>
      </w:r>
    </w:p>
    <w:p>
      <w:pPr>
        <w:pStyle w:val="FirstParagraph"/>
      </w:pPr>
      <w:r>
        <w:rPr>
          <w:bCs/>
          <w:b/>
        </w:rPr>
        <w:t xml:space="preserve">Systematic review</w:t>
      </w:r>
    </w:p>
    <w:p>
      <w:pPr>
        <w:pStyle w:val="BodyText"/>
      </w:pPr>
      <w:r>
        <w:t xml:space="preserve">As part of the IPD analysis, eligible observational prospective cohort studies identified through the systematic review detailed in Chapters</w:t>
      </w:r>
      <w:r>
        <w:t xml:space="preserve"> </w:t>
      </w:r>
      <w:r>
        <w:t xml:space="preserve">4</w:t>
      </w:r>
      <w:r>
        <w:t xml:space="preserve"> </w:t>
      </w:r>
      <w:r>
        <w:t xml:space="preserve">were approached for data access.</w:t>
      </w:r>
    </w:p>
    <w:p>
      <w:pPr>
        <w:pStyle w:val="BodyText"/>
      </w:pPr>
      <w:r>
        <w:t xml:space="preserve">In the first instance, the first author on the main study report was emailed (see Appendix @ref() for a copy of the text and documentation sent). If this did not elict a response, the last/corresponding author was contacted, on the basis that the first author may have been a more junior member.</w:t>
      </w:r>
    </w:p>
    <w:p>
      <w:pPr>
        <w:pStyle w:val="BodyText"/>
      </w:pPr>
      <w:r>
        <w:t xml:space="preserve">examining the effect of lipid levels</w:t>
      </w:r>
    </w:p>
    <w:p>
      <w:pPr>
        <w:pStyle w:val="BodyText"/>
      </w:pPr>
      <w:r>
        <w:rPr>
          <w:bCs/>
          <w:b/>
        </w:rPr>
        <w:t xml:space="preserve">Dementia platform UK</w:t>
      </w:r>
    </w:p>
    <w:p>
      <w:pPr>
        <w:pStyle w:val="BodyText"/>
      </w:pPr>
      <w:r>
        <w:t xml:space="preserve">In addition, in an attempt to supplement the analysis with</w:t>
      </w:r>
    </w:p>
    <w:p>
      <w:pPr>
        <w:pStyle w:val="BodyText"/>
      </w:pPr>
      <w:r>
        <w:t xml:space="preserve">In addition, to assess the results for the Dementia Platform UK common-access procedure was utilised. In short, this approach is intended to make it easier to access data from existing dementia cohorts through a centralised application process.</w:t>
      </w:r>
    </w:p>
    <w:p>
      <w:pPr>
        <w:pStyle w:val="BodyText"/>
      </w:pPr>
      <w:r>
        <w:t xml:space="preserve"> </w:t>
      </w:r>
    </w:p>
    <w:bookmarkEnd w:id="211"/>
    <w:bookmarkStart w:id="212"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4.3.7.2</w:t>
      </w:r>
      <w:r>
        <w:t xml:space="preserve">).</w:t>
      </w:r>
    </w:p>
    <w:p>
      <w:pPr>
        <w:pStyle w:val="BodyText"/>
      </w:pPr>
      <w:r>
        <w:t xml:space="preserve"> </w:t>
      </w:r>
    </w:p>
    <w:bookmarkEnd w:id="212"/>
    <w:bookmarkStart w:id="213"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265</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266</w:t>
        </w:r>
      </w:hyperlink>
      <w:r>
        <w:t xml:space="preserve"> </w:t>
      </w:r>
      <w:r>
        <w:t xml:space="preserve">Imputation was performed using the MICE (Multiple Imputation by Chained Equations) using the XXX command in R.</w:t>
      </w:r>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267</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268</w:t>
        </w:r>
      </w:hyperlink>
      <w:r>
        <w:t xml:space="preserve"> </w:t>
      </w:r>
      <w:r>
        <w:t xml:space="preserve">to investigate the impact of multiple imputation on the results.</w:t>
      </w:r>
    </w:p>
    <w:p>
      <w:pPr>
        <w:pStyle w:val="BodyText"/>
      </w:pPr>
      <w:r>
        <w:t xml:space="preserve"> </w:t>
      </w:r>
    </w:p>
    <w:bookmarkEnd w:id="213"/>
    <w:bookmarkStart w:id="214" w:name="analysis"/>
    <w:p>
      <w:pPr>
        <w:pStyle w:val="Heading3"/>
      </w:pPr>
      <w:r>
        <w:t xml:space="preserve">Analysis</w:t>
      </w:r>
    </w:p>
    <w:p>
      <w:pPr>
        <w:pStyle w:val="FirstParagraph"/>
      </w:pPr>
      <w:r>
        <w:t xml:space="preserve">_Individual patient data approached__</w:t>
      </w:r>
    </w:p>
    <w:p>
      <w:pPr>
        <w:pStyle w:val="BodyText"/>
      </w:pPr>
      <w:r>
        <w:t xml:space="preserve">Two stage versus one-stage approach</w:t>
      </w:r>
    </w:p>
    <w:p>
      <w:pPr>
        <w:pStyle w:val="BodyText"/>
      </w:pPr>
      <w:r>
        <w:t xml:space="preserve">A two-stage model was used out of necessity, with the one-stage model being precluded by the different datasets being in protected data silos.</w:t>
      </w:r>
    </w:p>
    <w:p>
      <w:pPr>
        <w:pStyle w:val="BodyText"/>
      </w:pPr>
      <w:r>
        <w:rPr>
          <w:bCs/>
          <w:b/>
        </w:rPr>
        <w:t xml:space="preserve">Statistical methods</w:t>
      </w:r>
    </w:p>
    <w:p>
      <w:pPr>
        <w:pStyle w:val="BodyText"/>
      </w:pPr>
      <w:r>
        <w:t xml:space="preserve">Under a two-stage approach, estimates for the effect of each lipid fraction on available dementia outcomes in each study were first calculated for each data source. A common model, adjusted for identical covariates, were obtained using a common model.</w:t>
      </w:r>
    </w:p>
    <w:p>
      <w:pPr>
        <w:pStyle w:val="BodyText"/>
      </w:pPr>
      <w:r>
        <w:t xml:space="preserve">To aid interpretability of the outcome, all analyses were standardised by changes in 1-SD of the exposure variable. Clustering within studies was accounted for, given the evidence that …</w:t>
      </w:r>
      <w:hyperlink w:anchor="ref-abo-zaid2013">
        <w:r>
          <w:rPr>
            <w:rStyle w:val="Hyperlink"/>
            <w:vertAlign w:val="superscript"/>
          </w:rPr>
          <w:t xml:space="preserve">285</w:t>
        </w:r>
      </w:hyperlink>
    </w:p>
    <w:p>
      <w:pPr>
        <w:pStyle w:val="BodyText"/>
      </w:pPr>
      <w:r>
        <w:t xml:space="preserve">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286</w:t>
        </w:r>
      </w:hyperlink>
    </w:p>
    <w:p>
      <w:pPr>
        <w:pStyle w:val="BodyText"/>
      </w:pPr>
      <w:r>
        <w:t xml:space="preserve">The estimates from each data source were then combined using a random-effects meta-analysis</w:t>
      </w:r>
    </w:p>
    <w:p>
      <w:pPr>
        <w:pStyle w:val="BodyText"/>
      </w:pPr>
      <w:r>
        <w:t xml:space="preserve"> </w:t>
      </w:r>
    </w:p>
    <w:p>
      <w:pPr>
        <w:pStyle w:val="BodyText"/>
      </w:pPr>
      <w:r>
        <w:rPr>
          <w:bCs/>
          <w:b/>
        </w:rPr>
        <w:t xml:space="preserve">Investigating effect of patient-level covariates</w:t>
      </w:r>
    </w:p>
    <w:p>
      <w:pPr>
        <w:pStyle w:val="BodyText"/>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p>
      <w:pPr>
        <w:pStyle w:val="BodyText"/>
      </w:pPr>
      <w:r>
        <w:rPr>
          <w:bCs/>
          <w:b/>
        </w:rPr>
        <w:t xml:space="preserve">Replicating published findings</w:t>
      </w:r>
    </w:p>
    <w:p>
      <w:pPr>
        <w:pStyle w:val="BodyText"/>
      </w:pPr>
      <w:r>
        <w:t xml:space="preserve">Where an included data source had previously been analysed and results for the association between lipid levels and dementia reported, these were compared to the results of this analysis. If discrepancies were identified, these were investigate.</w:t>
      </w:r>
    </w:p>
    <w:p>
      <w:pPr>
        <w:pStyle w:val="BodyText"/>
      </w:pPr>
      <w:r>
        <w:rPr>
          <w:bCs/>
          <w:b/>
        </w:rPr>
        <w:t xml:space="preserve">Combining published aggregate data and individual participant data</w:t>
      </w:r>
    </w:p>
    <w:p>
      <w:pPr>
        <w:pStyle w:val="BodyText"/>
      </w:pPr>
      <w:r>
        <w:t xml:space="preserve">Where a data source did not provided their individual participant data, but stratified by a patient characteristic of interest in the published data, the agregate date and individual data were combined.</w:t>
      </w:r>
    </w:p>
    <w:p>
      <w:pPr>
        <w:pStyle w:val="BodyText"/>
      </w:pPr>
      <w:r>
        <w:rPr>
          <w:bCs/>
          <w:b/>
        </w:rPr>
        <w:t xml:space="preserve">Author statements on data availability</w:t>
      </w:r>
    </w:p>
    <w:p>
      <w:pPr>
        <w:pStyle w:val="BodyText"/>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287</w:t>
        </w:r>
      </w:hyperlink>
    </w:p>
    <w:p>
      <w:pPr>
        <w:pStyle w:val="BodyText"/>
      </w:pPr>
      <w:r>
        <w:t xml:space="preserve"> </w:t>
      </w:r>
    </w:p>
    <w:bookmarkEnd w:id="214"/>
    <w:bookmarkEnd w:id="215"/>
    <w:bookmarkStart w:id="230" w:name="results-2"/>
    <w:p>
      <w:pPr>
        <w:pStyle w:val="Heading2"/>
      </w:pPr>
      <w:r>
        <w:t xml:space="preserve">Results</w:t>
      </w:r>
    </w:p>
    <w:bookmarkStart w:id="217" w:name="data-access"/>
    <w:p>
      <w:pPr>
        <w:pStyle w:val="Heading3"/>
      </w:pPr>
      <w:r>
        <w:t xml:space="preserve">Data access</w:t>
      </w:r>
    </w:p>
    <w:p>
      <w:pPr>
        <w:pStyle w:val="FirstParagraph"/>
      </w:pPr>
      <w:r>
        <w:t xml:space="preserve">Of the XXX studies to which I applied for data access, only three were eventually included in the analysis. Figure</w:t>
      </w:r>
      <w:r>
        <w:t xml:space="preserve"> </w:t>
      </w:r>
      <w:r>
        <w:t xml:space="preserve">32</w:t>
      </w:r>
      <w:r>
        <w:t xml:space="preserve"> </w:t>
      </w:r>
      <w:r>
        <w:t xml:space="preserve">details whether the cohorts eventually included in the review were identified by the systematic review or via DPUK portal.</w:t>
      </w:r>
    </w:p>
    <w:p>
      <w:pPr>
        <w:pStyle w:val="BodyText"/>
      </w:pPr>
      <w:r>
        <w:t xml:space="preserve">In addition, the reasons for cohorts not being included in the analysis are presented. In summary, the requests for data from cohorts identified by the systematic review was characterised by a very low response rate. For the minority who did respond, common reasons given by corresponding authors for not sharing the data included that they no longer worked in the lab, had access to the data, or that they were currently or intended to perform a similar analysis as the one proposed.</w:t>
      </w:r>
    </w:p>
    <w:p>
      <w:pPr>
        <w:pStyle w:val="BodyText"/>
      </w:pPr>
      <w:r>
        <w:t xml:space="preserve">For the streamlined DPUK process, where a dedicated project manager liaises with cohort owners on the applicants behalf, the overall response rate was higher, resulting in access to three cohorts. However, even using this dedicated access approach, a response was obtained for less than half of the approach cohorts</w:t>
      </w:r>
    </w:p>
    <w:p>
      <w:pPr>
        <w:pStyle w:val="BodyText"/>
      </w:pPr>
      <w:r>
        <w:drawing>
          <wp:inline>
            <wp:extent cx="5943600" cy="4592781"/>
            <wp:effectExtent b="0" l="0" r="0" t="0"/>
            <wp:docPr descr="Figure 32: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16"/>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Few cohorts were included in both the DPUK and the systematic review sets of cohorts indicating that the DPUK.</w:t>
      </w:r>
    </w:p>
    <w:p>
      <w:pPr>
        <w:pStyle w:val="BodyText"/>
      </w:pPr>
      <w:r>
        <w:t xml:space="preserve">As highlighted in the</w:t>
      </w:r>
    </w:p>
    <w:p>
      <w:pPr>
        <w:pStyle w:val="BodyText"/>
      </w:pPr>
      <w:r>
        <w:t xml:space="preserve"> </w:t>
      </w:r>
    </w:p>
    <w:bookmarkEnd w:id="217"/>
    <w:bookmarkStart w:id="223"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18</w:t>
      </w:r>
      <w:r>
        <w:t xml:space="preserve"> </w:t>
      </w:r>
      <w:r>
        <w:t xml:space="preserve">and are described in detail in the following sections.</w:t>
      </w:r>
    </w:p>
    <w:p>
      <w:pPr>
        <w:pStyle w:val="BodyText"/>
      </w:pPr>
      <w:r>
        <w:t xml:space="preserve">Of note, all data sources included in the analysis were based in the United Kingdom. This is likely due to the majority of included datasets coming from the Dementia Platform UK route</w:t>
      </w:r>
      <w:r>
        <w:t xml:space="preserve"> </w:t>
      </w:r>
      <w:r>
        <w:t xml:space="preserve">32</w:t>
      </w:r>
      <w:r>
        <w:t xml:space="preserve">, which as implied by the name, has a geographical focus on studies performed in Great Britain United Kingdom.</w:t>
      </w:r>
    </w:p>
    <w:p>
      <w:pPr>
        <w:pStyle w:val="BodyText"/>
      </w:pPr>
      <w:r>
        <w:t xml:space="preserve"> </w:t>
      </w:r>
    </w:p>
    <w:p>
      <w:pPr>
        <w:pStyle w:val="TableCaption"/>
      </w:pPr>
      <w:r>
        <w:t xml:space="preserve">Table 18:</w:t>
      </w:r>
      <w:r>
        <w:t xml:space="preserve"> </w:t>
      </w:r>
      <w:bookmarkStart w:id="725876d2-2a4c-469f-8f72-4b16c0addde6" w:name="tab:cohortOverview-table"/>
      <w:r>
        <w:t xml:space="preserve">Summary of cohorts for which data were available</w:t>
      </w:r>
      <w:bookmarkEnd w:id="725876d2-2a4c-469f-8f72-4b16c0addde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18"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18"/>
    <w:bookmarkStart w:id="219"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256</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256</w:t>
        </w:r>
      </w:hyperlink>
      <w:r>
        <w:rPr>
          <w:vertAlign w:val="superscript"/>
        </w:rPr>
        <w:t xml:space="preserve">,</w:t>
      </w:r>
      <w:hyperlink w:anchor="ref-mathur2014">
        <w:r>
          <w:rPr>
            <w:rStyle w:val="Hyperlink"/>
            <w:vertAlign w:val="superscript"/>
          </w:rPr>
          <w:t xml:space="preserve">259</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19"/>
    <w:bookmarkStart w:id="220"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288</w:t>
        </w:r>
      </w:hyperlink>
      <w:r>
        <w:rPr>
          <w:vertAlign w:val="superscript"/>
        </w:rPr>
        <w:t xml:space="preserve">,</w:t>
      </w:r>
      <w:hyperlink w:anchor="ref-riboli2002">
        <w:r>
          <w:rPr>
            <w:rStyle w:val="Hyperlink"/>
            <w:vertAlign w:val="superscript"/>
          </w:rPr>
          <w:t xml:space="preserve">289</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20"/>
    <w:bookmarkStart w:id="222"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21">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4</w:t>
      </w:r>
      <w:r>
        <w:t xml:space="preserve">,</w:t>
      </w:r>
      <w:hyperlink w:anchor="ref-tynkkynen2018">
        <w:r>
          <w:rPr>
            <w:rStyle w:val="Hyperlink"/>
            <w:vertAlign w:val="superscript"/>
          </w:rPr>
          <w:t xml:space="preserve">218</w:t>
        </w:r>
      </w:hyperlink>
      <w:r>
        <w:t xml:space="preserve"> </w:t>
      </w:r>
      <w:r>
        <w:t xml:space="preserve">meaning that a comparison between the published result and the analysis reported here was was possible.</w:t>
      </w:r>
    </w:p>
    <w:p>
      <w:pPr>
        <w:pStyle w:val="BodyText"/>
      </w:pPr>
      <w:r>
        <w:t xml:space="preserve"> </w:t>
      </w:r>
    </w:p>
    <w:bookmarkEnd w:id="222"/>
    <w:bookmarkEnd w:id="223"/>
    <w:bookmarkStart w:id="228" w:name="excluded-data-sources"/>
    <w:p>
      <w:pPr>
        <w:pStyle w:val="Heading3"/>
      </w:pPr>
      <w:r>
        <w:t xml:space="preserve">Excluded data sources</w:t>
      </w:r>
    </w:p>
    <w:bookmarkStart w:id="224" w:name="X21956c5bb1220e1050675bc21f8db7a8b7dcfce"/>
    <w:p>
      <w:pPr>
        <w:pStyle w:val="Heading4"/>
      </w:pPr>
      <w:r>
        <w:t xml:space="preserve">Cohorts identified the systematic review but excluded from the IPD analysis</w:t>
      </w:r>
    </w:p>
    <w:p>
      <w:pPr>
        <w:pStyle w:val="FirstParagraph"/>
      </w:pPr>
      <w:r>
        <w:t xml:space="preserve">Electronic health record co</w:t>
      </w:r>
    </w:p>
    <w:p>
      <w:pPr>
        <w:pStyle w:val="BodyText"/>
      </w:pPr>
      <w:r>
        <w:t xml:space="preserve">Lothian Birth Cohort - 1936</w:t>
      </w:r>
    </w:p>
    <w:p>
      <w:pPr>
        <w:pStyle w:val="BodyText"/>
      </w:pPr>
      <w:r>
        <w:t xml:space="preserve">Taiwan, etc.</w:t>
      </w:r>
    </w:p>
    <w:p>
      <w:pPr>
        <w:pStyle w:val="BodyText"/>
      </w:pPr>
      <w:r>
        <w:t xml:space="preserve"> </w:t>
      </w:r>
    </w:p>
    <w:bookmarkEnd w:id="224"/>
    <w:bookmarkStart w:id="225"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approach with a request for data acccess. This was primarily due to the information on the online system indicating that the study was relatively new (and so was yet to collect &gt;1 wave of data, as in the case of the XXXX cohort) or the online data dictionary indicating that the exposure variables of interest were not recorded.</w:t>
      </w:r>
    </w:p>
    <w:p>
      <w:pPr>
        <w:pStyle w:val="BodyText"/>
      </w:pPr>
      <w:r>
        <w:t xml:space="preserve">Electronic health record co</w:t>
      </w:r>
    </w:p>
    <w:p>
      <w:pPr>
        <w:pStyle w:val="BodyText"/>
      </w:pPr>
      <w:r>
        <w:t xml:space="preserve">LBC - 1936</w:t>
      </w:r>
    </w:p>
    <w:p>
      <w:pPr>
        <w:pStyle w:val="BodyText"/>
      </w:pPr>
      <w:r>
        <w:t xml:space="preserve">Taiwan etc,</w:t>
      </w:r>
    </w:p>
    <w:p>
      <w:pPr>
        <w:pStyle w:val="BodyText"/>
      </w:pPr>
      <w:r>
        <w:t xml:space="preserve"> </w:t>
      </w:r>
    </w:p>
    <w:bookmarkEnd w:id="225"/>
    <w:bookmarkStart w:id="226"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32</w:t>
      </w:r>
      <w:r>
        <w:t xml:space="preserve">, several cohorts from the DPUK responding positively but on inspection of data provided these cohorts were excluded.</w:t>
      </w:r>
    </w:p>
    <w:p>
      <w:pPr>
        <w:pStyle w:val="BodyText"/>
      </w:pPr>
      <w:r>
        <w:t xml:space="preserve">Several cohorts were excluded on the basis of a lack of exposure variables, including Cam-CAN (had cardiovascular category, but only contained blood pressure).</w:t>
      </w:r>
    </w:p>
    <w:p>
      <w:pPr>
        <w:pStyle w:val="BodyText"/>
      </w:pPr>
      <w:r>
        <w:t xml:space="preserve">The reasons for exclusion of these cohorts for which data were provided is illustrated in Table</w:t>
      </w:r>
      <w:r>
        <w:t xml:space="preserve"> </w:t>
      </w:r>
      <w:r>
        <w:t xml:space="preserve">19</w:t>
      </w:r>
      <w:r>
        <w:t xml:space="preserve">.</w:t>
      </w:r>
    </w:p>
    <w:p>
      <w:pPr>
        <w:pStyle w:val="BodyText"/>
      </w:pPr>
      <w:r>
        <w:rPr>
          <w:bCs/>
          <w:b/>
        </w:rPr>
        <w:t xml:space="preserve">BRACE</w:t>
      </w:r>
    </w:p>
    <w:p>
      <w:pPr>
        <w:pStyle w:val="BodyText"/>
      </w:pPr>
      <w:r>
        <w:t xml:space="preserve">Likley had dementia at baseline. However, on further investigation of the cohort, it was discovered that</w:t>
      </w:r>
    </w:p>
    <w:p>
      <w:pPr>
        <w:pStyle w:val="BodyText"/>
      </w:pPr>
      <w:r>
        <w:rPr>
          <w:bCs/>
          <w:b/>
        </w:rPr>
        <w:t xml:space="preserve">Memento</w:t>
      </w:r>
    </w:p>
    <w:p>
      <w:pPr>
        <w:pStyle w:val="BodyText"/>
      </w:pPr>
      <w:r>
        <w:t xml:space="preserve">Excluded as criteria for entry was outpatients from memory clinic (unlikely to be dementia free at baseline)</w:t>
      </w:r>
    </w:p>
    <w:p>
      <w:pPr>
        <w:pStyle w:val="BodyText"/>
      </w:pPr>
      <w:r>
        <w:rPr>
          <w:bCs/>
          <w:b/>
        </w:rPr>
        <w:t xml:space="preserve">Generation Scotland</w:t>
      </w:r>
    </w:p>
    <w:p>
      <w:pPr>
        <w:pStyle w:val="BodyText"/>
      </w:pPr>
      <w:r>
        <w:t xml:space="preserve">Cross-sectional data only</w:t>
      </w:r>
    </w:p>
    <w:p>
      <w:pPr>
        <w:pStyle w:val="BodyText"/>
      </w:pPr>
      <w:r>
        <w:rPr>
          <w:bCs/>
          <w:b/>
        </w:rPr>
        <w:t xml:space="preserve">NICOLA</w:t>
      </w:r>
    </w:p>
    <w:p>
      <w:pPr>
        <w:pStyle w:val="BodyText"/>
      </w:pPr>
      <w:r>
        <w:t xml:space="preserve">NICOLA study - only had cross-sectional data</w:t>
      </w:r>
    </w:p>
    <w:p>
      <w:pPr>
        <w:pStyle w:val="BodyText"/>
      </w:pPr>
      <w:r>
        <w:rPr>
          <w:bCs/>
          <w:b/>
        </w:rPr>
        <w:t xml:space="preserve">ELSA</w:t>
      </w:r>
    </w:p>
    <w:p>
      <w:pPr>
        <w:pStyle w:val="BodyText"/>
      </w:pPr>
      <w:r>
        <w:t xml:space="preserve">Data provided but only had ever high cholesterol as a binary variable. Not compatible with</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19:</w:t>
      </w:r>
      <w:r>
        <w:t xml:space="preserve"> </w:t>
      </w:r>
      <w:bookmarkStart w:id="2349ee26-ba98-4f8a-a391-3789a6f2a59a" w:name="tab:dataExcluded-table"/>
      <w:r>
        <w:t xml:space="preserve">dataExcluded</w:t>
      </w:r>
      <w:bookmarkEnd w:id="2349ee26-ba98-4f8a-a391-3789a6f2a59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bookmarkEnd w:id="226"/>
    <w:bookmarkStart w:id="227" w:name="cohorts-approach-but-received-no-answer"/>
    <w:p>
      <w:pPr>
        <w:pStyle w:val="Heading4"/>
      </w:pPr>
      <w:r>
        <w:t xml:space="preserve">Cohorts approach but received no answer</w:t>
      </w:r>
    </w:p>
    <w:p>
      <w:pPr>
        <w:pStyle w:val="FirstParagraph"/>
      </w:pPr>
      <w:r>
        <w:t xml:space="preserve">A particularly frustrating in the case of cohorts which had a dedicated data access panel, for example, the Three City Study. Despite multiple attempts to contact the team, there was no response received.</w:t>
      </w:r>
    </w:p>
    <w:p>
      <w:pPr>
        <w:pStyle w:val="BodyText"/>
      </w:pPr>
      <w:r>
        <w:t xml:space="preserve">These included studies with a dedicated access process or data access committee. A cohort of particular interest, having been used in multiple studies identified by the systematic review is the Three City Study in France. 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p>
      <w:pPr>
        <w:pStyle w:val="BodyText"/>
      </w:pPr>
      <w:r>
        <w:t xml:space="preserve"> </w:t>
      </w:r>
    </w:p>
    <w:bookmarkEnd w:id="227"/>
    <w:bookmarkEnd w:id="228"/>
    <w:bookmarkStart w:id="229" w:name="data-cleaning-and-harmonisation"/>
    <w:p>
      <w:pPr>
        <w:pStyle w:val="Heading3"/>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w:t>
      </w:r>
    </w:p>
    <w:p>
      <w:pPr>
        <w:pStyle w:val="BodyText"/>
      </w:pPr>
      <w:r>
        <w:t xml:space="preserve">The one exception to this is the CPRD data, which was held in a different system to the rest.</w:t>
      </w:r>
    </w:p>
    <w:p>
      <w:pPr>
        <w:pStyle w:val="BodyText"/>
      </w:pPr>
      <w:r>
        <w:t xml:space="preserve">The advantage of this approach is that it reduces the likelihood of errors in model mis-specification if needing to change variables names from cohort to cohort.</w:t>
      </w:r>
    </w:p>
    <w:p>
      <w:pPr>
        <w:pStyle w:val="BodyText"/>
      </w:pPr>
      <w:r>
        <w:t xml:space="preserve">For all cohorts, the first lipid measurement was used for the exposure method,</w:t>
      </w:r>
    </w:p>
    <w:p>
      <w:pPr>
        <w:pStyle w:val="BodyText"/>
      </w:pPr>
      <w:r>
        <w:t xml:space="preserve">For heterogeneity across the cohorts, the total time-at-risk was investigated.</w:t>
      </w:r>
    </w:p>
    <w:bookmarkEnd w:id="229"/>
    <w:bookmarkEnd w:id="230"/>
    <w:bookmarkEnd w:id="231"/>
    <w:bookmarkStart w:id="244" w:name="results-3"/>
    <w:p>
      <w:pPr>
        <w:pStyle w:val="Heading1"/>
      </w:pPr>
      <w:r>
        <w:t xml:space="preserve">Results</w:t>
      </w:r>
    </w:p>
    <w:p>
      <w:pPr>
        <w:pStyle w:val="FirstParagraph"/>
      </w:pPr>
      <w:r>
        <w:drawing>
          <wp:inline>
            <wp:extent cx="5943600" cy="1867988"/>
            <wp:effectExtent b="0" l="0" r="0" t="0"/>
            <wp:docPr descr="Figure 33: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32"/>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Start w:id="242" w:name="discussion-3"/>
    <w:p>
      <w:pPr>
        <w:pStyle w:val="Heading2"/>
      </w:pPr>
      <w:r>
        <w:t xml:space="preserve">Discussion</w:t>
      </w:r>
    </w:p>
    <w:p>
      <w:pPr>
        <w:pStyle w:val="FirstParagraph"/>
      </w:pPr>
      <w:r>
        <w:t xml:space="preserve">Useful citation for discussion</w:t>
      </w:r>
      <w:hyperlink w:anchor="ref-levis2021">
        <w:r>
          <w:rPr>
            <w:rStyle w:val="Hyperlink"/>
            <w:vertAlign w:val="superscript"/>
          </w:rPr>
          <w:t xml:space="preserve">290</w:t>
        </w:r>
      </w:hyperlink>
    </w:p>
    <w:bookmarkStart w:id="236" w:name="limitations-1"/>
    <w:p>
      <w:pPr>
        <w:pStyle w:val="Heading3"/>
      </w:pPr>
      <w:r>
        <w:t xml:space="preserve">Limitations</w:t>
      </w:r>
    </w:p>
    <w:bookmarkStart w:id="233"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were obtained was not accurately reported.</w:t>
      </w:r>
      <w:r>
        <w:t xml:space="preserve"> </w:t>
      </w:r>
      <w:r>
        <w:t xml:space="preserve">test</w:t>
      </w:r>
      <w:r>
        <w:t xml:space="preserve"> </w:t>
      </w:r>
      <w:r>
        <w:t xml:space="preserve">There are likely several reasons for this.</w:t>
      </w:r>
    </w:p>
    <w:p>
      <w:pPr>
        <w:numPr>
          <w:ilvl w:val="0"/>
          <w:numId w:val="1013"/>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93</w:t>
        </w:r>
      </w:hyperlink>
    </w:p>
    <w:p>
      <w:pPr>
        <w:numPr>
          <w:ilvl w:val="0"/>
          <w:numId w:val="1013"/>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291</w:t>
        </w:r>
      </w:hyperlink>
    </w:p>
    <w:p>
      <w:pPr>
        <w:pStyle w:val="BodyText"/>
      </w:pPr>
      <w:r>
        <w:t xml:space="preserve">For the purposes of this thesis, conducting the IPD was useful as it afforded me the opportunity to experience the methodology.</w:t>
      </w:r>
    </w:p>
    <w:p>
      <w:pPr>
        <w:pStyle w:val="BodyText"/>
      </w:pPr>
      <w:r>
        <w:t xml:space="preserve">On a personal level, given the</w:t>
      </w:r>
    </w:p>
    <w:p>
      <w:pPr>
        <w:pStyle w:val="BodyText"/>
      </w:pPr>
      <w:r>
        <w:t xml:space="preserve">In addition, it allowed me to analysed two addition previously unanalysed cohort studies which were then utilised in the triangulation study detailed in Chapter</w:t>
      </w:r>
      <w:r>
        <w:t xml:space="preserve"> </w:t>
      </w:r>
      <w:r>
        <w:t xml:space="preserve">8</w:t>
      </w:r>
      <w:r>
        <w:t xml:space="preserve">.</w:t>
      </w:r>
    </w:p>
    <w:bookmarkEnd w:id="233"/>
    <w:bookmarkStart w:id="234"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bookmarkEnd w:id="234"/>
    <w:bookmarkStart w:id="235" w:name="opportunistic-inclusion-of-cprd-data"/>
    <w:p>
      <w:pPr>
        <w:pStyle w:val="Heading4"/>
      </w:pPr>
      <w:r>
        <w:t xml:space="preserve">Opportunistic inclusion of CPRD data</w:t>
      </w:r>
    </w:p>
    <w:p>
      <w:pPr>
        <w:pStyle w:val="FirstParagraph"/>
      </w:pPr>
      <w:r>
        <w:t xml:space="preserve"> </w:t>
      </w:r>
    </w:p>
    <w:bookmarkEnd w:id="235"/>
    <w:bookmarkEnd w:id="236"/>
    <w:bookmarkStart w:id="237" w:name="strengths-1"/>
    <w:p>
      <w:pPr>
        <w:pStyle w:val="Heading3"/>
      </w:pPr>
      <w:r>
        <w:t xml:space="preserve">Strengths</w:t>
      </w:r>
    </w:p>
    <w:p>
      <w:pPr>
        <w:pStyle w:val="FirstParagraph"/>
      </w:pPr>
      <w:r>
        <w:t xml:space="preserve">While this analysis did not manage to systematically obtain and analyse a large proporiton of identified data, it did enable an analysis of two previously unanalysed datasets - the CaPS study and the - providing additional data points in</w:t>
      </w:r>
    </w:p>
    <w:p>
      <w:pPr>
        <w:pStyle w:val="BodyText"/>
      </w:pPr>
      <w:r>
        <w:t xml:space="preserve">it also attempted to make use</w:t>
      </w:r>
    </w:p>
    <w:p>
      <w:pPr>
        <w:pStyle w:val="BodyText"/>
      </w:pPr>
      <w:r>
        <w:t xml:space="preserve"> </w:t>
      </w:r>
    </w:p>
    <w:bookmarkEnd w:id="237"/>
    <w:bookmarkStart w:id="238" w:name="data-access-1"/>
    <w:p>
      <w:pPr>
        <w:pStyle w:val="Heading3"/>
      </w:pPr>
      <w:r>
        <w:t xml:space="preserve">Data access</w:t>
      </w:r>
    </w:p>
    <w:p>
      <w:pPr>
        <w:pStyle w:val="FirstParagraph"/>
      </w:pPr>
      <w:r>
        <w:t xml:space="preserve">Couple of sections</w:t>
      </w:r>
    </w:p>
    <w:p>
      <w:pPr>
        <w:numPr>
          <w:ilvl w:val="0"/>
          <w:numId w:val="1014"/>
        </w:numPr>
        <w:pStyle w:val="Compact"/>
      </w:pPr>
      <w:r>
        <w:t xml:space="preserve">Problems with getting data from studies</w:t>
      </w:r>
    </w:p>
    <w:p>
      <w:pPr>
        <w:numPr>
          <w:ilvl w:val="0"/>
          <w:numId w:val="1014"/>
        </w:numPr>
        <w:pStyle w:val="Compact"/>
      </w:pPr>
      <w:r>
        <w:t xml:space="preserve">Problems with current methods of tracking people down via . Particularly when studies were older, several cases of the address/contact details for the corresponding author being out of date. Matches with decrease in availability as the studies get older.</w:t>
      </w:r>
    </w:p>
    <w:p>
      <w:pPr>
        <w:pStyle w:val="FirstParagraph"/>
      </w:pPr>
      <w:r>
        <w:rPr>
          <w:bCs/>
          <w:b/>
        </w:rPr>
        <w:t xml:space="preserve">Many authors claim that their data can be made</w:t>
      </w:r>
      <w:r>
        <w:rPr>
          <w:bCs/>
          <w:b/>
        </w:rPr>
        <w:t xml:space="preserve"> </w:t>
      </w:r>
      <w:r>
        <w:rPr>
          <w:bCs/>
          <w:b/>
        </w:rPr>
        <w:t xml:space="preserve">“</w:t>
      </w:r>
      <w:r>
        <w:rPr>
          <w:bCs/>
          <w:b/>
        </w:rPr>
        <w:t xml:space="preserve">available on request</w:t>
      </w:r>
      <w:r>
        <w:rPr>
          <w:bCs/>
          <w:b/>
        </w:rPr>
        <w:t xml:space="preserve">”</w:t>
      </w:r>
      <w:r>
        <w:rPr>
          <w:bCs/>
          <w:b/>
        </w:rPr>
        <w:t xml:space="preserve">, despite previous work establishing that these statements are demonstrably untrue in the majority of cases—that when data is requested, it is not actually made available.</w:t>
      </w:r>
      <w:hyperlink w:anchor="ref-krawczyk2012">
        <w:r>
          <w:rPr>
            <w:rStyle w:val="Hyperlink"/>
            <w:vertAlign w:val="superscript"/>
            <w:bCs/>
            <w:b/>
          </w:rPr>
          <w:t xml:space="preserve">292</w:t>
        </w:r>
      </w:hyperlink>
      <w:r>
        <w:rPr>
          <w:vertAlign w:val="superscript"/>
          <w:bCs/>
          <w:b/>
        </w:rPr>
        <w:t xml:space="preserve">–</w:t>
      </w:r>
      <w:hyperlink w:anchor="ref-naudet2018">
        <w:r>
          <w:rPr>
            <w:rStyle w:val="Hyperlink"/>
            <w:vertAlign w:val="superscript"/>
            <w:bCs/>
            <w:b/>
          </w:rPr>
          <w:t xml:space="preserve">294</w:t>
        </w:r>
      </w:hyperlink>
      <w:r>
        <w:rPr>
          <w:bCs/>
          <w:b/>
        </w:rPr>
        <w:t xml:space="preserve"> </w:t>
      </w:r>
      <w:r>
        <w:rPr>
          <w:bCs/>
          <w:b/>
        </w:rPr>
        <w:t xml:space="preserve">Additionally, previous work found that the availability of data</w:t>
      </w:r>
      <w:r>
        <w:rPr>
          <w:bCs/>
          <w:b/>
        </w:rPr>
        <w:t xml:space="preserve"> </w:t>
      </w:r>
      <w:r>
        <w:rPr>
          <w:bCs/>
          <w:b/>
        </w:rPr>
        <w:t xml:space="preserve">“</w:t>
      </w:r>
      <w:r>
        <w:rPr>
          <w:bCs/>
          <w:b/>
        </w:rPr>
        <w:t xml:space="preserve">available on request</w:t>
      </w:r>
      <w:r>
        <w:rPr>
          <w:bCs/>
          <w:b/>
        </w:rPr>
        <w:t xml:space="preserve">”</w:t>
      </w:r>
      <w:r>
        <w:rPr>
          <w:bCs/>
          <w:b/>
        </w:rPr>
        <w:t xml:space="preserve"> </w:t>
      </w:r>
      <w:r>
        <w:rPr>
          <w:bCs/>
          <w:b/>
        </w:rPr>
        <w:t xml:space="preserve">declines with article age, indicating that this approach is not a valid long term option for data sharing.</w:t>
      </w:r>
      <w:hyperlink w:anchor="ref-vines2014">
        <w:r>
          <w:rPr>
            <w:rStyle w:val="Hyperlink"/>
            <w:vertAlign w:val="superscript"/>
            <w:bCs/>
            <w:b/>
          </w:rPr>
          <w:t xml:space="preserve">96</w:t>
        </w:r>
      </w:hyperlink>
      <w:r>
        <w:t xml:space="preserve"> </w:t>
      </w:r>
    </w:p>
    <w:p>
      <w:pPr>
        <w:pStyle w:val="BodyText"/>
      </w:pPr>
      <w:r>
        <w:t xml:space="preserve">Qualitatively, investigation of a subset of cohorts on an</w:t>
      </w:r>
      <w:r>
        <w:t xml:space="preserve"> </w:t>
      </w:r>
      <w:r>
        <w:rPr>
          <w:iCs/>
          <w:i/>
        </w:rPr>
        <w:t xml:space="preserve">ad-hoc</w:t>
      </w:r>
      <w:r>
        <w:t xml:space="preserve"> </w:t>
      </w:r>
      <w:r>
        <w:t xml:space="preserve">basis reveal that several corresponding/first authors were no longer at the same institution as when the study was reported, and as a result, were unlikely to have access to the institutional email address listed on the study publication. All of these are arguments towards better reporting of data availability, ownership and</w:t>
      </w:r>
    </w:p>
    <w:p>
      <w:pPr>
        <w:pStyle w:val="BodyText"/>
      </w:pPr>
      <w:r>
        <w:t xml:space="preserve">Even with the help of the streamlined application process afforded by the DPUK, accessing sufficient data was a challenge. Sharing data has several legal, ethical and logistical challenges, and can often taken several years to obtain. This is in theory what the DPUK was built to address. However, despite claims to a streamlined process, the response rate among cohorts a year after application was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 </w:t>
      </w:r>
    </w:p>
    <w:bookmarkEnd w:id="238"/>
    <w:bookmarkStart w:id="239"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295</w:t>
        </w:r>
      </w:hyperlink>
      <w:r>
        <w:t xml:space="preserve"> </w:t>
      </w:r>
      <w:r>
        <w:t xml:space="preserve">to identify and access study data.</w:t>
      </w:r>
    </w:p>
    <w:p>
      <w:pPr>
        <w:pStyle w:val="BodyText"/>
      </w:pPr>
      <w:r>
        <w:t xml:space="preserve">Options could include</w:t>
      </w:r>
    </w:p>
    <w:p>
      <w:pPr>
        <w:pStyle w:val="BodyText"/>
      </w:pPr>
      <w:r>
        <w:t xml:space="preserve">Previous SWARs have been registered as protocols, but have not yet reported!</w:t>
      </w:r>
    </w:p>
    <w:p>
      <w:pPr>
        <w:pStyle w:val="BodyText"/>
      </w:pPr>
      <w:r>
        <w:t xml:space="preserve"> </w:t>
      </w:r>
    </w:p>
    <w:bookmarkEnd w:id="239"/>
    <w:bookmarkStart w:id="241" w:name="reflections-on-the-process"/>
    <w:p>
      <w:pPr>
        <w:pStyle w:val="Heading3"/>
      </w:pPr>
      <w:r>
        <w:t xml:space="preserve">Reflections on the process</w:t>
      </w:r>
    </w:p>
    <w:bookmarkStart w:id="240" w:name="aimsresources"/>
    <w:p>
      <w:pPr>
        <w:pStyle w:val="Heading4"/>
      </w:pPr>
      <w:r>
        <w:t xml:space="preserve">Aims/Resources</w:t>
      </w:r>
    </w:p>
    <w:p>
      <w:pPr>
        <w:pStyle w:val="FirstParagraph"/>
      </w:pPr>
      <w:r>
        <w:t xml:space="preserve">May have been overly ambitious</w:t>
      </w:r>
    </w:p>
    <w:p>
      <w:pPr>
        <w:pStyle w:val="BodyText"/>
      </w:pPr>
      <w:r>
        <w:t xml:space="preserve">While it was disappointing that such a small proportion of the available data were obtained for analysis, in terms of project completion, it is probably a good thing.</w:t>
      </w:r>
    </w:p>
    <w:p>
      <w:pPr>
        <w:pStyle w:val="BodyText"/>
      </w:pPr>
      <w:r>
        <w:t xml:space="preserve">Given the resource intensity of data cleaning and harmonisation,</w:t>
      </w:r>
    </w:p>
    <w:p>
      <w:pPr>
        <w:pStyle w:val="BodyText"/>
      </w:pPr>
      <w:r>
        <w:t xml:space="preserve"> </w:t>
      </w:r>
    </w:p>
    <w:p>
      <w:r>
        <w:br w:type="page"/>
      </w:r>
    </w:p>
    <w:bookmarkEnd w:id="240"/>
    <w:bookmarkEnd w:id="241"/>
    <w:bookmarkEnd w:id="242"/>
    <w:bookmarkStart w:id="243" w:name="references-4"/>
    <w:p>
      <w:pPr>
        <w:pStyle w:val="Heading2"/>
      </w:pPr>
      <w:r>
        <w:t xml:space="preserve">References</w:t>
      </w:r>
    </w:p>
    <w:p>
      <w:pPr>
        <w:pStyle w:val="FirstParagraph"/>
      </w:pPr>
      <w:r>
        <w:t xml:space="preserve">— Hold — Hold</w:t>
      </w:r>
    </w:p>
    <w:p>
      <w:pPr>
        <w:pStyle w:val="BodyText"/>
      </w:pPr>
      <w:r>
        <w:t xml:space="preserve"> </w:t>
      </w:r>
    </w:p>
    <w:bookmarkEnd w:id="243"/>
    <w:bookmarkEnd w:id="244"/>
    <w:bookmarkStart w:id="259" w:name="tri-heading"/>
    <w:p>
      <w:pPr>
        <w:pStyle w:val="Heading1"/>
      </w:pPr>
      <w:r>
        <w:t xml:space="preserve">Aetiological triangulation across evidence sources</w:t>
      </w:r>
    </w:p>
    <w:bookmarkStart w:id="245" w:name="lay-summary-5"/>
    <w:p>
      <w:pPr>
        <w:pStyle w:val="Heading2"/>
      </w:pPr>
      <w:r>
        <w:t xml:space="preserve">Lay Summary</w:t>
      </w:r>
    </w:p>
    <w:p>
      <w:pPr>
        <w:pStyle w:val="FirstParagraph"/>
      </w:pPr>
      <w:r>
        <w:t xml:space="preserve"> </w:t>
      </w:r>
    </w:p>
    <w:bookmarkEnd w:id="245"/>
    <w:bookmarkStart w:id="254"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46" w:name="data-sources"/>
    <w:p>
      <w:pPr>
        <w:pStyle w:val="Heading3"/>
      </w:pPr>
      <w:r>
        <w:t xml:space="preserve">Data sources</w:t>
      </w:r>
    </w:p>
    <w:p>
      <w:pPr>
        <w:pStyle w:val="FirstParagraph"/>
      </w:pPr>
      <w:r>
        <w:t xml:space="preserve">This chapter builds on the comprehensive systematic review presented in CHapter @re(sys-rev-heading), and incorporates the results of the analyses presented in Chapters</w:t>
      </w:r>
      <w:r>
        <w:t xml:space="preserve"> </w:t>
      </w:r>
      <w:r>
        <w:t xml:space="preserve">??</w:t>
      </w:r>
      <w:r>
        <w:t xml:space="preserve"> </w:t>
      </w:r>
      <w:r>
        <w:t xml:space="preserve">&amp;</w:t>
      </w:r>
      <w:r>
        <w:t xml:space="preserve"> </w:t>
      </w:r>
      <w:r>
        <w:t xml:space="preserve">6</w:t>
      </w:r>
      <w:r>
        <w:t xml:space="preserve">.</w:t>
      </w:r>
    </w:p>
    <w:bookmarkEnd w:id="246"/>
    <w:bookmarkStart w:id="247" w:name="background-to-the-causal-question"/>
    <w:p>
      <w:pPr>
        <w:pStyle w:val="Heading3"/>
      </w:pPr>
      <w:r>
        <w:t xml:space="preserve">Background to the causal question</w:t>
      </w:r>
    </w:p>
    <w:p>
      <w:pPr>
        <w:pStyle w:val="FirstParagraph"/>
      </w:pPr>
      <w:r>
        <w:t xml:space="preserve">Following best practice guidance, three</w:t>
      </w:r>
    </w:p>
    <w:p>
      <w:pPr>
        <w:pStyle w:val="BodyText"/>
      </w:pPr>
      <w:r>
        <w:t xml:space="preserve">Table with columns describing exposure, outcome, timepoint, other aspects (cumulative), and</w:t>
      </w:r>
    </w:p>
    <w:p>
      <w:pPr>
        <w:pStyle w:val="BodyText"/>
      </w:pPr>
      <w:r>
        <w:t xml:space="preserve">This was also guideded by the forthcoming ROBINS-E tool, which has</w:t>
      </w:r>
    </w:p>
    <w:bookmarkEnd w:id="247"/>
    <w:bookmarkStart w:id="248" w:name="definition-of-the-causal-question"/>
    <w:p>
      <w:pPr>
        <w:pStyle w:val="Heading3"/>
      </w:pPr>
      <w:r>
        <w:t xml:space="preserve">Definition of the causal question</w:t>
      </w:r>
    </w:p>
    <w:bookmarkEnd w:id="248"/>
    <w:bookmarkStart w:id="249"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49"/>
    <w:bookmarkStart w:id="250"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 Highlight that this is slightly different for the confounding domain in non-randomised studies.</w:t>
      </w:r>
    </w:p>
    <w:p>
      <w:pPr>
        <w:pStyle w:val="BodyText"/>
      </w:pPr>
      <w:r>
        <w:t xml:space="preserve">These levels only apply to existing tools, not the MR tool. However, a similar approach was employed.</w:t>
      </w:r>
    </w:p>
    <w:p>
      <w:pPr>
        <w:pStyle w:val="BodyText"/>
      </w:pPr>
      <w:r>
        <w:t xml:space="preserve"> </w:t>
      </w:r>
    </w:p>
    <w:bookmarkEnd w:id="250"/>
    <w:bookmarkStart w:id="251" w:name="graphical-representation"/>
    <w:p>
      <w:pPr>
        <w:pStyle w:val="Heading3"/>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 report, this is indicated</w:t>
      </w:r>
    </w:p>
    <w:p>
      <w:pPr>
        <w:pStyle w:val="BodyText"/>
      </w:pPr>
      <w:r>
        <w:t xml:space="preserve">In order to aid with the triangulation exercise, a new method of presentation of these results was developed to enable detailed comparison across different studies contributing to the causal question.</w:t>
      </w:r>
      <w:r>
        <w:t xml:space="preserve"> </w:t>
      </w:r>
      <w:r>
        <w:t xml:space="preserve">The level of bias in each study is reported using coloured blocks, while the predicted direction of bias in that domain, categorised as towards or away from the null, is indicated using an arrow</w:t>
      </w:r>
    </w:p>
    <w:p>
      <w:pPr>
        <w:pStyle w:val="BodyText"/>
      </w:pPr>
      <w:r>
        <w:t xml:space="preserve">Of note, a different approach was required for the confounding domains in the assesment tools used for non-randomised studies. Confounding in a study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in relation to the positon of the effect estimate.</w:t>
      </w:r>
      <w:r>
        <w:t xml:space="preserve"> </w:t>
      </w:r>
      <w:r>
        <w:t xml:space="preserve">For example, see Figure @ref(), which shows an example study under the same confounding structure (protective), but with protective and harmful effect estimates. In this case, when the estimated effect is protective (Study 1), the arrow for the confounding domain indicates that the bias is pulling it away from the null. If the estimated effect is harmful, the arrow indicates that the results is being biased towards the null.</w:t>
      </w:r>
    </w:p>
    <w:p>
      <w:pPr>
        <w:pStyle w:val="BodyText"/>
      </w:pPr>
      <w:r>
        <w:t xml:space="preserve">These graphs were built using the risk of bias tool described in Appendix</w:t>
      </w:r>
      <w:r>
        <w:t xml:space="preserve"> </w:t>
      </w:r>
      <w:r>
        <w:t xml:space="preserve">()</w:t>
      </w:r>
    </w:p>
    <w:bookmarkEnd w:id="251"/>
    <w:bookmarkStart w:id="252" w:name="standardisation-across-study-designs"/>
    <w:p>
      <w:pPr>
        <w:pStyle w:val="Heading3"/>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differnt measures</w:t>
      </w:r>
    </w:p>
    <w:p>
      <w:pPr>
        <w:pStyle w:val="BodyText"/>
      </w:pPr>
      <w:r>
        <w:t xml:space="preserve">Fixing directions of effect - get everything pointing the same way</w:t>
      </w:r>
    </w:p>
    <w:bookmarkEnd w:id="252"/>
    <w:bookmarkStart w:id="253" w:name="analyses"/>
    <w:p>
      <w:pPr>
        <w:pStyle w:val="Heading3"/>
      </w:pPr>
      <w:r>
        <w:t xml:space="preserve">Analyses</w:t>
      </w:r>
    </w:p>
    <w:p>
      <w:pPr>
        <w:pStyle w:val="FirstParagraph"/>
      </w:pPr>
      <w:r>
        <w:t xml:space="preserve">Bias-adjusted meta-analysis</w:t>
      </w:r>
      <w:hyperlink w:anchor="ref-higgins2008a">
        <w:r>
          <w:rPr>
            <w:rStyle w:val="Hyperlink"/>
            <w:vertAlign w:val="superscript"/>
          </w:rPr>
          <w:t xml:space="preserve">296</w:t>
        </w:r>
      </w:hyperlink>
    </w:p>
    <w:bookmarkEnd w:id="253"/>
    <w:bookmarkEnd w:id="254"/>
    <w:bookmarkStart w:id="255" w:name="results-4"/>
    <w:p>
      <w:pPr>
        <w:pStyle w:val="Heading2"/>
      </w:pPr>
      <w:r>
        <w:t xml:space="preserve">Results</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End w:id="255"/>
    <w:bookmarkStart w:id="258"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bookmarkStart w:id="256" w:name="challenges-of-real-life-data"/>
    <w:p>
      <w:pPr>
        <w:pStyle w:val="Heading3"/>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bookmarkEnd w:id="256"/>
    <w:bookmarkStart w:id="257" w:name="need-for-new-methods"/>
    <w:p>
      <w:pPr>
        <w:pStyle w:val="Heading3"/>
      </w:pPr>
      <w:r>
        <w:t xml:space="preserve">Need for new methods</w:t>
      </w:r>
    </w:p>
    <w:p>
      <w:pPr>
        <w:pStyle w:val="FirstParagraph"/>
      </w:pPr>
      <w:r>
        <w:t xml:space="preserve">Can I suggest any empirical studies that need to be performed? Average strength of immortal time bias/etc?</w:t>
      </w:r>
    </w:p>
    <w:p>
      <w:pPr>
        <w:pStyle w:val="BodyText"/>
      </w:pPr>
      <w:r>
        <w:t xml:space="preserve">— Hold — Hold</w:t>
      </w:r>
    </w:p>
    <w:bookmarkEnd w:id="257"/>
    <w:bookmarkEnd w:id="258"/>
    <w:bookmarkEnd w:id="259"/>
    <w:bookmarkStart w:id="273" w:name="discussion-heading"/>
    <w:p>
      <w:pPr>
        <w:pStyle w:val="Heading1"/>
      </w:pPr>
      <w:r>
        <w:t xml:space="preserve">Discussion</w:t>
      </w:r>
    </w:p>
    <w:p>
      <w:pPr>
        <w:pStyle w:val="FirstParagraph"/>
      </w:pPr>
    </w:p>
    <w:bookmarkStart w:id="261" w:name="Xaed70c6bfbe9ac75ed11abe63d990e0ab7358f2"/>
    <w:p>
      <w:pPr>
        <w:pStyle w:val="Heading2"/>
      </w:pPr>
      <w:r>
        <w:t xml:space="preserve">Triangulation across exisiting evidence and evidence produced in this thesis</w:t>
      </w:r>
    </w:p>
    <w:bookmarkStart w:id="260"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60"/>
    <w:bookmarkEnd w:id="261"/>
    <w:bookmarkStart w:id="263" w:name="Xdd879574ed7e4402680cdf12424a81de2cba061"/>
    <w:p>
      <w:pPr>
        <w:pStyle w:val="Heading2"/>
      </w:pPr>
      <w:r>
        <w:t xml:space="preserve">Qualitative vs qunatitative triangulation</w:t>
      </w:r>
    </w:p>
    <w:bookmarkStart w:id="262" w:name="researcher-positionality-statement"/>
    <w:p>
      <w:pPr>
        <w:pStyle w:val="Heading3"/>
      </w:pPr>
      <w:r>
        <w:t xml:space="preserve">Researcher positionality statement</w:t>
      </w:r>
    </w:p>
    <w:p>
      <w:pPr>
        <w:pStyle w:val="FirstParagraph"/>
      </w:pPr>
      <w:r>
        <w:t xml:space="preserve"> </w:t>
      </w:r>
    </w:p>
    <w:bookmarkEnd w:id="262"/>
    <w:bookmarkEnd w:id="263"/>
    <w:bookmarkStart w:id="264"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64"/>
    <w:bookmarkStart w:id="265" w:name="X19a11de4ab8606b74b5ad332dc48f14a8936b74"/>
    <w:p>
      <w:pPr>
        <w:pStyle w:val="Heading2"/>
      </w:pPr>
      <w:r>
        <w:t xml:space="preserve">Use of concensus panel to bring everything together</w:t>
      </w:r>
    </w:p>
    <w:p>
      <w:pPr>
        <w:pStyle w:val="FirstParagraph"/>
      </w:pPr>
      <w:r>
        <w:t xml:space="preserve"> </w:t>
      </w:r>
    </w:p>
    <w:bookmarkEnd w:id="265"/>
    <w:bookmarkStart w:id="266"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5"/>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66"/>
    <w:bookmarkStart w:id="267" w:name="X3b130fc6d67361b601b7baea6ee52fa2c3412e8"/>
    <w:p>
      <w:pPr>
        <w:pStyle w:val="Heading2"/>
      </w:pPr>
      <w:r>
        <w:t xml:space="preserve">Summary of findings (and implications for policy makers)</w:t>
      </w:r>
    </w:p>
    <w:p>
      <w:pPr>
        <w:pStyle w:val="FirstParagraph"/>
      </w:pPr>
      <w:r>
        <w:t xml:space="preserve"> </w:t>
      </w:r>
    </w:p>
    <w:bookmarkEnd w:id="267"/>
    <w:bookmarkStart w:id="268"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297</w:t>
        </w:r>
      </w:hyperlink>
    </w:p>
    <w:p>
      <w:pPr>
        <w:pStyle w:val="BodyText"/>
      </w:pPr>
      <w:r>
        <w:t xml:space="preserve"> </w:t>
      </w:r>
      <w:r>
        <w:t xml:space="preserve"> </w:t>
      </w:r>
    </w:p>
    <w:bookmarkEnd w:id="268"/>
    <w:bookmarkStart w:id="269"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69"/>
    <w:bookmarkStart w:id="270"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70"/>
    <w:bookmarkStart w:id="271" w:name="future-work"/>
    <w:p>
      <w:pPr>
        <w:pStyle w:val="Heading2"/>
      </w:pPr>
      <w:r>
        <w:t xml:space="preserve">Future work</w:t>
      </w:r>
    </w:p>
    <w:p>
      <w:pPr>
        <w:pStyle w:val="FirstParagraph"/>
      </w:pPr>
      <w:r>
        <w:t xml:space="preserve"> </w:t>
      </w:r>
      <w:r>
        <w:t xml:space="preserve"> </w:t>
      </w:r>
    </w:p>
    <w:bookmarkEnd w:id="271"/>
    <w:bookmarkStart w:id="272" w:name="overall-conclusions"/>
    <w:p>
      <w:pPr>
        <w:pStyle w:val="Heading2"/>
      </w:pPr>
      <w:r>
        <w:t xml:space="preserve">Overall conclusions</w:t>
      </w:r>
    </w:p>
    <w:bookmarkEnd w:id="272"/>
    <w:bookmarkEnd w:id="273"/>
    <w:bookmarkStart w:id="274" w:name="bibliography"/>
    <w:p>
      <w:pPr>
        <w:pStyle w:val="Heading1"/>
      </w:pPr>
      <w:r>
        <w:t xml:space="preserve">Bibliography</w:t>
      </w:r>
    </w:p>
    <w:bookmarkEnd w:id="274"/>
    <w:bookmarkStart w:id="594" w:name="bibliography-1"/>
    <w:p>
      <w:pPr>
        <w:pStyle w:val="Heading1"/>
      </w:pPr>
      <w:r>
        <w:t xml:space="preserve">Bibliography</w:t>
      </w:r>
    </w:p>
    <w:bookmarkStart w:id="593" w:name="refs"/>
    <w:bookmarkStart w:id="275"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75"/>
    <w:bookmarkStart w:id="276"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76"/>
    <w:bookmarkStart w:id="277"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77"/>
    <w:bookmarkStart w:id="278"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78"/>
    <w:bookmarkStart w:id="279"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79"/>
    <w:bookmarkStart w:id="280"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80"/>
    <w:bookmarkStart w:id="281"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81"/>
    <w:bookmarkStart w:id="282"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82"/>
    <w:bookmarkStart w:id="283"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83"/>
    <w:bookmarkStart w:id="284"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84"/>
    <w:bookmarkStart w:id="285"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85"/>
    <w:bookmarkStart w:id="286"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86"/>
    <w:bookmarkStart w:id="287"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87"/>
    <w:bookmarkStart w:id="288"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88"/>
    <w:bookmarkStart w:id="289"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89"/>
    <w:bookmarkStart w:id="290"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90"/>
    <w:bookmarkStart w:id="292"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91">
        <w:r>
          <w:rPr>
            <w:rStyle w:val="Hyperlink"/>
          </w:rPr>
          <w:t xml:space="preserve">10.1016/j.neuropharm.2020.108352</w:t>
        </w:r>
      </w:hyperlink>
    </w:p>
    <w:bookmarkEnd w:id="292"/>
    <w:bookmarkStart w:id="293"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93"/>
    <w:bookmarkStart w:id="294"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94"/>
    <w:bookmarkStart w:id="295"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95"/>
    <w:bookmarkStart w:id="296"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296"/>
    <w:bookmarkStart w:id="297"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97"/>
    <w:bookmarkStart w:id="298"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98"/>
    <w:bookmarkStart w:id="299"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99"/>
    <w:bookmarkStart w:id="300"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00"/>
    <w:bookmarkStart w:id="301"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01"/>
    <w:bookmarkStart w:id="302"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02"/>
    <w:bookmarkStart w:id="303"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03"/>
    <w:bookmarkStart w:id="304"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04"/>
    <w:bookmarkStart w:id="305"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05"/>
    <w:bookmarkStart w:id="306"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06"/>
    <w:bookmarkStart w:id="307"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07"/>
    <w:bookmarkStart w:id="308"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08"/>
    <w:bookmarkStart w:id="309"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09"/>
    <w:bookmarkStart w:id="310"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10"/>
    <w:bookmarkStart w:id="311"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311"/>
    <w:bookmarkStart w:id="312"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12"/>
    <w:bookmarkStart w:id="313"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13"/>
    <w:bookmarkStart w:id="314"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14"/>
    <w:bookmarkStart w:id="315"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15"/>
    <w:bookmarkStart w:id="316"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16"/>
    <w:bookmarkStart w:id="317"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17"/>
    <w:bookmarkStart w:id="318"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18"/>
    <w:bookmarkStart w:id="319"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19"/>
    <w:bookmarkStart w:id="320"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20"/>
    <w:bookmarkStart w:id="321"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21"/>
    <w:bookmarkStart w:id="322"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22"/>
    <w:bookmarkStart w:id="323"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23"/>
    <w:bookmarkStart w:id="324"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24"/>
    <w:bookmarkStart w:id="325"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25"/>
    <w:bookmarkStart w:id="326"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26"/>
    <w:bookmarkStart w:id="327"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27"/>
    <w:bookmarkStart w:id="328"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28"/>
    <w:bookmarkStart w:id="329"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29"/>
    <w:bookmarkStart w:id="330"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30"/>
    <w:bookmarkStart w:id="331"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31"/>
    <w:bookmarkStart w:id="332"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32"/>
    <w:bookmarkStart w:id="333"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33"/>
    <w:bookmarkStart w:id="334"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34"/>
    <w:bookmarkStart w:id="335"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35"/>
    <w:bookmarkStart w:id="336"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36"/>
    <w:bookmarkStart w:id="337"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37"/>
    <w:bookmarkStart w:id="338"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38"/>
    <w:bookmarkStart w:id="339"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39"/>
    <w:bookmarkStart w:id="340"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40"/>
    <w:bookmarkStart w:id="341"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41"/>
    <w:bookmarkStart w:id="342"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42"/>
    <w:bookmarkStart w:id="343" w:name="ref-chandler2019chapter"/>
    <w:p>
      <w:pPr>
        <w:pStyle w:val="Bibliography"/>
      </w:pPr>
      <w:r>
        <w:t xml:space="preserve">68.</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43"/>
    <w:bookmarkStart w:id="344"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44"/>
    <w:bookmarkStart w:id="345"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45"/>
    <w:bookmarkStart w:id="347"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46">
        <w:r>
          <w:rPr>
            <w:rStyle w:val="Hyperlink"/>
          </w:rPr>
          <w:t xml:space="preserve">10.1002/14651858.MR000010.pub3</w:t>
        </w:r>
      </w:hyperlink>
    </w:p>
    <w:bookmarkEnd w:id="347"/>
    <w:bookmarkStart w:id="348"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48"/>
    <w:bookmarkStart w:id="349"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49"/>
    <w:bookmarkStart w:id="350"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50"/>
    <w:bookmarkStart w:id="351" w:name="ref-rosenthal1979"/>
    <w:p>
      <w:pPr>
        <w:pStyle w:val="Bibliography"/>
      </w:pPr>
      <w:r>
        <w:t xml:space="preserve">75.</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51"/>
    <w:bookmarkStart w:id="352" w:name="ref-maslove2018"/>
    <w:p>
      <w:pPr>
        <w:pStyle w:val="Bibliography"/>
      </w:pPr>
      <w:r>
        <w:t xml:space="preserve">76.</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52"/>
    <w:bookmarkStart w:id="353" w:name="ref-schalkwyk2020"/>
    <w:p>
      <w:pPr>
        <w:pStyle w:val="Bibliography"/>
      </w:pPr>
      <w:r>
        <w:t xml:space="preserve">77.</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53"/>
    <w:bookmarkStart w:id="354" w:name="ref-mahood2014"/>
    <w:p>
      <w:pPr>
        <w:pStyle w:val="Bibliography"/>
      </w:pPr>
      <w:r>
        <w:t xml:space="preserve">78.</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54"/>
    <w:bookmarkStart w:id="355" w:name="ref-klein2019"/>
    <w:p>
      <w:pPr>
        <w:pStyle w:val="Bibliography"/>
      </w:pPr>
      <w:r>
        <w:t xml:space="preserve">79.</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55"/>
    <w:bookmarkStart w:id="357" w:name="ref-nicholson2021"/>
    <w:p>
      <w:pPr>
        <w:pStyle w:val="Bibliography"/>
      </w:pPr>
      <w:r>
        <w:t xml:space="preserve">80.</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56">
        <w:r>
          <w:rPr>
            <w:rStyle w:val="Hyperlink"/>
          </w:rPr>
          <w:t xml:space="preserve">10.1101/2021.03.04.433874</w:t>
        </w:r>
      </w:hyperlink>
    </w:p>
    <w:bookmarkEnd w:id="357"/>
    <w:bookmarkStart w:id="358" w:name="ref-munafo2018"/>
    <w:p>
      <w:pPr>
        <w:pStyle w:val="Bibliography"/>
      </w:pPr>
      <w:r>
        <w:t xml:space="preserve">81.</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58"/>
    <w:bookmarkStart w:id="359" w:name="ref-page2021"/>
    <w:p>
      <w:pPr>
        <w:pStyle w:val="Bibliography"/>
      </w:pPr>
      <w:r>
        <w:t xml:space="preserve">82.</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59"/>
    <w:bookmarkStart w:id="360" w:name="ref-mcguinness2018"/>
    <w:p>
      <w:pPr>
        <w:pStyle w:val="Bibliography"/>
      </w:pPr>
      <w:r>
        <w:t xml:space="preserve">83.</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60"/>
    <w:bookmarkStart w:id="361" w:name="ref-riley2010"/>
    <w:p>
      <w:pPr>
        <w:pStyle w:val="Bibliography"/>
      </w:pPr>
      <w:r>
        <w:t xml:space="preserve">84.</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61"/>
    <w:bookmarkStart w:id="362" w:name="ref-stewart1993"/>
    <w:p>
      <w:pPr>
        <w:pStyle w:val="Bibliography"/>
      </w:pPr>
      <w:r>
        <w:t xml:space="preserve">85.</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62"/>
    <w:bookmarkStart w:id="363" w:name="ref-arain2009"/>
    <w:p>
      <w:pPr>
        <w:pStyle w:val="Bibliography"/>
      </w:pPr>
      <w:r>
        <w:t xml:space="preserve">86.</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63"/>
    <w:bookmarkStart w:id="364" w:name="ref-clayton2018"/>
    <w:p>
      <w:pPr>
        <w:pStyle w:val="Bibliography"/>
      </w:pPr>
      <w:r>
        <w:t xml:space="preserve">87.</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64"/>
    <w:bookmarkStart w:id="365" w:name="ref-mccartney2016"/>
    <w:p>
      <w:pPr>
        <w:pStyle w:val="Bibliography"/>
      </w:pPr>
      <w:r>
        <w:t xml:space="preserve">88.</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65"/>
    <w:bookmarkStart w:id="366" w:name="ref-letenneur1999"/>
    <w:p>
      <w:pPr>
        <w:pStyle w:val="Bibliography"/>
      </w:pPr>
      <w:r>
        <w:t xml:space="preserve">89.</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66"/>
    <w:bookmarkStart w:id="367" w:name="ref-riley2020"/>
    <w:p>
      <w:pPr>
        <w:pStyle w:val="Bibliography"/>
      </w:pPr>
      <w:r>
        <w:t xml:space="preserve">90.</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67"/>
    <w:bookmarkStart w:id="368" w:name="ref-stewart2002"/>
    <w:p>
      <w:pPr>
        <w:pStyle w:val="Bibliography"/>
      </w:pPr>
      <w:r>
        <w:t xml:space="preserve">91.</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68"/>
    <w:bookmarkStart w:id="369" w:name="ref-tugwell2010"/>
    <w:p>
      <w:pPr>
        <w:pStyle w:val="Bibliography"/>
      </w:pPr>
      <w:r>
        <w:t xml:space="preserve">92.</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69"/>
    <w:bookmarkStart w:id="370" w:name="ref-nevitt2017a"/>
    <w:p>
      <w:pPr>
        <w:pStyle w:val="Bibliography"/>
      </w:pPr>
      <w:r>
        <w:t xml:space="preserve">93.</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70"/>
    <w:bookmarkStart w:id="371" w:name="ref-ventresca2020"/>
    <w:p>
      <w:pPr>
        <w:pStyle w:val="Bibliography"/>
      </w:pPr>
      <w:r>
        <w:t xml:space="preserve">94.</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71"/>
    <w:bookmarkStart w:id="372" w:name="ref-alsheikh-ali2011"/>
    <w:p>
      <w:pPr>
        <w:pStyle w:val="Bibliography"/>
      </w:pPr>
      <w:r>
        <w:t xml:space="preserve">95.</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72"/>
    <w:bookmarkStart w:id="373" w:name="ref-vines2014"/>
    <w:p>
      <w:pPr>
        <w:pStyle w:val="Bibliography"/>
      </w:pPr>
      <w:r>
        <w:t xml:space="preserve">96.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73"/>
    <w:bookmarkStart w:id="374" w:name="ref-wartenberg2010"/>
    <w:p>
      <w:pPr>
        <w:pStyle w:val="Bibliography"/>
      </w:pPr>
      <w:r>
        <w:t xml:space="preserve">97.</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74"/>
    <w:bookmarkStart w:id="375" w:name="ref-bauermeister2020"/>
    <w:p>
      <w:pPr>
        <w:pStyle w:val="Bibliography"/>
      </w:pPr>
      <w:r>
        <w:t xml:space="preserve">98.</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75"/>
    <w:bookmarkStart w:id="376" w:name="ref-rawlinson2019"/>
    <w:p>
      <w:pPr>
        <w:pStyle w:val="Bibliography"/>
      </w:pPr>
      <w:r>
        <w:t xml:space="preserve">99.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76"/>
    <w:bookmarkStart w:id="378" w:name="ref-sever2019"/>
    <w:p>
      <w:pPr>
        <w:pStyle w:val="Bibliography"/>
      </w:pPr>
      <w:r>
        <w:t xml:space="preserve">100.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77">
        <w:r>
          <w:rPr>
            <w:rStyle w:val="Hyperlink"/>
          </w:rPr>
          <w:t xml:space="preserve">10.1101/833400</w:t>
        </w:r>
      </w:hyperlink>
    </w:p>
    <w:bookmarkEnd w:id="378"/>
    <w:bookmarkStart w:id="379" w:name="ref-bramer2018a"/>
    <w:p>
      <w:pPr>
        <w:pStyle w:val="Bibliography"/>
      </w:pPr>
      <w:r>
        <w:t xml:space="preserve">101.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79"/>
    <w:bookmarkStart w:id="380" w:name="ref-gusenbauer2020"/>
    <w:p>
      <w:pPr>
        <w:pStyle w:val="Bibliography"/>
      </w:pPr>
      <w:r>
        <w:t xml:space="preserve">102.</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80"/>
    <w:bookmarkStart w:id="381" w:name="ref-zotero-15029"/>
    <w:p>
      <w:pPr>
        <w:pStyle w:val="Bibliography"/>
      </w:pPr>
      <w:r>
        <w:t xml:space="preserve">103.</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81"/>
    <w:bookmarkStart w:id="382" w:name="ref-wateridge1995"/>
    <w:p>
      <w:pPr>
        <w:pStyle w:val="Bibliography"/>
      </w:pPr>
      <w:r>
        <w:t xml:space="preserve">104.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82"/>
    <w:bookmarkStart w:id="383" w:name="ref-abdill2019"/>
    <w:p>
      <w:pPr>
        <w:pStyle w:val="Bibliography"/>
      </w:pPr>
      <w:r>
        <w:t xml:space="preserve">105.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83"/>
    <w:bookmarkStart w:id="384" w:name="ref-zotero-15027"/>
    <w:p>
      <w:pPr>
        <w:pStyle w:val="Bibliography"/>
      </w:pPr>
      <w:r>
        <w:t xml:space="preserve">106.</w:t>
      </w:r>
      <w:r>
        <w:t xml:space="preserve"> </w:t>
      </w:r>
      <w:r>
        <w:t xml:space="preserve">	</w:t>
      </w:r>
      <w:r>
        <w:t xml:space="preserve">Rxivist:</w:t>
      </w:r>
      <w:r>
        <w:t xml:space="preserve"> </w:t>
      </w:r>
      <w:r>
        <w:t xml:space="preserve">Explore</w:t>
      </w:r>
      <w:r>
        <w:t xml:space="preserve"> </w:t>
      </w:r>
      <w:r>
        <w:t xml:space="preserve">popular biology preprints.</w:t>
      </w:r>
    </w:p>
    <w:bookmarkEnd w:id="384"/>
    <w:bookmarkStart w:id="385" w:name="ref-iwema2016"/>
    <w:p>
      <w:pPr>
        <w:pStyle w:val="Bibliography"/>
      </w:pPr>
      <w:r>
        <w:t xml:space="preserve">107.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85"/>
    <w:bookmarkStart w:id="387" w:name="ref-shaw2002"/>
    <w:p>
      <w:pPr>
        <w:pStyle w:val="Bibliography"/>
      </w:pPr>
      <w:r>
        <w:t xml:space="preserve">108.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86">
        <w:r>
          <w:rPr>
            <w:rStyle w:val="Hyperlink"/>
          </w:rPr>
          <w:t xml:space="preserve">10.1145/582128.582152</w:t>
        </w:r>
      </w:hyperlink>
    </w:p>
    <w:bookmarkEnd w:id="387"/>
    <w:bookmarkStart w:id="388" w:name="ref-laprie1992"/>
    <w:p>
      <w:pPr>
        <w:pStyle w:val="Bibliography"/>
      </w:pPr>
      <w:r>
        <w:t xml:space="preserve">109.</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88"/>
    <w:bookmarkStart w:id="389" w:name="ref-rcoreteam2019"/>
    <w:p>
      <w:pPr>
        <w:pStyle w:val="Bibliography"/>
      </w:pPr>
      <w:r>
        <w:t xml:space="preserve">110.</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89"/>
    <w:bookmarkStart w:id="390" w:name="ref-zotero-15031"/>
    <w:p>
      <w:pPr>
        <w:pStyle w:val="Bibliography"/>
      </w:pPr>
      <w:r>
        <w:t xml:space="preserve">111.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90"/>
    <w:bookmarkStart w:id="391" w:name="ref-rethlefsen2021prisma"/>
    <w:p>
      <w:pPr>
        <w:pStyle w:val="Bibliography"/>
      </w:pPr>
      <w:r>
        <w:t xml:space="preserve">112.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91"/>
    <w:bookmarkStart w:id="392" w:name="ref-bramer2018"/>
    <w:p>
      <w:pPr>
        <w:pStyle w:val="Bibliography"/>
      </w:pPr>
      <w:r>
        <w:t xml:space="preserve">113.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92"/>
    <w:bookmarkStart w:id="394" w:name="ref-kodvanj2020"/>
    <w:p>
      <w:pPr>
        <w:pStyle w:val="Bibliography"/>
      </w:pPr>
      <w:r>
        <w:t xml:space="preserve">114.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93">
        <w:r>
          <w:rPr>
            <w:rStyle w:val="Hyperlink"/>
          </w:rPr>
          <w:t xml:space="preserve">10.1101/2020.11.23.394577</w:t>
        </w:r>
      </w:hyperlink>
    </w:p>
    <w:bookmarkEnd w:id="394"/>
    <w:bookmarkStart w:id="395" w:name="ref-noone2020"/>
    <w:p>
      <w:pPr>
        <w:pStyle w:val="Bibliography"/>
      </w:pPr>
      <w:r>
        <w:t xml:space="preserve">115.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95"/>
    <w:bookmarkStart w:id="396" w:name="ref-grassly2020"/>
    <w:p>
      <w:pPr>
        <w:pStyle w:val="Bibliography"/>
      </w:pPr>
      <w:r>
        <w:t xml:space="preserve">116.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96"/>
    <w:bookmarkStart w:id="397" w:name="ref-boettiger2015"/>
    <w:p>
      <w:pPr>
        <w:pStyle w:val="Bibliography"/>
      </w:pPr>
      <w:r>
        <w:t xml:space="preserve">117.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97"/>
    <w:bookmarkStart w:id="398" w:name="ref-zotero-15016"/>
    <w:p>
      <w:pPr>
        <w:pStyle w:val="Bibliography"/>
      </w:pPr>
      <w:r>
        <w:t xml:space="preserve">118.</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98"/>
    <w:bookmarkStart w:id="400" w:name="ref-bong2019"/>
    <w:p>
      <w:pPr>
        <w:pStyle w:val="Bibliography"/>
      </w:pPr>
      <w:r>
        <w:t xml:space="preserve">119.</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99">
        <w:r>
          <w:rPr>
            <w:rStyle w:val="Hyperlink"/>
          </w:rPr>
          <w:t xml:space="preserve">10.1101/19000265</w:t>
        </w:r>
      </w:hyperlink>
    </w:p>
    <w:bookmarkEnd w:id="400"/>
    <w:bookmarkStart w:id="401" w:name="ref-song2010"/>
    <w:p>
      <w:pPr>
        <w:pStyle w:val="Bibliography"/>
      </w:pPr>
      <w:r>
        <w:t xml:space="preserve">120.</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01"/>
    <w:bookmarkStart w:id="402" w:name="ref-abdill2019b"/>
    <w:p>
      <w:pPr>
        <w:pStyle w:val="Bibliography"/>
      </w:pPr>
      <w:r>
        <w:t xml:space="preserve">121.</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02"/>
    <w:bookmarkStart w:id="404" w:name="ref-vuorre2020"/>
    <w:p>
      <w:pPr>
        <w:pStyle w:val="Bibliography"/>
      </w:pPr>
      <w:r>
        <w:t xml:space="preserve">122.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03">
        <w:r>
          <w:rPr>
            <w:rStyle w:val="Hyperlink"/>
          </w:rPr>
          <w:t xml:space="preserve">10.3758/s13428-020-01436-x</w:t>
        </w:r>
      </w:hyperlink>
    </w:p>
    <w:bookmarkEnd w:id="404"/>
    <w:bookmarkStart w:id="406" w:name="ref-mcguinnessluke2020"/>
    <w:p>
      <w:pPr>
        <w:pStyle w:val="Bibliography"/>
      </w:pPr>
      <w:r>
        <w:t xml:space="preserve">123.</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05">
        <w:r>
          <w:rPr>
            <w:rStyle w:val="Hyperlink"/>
          </w:rPr>
          <w:t xml:space="preserve">10.17605/OSF.IO/VTW5Y</w:t>
        </w:r>
      </w:hyperlink>
    </w:p>
    <w:bookmarkEnd w:id="406"/>
    <w:bookmarkStart w:id="407" w:name="ref-gusenbauer2020a"/>
    <w:p>
      <w:pPr>
        <w:pStyle w:val="Bibliography"/>
      </w:pPr>
      <w:r>
        <w:t xml:space="preserve">124.</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07"/>
    <w:bookmarkStart w:id="408" w:name="ref-bramer2016"/>
    <w:p>
      <w:pPr>
        <w:pStyle w:val="Bibliography"/>
      </w:pPr>
      <w:r>
        <w:t xml:space="preserve">125.</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08"/>
    <w:bookmarkStart w:id="409" w:name="ref-hupe2019"/>
    <w:p>
      <w:pPr>
        <w:pStyle w:val="Bibliography"/>
      </w:pPr>
      <w:r>
        <w:t xml:space="preserve">126.</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09"/>
    <w:bookmarkStart w:id="410" w:name="ref-ouzzani2016"/>
    <w:p>
      <w:pPr>
        <w:pStyle w:val="Bibliography"/>
      </w:pPr>
      <w:r>
        <w:t xml:space="preserve">127.</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10"/>
    <w:bookmarkStart w:id="411" w:name="ref-organizationwho1993"/>
    <w:p>
      <w:pPr>
        <w:pStyle w:val="Bibliography"/>
      </w:pPr>
      <w:r>
        <w:t xml:space="preserve">128.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w:t>
      </w:r>
      <w:r>
        <w:rPr>
          <w:iCs/>
          <w:i/>
        </w:rPr>
        <w:t xml:space="preserve"> </w:t>
      </w:r>
      <w:r>
        <w:rPr>
          <w:iCs/>
          <w:i/>
        </w:rPr>
        <w:t xml:space="preserve">Diagnostic</w:t>
      </w:r>
      <w:r>
        <w:rPr>
          <w:iCs/>
          <w:i/>
        </w:rPr>
        <w:t xml:space="preserve"> </w:t>
      </w:r>
      <w:r>
        <w:rPr>
          <w:iCs/>
          <w:i/>
        </w:rPr>
        <w:t xml:space="preserve">criteria for research</w:t>
      </w:r>
      <w:r>
        <w:t xml:space="preserve">. (</w:t>
      </w:r>
      <w:r>
        <w:t xml:space="preserve">World Health Organization</w:t>
      </w:r>
      <w:r>
        <w:t xml:space="preserve">, 1993).</w:t>
      </w:r>
    </w:p>
    <w:bookmarkEnd w:id="411"/>
    <w:bookmarkStart w:id="412" w:name="ref-roman1993"/>
    <w:p>
      <w:pPr>
        <w:pStyle w:val="Bibliography"/>
      </w:pPr>
      <w:r>
        <w:t xml:space="preserve">129.</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12"/>
    <w:bookmarkStart w:id="413" w:name="ref-edition2013"/>
    <w:p>
      <w:pPr>
        <w:pStyle w:val="Bibliography"/>
      </w:pPr>
      <w:r>
        <w:t xml:space="preserve">130.</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13"/>
    <w:bookmarkStart w:id="414" w:name="ref-gwet2008"/>
    <w:p>
      <w:pPr>
        <w:pStyle w:val="Bibliography"/>
      </w:pPr>
      <w:r>
        <w:t xml:space="preserve">131.</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14"/>
    <w:bookmarkStart w:id="415" w:name="ref-cohen1960"/>
    <w:p>
      <w:pPr>
        <w:pStyle w:val="Bibliography"/>
      </w:pPr>
      <w:r>
        <w:t xml:space="preserve">132.</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15"/>
    <w:bookmarkStart w:id="416" w:name="ref-wongpakaran2013"/>
    <w:p>
      <w:pPr>
        <w:pStyle w:val="Bibliography"/>
      </w:pPr>
      <w:r>
        <w:t xml:space="preserve">133.</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16"/>
    <w:bookmarkStart w:id="417" w:name="ref-brennan1992"/>
    <w:p>
      <w:pPr>
        <w:pStyle w:val="Bibliography"/>
      </w:pPr>
      <w:r>
        <w:t xml:space="preserve">134.</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17"/>
    <w:bookmarkStart w:id="418" w:name="ref-mchugh2012"/>
    <w:p>
      <w:pPr>
        <w:pStyle w:val="Bibliography"/>
      </w:pPr>
      <w:r>
        <w:t xml:space="preserve">135.</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18"/>
    <w:bookmarkStart w:id="419" w:name="ref-higgins2019"/>
    <w:p>
      <w:pPr>
        <w:pStyle w:val="Bibliography"/>
      </w:pPr>
      <w:r>
        <w:t xml:space="preserve">136.</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9"/>
    <w:bookmarkStart w:id="420" w:name="ref-reynders2019"/>
    <w:p>
      <w:pPr>
        <w:pStyle w:val="Bibliography"/>
      </w:pPr>
      <w:r>
        <w:t xml:space="preserve">137.</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20"/>
    <w:bookmarkStart w:id="421" w:name="ref-mckenzie2019"/>
    <w:p>
      <w:pPr>
        <w:pStyle w:val="Bibliography"/>
      </w:pPr>
      <w:r>
        <w:t xml:space="preserve">138.</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21"/>
    <w:bookmarkStart w:id="422"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22"/>
    <w:bookmarkStart w:id="423" w:name="ref-campbell1957"/>
    <w:p>
      <w:pPr>
        <w:pStyle w:val="Bibliography"/>
      </w:pPr>
      <w:r>
        <w:t xml:space="preserve">140.</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23"/>
    <w:bookmarkStart w:id="424" w:name="ref-juni2001"/>
    <w:p>
      <w:pPr>
        <w:pStyle w:val="Bibliography"/>
      </w:pPr>
      <w:r>
        <w:t xml:space="preserve">141.</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24"/>
    <w:bookmarkStart w:id="425" w:name="ref-sterne2019"/>
    <w:p>
      <w:pPr>
        <w:pStyle w:val="Bibliography"/>
      </w:pPr>
      <w:r>
        <w:t xml:space="preserve">142.</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25"/>
    <w:bookmarkStart w:id="426" w:name="ref-morganr2020"/>
    <w:p>
      <w:pPr>
        <w:pStyle w:val="Bibliography"/>
      </w:pPr>
      <w:r>
        <w:t xml:space="preserve">143.</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26"/>
    <w:bookmarkStart w:id="427" w:name="ref-french2019"/>
    <w:p>
      <w:pPr>
        <w:pStyle w:val="Bibliography"/>
      </w:pPr>
      <w:r>
        <w:t xml:space="preserve">144.</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27"/>
    <w:bookmarkStart w:id="428" w:name="ref-wells2000"/>
    <w:p>
      <w:pPr>
        <w:pStyle w:val="Bibliography"/>
      </w:pPr>
      <w:r>
        <w:t xml:space="preserve">145.</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28"/>
    <w:bookmarkStart w:id="429" w:name="ref-mamluk2020"/>
    <w:p>
      <w:pPr>
        <w:pStyle w:val="Bibliography"/>
      </w:pPr>
      <w:r>
        <w:t xml:space="preserve">146.</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29"/>
    <w:bookmarkStart w:id="430" w:name="ref-zotero-15123"/>
    <w:p>
      <w:pPr>
        <w:pStyle w:val="Bibliography"/>
      </w:pPr>
      <w:r>
        <w:t xml:space="preserve">147.</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30"/>
    <w:bookmarkStart w:id="431" w:name="ref-saran2018"/>
    <w:p>
      <w:pPr>
        <w:pStyle w:val="Bibliography"/>
      </w:pPr>
      <w:r>
        <w:t xml:space="preserve">148.</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31"/>
    <w:bookmarkStart w:id="432" w:name="ref-mcguinness2020robvisPaper"/>
    <w:p>
      <w:pPr>
        <w:pStyle w:val="Bibliography"/>
      </w:pPr>
      <w:r>
        <w:t xml:space="preserve">149.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32"/>
    <w:bookmarkStart w:id="433" w:name="ref-zotero-14999"/>
    <w:p>
      <w:pPr>
        <w:pStyle w:val="Bibliography"/>
      </w:pPr>
      <w:r>
        <w:t xml:space="preserve">150.</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33"/>
    <w:bookmarkStart w:id="434" w:name="ref-feinstein1990"/>
    <w:p>
      <w:pPr>
        <w:pStyle w:val="Bibliography"/>
      </w:pPr>
      <w:r>
        <w:t xml:space="preserve">151.</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34"/>
    <w:bookmarkStart w:id="435" w:name="ref-ancelin2012a"/>
    <w:p>
      <w:pPr>
        <w:pStyle w:val="Bibliography"/>
      </w:pPr>
      <w:r>
        <w:t xml:space="preserve">152.</w:t>
      </w:r>
      <w:r>
        <w:t xml:space="preserve"> </w:t>
      </w:r>
      <w:r>
        <w:t xml:space="preserve">	</w:t>
      </w:r>
      <w:r>
        <w:t xml:space="preserve">Ancelin, M. 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35"/>
    <w:bookmarkStart w:id="436" w:name="ref-ancelin2013"/>
    <w:p>
      <w:pPr>
        <w:pStyle w:val="Bibliography"/>
      </w:pPr>
      <w:r>
        <w:t xml:space="preserve">153.</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436"/>
    <w:bookmarkStart w:id="437" w:name="ref-arvanitakis2008"/>
    <w:p>
      <w:pPr>
        <w:pStyle w:val="Bibliography"/>
      </w:pPr>
      <w:r>
        <w:t xml:space="preserve">154.</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37"/>
    <w:bookmarkStart w:id="438" w:name="ref-batty2014"/>
    <w:p>
      <w:pPr>
        <w:pStyle w:val="Bibliography"/>
      </w:pPr>
      <w:r>
        <w:t xml:space="preserve">155.</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438"/>
    <w:bookmarkStart w:id="439" w:name="ref-benn2017b"/>
    <w:p>
      <w:pPr>
        <w:pStyle w:val="Bibliography"/>
      </w:pPr>
      <w:r>
        <w:t xml:space="preserve">156.</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 (Clinical research ed.)</w:t>
      </w:r>
      <w:r>
        <w:t xml:space="preserve"> </w:t>
      </w:r>
      <w:r>
        <w:rPr>
          <w:bCs/>
          <w:b/>
        </w:rPr>
        <w:t xml:space="preserve">357</w:t>
      </w:r>
      <w:r>
        <w:t xml:space="preserve">, j1648 (2017).</w:t>
      </w:r>
    </w:p>
    <w:bookmarkEnd w:id="439"/>
    <w:bookmarkStart w:id="440" w:name="ref-bettermann2012a"/>
    <w:p>
      <w:pPr>
        <w:pStyle w:val="Bibliography"/>
      </w:pPr>
      <w:r>
        <w:t xml:space="preserve">157.</w:t>
      </w:r>
      <w:r>
        <w:t xml:space="preserve"> </w:t>
      </w:r>
      <w:r>
        <w:t xml:space="preserve">	</w:t>
      </w:r>
      <w:r>
        <w:t xml:space="preserve">Bettermann, K.</w:t>
      </w:r>
      <w:r>
        <w:t xml:space="preserve"> </w:t>
      </w:r>
      <w:r>
        <w:rPr>
          <w:iCs/>
          <w:i/>
        </w:rPr>
        <w:t xml:space="preserve">et al.</w:t>
      </w:r>
      <w:r>
        <w:t xml:space="preserve"> Statins, risk of dementia, and cognitive function: Secondary analysis of the ginkgo evaluation of memory study.</w:t>
      </w:r>
      <w:r>
        <w:t xml:space="preserve"> </w:t>
      </w:r>
      <w:r>
        <w:rPr>
          <w:iCs/>
          <w:i/>
        </w:rPr>
        <w:t xml:space="preserve">Journal of stroke and cerebrovascular diseases</w:t>
      </w:r>
      <w:r>
        <w:t xml:space="preserve"> </w:t>
      </w:r>
      <w:r>
        <w:rPr>
          <w:bCs/>
          <w:b/>
        </w:rPr>
        <w:t xml:space="preserve">21</w:t>
      </w:r>
      <w:r>
        <w:t xml:space="preserve">, 436–444 (2012).</w:t>
      </w:r>
    </w:p>
    <w:bookmarkEnd w:id="440"/>
    <w:bookmarkStart w:id="441" w:name="ref-beydoun2011"/>
    <w:p>
      <w:pPr>
        <w:pStyle w:val="Bibliography"/>
      </w:pPr>
      <w:r>
        <w:t xml:space="preserve">158.</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41"/>
    <w:bookmarkStart w:id="442" w:name="ref-bruce2017"/>
    <w:p>
      <w:pPr>
        <w:pStyle w:val="Bibliography"/>
      </w:pPr>
      <w:r>
        <w:t xml:space="preserve">159.</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w:t>
      </w:r>
      <w:r>
        <w:t xml:space="preserve"> </w:t>
      </w:r>
      <w:r>
        <w:t xml:space="preserve">The 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442"/>
    <w:bookmarkStart w:id="443" w:name="ref-burgess2017"/>
    <w:p>
      <w:pPr>
        <w:pStyle w:val="Bibliography"/>
      </w:pPr>
      <w:r>
        <w:t xml:space="preserve">160.</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443"/>
    <w:bookmarkStart w:id="444" w:name="ref-chao2015a"/>
    <w:p>
      <w:pPr>
        <w:pStyle w:val="Bibliography"/>
      </w:pPr>
      <w:r>
        <w:t xml:space="preserve">161.</w:t>
      </w:r>
      <w:r>
        <w:t xml:space="preserve"> </w:t>
      </w:r>
      <w:r>
        <w:t xml:space="preserve">	</w:t>
      </w:r>
      <w:r>
        <w:t xml:space="preserve">Chao, T. 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44"/>
    <w:bookmarkStart w:id="445" w:name="ref-chen2014"/>
    <w:p>
      <w:pPr>
        <w:pStyle w:val="Bibliography"/>
      </w:pPr>
      <w:r>
        <w:t xml:space="preserve">162.</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45"/>
    <w:bookmarkStart w:id="446" w:name="ref-chiang2007"/>
    <w:p>
      <w:pPr>
        <w:pStyle w:val="Bibliography"/>
      </w:pPr>
      <w:r>
        <w:t xml:space="preserve">163.</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446"/>
    <w:bookmarkStart w:id="447" w:name="ref-chitnis2015"/>
    <w:p>
      <w:pPr>
        <w:pStyle w:val="Bibliography"/>
      </w:pPr>
      <w:r>
        <w:t xml:space="preserve">164.</w:t>
      </w:r>
      <w:r>
        <w:t xml:space="preserve"> </w:t>
      </w:r>
      <w:r>
        <w:t xml:space="preserve">	</w:t>
      </w:r>
      <w:r>
        <w:t xml:space="preserve">Chitnis, A. S.</w:t>
      </w:r>
      <w:r>
        <w:t xml:space="preserve"> </w:t>
      </w:r>
      <w:r>
        <w:rPr>
          <w:iCs/>
          <w:i/>
        </w:rPr>
        <w:t xml:space="preserve">et al.</w:t>
      </w:r>
      <w:r>
        <w:t xml:space="preserve"> Use of statins and risk of dementia in heart failure:</w:t>
      </w:r>
      <w:r>
        <w:t xml:space="preserve"> </w:t>
      </w:r>
      <w:r>
        <w:t xml:space="preserve">A</w:t>
      </w:r>
      <w:r>
        <w:t xml:space="preserve"> </w:t>
      </w:r>
      <w:r>
        <w:t xml:space="preserve">retrospective cohort study.</w:t>
      </w:r>
      <w:r>
        <w:t xml:space="preserve"> </w:t>
      </w:r>
      <w:r>
        <w:rPr>
          <w:iCs/>
          <w:i/>
        </w:rPr>
        <w:t xml:space="preserve">Drugs &amp; Aging</w:t>
      </w:r>
      <w:r>
        <w:t xml:space="preserve"> </w:t>
      </w:r>
      <w:r>
        <w:rPr>
          <w:bCs/>
          <w:b/>
        </w:rPr>
        <w:t xml:space="preserve">32</w:t>
      </w:r>
      <w:r>
        <w:t xml:space="preserve">, 743–754 (2015).</w:t>
      </w:r>
    </w:p>
    <w:bookmarkEnd w:id="447"/>
    <w:bookmarkStart w:id="448" w:name="ref-chou2014a"/>
    <w:p>
      <w:pPr>
        <w:pStyle w:val="Bibliography"/>
      </w:pPr>
      <w:r>
        <w:t xml:space="preserve">165.</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48"/>
    <w:bookmarkStart w:id="449" w:name="ref-chuang2015"/>
    <w:p>
      <w:pPr>
        <w:pStyle w:val="Bibliography"/>
      </w:pPr>
      <w:r>
        <w:t xml:space="preserve">166.</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449"/>
    <w:bookmarkStart w:id="450" w:name="ref-cramer2008"/>
    <w:p>
      <w:pPr>
        <w:pStyle w:val="Bibliography"/>
      </w:pPr>
      <w:r>
        <w:t xml:space="preserve">167.</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450"/>
    <w:bookmarkStart w:id="451" w:name="ref-dodge2011"/>
    <w:p>
      <w:pPr>
        <w:pStyle w:val="Bibliography"/>
      </w:pPr>
      <w:r>
        <w:t xml:space="preserve">168.</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451"/>
    <w:bookmarkStart w:id="452" w:name="ref-forti2010"/>
    <w:p>
      <w:pPr>
        <w:pStyle w:val="Bibliography"/>
      </w:pPr>
      <w:r>
        <w:t xml:space="preserve">169.</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452"/>
    <w:bookmarkStart w:id="453" w:name="ref-gnjidic2016"/>
    <w:p>
      <w:pPr>
        <w:pStyle w:val="Bibliography"/>
      </w:pPr>
      <w:r>
        <w:t xml:space="preserve">170.</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453"/>
    <w:bookmarkStart w:id="454" w:name="ref-gottesman2017"/>
    <w:p>
      <w:pPr>
        <w:pStyle w:val="Bibliography"/>
      </w:pPr>
      <w:r>
        <w:t xml:space="preserve">171.</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454"/>
    <w:bookmarkStart w:id="455" w:name="ref-gustafson2012"/>
    <w:p>
      <w:pPr>
        <w:pStyle w:val="Bibliography"/>
      </w:pPr>
      <w:r>
        <w:t xml:space="preserve">172.</w:t>
      </w:r>
      <w:r>
        <w:t xml:space="preserve"> </w:t>
      </w:r>
      <w:r>
        <w:t xml:space="preserve">	</w:t>
      </w:r>
      <w:r>
        <w:t xml:space="preserve">Gustafson, D. R.</w:t>
      </w:r>
      <w:r>
        <w:t xml:space="preserve"> </w:t>
      </w:r>
      <w:r>
        <w:rPr>
          <w:iCs/>
          <w:i/>
        </w:rPr>
        <w:t xml:space="preserve">et al.</w:t>
      </w:r>
      <w:r>
        <w:t xml:space="preserve"> Epidemiological evidence for lipid-based dementia prevention:</w:t>
      </w:r>
      <w:r>
        <w:t xml:space="preserve"> </w:t>
      </w:r>
      <w:r>
        <w:t xml:space="preserve">The 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455"/>
    <w:bookmarkStart w:id="456" w:name="ref-haag2009"/>
    <w:p>
      <w:pPr>
        <w:pStyle w:val="Bibliography"/>
      </w:pPr>
      <w:r>
        <w:t xml:space="preserve">173.</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456"/>
    <w:bookmarkStart w:id="457" w:name="ref-hayden2006"/>
    <w:p>
      <w:pPr>
        <w:pStyle w:val="Bibliography"/>
      </w:pPr>
      <w:r>
        <w:t xml:space="preserve">174.</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457"/>
    <w:bookmarkStart w:id="458" w:name="X49f9892f062f4edfe92b37e5c1639cb4f6c013f"/>
    <w:p>
      <w:pPr>
        <w:pStyle w:val="Bibliography"/>
      </w:pPr>
      <w:r>
        <w:t xml:space="preserve">175.</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58"/>
    <w:bookmarkStart w:id="459" w:name="ref-hendrie2015"/>
    <w:p>
      <w:pPr>
        <w:pStyle w:val="Bibliography"/>
      </w:pPr>
      <w:r>
        <w:t xml:space="preserve">176.</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459"/>
    <w:bookmarkStart w:id="460" w:name="ref-hippisley-cox2010a"/>
    <w:p>
      <w:pPr>
        <w:pStyle w:val="Bibliography"/>
      </w:pPr>
      <w:r>
        <w:t xml:space="preserve">177.</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460"/>
    <w:bookmarkStart w:id="461" w:name="ref-jick2000"/>
    <w:p>
      <w:pPr>
        <w:pStyle w:val="Bibliography"/>
      </w:pPr>
      <w:r>
        <w:t xml:space="preserve">178.</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461"/>
    <w:bookmarkStart w:id="462" w:name="ref-kimm2011"/>
    <w:p>
      <w:pPr>
        <w:pStyle w:val="Bibliography"/>
      </w:pPr>
      <w:r>
        <w:t xml:space="preserve">179.</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462"/>
    <w:bookmarkStart w:id="463" w:name="ref-kivipelto2001"/>
    <w:p>
      <w:pPr>
        <w:pStyle w:val="Bibliography"/>
      </w:pPr>
      <w:r>
        <w:t xml:space="preserve">180.</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463"/>
    <w:bookmarkStart w:id="464" w:name="ref-kivipelto2005a"/>
    <w:p>
      <w:pPr>
        <w:pStyle w:val="Bibliography"/>
      </w:pPr>
      <w:r>
        <w:t xml:space="preserve">181.</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464"/>
    <w:bookmarkStart w:id="465" w:name="ref-kuo2015"/>
    <w:p>
      <w:pPr>
        <w:pStyle w:val="Bibliography"/>
      </w:pPr>
      <w:r>
        <w:t xml:space="preserve">182.</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465"/>
    <w:bookmarkStart w:id="466" w:name="ref-li2004"/>
    <w:p>
      <w:pPr>
        <w:pStyle w:val="Bibliography"/>
      </w:pPr>
      <w:r>
        <w:t xml:space="preserve">183.</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466"/>
    <w:bookmarkStart w:id="467" w:name="ref-li2010"/>
    <w:p>
      <w:pPr>
        <w:pStyle w:val="Bibliography"/>
      </w:pPr>
      <w:r>
        <w:t xml:space="preserve">184.</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467"/>
    <w:bookmarkStart w:id="468" w:name="ref-liao2013"/>
    <w:p>
      <w:pPr>
        <w:pStyle w:val="Bibliography"/>
      </w:pPr>
      <w:r>
        <w:t xml:space="preserve">185.</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468"/>
    <w:bookmarkStart w:id="469" w:name="ref-liu2019a"/>
    <w:p>
      <w:pPr>
        <w:pStyle w:val="Bibliography"/>
      </w:pPr>
      <w:r>
        <w:t xml:space="preserve">186.</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469"/>
    <w:bookmarkStart w:id="470" w:name="ref-mainousa.g.2005"/>
    <w:p>
      <w:pPr>
        <w:pStyle w:val="Bibliography"/>
      </w:pPr>
      <w:r>
        <w:t xml:space="preserve">187.</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470"/>
    <w:bookmarkStart w:id="471" w:name="ref-mielke2005a"/>
    <w:p>
      <w:pPr>
        <w:pStyle w:val="Bibliography"/>
      </w:pPr>
      <w:r>
        <w:t xml:space="preserve">188.</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71"/>
    <w:bookmarkStart w:id="472" w:name="ref-mielke2010a"/>
    <w:p>
      <w:pPr>
        <w:pStyle w:val="Bibliography"/>
      </w:pPr>
      <w:r>
        <w:t xml:space="preserve">189.</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472"/>
    <w:bookmarkStart w:id="473" w:name="ref-mielke2011"/>
    <w:p>
      <w:pPr>
        <w:pStyle w:val="Bibliography"/>
      </w:pPr>
      <w:r>
        <w:t xml:space="preserve">190.</w:t>
      </w:r>
      <w:r>
        <w:t xml:space="preserve"> </w:t>
      </w:r>
      <w:r>
        <w:t xml:space="preserve">	</w:t>
      </w:r>
      <w:r>
        <w:t xml:space="preserve">Mielke, M.</w:t>
      </w:r>
      <w:r>
        <w:t xml:space="preserve"> </w:t>
      </w:r>
      <w:r>
        <w:rPr>
          <w:iCs/>
          <w:i/>
        </w:rPr>
        <w:t xml:space="preserve">et al.</w:t>
      </w:r>
      <w:r>
        <w:t xml:space="preserve"> Serum ceramides predict incident alzheimer’s disease:</w:t>
      </w:r>
      <w:r>
        <w:t xml:space="preserve"> </w:t>
      </w:r>
      <w:r>
        <w:t xml:space="preserve">The</w:t>
      </w:r>
      <w:r>
        <w:t xml:space="preserve"> </w:t>
      </w:r>
      <w:r>
        <w:t xml:space="preserve">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473"/>
    <w:bookmarkStart w:id="474" w:name="ref-mukherjee2013"/>
    <w:p>
      <w:pPr>
        <w:pStyle w:val="Bibliography"/>
      </w:pPr>
      <w:r>
        <w:t xml:space="preserve">191.</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w:t>
      </w:r>
      <w:r>
        <w:t xml:space="preserve"> </w:t>
      </w:r>
      <w:r>
        <w:t xml:space="preserve">Mendelian</w:t>
      </w:r>
      <w:r>
        <w:t xml:space="preserve"> </w:t>
      </w:r>
      <w:r>
        <w:t xml:space="preserve">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474"/>
    <w:bookmarkStart w:id="475" w:name="ref-muller2007"/>
    <w:p>
      <w:pPr>
        <w:pStyle w:val="Bibliography"/>
      </w:pPr>
      <w:r>
        <w:t xml:space="preserve">192.</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475"/>
    <w:bookmarkStart w:id="476" w:name="ref-noale2013"/>
    <w:p>
      <w:pPr>
        <w:pStyle w:val="Bibliography"/>
      </w:pPr>
      <w:r>
        <w:t xml:space="preserve">193.</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476"/>
    <w:bookmarkStart w:id="477" w:name="ref-notkola1998"/>
    <w:p>
      <w:pPr>
        <w:pStyle w:val="Bibliography"/>
      </w:pPr>
      <w:r>
        <w:t xml:space="preserve">194.</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477"/>
    <w:bookmarkStart w:id="478" w:name="ref-ostergaard2017"/>
    <w:p>
      <w:pPr>
        <w:pStyle w:val="Bibliography"/>
      </w:pPr>
      <w:r>
        <w:t xml:space="preserve">195.</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w:t>
      </w:r>
      <w:r>
        <w:t xml:space="preserve"> </w:t>
      </w:r>
      <w:r>
        <w:t xml:space="preserve">A 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478"/>
    <w:bookmarkStart w:id="479" w:name="ref-pan2018"/>
    <w:p>
      <w:pPr>
        <w:pStyle w:val="Bibliography"/>
      </w:pPr>
      <w:r>
        <w:t xml:space="preserve">196.</w:t>
      </w:r>
      <w:r>
        <w:t xml:space="preserve"> </w:t>
      </w:r>
      <w:r>
        <w:t xml:space="preserve">	</w:t>
      </w:r>
      <w:r>
        <w:t xml:space="preserve">Pan, M. L., Hsu, C. C., Chen, Y. M., Yu, H. K. &amp; Hu, G. C. Statin use and the risk of dementia in patients with stroke:</w:t>
      </w:r>
      <w:r>
        <w:t xml:space="preserve"> </w:t>
      </w:r>
      <w:r>
        <w:t xml:space="preserve">A</w:t>
      </w:r>
      <w:r>
        <w:t xml:space="preserve"> </w:t>
      </w:r>
      <w:r>
        <w:t xml:space="preserve">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479"/>
    <w:bookmarkStart w:id="480" w:name="ref-parikh2011"/>
    <w:p>
      <w:pPr>
        <w:pStyle w:val="Bibliography"/>
      </w:pPr>
      <w:r>
        <w:t xml:space="preserve">197.</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480"/>
    <w:bookmarkStart w:id="481" w:name="ref-peters2009"/>
    <w:p>
      <w:pPr>
        <w:pStyle w:val="Bibliography"/>
      </w:pPr>
      <w:r>
        <w:t xml:space="preserve">198.</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481"/>
    <w:bookmarkStart w:id="482" w:name="ref-raffaitin2009"/>
    <w:p>
      <w:pPr>
        <w:pStyle w:val="Bibliography"/>
      </w:pPr>
      <w:r>
        <w:t xml:space="preserve">199.</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482"/>
    <w:bookmarkStart w:id="483" w:name="ref-rantanen2017"/>
    <w:p>
      <w:pPr>
        <w:pStyle w:val="Bibliography"/>
      </w:pPr>
      <w:r>
        <w:t xml:space="preserve">200.</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483"/>
    <w:bookmarkStart w:id="484" w:name="ref-rea2005a"/>
    <w:p>
      <w:pPr>
        <w:pStyle w:val="Bibliography"/>
      </w:pPr>
      <w:r>
        <w:t xml:space="preserve">201.</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484"/>
    <w:bookmarkStart w:id="485" w:name="ref-redelmeier2019"/>
    <w:p>
      <w:pPr>
        <w:pStyle w:val="Bibliography"/>
      </w:pPr>
      <w:r>
        <w:t xml:space="preserve">202.</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485"/>
    <w:bookmarkStart w:id="486" w:name="ref-reitz2010"/>
    <w:p>
      <w:pPr>
        <w:pStyle w:val="Bibliography"/>
      </w:pPr>
      <w:r>
        <w:t xml:space="preserve">203.</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486"/>
    <w:bookmarkStart w:id="487" w:name="ref-ridker2008"/>
    <w:p>
      <w:pPr>
        <w:pStyle w:val="Bibliography"/>
      </w:pPr>
      <w:r>
        <w:t xml:space="preserve">204.</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87"/>
    <w:bookmarkStart w:id="488" w:name="ref-ronnemaa2011"/>
    <w:p>
      <w:pPr>
        <w:pStyle w:val="Bibliography"/>
      </w:pPr>
      <w:r>
        <w:t xml:space="preserve">205.</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488"/>
    <w:bookmarkStart w:id="489" w:name="ref-schilling2017a"/>
    <w:p>
      <w:pPr>
        <w:pStyle w:val="Bibliography"/>
      </w:pPr>
      <w:r>
        <w:t xml:space="preserve">206.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489"/>
    <w:bookmarkStart w:id="490" w:name="ref-smeeth2009a"/>
    <w:p>
      <w:pPr>
        <w:pStyle w:val="Bibliography"/>
      </w:pPr>
      <w:r>
        <w:t xml:space="preserve">207.</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90"/>
    <w:bookmarkStart w:id="492" w:name="ref-so2017"/>
    <w:p>
      <w:pPr>
        <w:pStyle w:val="Bibliography"/>
      </w:pPr>
      <w:r>
        <w:t xml:space="preserve">208.</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491">
        <w:r>
          <w:rPr>
            <w:rStyle w:val="Hyperlink"/>
          </w:rPr>
          <w:t xml:space="preserve">10.1101/170241</w:t>
        </w:r>
      </w:hyperlink>
    </w:p>
    <w:bookmarkEnd w:id="492"/>
    <w:bookmarkStart w:id="493" w:name="ref-solomon2007"/>
    <w:p>
      <w:pPr>
        <w:pStyle w:val="Bibliography"/>
      </w:pPr>
      <w:r>
        <w:t xml:space="preserve">209.</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493"/>
    <w:bookmarkStart w:id="494" w:name="ref-solomon2009a"/>
    <w:p>
      <w:pPr>
        <w:pStyle w:val="Bibliography"/>
      </w:pPr>
      <w:r>
        <w:t xml:space="preserve">210.</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494"/>
    <w:bookmarkStart w:id="495" w:name="ref-solomon2010"/>
    <w:p>
      <w:pPr>
        <w:pStyle w:val="Bibliography"/>
      </w:pPr>
      <w:r>
        <w:t xml:space="preserve">211.</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495"/>
    <w:bookmarkStart w:id="496" w:name="ref-sparks2008"/>
    <w:p>
      <w:pPr>
        <w:pStyle w:val="Bibliography"/>
      </w:pPr>
      <w:r>
        <w:t xml:space="preserve">212.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496"/>
    <w:bookmarkStart w:id="497" w:name="ref-strand2013"/>
    <w:p>
      <w:pPr>
        <w:pStyle w:val="Bibliography"/>
      </w:pPr>
      <w:r>
        <w:t xml:space="preserve">213.</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497"/>
    <w:bookmarkStart w:id="498" w:name="ref-su2017"/>
    <w:p>
      <w:pPr>
        <w:pStyle w:val="Bibliography"/>
      </w:pPr>
      <w:r>
        <w:t xml:space="preserve">214.</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498"/>
    <w:bookmarkStart w:id="499" w:name="ref-svensson2019"/>
    <w:p>
      <w:pPr>
        <w:pStyle w:val="Bibliography"/>
      </w:pPr>
      <w:r>
        <w:t xml:space="preserve">215.</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499"/>
    <w:bookmarkStart w:id="500" w:name="ref-szwast2007"/>
    <w:p>
      <w:pPr>
        <w:pStyle w:val="Bibliography"/>
      </w:pPr>
      <w:r>
        <w:t xml:space="preserve">216.</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00"/>
    <w:bookmarkStart w:id="501" w:name="ref-tynkkynen2016"/>
    <w:p>
      <w:pPr>
        <w:pStyle w:val="Bibliography"/>
      </w:pPr>
      <w:r>
        <w:t xml:space="preserve">217.</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01"/>
    <w:bookmarkStart w:id="502" w:name="ref-tynkkynen2018"/>
    <w:p>
      <w:pPr>
        <w:pStyle w:val="Bibliography"/>
      </w:pPr>
      <w:r>
        <w:t xml:space="preserve">218.</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w:t>
      </w:r>
      <w:r>
        <w:t xml:space="preserve"> </w:t>
      </w:r>
      <w:r>
        <w:t xml:space="preserve">A</w:t>
      </w:r>
      <w:r>
        <w:t xml:space="preserve"> </w:t>
      </w:r>
      <w:r>
        <w:t xml:space="preserve">prospective study in eight cohorts.</w:t>
      </w:r>
      <w:r>
        <w:t xml:space="preserve"> </w:t>
      </w:r>
      <w:r>
        <w:rPr>
          <w:iCs/>
          <w:i/>
        </w:rPr>
        <w:t xml:space="preserve">Alzheimer’s &amp; Dementia</w:t>
      </w:r>
      <w:r>
        <w:t xml:space="preserve"> </w:t>
      </w:r>
      <w:r>
        <w:rPr>
          <w:bCs/>
          <w:b/>
        </w:rPr>
        <w:t xml:space="preserve">14</w:t>
      </w:r>
      <w:r>
        <w:t xml:space="preserve">, 723–733 (2018).</w:t>
      </w:r>
    </w:p>
    <w:bookmarkEnd w:id="502"/>
    <w:bookmarkStart w:id="503" w:name="ref-wang2012"/>
    <w:p>
      <w:pPr>
        <w:pStyle w:val="Bibliography"/>
      </w:pPr>
      <w:r>
        <w:t xml:space="preserve">219.</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03"/>
    <w:bookmarkStart w:id="504" w:name="ref-whitmer2005a"/>
    <w:p>
      <w:pPr>
        <w:pStyle w:val="Bibliography"/>
      </w:pPr>
      <w:r>
        <w:t xml:space="preserve">220.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04"/>
    <w:bookmarkStart w:id="505" w:name="ref-yamada2009b"/>
    <w:p>
      <w:pPr>
        <w:pStyle w:val="Bibliography"/>
      </w:pPr>
      <w:r>
        <w:t xml:space="preserve">221.</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05"/>
    <w:bookmarkStart w:id="506" w:name="ref-yang2015"/>
    <w:p>
      <w:pPr>
        <w:pStyle w:val="Bibliography"/>
      </w:pPr>
      <w:r>
        <w:t xml:space="preserve">222.</w:t>
      </w:r>
      <w:r>
        <w:t xml:space="preserve"> </w:t>
      </w:r>
      <w:r>
        <w:t xml:space="preserve">	</w:t>
      </w:r>
      <w:r>
        <w:t xml:space="preserve">Yang, Y. H.</w:t>
      </w:r>
      <w:r>
        <w:t xml:space="preserve"> </w:t>
      </w:r>
      <w:r>
        <w:rPr>
          <w:iCs/>
          <w:i/>
        </w:rPr>
        <w:t xml:space="preserve">et al.</w:t>
      </w:r>
      <w:r>
        <w:t xml:space="preserve"> Statins reduces the risk of dementia in patients with late-onset depression:</w:t>
      </w:r>
      <w:r>
        <w:t xml:space="preserve"> </w:t>
      </w:r>
      <w:r>
        <w:t xml:space="preserve">A</w:t>
      </w:r>
      <w:r>
        <w:t xml:space="preserve"> </w:t>
      </w:r>
      <w:r>
        <w:t xml:space="preserve">retrospective cohort study.</w:t>
      </w:r>
      <w:r>
        <w:t xml:space="preserve"> </w:t>
      </w:r>
      <w:r>
        <w:rPr>
          <w:iCs/>
          <w:i/>
        </w:rPr>
        <w:t xml:space="preserve">PLoS ONE [Electronic Resource]</w:t>
      </w:r>
      <w:r>
        <w:t xml:space="preserve"> </w:t>
      </w:r>
      <w:r>
        <w:rPr>
          <w:bCs/>
          <w:b/>
        </w:rPr>
        <w:t xml:space="preserve">10</w:t>
      </w:r>
      <w:r>
        <w:t xml:space="preserve">, e0137914 (2015).</w:t>
      </w:r>
    </w:p>
    <w:bookmarkEnd w:id="506"/>
    <w:bookmarkStart w:id="507" w:name="ref-yoshitake1995"/>
    <w:p>
      <w:pPr>
        <w:pStyle w:val="Bibliography"/>
      </w:pPr>
      <w:r>
        <w:t xml:space="preserve">223.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07"/>
    <w:bookmarkStart w:id="508" w:name="ref-zamrini2004"/>
    <w:p>
      <w:pPr>
        <w:pStyle w:val="Bibliography"/>
      </w:pPr>
      <w:r>
        <w:t xml:space="preserve">224.</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08"/>
    <w:bookmarkStart w:id="509" w:name="ref-zandi2005"/>
    <w:p>
      <w:pPr>
        <w:pStyle w:val="Bibliography"/>
      </w:pPr>
      <w:r>
        <w:t xml:space="preserve">225.</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w:t>
      </w:r>
      <w:r>
        <w:t xml:space="preserve"> </w:t>
      </w:r>
      <w:r>
        <w:t xml:space="preserve">The 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09"/>
    <w:bookmarkStart w:id="510" w:name="ref-zhu2018a"/>
    <w:p>
      <w:pPr>
        <w:pStyle w:val="Bibliography"/>
      </w:pPr>
      <w:r>
        <w:t xml:space="preserve">226.</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10"/>
    <w:bookmarkStart w:id="511" w:name="ref-zimetbaum1992"/>
    <w:p>
      <w:pPr>
        <w:pStyle w:val="Bibliography"/>
      </w:pPr>
      <w:r>
        <w:t xml:space="preserve">227.</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11"/>
    <w:bookmarkStart w:id="513" w:name="ref-zhu2017"/>
    <w:p>
      <w:pPr>
        <w:pStyle w:val="Bibliography"/>
      </w:pPr>
      <w:r>
        <w:t xml:space="preserve">228.</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12">
        <w:r>
          <w:rPr>
            <w:rStyle w:val="Hyperlink"/>
          </w:rPr>
          <w:t xml:space="preserve">10.1101/168674</w:t>
        </w:r>
      </w:hyperlink>
    </w:p>
    <w:bookmarkEnd w:id="513"/>
    <w:bookmarkStart w:id="514" w:name="ref-zhu2018"/>
    <w:p>
      <w:pPr>
        <w:pStyle w:val="Bibliography"/>
      </w:pPr>
      <w:r>
        <w:t xml:space="preserve">229.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14"/>
    <w:bookmarkStart w:id="516" w:name="ref-andrews2019"/>
    <w:p>
      <w:pPr>
        <w:pStyle w:val="Bibliography"/>
      </w:pPr>
      <w:r>
        <w:t xml:space="preserve">230.</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w:t>
      </w:r>
      <w:r>
        <w:t xml:space="preserve"> </w:t>
      </w:r>
      <w:r>
        <w:t xml:space="preserve">A Mendelian</w:t>
      </w:r>
      <w:r>
        <w:t xml:space="preserve"> </w:t>
      </w:r>
      <w:r>
        <w:t xml:space="preserve">randomization study. 689752 (2019). doi:</w:t>
      </w:r>
      <w:hyperlink r:id="rId515">
        <w:r>
          <w:rPr>
            <w:rStyle w:val="Hyperlink"/>
          </w:rPr>
          <w:t xml:space="preserve">10.1101/689752</w:t>
        </w:r>
      </w:hyperlink>
    </w:p>
    <w:bookmarkEnd w:id="516"/>
    <w:bookmarkStart w:id="517" w:name="ref-shepherd2002a"/>
    <w:p>
      <w:pPr>
        <w:pStyle w:val="Bibliography"/>
      </w:pPr>
      <w:r>
        <w:t xml:space="preserve">231.</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17"/>
    <w:bookmarkStart w:id="519" w:name="ref-mcguinness2016"/>
    <w:p>
      <w:pPr>
        <w:pStyle w:val="Bibliography"/>
      </w:pPr>
      <w:r>
        <w:t xml:space="preserve">232.</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18">
        <w:r>
          <w:rPr>
            <w:rStyle w:val="Hyperlink"/>
          </w:rPr>
          <w:t xml:space="preserve">10.1002/14651858.CD003160.pub3</w:t>
        </w:r>
      </w:hyperlink>
    </w:p>
    <w:bookmarkEnd w:id="519"/>
    <w:bookmarkStart w:id="520" w:name="ref-yamada2009"/>
    <w:p>
      <w:pPr>
        <w:pStyle w:val="Bibliography"/>
      </w:pPr>
      <w:r>
        <w:t xml:space="preserve">233.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20"/>
    <w:bookmarkStart w:id="521" w:name="ref-yamada2009a"/>
    <w:p>
      <w:pPr>
        <w:pStyle w:val="Bibliography"/>
      </w:pPr>
      <w:r>
        <w:t xml:space="preserve">234.</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521"/>
    <w:bookmarkStart w:id="522" w:name="ref-yang2020"/>
    <w:p>
      <w:pPr>
        <w:pStyle w:val="Bibliography"/>
      </w:pPr>
      <w:r>
        <w:t xml:space="preserve">235.</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522"/>
    <w:bookmarkStart w:id="524" w:name="ref-muangpaisan2010"/>
    <w:p>
      <w:pPr>
        <w:pStyle w:val="Bibliography"/>
      </w:pPr>
      <w:r>
        <w:t xml:space="preserve">236.</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23">
        <w:r>
          <w:rPr>
            <w:rStyle w:val="Hyperlink"/>
          </w:rPr>
          <w:t xml:space="preserve">10.1111/j.1447-0594.2009.00579.x</w:t>
        </w:r>
      </w:hyperlink>
    </w:p>
    <w:bookmarkEnd w:id="524"/>
    <w:bookmarkStart w:id="525" w:name="ref-poly2020"/>
    <w:p>
      <w:pPr>
        <w:pStyle w:val="Bibliography"/>
      </w:pPr>
      <w:r>
        <w:t xml:space="preserve">237.</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25"/>
    <w:bookmarkStart w:id="526" w:name="ref-kuzma2018a"/>
    <w:p>
      <w:pPr>
        <w:pStyle w:val="Bibliography"/>
      </w:pPr>
      <w:r>
        <w:t xml:space="preserve">238.</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26"/>
    <w:bookmarkStart w:id="527" w:name="ref-aromataris2015"/>
    <w:p>
      <w:pPr>
        <w:pStyle w:val="Bibliography"/>
      </w:pPr>
      <w:r>
        <w:t xml:space="preserve">239.</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27"/>
    <w:bookmarkStart w:id="528" w:name="ref-smith2011"/>
    <w:p>
      <w:pPr>
        <w:pStyle w:val="Bibliography"/>
      </w:pPr>
      <w:r>
        <w:t xml:space="preserve">240.</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28"/>
    <w:bookmarkStart w:id="529" w:name="ref-sohani2015"/>
    <w:p>
      <w:pPr>
        <w:pStyle w:val="Bibliography"/>
      </w:pPr>
      <w:r>
        <w:t xml:space="preserve">241.</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29"/>
    <w:bookmarkStart w:id="530" w:name="ref-larsson2017b"/>
    <w:p>
      <w:pPr>
        <w:pStyle w:val="Bibliography"/>
      </w:pPr>
      <w:r>
        <w:t xml:space="preserve">242.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30"/>
    <w:bookmarkStart w:id="531" w:name="ref-waffenschmidt2020"/>
    <w:p>
      <w:pPr>
        <w:pStyle w:val="Bibliography"/>
      </w:pPr>
      <w:r>
        <w:t xml:space="preserve">243.</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31"/>
    <w:bookmarkStart w:id="532" w:name="ref-wagner2020"/>
    <w:p>
      <w:pPr>
        <w:pStyle w:val="Bibliography"/>
      </w:pPr>
      <w:r>
        <w:t xml:space="preserve">244.</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32"/>
    <w:bookmarkStart w:id="533" w:name="ref-benn2017a"/>
    <w:p>
      <w:pPr>
        <w:pStyle w:val="Bibliography"/>
      </w:pPr>
      <w:r>
        <w:t xml:space="preserve">245.</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533"/>
    <w:bookmarkStart w:id="534" w:name="ref-danko2019"/>
    <w:p>
      <w:pPr>
        <w:pStyle w:val="Bibliography"/>
      </w:pPr>
      <w:r>
        <w:t xml:space="preserve">246.</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534"/>
    <w:bookmarkStart w:id="535" w:name="ref-meursingereynders2019"/>
    <w:p>
      <w:pPr>
        <w:pStyle w:val="Bibliography"/>
      </w:pPr>
      <w:r>
        <w:t xml:space="preserve">247.</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35"/>
    <w:bookmarkStart w:id="536" w:name="ref-cooper2019"/>
    <w:p>
      <w:pPr>
        <w:pStyle w:val="Bibliography"/>
      </w:pPr>
      <w:r>
        <w:t xml:space="preserve">248.</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36"/>
    <w:bookmarkStart w:id="537" w:name="ref-hennessy2021"/>
    <w:p>
      <w:pPr>
        <w:pStyle w:val="Bibliography"/>
      </w:pPr>
      <w:r>
        <w:t xml:space="preserve">249.</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537"/>
    <w:bookmarkStart w:id="538" w:name="ref-hsieh2019"/>
    <w:p>
      <w:pPr>
        <w:pStyle w:val="Bibliography"/>
      </w:pPr>
      <w:r>
        <w:t xml:space="preserve">250.</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38"/>
    <w:bookmarkStart w:id="539" w:name="ref-mcguinness2019validity"/>
    <w:p>
      <w:pPr>
        <w:pStyle w:val="Bibliography"/>
      </w:pPr>
      <w:r>
        <w:t xml:space="preserve">251.</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539"/>
    <w:bookmarkStart w:id="540" w:name="ref-wilkinson2018"/>
    <w:p>
      <w:pPr>
        <w:pStyle w:val="Bibliography"/>
      </w:pPr>
      <w:r>
        <w:t xml:space="preserve">252.</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540"/>
    <w:bookmarkStart w:id="541" w:name="ref-jeyaraman2020"/>
    <w:p>
      <w:pPr>
        <w:pStyle w:val="Bibliography"/>
      </w:pPr>
      <w:r>
        <w:t xml:space="preserve">253.</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41"/>
    <w:bookmarkStart w:id="542" w:name="ref-walker2016"/>
    <w:p>
      <w:pPr>
        <w:pStyle w:val="Bibliography"/>
      </w:pPr>
      <w:r>
        <w:t xml:space="preserve">254.</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542"/>
    <w:bookmarkStart w:id="543" w:name="ref-vonelm2008"/>
    <w:p>
      <w:pPr>
        <w:pStyle w:val="Bibliography"/>
      </w:pPr>
      <w:r>
        <w:t xml:space="preserve">255.</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543"/>
    <w:bookmarkStart w:id="544" w:name="ref-herrett2015"/>
    <w:p>
      <w:pPr>
        <w:pStyle w:val="Bibliography"/>
      </w:pPr>
      <w:r>
        <w:t xml:space="preserve">256.</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544"/>
    <w:bookmarkStart w:id="545" w:name="ref-williams2012"/>
    <w:p>
      <w:pPr>
        <w:pStyle w:val="Bibliography"/>
      </w:pPr>
      <w:r>
        <w:t xml:space="preserve">257.</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545"/>
    <w:bookmarkStart w:id="546" w:name="ref-wood2001revitalizing"/>
    <w:p>
      <w:pPr>
        <w:pStyle w:val="Bibliography"/>
      </w:pPr>
      <w:r>
        <w:t xml:space="preserve">258.</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546"/>
    <w:bookmarkStart w:id="547" w:name="ref-mathur2014"/>
    <w:p>
      <w:pPr>
        <w:pStyle w:val="Bibliography"/>
      </w:pPr>
      <w:r>
        <w:t xml:space="preserve">259.</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547"/>
    <w:bookmarkStart w:id="548" w:name="ref-booth1994"/>
    <w:p>
      <w:pPr>
        <w:pStyle w:val="Bibliography"/>
      </w:pPr>
      <w:r>
        <w:t xml:space="preserve">260.</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548"/>
    <w:bookmarkStart w:id="549" w:name="ref-wolf2019"/>
    <w:p>
      <w:pPr>
        <w:pStyle w:val="Bibliography"/>
      </w:pPr>
      <w:r>
        <w:t xml:space="preserve">261.</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549"/>
    <w:bookmarkStart w:id="550" w:name="ref-wishart2017"/>
    <w:p>
      <w:pPr>
        <w:pStyle w:val="Bibliography"/>
      </w:pPr>
      <w:r>
        <w:t xml:space="preserve">262.</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550"/>
    <w:bookmarkStart w:id="551" w:name="ref-charlson1987new"/>
    <w:p>
      <w:pPr>
        <w:pStyle w:val="Bibliography"/>
      </w:pPr>
      <w:r>
        <w:t xml:space="preserve">263.</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551"/>
    <w:bookmarkStart w:id="552" w:name="ref-wells2013strategies"/>
    <w:p>
      <w:pPr>
        <w:pStyle w:val="Bibliography"/>
      </w:pPr>
      <w:r>
        <w:t xml:space="preserve">264.</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552"/>
    <w:bookmarkStart w:id="553" w:name="ref-sterne2009"/>
    <w:p>
      <w:pPr>
        <w:pStyle w:val="Bibliography"/>
      </w:pPr>
      <w:r>
        <w:t xml:space="preserve">265.</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553"/>
    <w:bookmarkStart w:id="554" w:name="ref-moons2006using"/>
    <w:p>
      <w:pPr>
        <w:pStyle w:val="Bibliography"/>
      </w:pPr>
      <w:r>
        <w:t xml:space="preserve">266.</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554"/>
    <w:bookmarkStart w:id="555" w:name="ref-pigott2001review"/>
    <w:p>
      <w:pPr>
        <w:pStyle w:val="Bibliography"/>
      </w:pPr>
      <w:r>
        <w:t xml:space="preserve">267.</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555"/>
    <w:bookmarkStart w:id="556" w:name="ref-hughes2019"/>
    <w:p>
      <w:pPr>
        <w:pStyle w:val="Bibliography"/>
      </w:pPr>
      <w:r>
        <w:t xml:space="preserve">268.</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556"/>
    <w:bookmarkStart w:id="557" w:name="ref-levesque2010"/>
    <w:p>
      <w:pPr>
        <w:pStyle w:val="Bibliography"/>
      </w:pPr>
      <w:r>
        <w:t xml:space="preserve">269.</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557"/>
    <w:bookmarkStart w:id="558" w:name="ref-lamarca1998"/>
    <w:p>
      <w:pPr>
        <w:pStyle w:val="Bibliography"/>
      </w:pPr>
      <w:r>
        <w:t xml:space="preserve">270.</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558"/>
    <w:bookmarkStart w:id="559" w:name="ref-gail2009"/>
    <w:p>
      <w:pPr>
        <w:pStyle w:val="Bibliography"/>
      </w:pPr>
      <w:r>
        <w:t xml:space="preserve">271.</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559"/>
    <w:bookmarkStart w:id="560" w:name="ref-pencina2007"/>
    <w:p>
      <w:pPr>
        <w:pStyle w:val="Bibliography"/>
      </w:pPr>
      <w:r>
        <w:t xml:space="preserve">272.</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560"/>
    <w:bookmarkStart w:id="561" w:name="ref-lipsitch2010"/>
    <w:p>
      <w:pPr>
        <w:pStyle w:val="Bibliography"/>
      </w:pPr>
      <w:r>
        <w:t xml:space="preserve">273.</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561"/>
    <w:bookmarkStart w:id="562" w:name="ref-selva-ocallaghan2018"/>
    <w:p>
      <w:pPr>
        <w:pStyle w:val="Bibliography"/>
      </w:pPr>
      <w:r>
        <w:t xml:space="preserve">274.</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562"/>
    <w:bookmarkStart w:id="563" w:name="ref-herrett2021"/>
    <w:p>
      <w:pPr>
        <w:pStyle w:val="Bibliography"/>
      </w:pPr>
      <w:r>
        <w:t xml:space="preserve">275.</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563"/>
    <w:bookmarkStart w:id="564" w:name="ref-karalis2016"/>
    <w:p>
      <w:pPr>
        <w:pStyle w:val="Bibliography"/>
      </w:pPr>
      <w:r>
        <w:t xml:space="preserve">276.</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564"/>
    <w:bookmarkStart w:id="565" w:name="ref-smeeth2009"/>
    <w:p>
      <w:pPr>
        <w:pStyle w:val="Bibliography"/>
      </w:pPr>
      <w:r>
        <w:t xml:space="preserve">277.</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65"/>
    <w:bookmarkStart w:id="566" w:name="ref-salas1999"/>
    <w:p>
      <w:pPr>
        <w:pStyle w:val="Bibliography"/>
      </w:pPr>
      <w:r>
        <w:t xml:space="preserve">278.</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566"/>
    <w:bookmarkStart w:id="567" w:name="ref-suttorp2015"/>
    <w:p>
      <w:pPr>
        <w:pStyle w:val="Bibliography"/>
      </w:pPr>
      <w:r>
        <w:t xml:space="preserve">279.</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567"/>
    <w:bookmarkStart w:id="568" w:name="ref-danaei2013b"/>
    <w:p>
      <w:pPr>
        <w:pStyle w:val="Bibliography"/>
      </w:pPr>
      <w:r>
        <w:t xml:space="preserve">280.</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568"/>
    <w:bookmarkStart w:id="570" w:name="ref-korologou-linden2020"/>
    <w:p>
      <w:pPr>
        <w:pStyle w:val="Bibliography"/>
      </w:pPr>
      <w:r>
        <w:t xml:space="preserve">281.</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569">
        <w:r>
          <w:rPr>
            <w:rStyle w:val="Hyperlink"/>
          </w:rPr>
          <w:t xml:space="preserve">10.1101/2019.12.18.19013847</w:t>
        </w:r>
      </w:hyperlink>
    </w:p>
    <w:bookmarkEnd w:id="570"/>
    <w:bookmarkStart w:id="571" w:name="ref-porta2014dictionary"/>
    <w:p>
      <w:pPr>
        <w:pStyle w:val="Bibliography"/>
      </w:pPr>
      <w:r>
        <w:t xml:space="preserve">282.</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571"/>
    <w:bookmarkStart w:id="572" w:name="ref-goldacre2019c"/>
    <w:p>
      <w:pPr>
        <w:pStyle w:val="Bibliography"/>
      </w:pPr>
      <w:r>
        <w:t xml:space="preserve">283.</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572"/>
    <w:bookmarkStart w:id="573" w:name="ref-vandenbroucke2007"/>
    <w:p>
      <w:pPr>
        <w:pStyle w:val="Bibliography"/>
      </w:pPr>
      <w:r>
        <w:t xml:space="preserve">284.</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573"/>
    <w:bookmarkStart w:id="574" w:name="ref-abo-zaid2013"/>
    <w:p>
      <w:pPr>
        <w:pStyle w:val="Bibliography"/>
      </w:pPr>
      <w:r>
        <w:t xml:space="preserve">285.</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574"/>
    <w:bookmarkStart w:id="575" w:name="ref-wang2017"/>
    <w:p>
      <w:pPr>
        <w:pStyle w:val="Bibliography"/>
      </w:pPr>
      <w:r>
        <w:t xml:space="preserve">286.</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575"/>
    <w:bookmarkStart w:id="577" w:name="ref-mcguinness2020DAScomparison"/>
    <w:p>
      <w:pPr>
        <w:pStyle w:val="Bibliography"/>
      </w:pPr>
      <w:r>
        <w:t xml:space="preserve">287.</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76">
        <w:r>
          <w:rPr>
            <w:rStyle w:val="Hyperlink"/>
          </w:rPr>
          <w:t xml:space="preserve">10.31222/osf.io/p75xe</w:t>
        </w:r>
      </w:hyperlink>
    </w:p>
    <w:bookmarkEnd w:id="577"/>
    <w:bookmarkStart w:id="578" w:name="ref-riboli1997"/>
    <w:p>
      <w:pPr>
        <w:pStyle w:val="Bibliography"/>
      </w:pPr>
      <w:r>
        <w:t xml:space="preserve">288.</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578"/>
    <w:bookmarkStart w:id="579" w:name="ref-riboli2002"/>
    <w:p>
      <w:pPr>
        <w:pStyle w:val="Bibliography"/>
      </w:pPr>
      <w:r>
        <w:t xml:space="preserve">289.</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579"/>
    <w:bookmarkStart w:id="580" w:name="ref-levis2021"/>
    <w:p>
      <w:pPr>
        <w:pStyle w:val="Bibliography"/>
      </w:pPr>
      <w:r>
        <w:t xml:space="preserve">290.</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580"/>
    <w:bookmarkStart w:id="581" w:name="ref-jaspers2014"/>
    <w:p>
      <w:pPr>
        <w:pStyle w:val="Bibliography"/>
      </w:pPr>
      <w:r>
        <w:t xml:space="preserve">291.</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581"/>
    <w:bookmarkStart w:id="582" w:name="ref-krawczyk2012"/>
    <w:p>
      <w:pPr>
        <w:pStyle w:val="Bibliography"/>
      </w:pPr>
      <w:r>
        <w:t xml:space="preserve">292.</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w:t>
      </w:r>
      <w:r>
        <w:t xml:space="preserve"> </w:t>
      </w:r>
      <w:r>
        <w:t xml:space="preserve">Field 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582"/>
    <w:bookmarkStart w:id="583" w:name="ref-miyakawa2020"/>
    <w:p>
      <w:pPr>
        <w:pStyle w:val="Bibliography"/>
      </w:pPr>
      <w:r>
        <w:t xml:space="preserve">293.</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583"/>
    <w:bookmarkStart w:id="585" w:name="ref-naudet2018"/>
    <w:p>
      <w:pPr>
        <w:pStyle w:val="Bibliography"/>
      </w:pPr>
      <w:r>
        <w:t xml:space="preserve">294.</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584">
        <w:r>
          <w:rPr>
            <w:rStyle w:val="Hyperlink"/>
          </w:rPr>
          <w:t xml:space="preserve">10.1136/bmj.k400</w:t>
        </w:r>
      </w:hyperlink>
    </w:p>
    <w:bookmarkEnd w:id="585"/>
    <w:bookmarkStart w:id="586" w:name="ref-godolphin2019a"/>
    <w:p>
      <w:pPr>
        <w:pStyle w:val="Bibliography"/>
      </w:pPr>
      <w:r>
        <w:t xml:space="preserve">295.</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586"/>
    <w:bookmarkStart w:id="587" w:name="ref-higgins2008a"/>
    <w:p>
      <w:pPr>
        <w:pStyle w:val="Bibliography"/>
      </w:pPr>
      <w:r>
        <w:t xml:space="preserve">296.</w:t>
      </w:r>
      <w:r>
        <w:t xml:space="preserve"> </w:t>
      </w:r>
      <w:r>
        <w:t xml:space="preserve">	</w:t>
      </w:r>
      <w:r>
        <w:t xml:space="preserve">Higgins, J. P. T., White, I. R. &amp; Anzures-Cabrera, J. Meta-analysis of skewed data:</w:t>
      </w:r>
      <w:r>
        <w:t xml:space="preserve"> </w:t>
      </w:r>
      <w:r>
        <w:t xml:space="preserve">Combining</w:t>
      </w:r>
      <w:r>
        <w:t xml:space="preserve"> </w:t>
      </w:r>
      <w:r>
        <w:t xml:space="preserve">results reported on log-transformed or raw scales.</w:t>
      </w:r>
      <w:r>
        <w:t xml:space="preserve"> </w:t>
      </w:r>
      <w:r>
        <w:rPr>
          <w:iCs/>
          <w:i/>
        </w:rPr>
        <w:t xml:space="preserve">Statistics in Medicine</w:t>
      </w:r>
      <w:r>
        <w:t xml:space="preserve"> </w:t>
      </w:r>
      <w:r>
        <w:rPr>
          <w:bCs/>
          <w:b/>
        </w:rPr>
        <w:t xml:space="preserve">27</w:t>
      </w:r>
      <w:r>
        <w:t xml:space="preserve">, 6072–6092 (2008).</w:t>
      </w:r>
    </w:p>
    <w:bookmarkEnd w:id="587"/>
    <w:bookmarkStart w:id="588" w:name="ref-yusuf1984"/>
    <w:p>
      <w:pPr>
        <w:pStyle w:val="Bibliography"/>
      </w:pPr>
      <w:r>
        <w:t xml:space="preserve">297.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588"/>
    <w:bookmarkStart w:id="589" w:name="ref-wilson2014"/>
    <w:p>
      <w:pPr>
        <w:pStyle w:val="Bibliography"/>
      </w:pPr>
      <w:r>
        <w:t xml:space="preserve">298.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589"/>
    <w:bookmarkStart w:id="590" w:name="ref-wilson2017"/>
    <w:p>
      <w:pPr>
        <w:pStyle w:val="Bibliography"/>
      </w:pPr>
      <w:r>
        <w:t xml:space="preserve">299.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590"/>
    <w:bookmarkStart w:id="591" w:name="ref-simillis2020"/>
    <w:p>
      <w:pPr>
        <w:pStyle w:val="Bibliography"/>
      </w:pPr>
      <w:r>
        <w:t xml:space="preserve">300.</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591"/>
    <w:bookmarkStart w:id="592" w:name="ref-tanneru2020"/>
    <w:p>
      <w:pPr>
        <w:pStyle w:val="Bibliography"/>
      </w:pPr>
      <w:r>
        <w:t xml:space="preserve">301.</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592"/>
    <w:bookmarkEnd w:id="593"/>
    <w:bookmarkEnd w:id="594"/>
    <w:bookmarkStart w:id="595" w:name="appendix"/>
    <w:p>
      <w:pPr>
        <w:pStyle w:val="Heading1"/>
      </w:pPr>
      <w:r>
        <w:t xml:space="preserve">Appendix</w:t>
      </w:r>
    </w:p>
    <w:bookmarkEnd w:id="595"/>
    <w:bookmarkStart w:id="620" w:name="chapter-appendix-heading"/>
    <w:p>
      <w:pPr>
        <w:pStyle w:val="Heading1"/>
      </w:pPr>
      <w:r>
        <w:t xml:space="preserve">By Chapter</w:t>
      </w:r>
    </w:p>
    <w:bookmarkStart w:id="598" w:name="appendix-into"/>
    <w:p>
      <w:pPr>
        <w:pStyle w:val="Heading2"/>
      </w:pPr>
      <w:r>
        <w:t xml:space="preserve">Chapter</w:t>
      </w:r>
      <w:r>
        <w:t xml:space="preserve"> </w:t>
      </w:r>
      <w:r>
        <w:t xml:space="preserve">2</w:t>
      </w:r>
    </w:p>
    <w:bookmarkStart w:id="596" w:name="appendix-publications"/>
    <w:p>
      <w:pPr>
        <w:pStyle w:val="Heading3"/>
      </w:pPr>
      <w:r>
        <w:t xml:space="preserve">Publications beyond the scope of this thesis</w:t>
      </w:r>
    </w:p>
    <w:p>
      <w:pPr>
        <w:pStyle w:val="FirstParagraph"/>
      </w:pPr>
      <w:r>
        <w:rPr>
          <w:bCs/>
          <w:b/>
        </w:rPr>
        <w:t xml:space="preserve">Peer reviewed</w:t>
      </w:r>
    </w:p>
    <w:p>
      <w:pPr>
        <w:numPr>
          <w:ilvl w:val="0"/>
          <w:numId w:val="1016"/>
        </w:numPr>
      </w:pPr>
      <w:r>
        <w:t xml:space="preserve">PRISMA main paper</w:t>
      </w:r>
    </w:p>
    <w:p>
      <w:pPr>
        <w:numPr>
          <w:ilvl w:val="0"/>
          <w:numId w:val="1016"/>
        </w:numPr>
      </w:pPr>
      <w:r>
        <w:t xml:space="preserve">PRISMA E&amp;E</w:t>
      </w:r>
    </w:p>
    <w:p>
      <w:pPr>
        <w:numPr>
          <w:ilvl w:val="0"/>
          <w:numId w:val="1016"/>
        </w:numPr>
      </w:pPr>
      <w:r>
        <w:t xml:space="preserve">PRISMA 2020 software</w:t>
      </w:r>
    </w:p>
    <w:p>
      <w:pPr>
        <w:numPr>
          <w:ilvl w:val="0"/>
          <w:numId w:val="1016"/>
        </w:numPr>
      </w:pPr>
      <w:r>
        <w:t xml:space="preserve">COVID Suicide Living Review</w:t>
      </w:r>
    </w:p>
    <w:p>
      <w:pPr>
        <w:numPr>
          <w:ilvl w:val="0"/>
          <w:numId w:val="1016"/>
        </w:numPr>
      </w:pPr>
      <w:r>
        <w:t xml:space="preserve">Data extraction tools systematic review</w:t>
      </w:r>
    </w:p>
    <w:p>
      <w:pPr>
        <w:pStyle w:val="FirstParagraph"/>
      </w:pPr>
      <w:r>
        <w:rPr>
          <w:bCs/>
          <w:b/>
        </w:rPr>
        <w:t xml:space="preserve">Under review/Preprints</w:t>
      </w:r>
    </w:p>
    <w:p>
      <w:pPr>
        <w:numPr>
          <w:ilvl w:val="0"/>
          <w:numId w:val="1017"/>
        </w:numPr>
      </w:pPr>
      <w:r>
        <w:t xml:space="preserve">MSc Paper on systematic reviews of this thesis topic</w:t>
      </w:r>
    </w:p>
    <w:bookmarkEnd w:id="596"/>
    <w:bookmarkStart w:id="597"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597"/>
    <w:bookmarkEnd w:id="598"/>
    <w:bookmarkStart w:id="600" w:name="appendix-sys-rev-tools"/>
    <w:p>
      <w:pPr>
        <w:pStyle w:val="Heading2"/>
      </w:pPr>
      <w:r>
        <w:t xml:space="preserve">Chapter</w:t>
      </w:r>
      <w:r>
        <w:t xml:space="preserve"> </w:t>
      </w:r>
      <w:r>
        <w:t xml:space="preserve">3</w:t>
      </w:r>
    </w:p>
    <w:bookmarkStart w:id="599"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599"/>
    <w:bookmarkEnd w:id="600"/>
    <w:bookmarkStart w:id="611" w:name="appendix-sys-rev"/>
    <w:p>
      <w:pPr>
        <w:pStyle w:val="Heading2"/>
      </w:pPr>
      <w:r>
        <w:t xml:space="preserve">Chapter</w:t>
      </w:r>
      <w:r>
        <w:t xml:space="preserve"> </w:t>
      </w:r>
      <w:r>
        <w:t xml:space="preserve">4</w:t>
      </w:r>
    </w:p>
    <w:bookmarkStart w:id="601" w:name="appendix-search-strategy"/>
    <w:p>
      <w:pPr>
        <w:pStyle w:val="Heading3"/>
      </w:pPr>
      <w:r>
        <w:t xml:space="preserve">Search strategy</w:t>
      </w:r>
    </w:p>
    <w:p>
      <w:pPr>
        <w:pStyle w:val="FirstParagraph"/>
      </w:pPr>
      <w:r>
        <w:t xml:space="preserve"> </w:t>
      </w:r>
    </w:p>
    <w:p>
      <w:pPr>
        <w:pStyle w:val="TableCaption"/>
      </w:pPr>
      <w:r>
        <w:t xml:space="preserve">Table 20:</w:t>
      </w:r>
      <w:r>
        <w:t xml:space="preserve"> </w:t>
      </w:r>
      <w:bookmarkStart w:id="df1a8a0d-1245-4970-998e-b147a0209f8a" w:name="tab:searchHits-table"/>
      <w:r>
        <w:t xml:space="preserve">Overview of the full Medline search strategy.</w:t>
      </w:r>
      <w:bookmarkEnd w:id="df1a8a0d-1245-4970-998e-b147a0209f8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01"/>
    <w:bookmarkStart w:id="602" w:name="appendix-wos-databases"/>
    <w:p>
      <w:pPr>
        <w:pStyle w:val="Heading3"/>
      </w:pPr>
      <w:r>
        <w:t xml:space="preserve">Web of Science Databases Searched</w:t>
      </w:r>
    </w:p>
    <w:p>
      <w:pPr>
        <w:pStyle w:val="FirstParagraph"/>
      </w:pPr>
      <w:r>
        <w:t xml:space="preserve"> </w:t>
      </w:r>
    </w:p>
    <w:p>
      <w:pPr>
        <w:pStyle w:val="TableCaption"/>
      </w:pPr>
      <w:r>
        <w:t xml:space="preserve">Table 21: Summary of Web of Science databases searched.</w:t>
      </w:r>
    </w:p>
    <w:tbl>
      <w:tblPr>
        <w:tblStyle w:val="Table"/>
        <w:tblW w:type="pct" w:w="5000.0"/>
        <w:tblLook w:firstRow="1" w:lastRow="0" w:firstColumn="0" w:lastColumn="0" w:noHBand="0" w:noVBand="0" w:val="0020"/>
        <w:tblCaption w:val="Table 21: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602"/>
    <w:bookmarkStart w:id="60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03"/>
    <w:bookmarkStart w:id="604"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9</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10</m:t>
          </m:r>
          <m:r>
            <m:rPr>
              <m:sty m:val="p"/>
            </m:rPr>
            <m:t>)</m:t>
          </m:r>
        </m:oMath>
      </m:oMathPara>
    </w:p>
    <w:bookmarkEnd w:id="604"/>
    <w:bookmarkStart w:id="605" w:name="appendix-mr-rob"/>
    <w:p>
      <w:pPr>
        <w:pStyle w:val="Heading3"/>
      </w:pPr>
      <w:r>
        <w:t xml:space="preserve">MR risk of bias tool</w:t>
      </w:r>
    </w:p>
    <w:bookmarkEnd w:id="605"/>
    <w:bookmarkStart w:id="610" w:name="lipid-fraction-forest-plots"/>
    <w:p>
      <w:pPr>
        <w:pStyle w:val="Heading3"/>
      </w:pPr>
      <w:r>
        <w:t xml:space="preserve">Forest plots for lipid fractions</w:t>
      </w:r>
    </w:p>
    <w:p>
      <w:pPr>
        <w:pStyle w:val="FirstParagraph"/>
      </w:pPr>
      <w:r>
        <w:drawing>
          <wp:inline>
            <wp:extent cx="5943600" cy="2037805"/>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06"/>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07"/>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08"/>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BodyText"/>
      </w:pPr>
      <w:r>
        <w:drawing>
          <wp:inline>
            <wp:extent cx="5943600" cy="2037805"/>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09"/>
                    <a:stretch>
                      <a:fillRect/>
                    </a:stretch>
                  </pic:blipFill>
                  <pic:spPr bwMode="auto">
                    <a:xfrm>
                      <a:off x="0" y="0"/>
                      <a:ext cx="5943600" cy="2037805"/>
                    </a:xfrm>
                    <a:prstGeom prst="rect">
                      <a:avLst/>
                    </a:prstGeom>
                    <a:noFill/>
                    <a:ln w="9525">
                      <a:noFill/>
                      <a:headEnd/>
                      <a:tailEnd/>
                    </a:ln>
                  </pic:spPr>
                </pic:pic>
              </a:graphicData>
            </a:graphic>
          </wp:inline>
        </w:drawing>
      </w:r>
      <w:r>
        <w:t xml:space="preserve"> </w:t>
      </w:r>
    </w:p>
    <w:p>
      <w:pPr>
        <w:pStyle w:val="TableCaption"/>
      </w:pPr>
      <w:r>
        <w:t xml:space="preserve">Table 22: Tool used to assess risk of bias in Mendelian randomisation studies, adapted from that developed by Mamluk et al.</w:t>
      </w:r>
      <w:hyperlink w:anchor="ref-mamluk2020">
        <w:r>
          <w:rPr>
            <w:rStyle w:val="Hyperlink"/>
            <w:vertAlign w:val="superscript"/>
          </w:rPr>
          <w:t xml:space="preserve">146</w:t>
        </w:r>
      </w:hyperlink>
    </w:p>
    <w:tbl>
      <w:tblPr>
        <w:tblStyle w:val="Table"/>
        <w:tblW w:type="pct" w:w="5000.0"/>
        <w:tblLook w:firstRow="1" w:lastRow="0" w:firstColumn="0" w:lastColumn="0" w:noHBand="0" w:noVBand="0" w:val="0020"/>
        <w:tblCaption w:val="Table 22: Tool used to assess risk of bias in Mendelian randomisation studies, adapted from that developed by Mamluk et al.146"/>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610"/>
    <w:bookmarkEnd w:id="611"/>
    <w:bookmarkStart w:id="614" w:name="appendix-cprd-analysis"/>
    <w:p>
      <w:pPr>
        <w:pStyle w:val="Heading2"/>
      </w:pPr>
      <w:r>
        <w:t xml:space="preserve">Chapter</w:t>
      </w:r>
      <w:r>
        <w:t xml:space="preserve"> </w:t>
      </w:r>
      <w:r>
        <w:t xml:space="preserve">5</w:t>
      </w:r>
    </w:p>
    <w:bookmarkStart w:id="612" w:name="appendix-cprd-amendments"/>
    <w:p>
      <w:pPr>
        <w:pStyle w:val="Heading3"/>
      </w:pPr>
      <w:r>
        <w:t xml:space="preserve">Amendments to protocol</w:t>
      </w:r>
    </w:p>
    <w:bookmarkEnd w:id="612"/>
    <w:bookmarkStart w:id="613" w:name="code-lists"/>
    <w:p>
      <w:pPr>
        <w:pStyle w:val="Heading3"/>
      </w:pPr>
      <w:r>
        <w:t xml:space="preserve">Code lists</w:t>
      </w:r>
    </w:p>
    <w:bookmarkEnd w:id="613"/>
    <w:bookmarkEnd w:id="614"/>
    <w:bookmarkStart w:id="617" w:name="appendix-ipd-analysis"/>
    <w:p>
      <w:pPr>
        <w:pStyle w:val="Heading2"/>
      </w:pPr>
      <w:r>
        <w:t xml:space="preserve">Chapter</w:t>
      </w:r>
      <w:r>
        <w:t xml:space="preserve"> </w:t>
      </w:r>
      <w:r>
        <w:t xml:space="preserve">6</w:t>
      </w:r>
    </w:p>
    <w:bookmarkStart w:id="615" w:name="section-1"/>
    <w:p>
      <w:pPr>
        <w:pStyle w:val="Heading3"/>
      </w:pPr>
      <w:r>
        <w:t xml:space="preserve">Section 1</w:t>
      </w:r>
    </w:p>
    <w:bookmarkEnd w:id="615"/>
    <w:bookmarkStart w:id="616" w:name="section-2"/>
    <w:p>
      <w:pPr>
        <w:pStyle w:val="Heading3"/>
      </w:pPr>
      <w:r>
        <w:t xml:space="preserve">Section 2</w:t>
      </w:r>
    </w:p>
    <w:bookmarkEnd w:id="616"/>
    <w:bookmarkEnd w:id="617"/>
    <w:bookmarkStart w:id="619" w:name="chapter-9"/>
    <w:p>
      <w:pPr>
        <w:pStyle w:val="Heading2"/>
      </w:pPr>
      <w:r>
        <w:t xml:space="preserve">Chapter</w:t>
      </w:r>
      <w:r>
        <w:t xml:space="preserve"> </w:t>
      </w:r>
      <w:r>
        <w:t xml:space="preserve">9</w:t>
      </w:r>
    </w:p>
    <w:bookmarkStart w:id="618" w:name="catalogue-of-failures"/>
    <w:p>
      <w:pPr>
        <w:pStyle w:val="Heading3"/>
      </w:pPr>
      <w:r>
        <w:t xml:space="preserve">Catalogue of failures</w:t>
      </w:r>
    </w:p>
    <w:p>
      <w:pPr>
        <w:pStyle w:val="FirstParagraph"/>
      </w:pPr>
      <w:r>
        <w:t xml:space="preserve">Short section detailing the things I tried to do but which did not work.</w:t>
      </w:r>
    </w:p>
    <w:bookmarkEnd w:id="618"/>
    <w:bookmarkEnd w:id="619"/>
    <w:bookmarkEnd w:id="620"/>
    <w:bookmarkStart w:id="634" w:name="other-appendix-heading"/>
    <w:p>
      <w:pPr>
        <w:pStyle w:val="Heading1"/>
      </w:pPr>
      <w:r>
        <w:t xml:space="preserve">Other Appendix</w:t>
      </w:r>
    </w:p>
    <w:bookmarkStart w:id="62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298</w:t>
        </w:r>
      </w:hyperlink>
      <w:r>
        <w:rPr>
          <w:vertAlign w:val="superscript"/>
        </w:rPr>
        <w:t xml:space="preserve">,</w:t>
      </w:r>
      <w:hyperlink w:anchor="ref-wilson2017">
        <w:r>
          <w:rPr>
            <w:rStyle w:val="Hyperlink"/>
            <w:vertAlign w:val="superscript"/>
          </w:rPr>
          <w:t xml:space="preserve">299</w:t>
        </w:r>
      </w:hyperlink>
    </w:p>
    <w:bookmarkEnd w:id="621"/>
    <w:bookmarkStart w:id="631" w:name="appendix-robvis"/>
    <w:p>
      <w:pPr>
        <w:pStyle w:val="Heading2"/>
      </w:pPr>
      <w:r>
        <w:t xml:space="preserve">Producing risk-of-bias visualisations with</w:t>
      </w:r>
      <w:r>
        <w:t xml:space="preserve"> </w:t>
      </w:r>
      <w:r>
        <w:rPr>
          <w:rStyle w:val="VerbatimChar"/>
        </w:rPr>
        <w:t xml:space="preserve">robvis</w:t>
      </w:r>
    </w:p>
    <w:bookmarkStart w:id="624"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139</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622">
        <w:r>
          <w:rPr>
            <w:rStyle w:val="Hyperlink"/>
          </w:rPr>
          <w:t xml:space="preserve">https://cran.r-project.org/package=robvis</w:t>
        </w:r>
      </w:hyperlink>
      <w:r>
        <w:t xml:space="preserve">); or access and contribute to the development version via GitHub (</w:t>
      </w:r>
      <w:hyperlink r:id="rId623">
        <w:r>
          <w:rPr>
            <w:rStyle w:val="Hyperlink"/>
          </w:rPr>
          <w:t xml:space="preserve">https://github.com/mcguinlu/robvis</w:t>
        </w:r>
      </w:hyperlink>
      <w:r>
        <w:t xml:space="preserve">).</w:t>
      </w:r>
    </w:p>
    <w:bookmarkEnd w:id="624"/>
    <w:bookmarkStart w:id="62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300</w:t>
        </w:r>
      </w:hyperlink>
      <w:r>
        <w:rPr>
          <w:vertAlign w:val="superscript"/>
        </w:rPr>
        <w:t xml:space="preserve">,</w:t>
      </w:r>
      <w:hyperlink w:anchor="ref-tanneru2020">
        <w:r>
          <w:rPr>
            <w:rStyle w:val="Hyperlink"/>
            <w:vertAlign w:val="superscript"/>
          </w:rPr>
          <w:t xml:space="preserve">301</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625"/>
    <w:bookmarkStart w:id="62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626"/>
    <w:bookmarkStart w:id="62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23</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34</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4: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62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34: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35</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5: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62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35: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23</w:t>
      </w:r>
    </w:p>
    <w:p>
      <w:pPr>
        <w:pStyle w:val="BodyText"/>
      </w:pPr>
      <w:r>
        <w:t xml:space="preserve"> </w:t>
      </w:r>
    </w:p>
    <w:p>
      <w:pPr>
        <w:pStyle w:val="TableCaption"/>
      </w:pPr>
      <w:r>
        <w:t xml:space="preserve">Table 23: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3: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629"/>
    <w:bookmarkStart w:id="63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14500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630"/>
    <w:bookmarkEnd w:id="631"/>
    <w:bookmarkStart w:id="632" w:name="creating"/>
    <w:p>
      <w:pPr>
        <w:pStyle w:val="Heading2"/>
      </w:pPr>
      <w:r>
        <w:t xml:space="preserve">Creating</w:t>
      </w:r>
    </w:p>
    <w:bookmarkEnd w:id="632"/>
    <w:bookmarkStart w:id="633" w:name="published-papers"/>
    <w:p>
      <w:pPr>
        <w:pStyle w:val="Heading2"/>
      </w:pPr>
      <w:r>
        <w:t xml:space="preserve">Copies of papers arising from this thesis</w:t>
      </w:r>
    </w:p>
    <w:bookmarkEnd w:id="633"/>
    <w:bookmarkEnd w:id="63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8" Target="media/rId178.png" /><Relationship Type="http://schemas.openxmlformats.org/officeDocument/2006/relationships/image" Id="rId162" Target="media/rId162.png" /><Relationship Type="http://schemas.openxmlformats.org/officeDocument/2006/relationships/image" Id="rId189" Target="media/rId189.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81" Target="media/rId181.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87" Target="media/rId187.png" /><Relationship Type="http://schemas.openxmlformats.org/officeDocument/2006/relationships/image" Id="rId167" Target="media/rId167.png" /><Relationship Type="http://schemas.openxmlformats.org/officeDocument/2006/relationships/image" Id="rId200" Target="media/rId200.png" /><Relationship Type="http://schemas.openxmlformats.org/officeDocument/2006/relationships/image" Id="rId170" Target="media/rId170.png" /><Relationship Type="http://schemas.openxmlformats.org/officeDocument/2006/relationships/image" Id="rId195" Target="media/rId195.png" /><Relationship Type="http://schemas.openxmlformats.org/officeDocument/2006/relationships/image" Id="rId232" Target="media/rId232.png" /><Relationship Type="http://schemas.openxmlformats.org/officeDocument/2006/relationships/image" Id="rId216" Target="media/rId216.png" /><Relationship Type="http://schemas.openxmlformats.org/officeDocument/2006/relationships/image" Id="rId75" Target="media/rId75.png" /><Relationship Type="http://schemas.openxmlformats.org/officeDocument/2006/relationships/image" Id="rId628" Target="media/rId628.png" /><Relationship Type="http://schemas.openxmlformats.org/officeDocument/2006/relationships/image" Id="rId627" Target="media/rId627.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29" Target="media/rId129.png" /><Relationship Type="http://schemas.openxmlformats.org/officeDocument/2006/relationships/image" Id="rId608" Target="media/rId608.png" /><Relationship Type="http://schemas.openxmlformats.org/officeDocument/2006/relationships/image" Id="rId607" Target="media/rId607.png" /><Relationship Type="http://schemas.openxmlformats.org/officeDocument/2006/relationships/image" Id="rId606" Target="media/rId606.png" /><Relationship Type="http://schemas.openxmlformats.org/officeDocument/2006/relationships/image" Id="rId609" Target="media/rId609.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24" Target="media/rId124.png" /><Relationship Type="http://schemas.openxmlformats.org/officeDocument/2006/relationships/image" Id="rId144" Target="media/rId144.png" /><Relationship Type="http://schemas.openxmlformats.org/officeDocument/2006/relationships/image" Id="rId131" Target="media/rId131.png" /><Relationship Type="http://schemas.openxmlformats.org/officeDocument/2006/relationships/image" Id="rId146" Target="media/rId146.png" /><Relationship Type="http://schemas.openxmlformats.org/officeDocument/2006/relationships/image" Id="rId119" Target="media/rId119.png" /><Relationship Type="http://schemas.openxmlformats.org/officeDocument/2006/relationships/image" Id="rId141" Target="media/rId141.png" /><Relationship Type="http://schemas.openxmlformats.org/officeDocument/2006/relationships/hyperlink" Id="rId62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18" Target="https://doi.org/10.1002/14651858.CD003160.pub3" TargetMode="External" /><Relationship Type="http://schemas.openxmlformats.org/officeDocument/2006/relationships/hyperlink" Id="rId34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91" Target="https://doi.org/10.1016/j.neuropharm.2020.108352" TargetMode="External" /><Relationship Type="http://schemas.openxmlformats.org/officeDocument/2006/relationships/hyperlink" Id="rId512" Target="https://doi.org/10.1101/168674" TargetMode="External" /><Relationship Type="http://schemas.openxmlformats.org/officeDocument/2006/relationships/hyperlink" Id="rId491" Target="https://doi.org/10.1101/170241" TargetMode="External" /><Relationship Type="http://schemas.openxmlformats.org/officeDocument/2006/relationships/hyperlink" Id="rId399" Target="https://doi.org/10.1101/19000265" TargetMode="External" /><Relationship Type="http://schemas.openxmlformats.org/officeDocument/2006/relationships/hyperlink" Id="rId569" Target="https://doi.org/10.1101/2019.12.18.19013847" TargetMode="External" /><Relationship Type="http://schemas.openxmlformats.org/officeDocument/2006/relationships/hyperlink" Id="rId393" Target="https://doi.org/10.1101/2020.11.23.394577" TargetMode="External" /><Relationship Type="http://schemas.openxmlformats.org/officeDocument/2006/relationships/hyperlink" Id="rId356" Target="https://doi.org/10.1101/2021.03.04.433874" TargetMode="External" /><Relationship Type="http://schemas.openxmlformats.org/officeDocument/2006/relationships/hyperlink" Id="rId515" Target="https://doi.org/10.1101/689752" TargetMode="External" /><Relationship Type="http://schemas.openxmlformats.org/officeDocument/2006/relationships/hyperlink" Id="rId377" Target="https://doi.org/10.1101/833400" TargetMode="External" /><Relationship Type="http://schemas.openxmlformats.org/officeDocument/2006/relationships/hyperlink" Id="rId523" Target="https://doi.org/10.1111/j.1447-0594.2009.00579.x" TargetMode="External" /><Relationship Type="http://schemas.openxmlformats.org/officeDocument/2006/relationships/hyperlink" Id="rId584" Target="https://doi.org/10.1136/bmj.k400" TargetMode="External" /><Relationship Type="http://schemas.openxmlformats.org/officeDocument/2006/relationships/hyperlink" Id="rId386"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05"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76" Target="https://doi.org/10.31222/osf.io/p75xe" TargetMode="External" /><Relationship Type="http://schemas.openxmlformats.org/officeDocument/2006/relationships/hyperlink" Id="rId403" Target="https://doi.org/10.3758/s13428-020-01436-x" TargetMode="External" /><Relationship Type="http://schemas.openxmlformats.org/officeDocument/2006/relationships/hyperlink" Id="rId62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21"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62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18" Target="https://doi.org/10.1002/14651858.CD003160.pub3" TargetMode="External" /><Relationship Type="http://schemas.openxmlformats.org/officeDocument/2006/relationships/hyperlink" Id="rId34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91" Target="https://doi.org/10.1016/j.neuropharm.2020.108352" TargetMode="External" /><Relationship Type="http://schemas.openxmlformats.org/officeDocument/2006/relationships/hyperlink" Id="rId512" Target="https://doi.org/10.1101/168674" TargetMode="External" /><Relationship Type="http://schemas.openxmlformats.org/officeDocument/2006/relationships/hyperlink" Id="rId491" Target="https://doi.org/10.1101/170241" TargetMode="External" /><Relationship Type="http://schemas.openxmlformats.org/officeDocument/2006/relationships/hyperlink" Id="rId399" Target="https://doi.org/10.1101/19000265" TargetMode="External" /><Relationship Type="http://schemas.openxmlformats.org/officeDocument/2006/relationships/hyperlink" Id="rId569" Target="https://doi.org/10.1101/2019.12.18.19013847" TargetMode="External" /><Relationship Type="http://schemas.openxmlformats.org/officeDocument/2006/relationships/hyperlink" Id="rId393" Target="https://doi.org/10.1101/2020.11.23.394577" TargetMode="External" /><Relationship Type="http://schemas.openxmlformats.org/officeDocument/2006/relationships/hyperlink" Id="rId356" Target="https://doi.org/10.1101/2021.03.04.433874" TargetMode="External" /><Relationship Type="http://schemas.openxmlformats.org/officeDocument/2006/relationships/hyperlink" Id="rId515" Target="https://doi.org/10.1101/689752" TargetMode="External" /><Relationship Type="http://schemas.openxmlformats.org/officeDocument/2006/relationships/hyperlink" Id="rId377" Target="https://doi.org/10.1101/833400" TargetMode="External" /><Relationship Type="http://schemas.openxmlformats.org/officeDocument/2006/relationships/hyperlink" Id="rId523" Target="https://doi.org/10.1111/j.1447-0594.2009.00579.x" TargetMode="External" /><Relationship Type="http://schemas.openxmlformats.org/officeDocument/2006/relationships/hyperlink" Id="rId584" Target="https://doi.org/10.1136/bmj.k400" TargetMode="External" /><Relationship Type="http://schemas.openxmlformats.org/officeDocument/2006/relationships/hyperlink" Id="rId386"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405"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576" Target="https://doi.org/10.31222/osf.io/p75xe" TargetMode="External" /><Relationship Type="http://schemas.openxmlformats.org/officeDocument/2006/relationships/hyperlink" Id="rId403" Target="https://doi.org/10.3758/s13428-020-01436-x" TargetMode="External" /><Relationship Type="http://schemas.openxmlformats.org/officeDocument/2006/relationships/hyperlink" Id="rId62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21"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2021-10-01T00:29:13Z</dcterms:created>
  <dcterms:modified xsi:type="dcterms:W3CDTF">2021-10-01T00:29:13Z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32829</vt:lpwstr>
  </property>
</Properties>
</file>