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1.png" ContentType="image/png"/>
  <Override PartName="/word/media/rId184.png" ContentType="image/png"/>
  <Override PartName="/word/media/rId168.png" ContentType="image/png"/>
  <Override PartName="/word/media/rId195.png" ContentType="image/png"/>
  <Override PartName="/word/media/rId189.png" ContentType="image/png"/>
  <Override PartName="/word/media/rId191.png" ContentType="image/png"/>
  <Override PartName="/word/media/rId187.png" ContentType="image/png"/>
  <Override PartName="/word/media/rId197.png" ContentType="image/png"/>
  <Override PartName="/word/media/rId199.png" ContentType="image/png"/>
  <Override PartName="/word/media/rId193.png" ContentType="image/png"/>
  <Override PartName="/word/media/rId173.png" ContentType="image/png"/>
  <Override PartName="/word/media/rId206.png" ContentType="image/png"/>
  <Override PartName="/word/media/rId176.png" ContentType="image/png"/>
  <Override PartName="/word/media/rId201.png" ContentType="image/png"/>
  <Override PartName="/word/media/rId250.png" ContentType="image/png"/>
  <Override PartName="/word/media/rId237.png" ContentType="image/png"/>
  <Override PartName="/word/media/rId69.png" ContentType="image/png"/>
  <Override PartName="/word/media/rId678.png" ContentType="image/png"/>
  <Override PartName="/word/media/rId677.png" ContentType="image/png"/>
  <Override PartName="/word/media/rId61.png" ContentType="image/png"/>
  <Override PartName="/word/media/rId115.png" ContentType="image/png"/>
  <Override PartName="/word/media/rId141.png" ContentType="image/png"/>
  <Override PartName="/word/media/rId128.png" ContentType="image/png"/>
  <Override PartName="/word/media/rId131.pdf" ContentType="application/pdf"/>
  <Override PartName="/word/media/rId124.pdf" ContentType="application/pdf"/>
  <Override PartName="/word/media/rId658.png" ContentType="image/png"/>
  <Override PartName="/word/media/rId657.png" ContentType="image/png"/>
  <Override PartName="/word/media/rId656.png" ContentType="image/png"/>
  <Override PartName="/word/media/rId659.png" ContentType="image/png"/>
  <Override PartName="/word/media/rId121.png" ContentType="image/png"/>
  <Override PartName="/word/media/rId127.png" ContentType="image/png"/>
  <Override PartName="/word/media/rId119.png" ContentType="image/png"/>
  <Override PartName="/word/media/rId135.png" ContentType="image/png"/>
  <Override PartName="/word/media/rId138.png" ContentType="image/png"/>
  <Override PartName="/word/media/rId130.png" ContentType="image/png"/>
  <Override PartName="/word/media/rId123.png" ContentType="image/png"/>
  <Override PartName="/word/media/rId137.png" ContentType="image/png"/>
  <Override PartName="/word/media/rId118.png" ContentType="image/png"/>
  <Override PartName="/word/media/rId150.png" ContentType="image/png"/>
  <Override PartName="/word/media/rId132.png" ContentType="image/png"/>
  <Override PartName="/word/media/rId152.png" ContentType="image/png"/>
  <Override PartName="/word/media/rId112.png" ContentType="image/png"/>
  <Override PartName="/word/media/rId1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34662</w:t>
      </w:r>
    </w:p>
    <w:p>
      <w:pPr>
        <w:pStyle w:val="BodyText"/>
      </w:pPr>
      <w:r>
        <w:t xml:space="preserve">Table words: 3102</w:t>
      </w:r>
    </w:p>
    <w:p>
      <w:pPr>
        <w:pStyle w:val="BodyText"/>
      </w:pPr>
      <w:r>
        <w:t xml:space="preserve">Days: 318</w:t>
      </w:r>
    </w:p>
    <w:p>
      <w:pPr>
        <w:pStyle w:val="BodyText"/>
      </w:pPr>
      <w:r>
        <w:t xml:space="preserve">Words behind: -1764</w:t>
      </w:r>
    </w:p>
    <w:p>
      <w:pPr>
        <w:pStyle w:val="BodyText"/>
      </w:pPr>
      <w:r>
        <w:t xml:space="preserve">Words today: 342</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57" w:name="background-heading"/>
    <w:p>
      <w:pPr>
        <w:pStyle w:val="Heading1"/>
      </w:pPr>
      <w:r>
        <w:t xml:space="preserve">Background, Theoretical framework, Aims &amp; Objectives</w:t>
      </w:r>
    </w:p>
    <w:p>
      <w:pPr>
        <w:pStyle w:val="FirstParagraph"/>
      </w:pPr>
    </w:p>
    <w:bookmarkStart w:id="22" w:name="lay-summary"/>
    <w:p>
      <w:pPr>
        <w:pStyle w:val="Heading2"/>
      </w:pPr>
      <w:r>
        <w:t xml:space="preserve">Lay summary</w:t>
      </w:r>
    </w:p>
    <w:p>
      <w:pPr>
        <w:pStyle w:val="FirstParagraph"/>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2"/>
    <w:bookmarkStart w:id="23"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3"/>
    <w:bookmarkStart w:id="29" w:name="dementia"/>
    <w:p>
      <w:pPr>
        <w:pStyle w:val="Heading2"/>
      </w:pPr>
      <w:r>
        <w:t xml:space="preserve">Dementia</w:t>
      </w:r>
    </w:p>
    <w:bookmarkStart w:id="24"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24"/>
    <w:bookmarkStart w:id="25"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ac93ff67-fe04-4f94-b3b2-44bce3b6d572" w:name="tab:diagnosticCriteria-table"/>
      <w:r>
        <w:t xml:space="preserve">Overview of the DSM-5 criteria for dementia and vascular dementia.[@edition2013diagnostic]</w:t>
      </w:r>
      <w:bookmarkEnd w:id="ac93ff67-fe04-4f94-b3b2-44bce3b6d57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1.3.4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25"/>
    <w:bookmarkStart w:id="26"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26"/>
    <w:bookmarkStart w:id="27"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27"/>
    <w:bookmarkStart w:id="28"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2019">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1.5</w:t>
      </w:r>
      <w:r>
        <w:t xml:space="preserve"> </w:t>
      </w:r>
      <w:r>
        <w:t xml:space="preserve">provides an overview of the existing evidence for an association between lipids and dementia outcomes.</w:t>
      </w:r>
    </w:p>
    <w:bookmarkEnd w:id="28"/>
    <w:bookmarkEnd w:id="29"/>
    <w:bookmarkStart w:id="34" w:name="serum-lipids"/>
    <w:p>
      <w:pPr>
        <w:pStyle w:val="Heading2"/>
      </w:pPr>
      <w:r>
        <w:t xml:space="preserve">Serum lipids</w:t>
      </w:r>
    </w:p>
    <w:bookmarkStart w:id="30"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BodyText"/>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p>
      <w:pPr>
        <w:pStyle w:val="BodyText"/>
      </w:pPr>
      <w:r>
        <w:t xml:space="preserve">Fraction</w:t>
      </w:r>
    </w:p>
    <w:p>
      <w:pPr>
        <w:pStyle w:val="BodyText"/>
      </w:pPr>
      <w:r>
        <w:t xml:space="preserve">Measure (mg/dL)</w:t>
      </w:r>
    </w:p>
    <w:p>
      <w:pPr>
        <w:pStyle w:val="BodyText"/>
      </w:pPr>
      <w:r>
        <w:t xml:space="preserve">Classification</w:t>
      </w:r>
    </w:p>
    <w:p>
      <w:pPr>
        <w:pStyle w:val="BodyText"/>
      </w:pPr>
      <w:r>
        <w:t xml:space="preserve">LDL cholesterol</w:t>
      </w:r>
    </w:p>
    <w:p>
      <w:pPr>
        <w:pStyle w:val="BodyText"/>
      </w:pPr>
      <w:r>
        <w:t xml:space="preserve">&lt;100</w:t>
      </w:r>
    </w:p>
    <w:p>
      <w:pPr>
        <w:pStyle w:val="BodyText"/>
      </w:pPr>
      <w:r>
        <w:t xml:space="preserve">Optimal</w:t>
      </w:r>
    </w:p>
    <w:p>
      <w:pPr>
        <w:pStyle w:val="BodyText"/>
      </w:pPr>
      <w:r>
        <w:t xml:space="preserve">LDL cholesterol</w:t>
      </w:r>
    </w:p>
    <w:p>
      <w:pPr>
        <w:pStyle w:val="BodyText"/>
      </w:pPr>
      <w:r>
        <w:t xml:space="preserve">100-129</w:t>
      </w:r>
    </w:p>
    <w:p>
      <w:pPr>
        <w:pStyle w:val="BodyText"/>
      </w:pPr>
      <w:r>
        <w:t xml:space="preserve">Near/above optimal</w:t>
      </w:r>
    </w:p>
    <w:p>
      <w:pPr>
        <w:pStyle w:val="BodyText"/>
      </w:pPr>
      <w:r>
        <w:t xml:space="preserve">LDL cholesterol</w:t>
      </w:r>
    </w:p>
    <w:p>
      <w:pPr>
        <w:pStyle w:val="BodyText"/>
      </w:pPr>
      <w:r>
        <w:t xml:space="preserve">130-159</w:t>
      </w:r>
    </w:p>
    <w:p>
      <w:pPr>
        <w:pStyle w:val="BodyText"/>
      </w:pPr>
      <w:r>
        <w:t xml:space="preserve">Borderline high</w:t>
      </w:r>
    </w:p>
    <w:p>
      <w:pPr>
        <w:pStyle w:val="BodyText"/>
      </w:pPr>
      <w:r>
        <w:t xml:space="preserve">LDL cholesterol</w:t>
      </w:r>
    </w:p>
    <w:p>
      <w:pPr>
        <w:pStyle w:val="BodyText"/>
      </w:pPr>
      <w:r>
        <w:t xml:space="preserve">160-189</w:t>
      </w:r>
    </w:p>
    <w:p>
      <w:pPr>
        <w:pStyle w:val="BodyText"/>
      </w:pPr>
      <w:r>
        <w:t xml:space="preserve">High</w:t>
      </w:r>
    </w:p>
    <w:p>
      <w:pPr>
        <w:pStyle w:val="BodyText"/>
      </w:pPr>
      <w:r>
        <w:t xml:space="preserve">LDL cholesterol</w:t>
      </w:r>
    </w:p>
    <w:p>
      <w:pPr>
        <w:pStyle w:val="BodyText"/>
      </w:pPr>
      <w:r>
        <w:t xml:space="preserve">&gt;190</w:t>
      </w:r>
    </w:p>
    <w:p>
      <w:pPr>
        <w:pStyle w:val="BodyText"/>
      </w:pPr>
      <w:r>
        <w:t xml:space="preserve">Very high</w:t>
      </w:r>
    </w:p>
    <w:p>
      <w:pPr>
        <w:pStyle w:val="BodyText"/>
      </w:pPr>
      <w:r>
        <w:t xml:space="preserve">HDL cholesterol</w:t>
      </w:r>
    </w:p>
    <w:p>
      <w:pPr>
        <w:pStyle w:val="BodyText"/>
      </w:pPr>
      <w:r>
        <w:t xml:space="preserve">&lt;40</w:t>
      </w:r>
    </w:p>
    <w:p>
      <w:pPr>
        <w:pStyle w:val="BodyText"/>
      </w:pPr>
      <w:r>
        <w:t xml:space="preserve">Low</w:t>
      </w:r>
    </w:p>
    <w:p>
      <w:pPr>
        <w:pStyle w:val="BodyText"/>
      </w:pPr>
      <w:r>
        <w:t xml:space="preserve">HDL cholesterol</w:t>
      </w:r>
    </w:p>
    <w:p>
      <w:pPr>
        <w:pStyle w:val="BodyText"/>
      </w:pPr>
      <w:r>
        <w:t xml:space="preserve">&gt;60</w:t>
      </w:r>
    </w:p>
    <w:p>
      <w:pPr>
        <w:pStyle w:val="BodyText"/>
      </w:pPr>
      <w:r>
        <w:t xml:space="preserve">High</w:t>
      </w:r>
    </w:p>
    <w:p>
      <w:pPr>
        <w:pStyle w:val="BodyText"/>
      </w:pPr>
      <w:r>
        <w:t xml:space="preserve">Triglycerides</w:t>
      </w:r>
    </w:p>
    <w:p>
      <w:pPr>
        <w:pStyle w:val="BodyText"/>
      </w:pPr>
      <w:r>
        <w:t xml:space="preserve">&lt;150</w:t>
      </w:r>
    </w:p>
    <w:p>
      <w:pPr>
        <w:pStyle w:val="BodyText"/>
      </w:pPr>
      <w:r>
        <w:t xml:space="preserve">Normal</w:t>
      </w:r>
    </w:p>
    <w:p>
      <w:pPr>
        <w:pStyle w:val="BodyText"/>
      </w:pPr>
      <w:r>
        <w:t xml:space="preserve">Triglycerides</w:t>
      </w:r>
    </w:p>
    <w:p>
      <w:pPr>
        <w:pStyle w:val="BodyText"/>
      </w:pPr>
      <w:r>
        <w:t xml:space="preserve">150-199</w:t>
      </w:r>
    </w:p>
    <w:p>
      <w:pPr>
        <w:pStyle w:val="BodyText"/>
      </w:pPr>
      <w:r>
        <w:t xml:space="preserve">Borderline high</w:t>
      </w:r>
    </w:p>
    <w:p>
      <w:pPr>
        <w:pStyle w:val="BodyText"/>
      </w:pPr>
      <w:r>
        <w:t xml:space="preserve">Triglycerides</w:t>
      </w:r>
    </w:p>
    <w:p>
      <w:pPr>
        <w:pStyle w:val="BodyText"/>
      </w:pPr>
      <w:r>
        <w:t xml:space="preserve">200-499</w:t>
      </w:r>
    </w:p>
    <w:p>
      <w:pPr>
        <w:pStyle w:val="BodyText"/>
      </w:pPr>
      <w:r>
        <w:t xml:space="preserve">High</w:t>
      </w:r>
    </w:p>
    <w:p>
      <w:pPr>
        <w:pStyle w:val="BodyText"/>
      </w:pPr>
      <w:r>
        <w:t xml:space="preserve">Triglycerides</w:t>
      </w:r>
    </w:p>
    <w:p>
      <w:pPr>
        <w:pStyle w:val="BodyText"/>
      </w:pPr>
      <w:r>
        <w:t xml:space="preserve">&gt;500</w:t>
      </w:r>
    </w:p>
    <w:p>
      <w:pPr>
        <w:pStyle w:val="BodyText"/>
      </w:pPr>
      <w:r>
        <w:t xml:space="preserve">Very high</w:t>
      </w:r>
    </w:p>
    <w:p>
      <w:pPr>
        <w:pStyle w:val="BodyText"/>
      </w:pPr>
      <w:r>
        <w:t xml:space="preserve">Total cholesterol</w:t>
      </w:r>
    </w:p>
    <w:p>
      <w:pPr>
        <w:pStyle w:val="BodyText"/>
      </w:pPr>
      <w:r>
        <w:t xml:space="preserve">&lt;200</w:t>
      </w:r>
    </w:p>
    <w:p>
      <w:pPr>
        <w:pStyle w:val="BodyText"/>
      </w:pPr>
      <w:r>
        <w:t xml:space="preserve">Desirable</w:t>
      </w:r>
    </w:p>
    <w:p>
      <w:pPr>
        <w:pStyle w:val="BodyText"/>
      </w:pPr>
      <w:r>
        <w:t xml:space="preserve">Total cholesterol</w:t>
      </w:r>
    </w:p>
    <w:p>
      <w:pPr>
        <w:pStyle w:val="BodyText"/>
      </w:pPr>
      <w:r>
        <w:t xml:space="preserve">200-239</w:t>
      </w:r>
    </w:p>
    <w:p>
      <w:pPr>
        <w:pStyle w:val="BodyText"/>
      </w:pPr>
      <w:r>
        <w:t xml:space="preserve">Borderline high</w:t>
      </w:r>
    </w:p>
    <w:p>
      <w:pPr>
        <w:pStyle w:val="BodyText"/>
      </w:pPr>
      <w:r>
        <w:t xml:space="preserve">Total cholesterol</w:t>
      </w:r>
    </w:p>
    <w:p>
      <w:pPr>
        <w:pStyle w:val="BodyText"/>
      </w:pPr>
      <w:r>
        <w:t xml:space="preserve">&gt;240</w:t>
      </w:r>
    </w:p>
    <w:p>
      <w:pPr>
        <w:pStyle w:val="BodyText"/>
      </w:pPr>
      <w:r>
        <w:t xml:space="preserve">High</w:t>
      </w:r>
    </w:p>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0"/>
    <w:bookmarkStart w:id="32"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1"/>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circualting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BodyText"/>
      </w:pPr>
      <w:r>
        <w:t xml:space="preserve">Table 3: Overview of commonly-prescribed statins, summarising their approval date (US), properties and lipid-lowering effect.</w:t>
      </w:r>
    </w:p>
    <w:p>
      <w:pPr>
        <w:pStyle w:val="BodyText"/>
      </w:pPr>
      <w:r>
        <w:t xml:space="preserve">Name</w:t>
      </w:r>
    </w:p>
    <w:p>
      <w:pPr>
        <w:pStyle w:val="BodyText"/>
      </w:pPr>
      <w:r>
        <w:t xml:space="preserve">Brand name</w:t>
      </w:r>
    </w:p>
    <w:p>
      <w:pPr>
        <w:pStyle w:val="BodyText"/>
      </w:pPr>
      <w:r>
        <w:t xml:space="preserve">Year approved</w:t>
      </w:r>
    </w:p>
    <w:p>
      <w:pPr>
        <w:pStyle w:val="BodyText"/>
      </w:pPr>
      <w:r>
        <w:t xml:space="preserve">Properties</w:t>
      </w:r>
    </w:p>
    <w:p>
      <w:pPr>
        <w:pStyle w:val="BodyText"/>
      </w:pPr>
      <w:r>
        <w:t xml:space="preserve">Lipid-lowering effect</w:t>
      </w:r>
    </w:p>
    <w:p>
      <w:pPr>
        <w:pStyle w:val="BodyText"/>
      </w:pPr>
      <w:r>
        <w:t xml:space="preserve">Atorvastatin</w:t>
      </w:r>
    </w:p>
    <w:p>
      <w:pPr>
        <w:pStyle w:val="BodyText"/>
      </w:pPr>
      <w:r>
        <w:t xml:space="preserve">Lipitor</w:t>
      </w:r>
    </w:p>
    <w:p>
      <w:pPr>
        <w:pStyle w:val="BodyText"/>
      </w:pPr>
      <w:r>
        <w:t xml:space="preserve">1996</w:t>
      </w:r>
    </w:p>
    <w:p>
      <w:pPr>
        <w:pStyle w:val="BodyText"/>
      </w:pPr>
      <w:r>
        <w:t xml:space="preserve">Lipophilic</w:t>
      </w:r>
    </w:p>
    <w:p>
      <w:pPr>
        <w:pStyle w:val="BodyText"/>
      </w:pPr>
      <w:r>
        <w:t xml:space="preserve">+++</w:t>
      </w:r>
    </w:p>
    <w:p>
      <w:pPr>
        <w:pStyle w:val="BodyText"/>
      </w:pPr>
      <w:r>
        <w:t xml:space="preserve">Pravastatin</w:t>
      </w:r>
    </w:p>
    <w:p>
      <w:pPr>
        <w:pStyle w:val="BodyText"/>
      </w:pPr>
      <w:r>
        <w:t xml:space="preserve">Lipostat</w:t>
      </w:r>
    </w:p>
    <w:p>
      <w:pPr>
        <w:pStyle w:val="BodyText"/>
      </w:pPr>
      <w:r>
        <w:t xml:space="preserve">1989</w:t>
      </w:r>
    </w:p>
    <w:p>
      <w:pPr>
        <w:pStyle w:val="BodyText"/>
      </w:pPr>
      <w:r>
        <w:t xml:space="preserve">Hydrophilic</w:t>
      </w:r>
    </w:p>
    <w:p>
      <w:pPr>
        <w:numPr>
          <w:ilvl w:val="0"/>
          <w:numId w:val="1000"/>
        </w:numPr>
        <w:pStyle w:val="Compact"/>
      </w:pPr>
      <w:r>
        <w:t xml:space="preserve">Rosuvastatin</w:t>
      </w:r>
    </w:p>
    <w:p>
      <w:pPr>
        <w:numPr>
          <w:ilvl w:val="0"/>
          <w:numId w:val="1000"/>
        </w:numPr>
        <w:pStyle w:val="Compact"/>
      </w:pPr>
      <w:r>
        <w:t xml:space="preserve">Crestor</w:t>
      </w:r>
    </w:p>
    <w:p>
      <w:pPr>
        <w:numPr>
          <w:ilvl w:val="0"/>
          <w:numId w:val="1000"/>
        </w:numPr>
        <w:pStyle w:val="Compact"/>
      </w:pPr>
      <w:r>
        <w:t xml:space="preserve">2003</w:t>
      </w:r>
    </w:p>
    <w:p>
      <w:pPr>
        <w:numPr>
          <w:ilvl w:val="0"/>
          <w:numId w:val="1000"/>
        </w:numPr>
        <w:pStyle w:val="Compact"/>
      </w:pPr>
      <w:r>
        <w:t xml:space="preserve">Hydrophilic</w:t>
      </w:r>
    </w:p>
    <w:p>
      <w:pPr>
        <w:numPr>
          <w:ilvl w:val="0"/>
          <w:numId w:val="1000"/>
        </w:numPr>
        <w:pStyle w:val="Compact"/>
      </w:pPr>
      <w:r>
        <w:t xml:space="preserve">++++</w:t>
      </w:r>
    </w:p>
    <w:p>
      <w:pPr>
        <w:numPr>
          <w:ilvl w:val="0"/>
          <w:numId w:val="1000"/>
        </w:numPr>
        <w:pStyle w:val="Compact"/>
      </w:pPr>
      <w:r>
        <w:t xml:space="preserve">Simvastatin</w:t>
      </w:r>
    </w:p>
    <w:p>
      <w:pPr>
        <w:numPr>
          <w:ilvl w:val="0"/>
          <w:numId w:val="1000"/>
        </w:numPr>
        <w:pStyle w:val="Compact"/>
      </w:pPr>
      <w:r>
        <w:t xml:space="preserve">Zocor</w:t>
      </w:r>
    </w:p>
    <w:p>
      <w:pPr>
        <w:numPr>
          <w:ilvl w:val="0"/>
          <w:numId w:val="1000"/>
        </w:numPr>
        <w:pStyle w:val="Compact"/>
      </w:pPr>
      <w:r>
        <w:t xml:space="preserve">1992</w:t>
      </w:r>
    </w:p>
    <w:p>
      <w:pPr>
        <w:numPr>
          <w:ilvl w:val="0"/>
          <w:numId w:val="1000"/>
        </w:numPr>
        <w:pStyle w:val="Compact"/>
      </w:pPr>
      <w:r>
        <w:t xml:space="preserve">Lipophilic</w:t>
      </w:r>
    </w:p>
    <w:p>
      <w:pPr>
        <w:numPr>
          <w:ilvl w:val="0"/>
          <w:numId w:val="1000"/>
        </w:numPr>
        <w:pStyle w:val="Compact"/>
      </w:pPr>
      <w:r>
        <w:t xml:space="preserve">++</w:t>
      </w:r>
    </w:p>
    <w:p>
      <w:pPr>
        <w:pStyle w:val="FirstParagraph"/>
      </w:pPr>
      <w:r>
        <w:t xml:space="preserve"> </w:t>
      </w:r>
    </w:p>
    <w:bookmarkEnd w:id="32"/>
    <w:bookmarkStart w:id="33"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BodyText"/>
      </w:pPr>
      <w:r>
        <w:t xml:space="preserve">Table 4: Summary of available treatments for hyperlipidaemia.</w:t>
      </w:r>
    </w:p>
    <w:p>
      <w:pPr>
        <w:pStyle w:val="BodyText"/>
      </w:pPr>
      <w:r>
        <w:t xml:space="preserve">Treatment</w:t>
      </w:r>
    </w:p>
    <w:p>
      <w:pPr>
        <w:pStyle w:val="BodyText"/>
      </w:pPr>
      <w:r>
        <w:t xml:space="preserve">Effect</w:t>
      </w:r>
    </w:p>
    <w:p>
      <w:pPr>
        <w:pStyle w:val="BodyText"/>
      </w:pPr>
      <w:r>
        <w:t xml:space="preserve">Mechanism of action</w:t>
      </w:r>
    </w:p>
    <w:p>
      <w:pPr>
        <w:pStyle w:val="BodyText"/>
      </w:pPr>
      <w:r>
        <w:t xml:space="preserve">Examples</w:t>
      </w:r>
    </w:p>
    <w:p>
      <w:pPr>
        <w:pStyle w:val="BodyText"/>
      </w:pPr>
      <w:r>
        <w:t xml:space="preserve">HMG CoA reductase inhibitors (statins)</w:t>
      </w:r>
    </w:p>
    <w:p>
      <w:pPr>
        <w:pStyle w:val="BodyText"/>
      </w:pPr>
      <w:r>
        <w:t xml:space="preserve">Lowers LDL-c &amp; TG</w:t>
      </w:r>
      <w:r>
        <w:t xml:space="preserve"> </w:t>
      </w:r>
      <w:r>
        <w:t xml:space="preserve">Raises HDL-c</w:t>
      </w:r>
    </w:p>
    <w:p>
      <w:pPr>
        <w:pStyle w:val="BodyText"/>
      </w:pPr>
      <w:r>
        <w:t xml:space="preserve">Inhibits cholesterol biosynthesis pathway in the liver</w:t>
      </w:r>
    </w:p>
    <w:p>
      <w:pPr>
        <w:pStyle w:val="BodyText"/>
      </w:pPr>
      <w:r>
        <w:t xml:space="preserve">Atorvastatin,</w:t>
      </w:r>
      <w:r>
        <w:t xml:space="preserve"> </w:t>
      </w:r>
      <w:r>
        <w:t xml:space="preserve">Simvastatin,</w:t>
      </w:r>
      <w:r>
        <w:t xml:space="preserve"> </w:t>
      </w:r>
      <w:r>
        <w:t xml:space="preserve">Pravastatin</w:t>
      </w:r>
    </w:p>
    <w:p>
      <w:pPr>
        <w:pStyle w:val="BodyText"/>
      </w:pPr>
      <w:r>
        <w:t xml:space="preserve">Ezetimibe</w:t>
      </w:r>
    </w:p>
    <w:p>
      <w:pPr>
        <w:pStyle w:val="BodyText"/>
      </w:pPr>
      <w:r>
        <w:t xml:space="preserve">Lowers LDL-c</w:t>
      </w:r>
    </w:p>
    <w:p>
      <w:pPr>
        <w:pStyle w:val="BodyText"/>
      </w:pPr>
      <w:r>
        <w:t xml:space="preserve">Prevents absorption of cholesterol from diet</w:t>
      </w:r>
    </w:p>
    <w:p>
      <w:pPr>
        <w:pStyle w:val="BodyText"/>
      </w:pPr>
      <w:r>
        <w:t xml:space="preserve">Bile acide sequestrants</w:t>
      </w:r>
    </w:p>
    <w:p>
      <w:pPr>
        <w:pStyle w:val="BodyText"/>
      </w:pPr>
      <w:r>
        <w:t xml:space="preserve">Lowers LDL-c</w:t>
      </w:r>
    </w:p>
    <w:p>
      <w:pPr>
        <w:pStyle w:val="BodyText"/>
      </w:pPr>
      <w:r>
        <w:t xml:space="preserve">Prevent bile acid reabsorption in the gastro-intestinal tract, increasing conversion of cholesterol to bile acids</w:t>
      </w:r>
    </w:p>
    <w:p>
      <w:pPr>
        <w:pStyle w:val="BodyText"/>
      </w:pPr>
      <w:r>
        <w:t xml:space="preserve">Colestipol</w:t>
      </w:r>
    </w:p>
    <w:p>
      <w:pPr>
        <w:pStyle w:val="BodyText"/>
      </w:pPr>
      <w:r>
        <w:t xml:space="preserve">Proprotein convertase subtilisin kexin 9 (PCSK9) inhibitors</w:t>
      </w:r>
    </w:p>
    <w:p>
      <w:pPr>
        <w:pStyle w:val="BodyText"/>
      </w:pPr>
      <w:r>
        <w:t xml:space="preserve">Lowers LDL-c</w:t>
      </w:r>
    </w:p>
    <w:p>
      <w:pPr>
        <w:pStyle w:val="BodyText"/>
      </w:pPr>
      <w:r>
        <w:t xml:space="preserve">Bind to PSCK9 protein, preventing it from breaking down LDL receptors on heptatic cells, increasing cholesterol uptake</w:t>
      </w:r>
    </w:p>
    <w:p>
      <w:pPr>
        <w:pStyle w:val="BodyText"/>
      </w:pPr>
      <w:r>
        <w:t xml:space="preserve">Evolocumab,</w:t>
      </w:r>
      <w:r>
        <w:t xml:space="preserve"> </w:t>
      </w:r>
      <w:r>
        <w:t xml:space="preserve">Alirocumab</w:t>
      </w:r>
    </w:p>
    <w:p>
      <w:pPr>
        <w:pStyle w:val="BodyText"/>
      </w:pPr>
      <w:r>
        <w:t xml:space="preserve"> </w:t>
      </w:r>
    </w:p>
    <w:bookmarkEnd w:id="33"/>
    <w:bookmarkEnd w:id="34"/>
    <w:bookmarkStart w:id="39"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35" w:name="intro-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35"/>
    <w:bookmarkStart w:id="36"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t xml:space="preserve"> </w:t>
      </w:r>
      <w:r>
        <w:t xml:space="preserve">or a reduced susceptibility.</w:t>
      </w:r>
      <w:hyperlink w:anchor="ref-mielke2005">
        <w:r>
          <w:rPr>
            <w:rStyle w:val="Hyperlink"/>
            <w:vertAlign w:val="superscript"/>
          </w:rPr>
          <w:t xml:space="preserve">53</w:t>
        </w:r>
      </w:hyperlink>
      <w:r>
        <w:rPr>
          <w:vertAlign w:val="superscript"/>
        </w:rPr>
        <w:t xml:space="preserve">,</w:t>
      </w:r>
      <w:hyperlink w:anchor="ref-reitz2004a">
        <w:r>
          <w:rPr>
            <w:rStyle w:val="Hyperlink"/>
            <w:vertAlign w:val="superscript"/>
          </w:rPr>
          <w:t xml:space="preserve">54</w:t>
        </w:r>
      </w:hyperlink>
      <w:r>
        <w:t xml:space="preserve"> With regards vascular dementia, decreased levels of HDL-c appear to be associated with increased risk,</w:t>
      </w:r>
      <w:hyperlink w:anchor="ref-reitz2004a">
        <w:r>
          <w:rPr>
            <w:rStyle w:val="Hyperlink"/>
            <w:vertAlign w:val="superscript"/>
          </w:rPr>
          <w:t xml:space="preserve">54</w:t>
        </w:r>
      </w:hyperlink>
      <w:r>
        <w:t xml:space="preserve"> while for LDL-c, studies have reported both positive and negative associations.</w:t>
      </w:r>
      <w:hyperlink w:anchor="ref-reitz2004a">
        <w:r>
          <w:rPr>
            <w:rStyle w:val="Hyperlink"/>
            <w:vertAlign w:val="superscript"/>
          </w:rPr>
          <w:t xml:space="preserve">54</w:t>
        </w:r>
      </w:hyperlink>
      <w:r>
        <w:rPr>
          <w:vertAlign w:val="superscript"/>
        </w:rPr>
        <w:t xml:space="preserve">,</w:t>
      </w:r>
      <w:hyperlink w:anchor="ref-moroney1999">
        <w:r>
          <w:rPr>
            <w:rStyle w:val="Hyperlink"/>
            <w:vertAlign w:val="superscript"/>
          </w:rPr>
          <w:t xml:space="preserve">55</w:t>
        </w:r>
      </w:hyperlink>
    </w:p>
    <w:p>
      <w:pPr>
        <w:pStyle w:val="BodyText"/>
      </w:pPr>
      <w:r>
        <w:t xml:space="preserve">Several previous systematic review of observational studies examining the effect of lipids</w:t>
      </w:r>
      <w:hyperlink w:anchor="ref-anstey2015">
        <w:r>
          <w:rPr>
            <w:rStyle w:val="Hyperlink"/>
            <w:vertAlign w:val="superscript"/>
          </w:rPr>
          <w:t xml:space="preserve">56</w:t>
        </w:r>
      </w:hyperlink>
      <w:r>
        <w:t xml:space="preserve"> </w:t>
      </w:r>
      <w:r>
        <w:t xml:space="preserve">and lipid-regulating agents</w:t>
      </w:r>
      <w:hyperlink w:anchor="ref-chu2018">
        <w:r>
          <w:rPr>
            <w:rStyle w:val="Hyperlink"/>
            <w:vertAlign w:val="superscript"/>
          </w:rPr>
          <w:t xml:space="preserve">57</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1.6.1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2015">
        <w:r>
          <w:rPr>
            <w:rStyle w:val="Hyperlink"/>
            <w:vertAlign w:val="superscript"/>
          </w:rPr>
          <w:t xml:space="preserve">56</w:t>
        </w:r>
      </w:hyperlink>
      <w:r>
        <w:rPr>
          <w:vertAlign w:val="superscript"/>
        </w:rPr>
        <w:t xml:space="preserve">,</w:t>
      </w:r>
      <w:hyperlink w:anchor="ref-poly2020c">
        <w:r>
          <w:rPr>
            <w:rStyle w:val="Hyperlink"/>
            <w:bCs/>
            <w:b/>
            <w:vertAlign w:val="superscript"/>
          </w:rPr>
          <w:t xml:space="preserve">poly2020c?</w:t>
        </w:r>
      </w:hyperlink>
    </w:p>
    <w:bookmarkEnd w:id="36"/>
    <w:bookmarkStart w:id="37"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1.3.1</w:t>
      </w:r>
      <w:r>
        <w:t xml:space="preserve">), as they would require extremely long and costly follow-up.</w:t>
      </w:r>
      <w:hyperlink w:anchor="ref-ritchie2015">
        <w:r>
          <w:rPr>
            <w:rStyle w:val="Hyperlink"/>
            <w:vertAlign w:val="superscript"/>
          </w:rPr>
          <w:t xml:space="preserve">58</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59</w:t>
        </w:r>
      </w:hyperlink>
      <w:r>
        <w:t xml:space="preserve"> </w:t>
      </w:r>
      <w:r>
        <w:t xml:space="preserve">reported not on dementia outcomes but on the change in cognitive scores over a mean of 3.2 years. As highlighted in Section</w:t>
      </w:r>
      <w:r>
        <w:t xml:space="preserve"> </w:t>
      </w:r>
      <w:r>
        <w:t xml:space="preserve">1.3.2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1.3.1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59</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37"/>
    <w:bookmarkStart w:id="38"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60</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61</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60</w:t>
        </w:r>
      </w:hyperlink>
      <w:r>
        <w:t xml:space="preserve"> </w:t>
      </w:r>
      <w:r>
        <w:t xml:space="preserve">The analytic method relies on several assumptions about the instrumental variable (IV),</w:t>
      </w:r>
      <w:hyperlink w:anchor="ref-davies2018">
        <w:r>
          <w:rPr>
            <w:rStyle w:val="Hyperlink"/>
            <w:vertAlign w:val="superscript"/>
          </w:rPr>
          <w:t xml:space="preserve">62</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63</w:t>
        </w:r>
      </w:hyperlink>
      <w:r>
        <w:rPr>
          <w:vertAlign w:val="superscript"/>
        </w:rPr>
        <w:t xml:space="preserve">,</w:t>
      </w:r>
      <w:hyperlink w:anchor="ref-ostergaard2015">
        <w:r>
          <w:rPr>
            <w:rStyle w:val="Hyperlink"/>
            <w:vertAlign w:val="superscript"/>
          </w:rPr>
          <w:t xml:space="preserve">64</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65</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66</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38"/>
    <w:bookmarkEnd w:id="39"/>
    <w:bookmarkStart w:id="43"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67</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68</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0"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69</w:t>
        </w:r>
      </w:hyperlink>
      <w:r>
        <w:rPr>
          <w:vertAlign w:val="superscript"/>
        </w:rPr>
        <w:t xml:space="preserve">–</w:t>
      </w:r>
      <w:hyperlink w:anchor="ref-hopewell2007">
        <w:r>
          <w:rPr>
            <w:rStyle w:val="Hyperlink"/>
            <w:vertAlign w:val="superscript"/>
          </w:rPr>
          <w:t xml:space="preserve">71</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72</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73</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74</w:t>
        </w:r>
      </w:hyperlink>
      <w:r>
        <w:t xml:space="preserve"> </w:t>
      </w:r>
      <w:r>
        <w:t xml:space="preserve">to rapidly disseminate research findings, as occurred during the COVID-19 pandemic,</w:t>
      </w:r>
      <w:hyperlink w:anchor="ref-fraser2020preprinting">
        <w:r>
          <w:rPr>
            <w:rStyle w:val="Hyperlink"/>
            <w:vertAlign w:val="superscript"/>
          </w:rPr>
          <w:t xml:space="preserve">75</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76</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77</w:t>
        </w:r>
      </w:hyperlink>
      <w:r>
        <w:rPr>
          <w:vertAlign w:val="superscript"/>
        </w:rPr>
        <w:t xml:space="preserve">,</w:t>
      </w:r>
      <w:hyperlink w:anchor="ref-schalkwyk2020">
        <w:r>
          <w:rPr>
            <w:rStyle w:val="Hyperlink"/>
            <w:vertAlign w:val="superscript"/>
          </w:rPr>
          <w:t xml:space="preserve">78</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72</w:t>
        </w:r>
      </w:hyperlink>
      <w:r>
        <w:rPr>
          <w:vertAlign w:val="superscript"/>
        </w:rPr>
        <w:t xml:space="preserve">,</w:t>
      </w:r>
      <w:hyperlink w:anchor="ref-mahood2014">
        <w:r>
          <w:rPr>
            <w:rStyle w:val="Hyperlink"/>
            <w:vertAlign w:val="superscript"/>
          </w:rPr>
          <w:t xml:space="preserve">79</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80</w:t>
        </w:r>
      </w:hyperlink>
      <w:r>
        <w:rPr>
          <w:vertAlign w:val="superscript"/>
        </w:rPr>
        <w:t xml:space="preserve">,</w:t>
      </w:r>
      <w:hyperlink w:anchor="ref-nicholson2021">
        <w:r>
          <w:rPr>
            <w:rStyle w:val="Hyperlink"/>
            <w:vertAlign w:val="superscript"/>
          </w:rPr>
          <w:t xml:space="preserve">81</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79</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w:t>
      </w:r>
      <w:r>
        <w:t xml:space="preserve">, a new tool addressing these issues is presented in Chapter</w:t>
      </w:r>
      <w:r>
        <w:t xml:space="preserve"> </w:t>
      </w:r>
      <w:r>
        <w:t xml:space="preserve">??</w:t>
      </w:r>
      <w:r>
        <w:t xml:space="preserve">.</w:t>
      </w:r>
    </w:p>
    <w:bookmarkEnd w:id="40"/>
    <w:bookmarkStart w:id="41" w:name="intro-triangulation"/>
    <w:p>
      <w:pPr>
        <w:pStyle w:val="Heading3"/>
      </w:pPr>
      <w:r>
        <w:t xml:space="preserve">Triangulating across study designs</w:t>
      </w:r>
    </w:p>
    <w:p>
      <w:pPr>
        <w:pStyle w:val="FirstParagraph"/>
      </w:pPr>
      <w:r>
        <w:t xml:space="preserve">As illustrated in Section</w:t>
      </w:r>
      <w:r>
        <w:t xml:space="preserve"> </w:t>
      </w:r>
      <w:r>
        <w:t xml:space="preserve">1.5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82</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83</w:t>
        </w:r>
      </w:hyperlink>
      <w:r>
        <w:rPr>
          <w:vertAlign w:val="superscript"/>
        </w:rPr>
        <w:t xml:space="preserve">,</w:t>
      </w:r>
      <w:hyperlink w:anchor="ref-mcguinness2018">
        <w:r>
          <w:rPr>
            <w:rStyle w:val="Hyperlink"/>
            <w:vertAlign w:val="superscript"/>
          </w:rPr>
          <w:t xml:space="preserve">84</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4</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1"/>
    <w:bookmarkStart w:id="42"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85</w:t>
        </w:r>
      </w:hyperlink>
      <w:r>
        <w:rPr>
          <w:vertAlign w:val="superscript"/>
        </w:rPr>
        <w:t xml:space="preserve">,</w:t>
      </w:r>
      <w:hyperlink w:anchor="ref-stewart1993">
        <w:r>
          <w:rPr>
            <w:rStyle w:val="Hyperlink"/>
            <w:vertAlign w:val="superscript"/>
          </w:rPr>
          <w:t xml:space="preserve">86</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85</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87</w:t>
        </w:r>
      </w:hyperlink>
      <w:r>
        <w:rPr>
          <w:vertAlign w:val="superscript"/>
        </w:rPr>
        <w:t xml:space="preserve">–</w:t>
      </w:r>
      <w:hyperlink w:anchor="ref-mccartney2016">
        <w:r>
          <w:rPr>
            <w:rStyle w:val="Hyperlink"/>
            <w:vertAlign w:val="superscript"/>
          </w:rPr>
          <w:t xml:space="preserve">89</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85</w:t>
        </w:r>
      </w:hyperlink>
      <w:r>
        <w:t xml:space="preserve"> </w:t>
      </w:r>
      <w:r>
        <w:t xml:space="preserve">In terms of this thesis, patient sex is considered to be of particular interest.</w:t>
      </w:r>
      <w:hyperlink w:anchor="ref-arain2009">
        <w:r>
          <w:rPr>
            <w:rStyle w:val="Hyperlink"/>
            <w:vertAlign w:val="superscript"/>
          </w:rPr>
          <w:t xml:space="preserve">87</w:t>
        </w:r>
      </w:hyperlink>
      <w:r>
        <w:rPr>
          <w:vertAlign w:val="superscript"/>
        </w:rPr>
        <w:t xml:space="preserve">,</w:t>
      </w:r>
      <w:hyperlink w:anchor="ref-letenneur1999">
        <w:r>
          <w:rPr>
            <w:rStyle w:val="Hyperlink"/>
            <w:vertAlign w:val="superscript"/>
          </w:rPr>
          <w:t xml:space="preserve">90</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91</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92</w:t>
        </w:r>
      </w:hyperlink>
    </w:p>
    <w:p>
      <w:pPr>
        <w:pStyle w:val="BodyText"/>
      </w:pPr>
      <w:r>
        <w:t xml:space="preserve">Despite their advantages, IPD meta-analysis are rarely performed.</w:t>
      </w:r>
      <w:hyperlink w:anchor="ref-tugwell2010">
        <w:r>
          <w:rPr>
            <w:rStyle w:val="Hyperlink"/>
            <w:vertAlign w:val="superscript"/>
          </w:rPr>
          <w:t xml:space="preserve">93</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94</w:t>
        </w:r>
      </w:hyperlink>
      <w:r>
        <w:rPr>
          <w:vertAlign w:val="superscript"/>
        </w:rPr>
        <w:t xml:space="preserve">,</w:t>
      </w:r>
      <w:hyperlink w:anchor="ref-ventresca2020">
        <w:r>
          <w:rPr>
            <w:rStyle w:val="Hyperlink"/>
            <w:vertAlign w:val="superscript"/>
          </w:rPr>
          <w:t xml:space="preserve">95</w:t>
        </w:r>
      </w:hyperlink>
      <w:r>
        <w:t xml:space="preserve"> </w:t>
      </w:r>
      <w:r>
        <w:t xml:space="preserve">The data underlying primary studies are frequently not publicly available,</w:t>
      </w:r>
      <w:hyperlink w:anchor="ref-alsheikh-ali2011">
        <w:r>
          <w:rPr>
            <w:rStyle w:val="Hyperlink"/>
            <w:vertAlign w:val="superscript"/>
          </w:rPr>
          <w:t xml:space="preserve">96</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97</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98</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99</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w:t>
      </w:r>
      <w:r>
        <w:t xml:space="preserve"> </w:t>
      </w:r>
      <w:r>
        <w:t xml:space="preserve">??</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2"/>
    <w:bookmarkEnd w:id="43"/>
    <w:bookmarkStart w:id="46" w:name="thesis-overview"/>
    <w:p>
      <w:pPr>
        <w:pStyle w:val="Heading2"/>
      </w:pPr>
      <w:r>
        <w:t xml:space="preserve">Thesis overview</w:t>
      </w:r>
    </w:p>
    <w:bookmarkStart w:id="44"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44"/>
    <w:bookmarkStart w:id="45"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7.6</w:t>
      </w:r>
      <w:r>
        <w:t xml:space="preserve"> </w:t>
      </w:r>
      <w:r>
        <w:t xml:space="preserve">for a discussion of the group’s involvement and Appendix</w:t>
      </w:r>
      <w:r>
        <w:t xml:space="preserve"> </w:t>
      </w:r>
      <w:r>
        <w:t xml:space="preserve">9.1.2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1</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5</w:t>
      </w:r>
    </w:p>
    <w:p>
      <w:pPr>
        <w:pStyle w:val="BodyText"/>
      </w:pPr>
      <w:r>
        <w:t xml:space="preserve">Table 5: Summary of studies included in this thesis, and used as evidence sources in the triangulation exercise performed in Chapter</w:t>
      </w:r>
      <w:r>
        <w:t xml:space="preserve"> </w:t>
      </w:r>
      <w:r>
        <w:t xml:space="preserve">6</w:t>
      </w:r>
      <w:r>
        <w:t xml:space="preserve">. Note, Chapter</w:t>
      </w:r>
      <w:r>
        <w:t xml:space="preserve"> </w:t>
      </w:r>
      <w:r>
        <w:t xml:space="preserve">2</w:t>
      </w:r>
      <w:r>
        <w:t xml:space="preserve"> </w:t>
      </w:r>
      <w:r>
        <w:t xml:space="preserve">is intentionally not included in this table, as it describes a tool rather than a research study.</w:t>
      </w:r>
    </w:p>
    <w:p>
      <w:pPr>
        <w:pStyle w:val="BodyText"/>
      </w:pPr>
      <w:r>
        <w:t xml:space="preserve">Chapter</w:t>
      </w:r>
    </w:p>
    <w:p>
      <w:pPr>
        <w:pStyle w:val="BodyText"/>
      </w:pPr>
      <w:r>
        <w:t xml:space="preserve">Research Question</w:t>
      </w:r>
    </w:p>
    <w:p>
      <w:pPr>
        <w:pStyle w:val="BodyText"/>
      </w:pPr>
      <w:r>
        <w:t xml:space="preserve">Exposure/ Intervention</w:t>
      </w:r>
    </w:p>
    <w:p>
      <w:pPr>
        <w:pStyle w:val="BodyText"/>
      </w:pPr>
      <w:r>
        <w:t xml:space="preserve">Outcome</w:t>
      </w:r>
    </w:p>
    <w:p>
      <w:pPr>
        <w:pStyle w:val="BodyText"/>
      </w:pPr>
      <w:r>
        <w:t xml:space="preserve">Contibution to evidence synthesis framework</w:t>
      </w:r>
    </w:p>
    <w:p>
      <w:pPr>
        <w:pStyle w:val="BodyText"/>
      </w:pPr>
      <w:r>
        <w:t xml:space="preserve">Chapter 3/4</w:t>
      </w:r>
    </w:p>
    <w:p>
      <w:pPr>
        <w:pStyle w:val="BodyTex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p>
      <w:pPr>
        <w:pStyle w:val="BodyText"/>
      </w:pPr>
      <w:r>
        <w:t xml:space="preserve">Lipids (HDL-c, LDL-c, TC, TG),</w:t>
      </w:r>
      <w:r>
        <w:t xml:space="preserve"> </w:t>
      </w:r>
      <w:r>
        <w:t xml:space="preserve">Lipid regulating agents (statins, ezetimibe, fibrates, etc.)</w:t>
      </w:r>
    </w:p>
    <w:p>
      <w:pPr>
        <w:pStyle w:val="BodyText"/>
      </w:pPr>
      <w:r>
        <w:t xml:space="preserve">Dementia, stratified by subtype</w:t>
      </w:r>
    </w:p>
    <w:p>
      <w:pPr>
        <w:pStyle w:val="BodyText"/>
      </w:pPr>
      <w:r>
        <w:t xml:space="preserve">Provides overview of existing evidence</w:t>
      </w:r>
    </w:p>
    <w:p>
      <w:pPr>
        <w:pStyle w:val="BodyText"/>
      </w:pPr>
      <w:r>
        <w:t xml:space="preserve">Chapter 5</w:t>
      </w:r>
    </w:p>
    <w:p>
      <w:pPr>
        <w:pStyle w:val="BodyText"/>
      </w:pPr>
      <w:r>
        <w:t xml:space="preserve">Are lipid regulating agents associated with dementia risk in a large scale electonic health record database?</w:t>
      </w:r>
      <w:r>
        <w:t xml:space="preserve"> </w:t>
      </w:r>
    </w:p>
    <w:p>
      <w:pPr>
        <w:pStyle w:val="BodyText"/>
      </w:pPr>
      <w:r>
        <w:t xml:space="preserve">Seven classes of lipid regulating agents</w:t>
      </w:r>
    </w:p>
    <w:p>
      <w:pPr>
        <w:pStyle w:val="BodyText"/>
      </w:pPr>
      <w:r>
        <w:t xml:space="preserve">Dementia, stratified by subtype</w:t>
      </w:r>
    </w:p>
    <w:p>
      <w:pPr>
        <w:pStyle w:val="BodyTex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p>
      <w:pPr>
        <w:pStyle w:val="BodyText"/>
      </w:pPr>
      <w:r>
        <w:t xml:space="preserve">Chapter 6</w:t>
      </w:r>
    </w:p>
    <w:p>
      <w:pPr>
        <w:pStyle w:val="BodyText"/>
      </w:pPr>
      <w:r>
        <w:t xml:space="preserve">Are lipid levels associated with dementia risk in an individual participant data meta-analysis?</w:t>
      </w:r>
      <w:r>
        <w:t xml:space="preserve"> </w:t>
      </w:r>
    </w:p>
    <w:p>
      <w:pPr>
        <w:pStyle w:val="BodyText"/>
      </w:pPr>
      <w:r>
        <w:t xml:space="preserve">Lipids (HDL-c, LDL-c, TC, TG)</w:t>
      </w:r>
    </w:p>
    <w:p>
      <w:pPr>
        <w:pStyle w:val="BodyText"/>
      </w:pPr>
      <w:r>
        <w:t xml:space="preserve">Dementia, stratified by subtype</w:t>
      </w:r>
    </w:p>
    <w:p>
      <w:pPr>
        <w:pStyle w:val="BodyText"/>
      </w:pPr>
      <w:r>
        <w:t xml:space="preserve">Provides additional evidence from unanalysed datasets</w:t>
      </w:r>
      <w:r>
        <w:t xml:space="preserve"> </w:t>
      </w:r>
      <w:r>
        <w:t xml:space="preserve">Allows for stratification of effect by variables of interest (e.g. sex)</w:t>
      </w:r>
    </w:p>
    <w:bookmarkEnd w:id="45"/>
    <w:bookmarkEnd w:id="46"/>
    <w:bookmarkStart w:id="54"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1"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47">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2</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2.2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48">
        <w:r>
          <w:rPr>
            <w:rStyle w:val="Hyperlink"/>
            <w:iCs/>
            <w:i/>
          </w:rPr>
          <w:t xml:space="preserve">10.1007/s11121-021-01279-8</w:t>
        </w:r>
      </w:hyperlink>
    </w:p>
    <w:p>
      <w:pPr>
        <w:pStyle w:val="BodyText"/>
      </w:pPr>
      <w:r>
        <w:t xml:space="preserve">The experience of extracting data for the systematic review in Chapter</w:t>
      </w:r>
      <w:r>
        <w:t xml:space="preserve"> </w:t>
      </w:r>
      <w:r>
        <w:t xml:space="preserve">??</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49">
        <w:r>
          <w:rPr>
            <w:rStyle w:val="Hyperlink"/>
            <w:iCs/>
            <w:i/>
          </w:rPr>
          <w:t xml:space="preserve">10.1002/jrsm.1411</w:t>
        </w:r>
      </w:hyperlink>
    </w:p>
    <w:p>
      <w:pPr>
        <w:pStyle w:val="BodyText"/>
      </w:pPr>
      <w:r>
        <w:t xml:space="preserve">The tool used to visualise the risk-of-bias assessments in Chapter</w:t>
      </w:r>
      <w:r>
        <w:t xml:space="preserve"> </w:t>
      </w:r>
      <w:r>
        <w:t xml:space="preserve">??</w:t>
      </w:r>
      <w:r>
        <w:t xml:space="preserve"> </w:t>
      </w:r>
      <w:r>
        <w:t xml:space="preserve">has been published in Research Synthesis Methods. See Appendix</w:t>
      </w:r>
      <w:r>
        <w:t xml:space="preserve"> </w:t>
      </w:r>
      <w:r>
        <w:t xml:space="preserve">10.2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0">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9.1.1</w:t>
      </w:r>
      <w:r>
        <w:t xml:space="preserve">.</w:t>
      </w:r>
    </w:p>
    <w:p>
      <w:pPr>
        <w:pStyle w:val="BodyText"/>
      </w:pPr>
      <w:r>
        <w:t xml:space="preserve"> </w:t>
      </w:r>
    </w:p>
    <w:bookmarkEnd w:id="51"/>
    <w:bookmarkStart w:id="52"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2"/>
    <w:bookmarkStart w:id="53"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100</w:t>
        </w:r>
      </w:hyperlink>
      <w:r>
        <w:t xml:space="preserve"> </w:t>
      </w:r>
      <w:r>
        <w:t xml:space="preserve">and bioRxiv</w:t>
      </w:r>
      <w:hyperlink w:anchor="ref-sever2019">
        <w:r>
          <w:rPr>
            <w:rStyle w:val="Hyperlink"/>
            <w:vertAlign w:val="superscript"/>
          </w:rPr>
          <w:t xml:space="preserve">101</w:t>
        </w:r>
      </w:hyperlink>
      <w:r>
        <w:t xml:space="preserve"> </w:t>
      </w:r>
      <w:r>
        <w:t xml:space="preserve">preprint repositories. See Chapter</w:t>
      </w:r>
      <w:r>
        <w:t xml:space="preserve"> </w:t>
      </w:r>
      <w:r>
        <w:t xml:space="preserve">2</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10.2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3"/>
    <w:bookmarkEnd w:id="54"/>
    <w:bookmarkStart w:id="55"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55"/>
    <w:bookmarkStart w:id="56" w:name="references"/>
    <w:p>
      <w:pPr>
        <w:pStyle w:val="Heading2"/>
      </w:pPr>
      <w:r>
        <w:t xml:space="preserve">References</w:t>
      </w:r>
    </w:p>
    <w:bookmarkEnd w:id="56"/>
    <w:bookmarkEnd w:id="57"/>
    <w:bookmarkStart w:id="83" w:name="sys-rev-tools-heading"/>
    <w:p>
      <w:pPr>
        <w:pStyle w:val="Heading1"/>
      </w:pPr>
      <w:r>
        <w:t xml:space="preserve">medrxivr: an R package for systematically searching biomedical preprints</w:t>
      </w:r>
    </w:p>
    <w:p>
      <w:pPr>
        <w:pStyle w:val="FirstParagraph"/>
      </w:pPr>
    </w:p>
    <w:bookmarkStart w:id="58"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58"/>
    <w:bookmarkStart w:id="62"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1.6.1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101</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100</w:t>
        </w:r>
      </w:hyperlink>
    </w:p>
    <w:p>
      <w:pPr>
        <w:pStyle w:val="BodyText"/>
      </w:pPr>
      <w:r>
        <w:t xml:space="preserve">Searching these preprints as part of the systematic review described in Chapter</w:t>
      </w:r>
      <w:r>
        <w:t xml:space="preserve"> </w:t>
      </w:r>
      <w:r>
        <w:t xml:space="preserve">??</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102</w:t>
        </w:r>
      </w:hyperlink>
      <w:r>
        <w:rPr>
          <w:vertAlign w:val="superscript"/>
        </w:rPr>
        <w:t xml:space="preserve">,</w:t>
      </w:r>
      <w:hyperlink w:anchor="ref-gusenbauer2020">
        <w:r>
          <w:rPr>
            <w:rStyle w:val="Hyperlink"/>
            <w:vertAlign w:val="superscript"/>
          </w:rPr>
          <w:t xml:space="preserve">103</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59">
        <w:r>
          <w:rPr>
            <w:rStyle w:val="Hyperlink"/>
          </w:rPr>
          <w:t xml:space="preserve">https://github.com/ropensci/medrxivr</w:t>
        </w:r>
      </w:hyperlink>
      <w:r>
        <w:t xml:space="preserve"> </w:t>
      </w:r>
      <w:r>
        <w:t xml:space="preserve">and</w:t>
      </w:r>
      <w:r>
        <w:t xml:space="preserve"> </w:t>
      </w:r>
      <w:hyperlink r:id="rId60">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104</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1"/>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2"/>
    <w:bookmarkStart w:id="67" w:name="development"/>
    <w:p>
      <w:pPr>
        <w:pStyle w:val="Heading2"/>
      </w:pPr>
      <w:r>
        <w:t xml:space="preserve">Development</w:t>
      </w:r>
    </w:p>
    <w:bookmarkStart w:id="63"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105</w:t>
        </w:r>
      </w:hyperlink>
      <w:r>
        <w:t xml:space="preserve"> </w:t>
      </w:r>
      <w:r>
        <w:t xml:space="preserve">influenced both by the functionality required to perform systematic searches as part of the review in Chapter</w:t>
      </w:r>
      <w:r>
        <w:t xml:space="preserve"> </w:t>
      </w:r>
      <w:r>
        <w:t xml:space="preserve">??</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3"/>
    <w:bookmarkStart w:id="64"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106</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107</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108</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64"/>
    <w:bookmarkStart w:id="65"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109</w:t>
        </w:r>
      </w:hyperlink>
      <w:r>
        <w:rPr>
          <w:vertAlign w:val="superscript"/>
        </w:rPr>
        <w:t xml:space="preserve">,</w:t>
      </w:r>
      <w:hyperlink w:anchor="ref-laprie1992">
        <w:r>
          <w:rPr>
            <w:rStyle w:val="Hyperlink"/>
            <w:vertAlign w:val="superscript"/>
          </w:rPr>
          <w:t xml:space="preserve">110</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me to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110</w:t>
        </w:r>
      </w:hyperlink>
    </w:p>
    <w:p>
      <w:pPr>
        <w:pStyle w:val="BodyText"/>
      </w:pPr>
      <w:r>
        <w:t xml:space="preserve"> </w:t>
      </w:r>
    </w:p>
    <w:bookmarkEnd w:id="65"/>
    <w:bookmarkStart w:id="66"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111</w:t>
        </w:r>
      </w:hyperlink>
      <w:r>
        <w:t xml:space="preserve"> </w:t>
      </w:r>
      <w:r>
        <w:t xml:space="preserve">and followed development best-practice, including development of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66"/>
    <w:bookmarkEnd w:id="67"/>
    <w:bookmarkStart w:id="75"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68"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68"/>
    <w:bookmarkStart w:id="70"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w:t>
      </w:r>
      <w:r>
        <w:t xml:space="preserve"> </w:t>
      </w:r>
      <w:r>
        <w:t xml:space="preserve"> </w:t>
      </w:r>
      <w:r>
        <w:t xml:space="preserve">requires a time-intensive process of cycling through multiple pages. Secondly, the API can become unavailable, either during peak usage times or planned maintainence windows.</w:t>
      </w:r>
    </w:p>
    <w:p>
      <w:pPr>
        <w:pStyle w:val="BodyText"/>
      </w:pPr>
      <w:r>
        <w:t xml:space="preserve">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112</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to an online server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w:t>
      </w:r>
    </w:p>
    <w:p>
      <w:pPr>
        <w:pStyle w:val="BodyText"/>
      </w:pPr>
      <w:r>
        <w:t xml:space="preserve">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69"/>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0"/>
    <w:bookmarkStart w:id="71"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1"/>
    <w:bookmarkStart w:id="72"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113</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114</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2"/>
    <w:bookmarkStart w:id="73"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2.3.1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3"/>
    <w:bookmarkStart w:id="74"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74"/>
    <w:bookmarkEnd w:id="75"/>
    <w:bookmarkStart w:id="80" w:name="discussion"/>
    <w:p>
      <w:pPr>
        <w:pStyle w:val="Heading2"/>
      </w:pPr>
      <w:r>
        <w:t xml:space="preserve">Discussion</w:t>
      </w:r>
    </w:p>
    <w:bookmarkStart w:id="76"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5100 times), and several use cases have been reported. It has been used to investigate the role of preprints in the response to the 2019 coronavirus outbreak,</w:t>
      </w:r>
      <w:hyperlink w:anchor="ref-kodvanj2020">
        <w:r>
          <w:rPr>
            <w:rStyle w:val="Hyperlink"/>
            <w:vertAlign w:val="superscript"/>
          </w:rPr>
          <w:t xml:space="preserve">115</w:t>
        </w:r>
      </w:hyperlink>
      <w:r>
        <w:t xml:space="preserve"> </w:t>
      </w:r>
      <w:r>
        <w:t xml:space="preserve">perform searches of preprints as part of a systematic review,</w:t>
      </w:r>
      <w:hyperlink w:anchor="ref-noone2020">
        <w:r>
          <w:rPr>
            <w:rStyle w:val="Hyperlink"/>
            <w:vertAlign w:val="superscript"/>
          </w:rPr>
          <w:t xml:space="preserve">116</w:t>
        </w:r>
      </w:hyperlink>
      <w:r>
        <w:rPr>
          <w:vertAlign w:val="superscript"/>
        </w:rPr>
        <w:t xml:space="preserve">,</w:t>
      </w:r>
      <w:hyperlink w:anchor="ref-grassly2020">
        <w:r>
          <w:rPr>
            <w:rStyle w:val="Hyperlink"/>
            <w:vertAlign w:val="superscript"/>
          </w:rPr>
          <w:t xml:space="preserve">117</w:t>
        </w:r>
      </w:hyperlink>
      <w:r>
        <w:t xml:space="preserve"> </w:t>
      </w:r>
      <w:r>
        <w:t xml:space="preserve">and examine how data-sharing behaviour is affected by journal policies (see</w:t>
      </w:r>
      <w:r>
        <w:t xml:space="preserve"> </w:t>
      </w:r>
      <w:r>
        <w:t xml:space="preserve">1.8</w:t>
      </w:r>
      <w:r>
        <w:t xml:space="preserve">).</w:t>
      </w:r>
      <w:hyperlink w:anchor="ref-mcguinness2020c">
        <w:r>
          <w:rPr>
            <w:rStyle w:val="Hyperlink"/>
            <w:bCs/>
            <w:b/>
            <w:vertAlign w:val="superscript"/>
          </w:rPr>
          <w:t xml:space="preserve">mcguinness2020c?</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118</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hyperlink w:anchor="ref-zotero-15016">
        <w:r>
          <w:rPr>
            <w:rStyle w:val="Hyperlink"/>
            <w:vertAlign w:val="superscript"/>
          </w:rPr>
          <w:t xml:space="preserve">119</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76"/>
    <w:bookmarkStart w:id="77" w:name="use-case"/>
    <w:p>
      <w:pPr>
        <w:pStyle w:val="Heading3"/>
      </w:pPr>
      <w:r>
        <w:t xml:space="preserve">Use case</w:t>
      </w:r>
    </w:p>
    <w:p>
      <w:pPr>
        <w:pStyle w:val="FirstParagraph"/>
      </w:pPr>
      <w:r>
        <w:t xml:space="preserve">In addition to being used to search systematically search health-related preprint servers, as illustrated in the systematic review presented in Chapter</w:t>
      </w:r>
      <w:r>
        <w:t xml:space="preserve"> </w:t>
      </w:r>
      <w:r>
        <w:t xml:space="preserve">??</w:t>
      </w:r>
      <w:r>
        <w:t xml:space="preserve">,</w:t>
      </w:r>
      <w:r>
        <w:t xml:space="preserve"> </w:t>
      </w:r>
      <w:r>
        <w:rPr>
          <w:rStyle w:val="VerbatimChar"/>
        </w:rPr>
        <w:t xml:space="preserve">medrxivr</w:t>
      </w:r>
      <w:r>
        <w:t xml:space="preserve"> </w:t>
      </w:r>
      <w:r>
        <w:t xml:space="preserve">has other uses. 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w:t>
      </w:r>
    </w:p>
    <w:p>
      <w:pPr>
        <w:pStyle w:val="BodyText"/>
      </w:pPr>
      <w:r>
        <w:t xml:space="preserve">By comparing the preprinted and published versions of the data availability statement, I could examine the same manuscript (same content, authors and funders) under two differnt publication policies, and examine whether stricter policies which require data sharing as a condition of publication actually result in increased data availability. We found some evidence that data availability statements more frequently described open data on publication when the journal mandated data sharing compared to when the journal did not mandate data sharing. This study has since been published in PLOS One, and a copy is included in Appendix</w:t>
      </w:r>
      <w:r>
        <w:t xml:space="preserve"> </w:t>
      </w:r>
      <w:r>
        <w:t xml:space="preserve">10.4</w:t>
      </w:r>
      <w:r>
        <w:t xml:space="preserve">. Author contributions are discussed in the</w:t>
      </w:r>
    </w:p>
    <w:p>
      <w:pPr>
        <w:pStyle w:val="BodyText"/>
      </w:pPr>
      <w:r>
        <w:t xml:space="preserve">In short, this use case illustrates that easy access to medRxiv/bioRxiv metadata has applications beyond systematic searching of preprints as a part of evidence synthesis exercises.</w:t>
      </w:r>
    </w:p>
    <w:bookmarkEnd w:id="77"/>
    <w:bookmarkStart w:id="78"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120</w:t>
        </w:r>
      </w:hyperlink>
    </w:p>
    <w:p>
      <w:pPr>
        <w:pStyle w:val="BodyText"/>
      </w:pPr>
      <w:r>
        <w:t xml:space="preserve">There is also the potential that the cross-section of literature posted on medrxiv/bioRxiv is substantially different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121</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76</w:t>
        </w:r>
      </w:hyperlink>
    </w:p>
    <w:p>
      <w:pPr>
        <w:pStyle w:val="BodyText"/>
      </w:pPr>
      <w:r>
        <w:t xml:space="preserve">Using</w:t>
      </w:r>
      <w:r>
        <w:t xml:space="preserve"> </w:t>
      </w:r>
      <w:r>
        <w:rPr>
          <w:rStyle w:val="VerbatimChar"/>
        </w:rPr>
        <w:t xml:space="preserve">medrxivr</w:t>
      </w:r>
      <w:r>
        <w:t xml:space="preserve"> </w:t>
      </w:r>
      <w:r>
        <w:t xml:space="preserve">an analysis of the publication rate for medRxiv preprints was performed (see Appendix</w:t>
      </w:r>
      <w:r>
        <w:t xml:space="preserve"> </w:t>
      </w:r>
      <w:r>
        <w:t xml:space="preserve">9.2</w:t>
      </w:r>
      <w:r>
        <w:t xml:space="preserve">). Eighty-seven (67.4%) of the 129 records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b">
        <w:r>
          <w:rPr>
            <w:rStyle w:val="Hyperlink"/>
            <w:vertAlign w:val="superscript"/>
          </w:rPr>
          <w:t xml:space="preserve">122</w:t>
        </w:r>
      </w:hyperlink>
      <w:r>
        <w:t xml:space="preserve"> </w:t>
      </w:r>
      <w:r>
        <w:t xml:space="preserve">indicating that a non-insignificant number of preprints are never formally published but remain accessible as preprints.</w:t>
      </w:r>
    </w:p>
    <w:p>
      <w:pPr>
        <w:pStyle w:val="BodyText"/>
      </w:pP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78"/>
    <w:bookmarkStart w:id="79"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hamper the efforts of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123</w:t>
        </w:r>
      </w:hyperlink>
    </w:p>
    <w:bookmarkEnd w:id="79"/>
    <w:bookmarkEnd w:id="80"/>
    <w:bookmarkStart w:id="81"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1"/>
    <w:bookmarkStart w:id="82" w:name="references-1"/>
    <w:p>
      <w:pPr>
        <w:pStyle w:val="Heading2"/>
      </w:pPr>
      <w:r>
        <w:t xml:space="preserve">References</w:t>
      </w:r>
    </w:p>
    <w:bookmarkEnd w:id="82"/>
    <w:bookmarkEnd w:id="83"/>
    <w:bookmarkStart w:id="161" w:name="sys-rev-methods-heading"/>
    <w:p>
      <w:pPr>
        <w:pStyle w:val="Heading1"/>
      </w:pPr>
      <w:r>
        <w:t xml:space="preserve">Systematic review of all available evidence on the association between blood lipids and dementia outcomes</w:t>
      </w:r>
    </w:p>
    <w:p>
      <w:pPr>
        <w:pStyle w:val="FirstParagraph"/>
      </w:pPr>
    </w:p>
    <w:bookmarkStart w:id="84" w:name="lay-summary-2"/>
    <w:p>
      <w:pPr>
        <w:pStyle w:val="Heading2"/>
      </w:pPr>
      <w:r>
        <w:t xml:space="preserve">Lay summary</w:t>
      </w:r>
    </w:p>
    <w:p>
      <w:pPr>
        <w:pStyle w:val="FirstParagraph"/>
      </w:pPr>
      <w:r>
        <w:t xml:space="preserve">Systematic reviews are a type of research study that aim to collect and combine all existing evidence to provide the best possible answer to an important research question. Well-performed reviews involve multiple steps including: searching of existing studies; assessment of the studies against predefined inclusion criteria; collection of data from each study; and assessment of each study’s methods.</w:t>
      </w:r>
    </w:p>
    <w:p>
      <w:pPr>
        <w:pStyle w:val="BodyText"/>
      </w:pPr>
      <w:r>
        <w:t xml:space="preserve">This chapter presents a systematic review of primary studies that have examined the relationship between the levels of blood lipids (such as cholesterol and triglycerides), and treatments that change these levels such as statins, and dementia outcomes.</w:t>
      </w:r>
    </w:p>
    <w:p>
      <w:pPr>
        <w:pStyle w:val="BodyText"/>
      </w:pPr>
      <w:r>
        <w:t xml:space="preserve">My review included 81 primary studies that contained information on this relationship. I found that statins appear to reduce the risk of Alzheimer’s disease, but had no effect of vascular dementia. Lipid levels were not associated with any outcome. The methods used in some of the primary studies meant that I was less confident in the accuracy of their results.</w:t>
      </w:r>
    </w:p>
    <w:p>
      <w:pPr>
        <w:pStyle w:val="BodyText"/>
      </w:pPr>
      <w:r>
        <w:t xml:space="preserve">The added value of including preprinted study reports, made possible using the tool described in the previous chapter, along with the use of the results of this review in subsequent chapters, is discussed.</w:t>
      </w:r>
    </w:p>
    <w:p>
      <w:pPr>
        <w:pStyle w:val="BodyText"/>
      </w:pPr>
      <w:r>
        <w:t xml:space="preserve"> </w:t>
      </w:r>
    </w:p>
    <w:bookmarkEnd w:id="84"/>
    <w:bookmarkStart w:id="85"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w:t>
      </w:r>
    </w:p>
    <w:p>
      <w:pPr>
        <w:pStyle w:val="BodyText"/>
      </w:pPr>
      <w:r>
        <w:t xml:space="preserve">This analysis sought to address two specific aims. Firstly, as discussed in the Introduction to this thesis (Section</w:t>
      </w:r>
      <w:r>
        <w:t xml:space="preserve"> </w:t>
      </w:r>
      <w:r>
        <w:t xml:space="preserve">1.5</w:t>
      </w:r>
      <w:r>
        <w:t xml:space="preserve">), several diverse forms of evidence on the relationship of lipids and dementia exist. These include randomised controlled trials, observational studies of different analytical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describing prospective analyses, regardless of study design.</w:t>
      </w:r>
    </w:p>
    <w:p>
      <w:pPr>
        <w:pStyle w:val="BodyText"/>
      </w:pPr>
      <w:r>
        <w:t xml:space="preserve">Secondly, I explicitly sought to include health-related preprint servers as a potential evidence source in this review, as they are infrequently considered by evidence synthesists but report relevant unpublished analyses. As a sensitivity analysis to this review presented in this chapter, I sought to quantify the additional evidential value of including preprints, making use of the preprint search tool presented in Chapter</w:t>
      </w:r>
      <w:r>
        <w:t xml:space="preserve"> </w:t>
      </w:r>
      <w:r>
        <w:t xml:space="preserve">2</w:t>
      </w:r>
      <w:r>
        <w:t xml:space="preserve">.</w:t>
      </w:r>
    </w:p>
    <w:p>
      <w:pPr>
        <w:pStyle w:val="BodyText"/>
      </w:pPr>
      <w:r>
        <w:t xml:space="preserve">The results of this review are used to guide the primary analysis presented in Chapter</w:t>
      </w:r>
      <w:r>
        <w:t xml:space="preserve"> </w:t>
      </w:r>
      <w:r>
        <w:t xml:space="preserve">4</w:t>
      </w:r>
      <w:r>
        <w:t xml:space="preserve"> </w:t>
      </w:r>
      <w:r>
        <w:t xml:space="preserve">and</w:t>
      </w:r>
      <w:r>
        <w:t xml:space="preserve"> </w:t>
      </w:r>
      <w:r>
        <w:t xml:space="preserve">5</w:t>
      </w:r>
      <w:r>
        <w:t xml:space="preserve">, in addition to forming a key evidence source used in the triangulation exercise presented in Chapter</w:t>
      </w:r>
      <w:r>
        <w:t xml:space="preserve"> </w:t>
      </w:r>
      <w:r>
        <w:t xml:space="preserve">6</w:t>
      </w:r>
      <w:r>
        <w:t xml:space="preserve">.</w:t>
      </w:r>
    </w:p>
    <w:p>
      <w:pPr>
        <w:pStyle w:val="BodyText"/>
      </w:pPr>
      <w:r>
        <w:t xml:space="preserve"> </w:t>
      </w:r>
      <w:r>
        <w:t xml:space="preserve"> </w:t>
      </w:r>
    </w:p>
    <w:bookmarkEnd w:id="85"/>
    <w:bookmarkStart w:id="110" w:name="methods"/>
    <w:p>
      <w:pPr>
        <w:pStyle w:val="Heading2"/>
      </w:pPr>
      <w:r>
        <w:t xml:space="preserve">Methods</w:t>
      </w:r>
    </w:p>
    <w:bookmarkStart w:id="86" w:name="protocol"/>
    <w:p>
      <w:pPr>
        <w:pStyle w:val="Heading3"/>
      </w:pPr>
      <w:r>
        <w:t xml:space="preserve">Protocol</w:t>
      </w:r>
    </w:p>
    <w:p>
      <w:pPr>
        <w:pStyle w:val="FirstParagraph"/>
      </w:pPr>
      <w:r>
        <w:t xml:space="preserve">A pre-specified protocol for this analysis was registered on the Open Science Framework platform and is available for inspection.</w:t>
      </w:r>
      <w:hyperlink w:anchor="ref-mcguinnessluke2020">
        <w:r>
          <w:rPr>
            <w:rStyle w:val="Hyperlink"/>
            <w:vertAlign w:val="superscript"/>
          </w:rPr>
          <w:t xml:space="preserve">124</w:t>
        </w:r>
      </w:hyperlink>
      <w:r>
        <w:t xml:space="preserve"> </w:t>
      </w:r>
      <w:r>
        <w:t xml:space="preserve">Deviations from this protocol are detailed in the relevant sections.</w:t>
      </w:r>
    </w:p>
    <w:p>
      <w:pPr>
        <w:pStyle w:val="BodyText"/>
      </w:pPr>
      <w:r>
        <w:t xml:space="preserve"> </w:t>
      </w:r>
    </w:p>
    <w:bookmarkEnd w:id="86"/>
    <w:bookmarkStart w:id="87"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review was performed in conjunction with a team of secondary reviewers (see Acknowledgements and Author Declaration in the front matter).</w:t>
      </w:r>
      <w:r>
        <w:t xml:space="preserve"> </w:t>
      </w:r>
    </w:p>
    <w:p>
      <w:pPr>
        <w:pStyle w:val="BodyText"/>
      </w:pPr>
      <w:r>
        <w:t xml:space="preserve"> </w:t>
      </w:r>
    </w:p>
    <w:bookmarkEnd w:id="87"/>
    <w:bookmarkStart w:id="88" w:name="search-strategy"/>
    <w:p>
      <w:pPr>
        <w:pStyle w:val="Heading3"/>
      </w:pPr>
      <w:r>
        <w:t xml:space="preserve">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from inception onwards: Medline, EMBASE, Psychinfo, Cochrane Central Register of Controlled Trials (CENTRAL), and Web of Science Core Collection. As the contents of the Web of Science Core Collection can vary by institution,</w:t>
      </w:r>
      <w:hyperlink w:anchor="ref-gusenbauer2020a">
        <w:r>
          <w:rPr>
            <w:rStyle w:val="Hyperlink"/>
            <w:vertAlign w:val="superscript"/>
          </w:rPr>
          <w:t xml:space="preserve">125</w:t>
        </w:r>
      </w:hyperlink>
      <w:r>
        <w:t xml:space="preserve"> </w:t>
      </w:r>
      <w:r>
        <w:t xml:space="preserve">the specific databases and date ranges for each database searched via this platform are listed in Appendix</w:t>
      </w:r>
      <w:r>
        <w:t xml:space="preserve"> </w:t>
      </w:r>
      <w:r>
        <w:t xml:space="preserve">9.3.2</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72</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 high-level outline of the strategy is presented in the Table</w:t>
      </w:r>
      <w:r>
        <w:t xml:space="preserve"> </w:t>
      </w:r>
      <w:r>
        <w:t xml:space="preserve">6</w:t>
      </w:r>
      <w:r>
        <w:t xml:space="preserve"> </w:t>
      </w:r>
      <w:r>
        <w:t xml:space="preserve">below and the full search strategies for each database are presented in Appendix</w:t>
      </w:r>
      <w:r>
        <w:t xml:space="preserve"> </w:t>
      </w:r>
      <w:r>
        <w:t xml:space="preserve">9.3.1</w:t>
      </w:r>
      <w:r>
        <w:t xml:space="preserve">.</w:t>
      </w:r>
      <w:r>
        <w:t xml:space="preserve"> </w:t>
      </w:r>
    </w:p>
    <w:p>
      <w:pPr>
        <w:pStyle w:val="BodyText"/>
      </w:pPr>
      <w:r>
        <w:t xml:space="preserve"> </w:t>
      </w:r>
    </w:p>
    <w:p>
      <w:pPr>
        <w:pStyle w:val="BodyText"/>
      </w:pPr>
      <w:r>
        <w:t xml:space="preserve">Table 6: Summary of systematic search by topic. The full search strategy including all terms and the number of hits per term is included in Appendix</w:t>
      </w:r>
      <w:r>
        <w:t xml:space="preserve"> </w:t>
      </w:r>
      <w:r>
        <w:t xml:space="preserve">9.3.1</w:t>
      </w:r>
      <w:r>
        <w:t xml:space="preserve">.</w:t>
      </w:r>
    </w:p>
    <w:p>
      <w:pPr>
        <w:pStyle w:val="BodyText"/>
      </w:pPr>
      <w:r>
        <w:t xml:space="preserve">No. </w:t>
      </w:r>
    </w:p>
    <w:p>
      <w:pPr>
        <w:pStyle w:val="BodyText"/>
      </w:pPr>
      <w:r>
        <w:t xml:space="preserve">Concept</w:t>
      </w:r>
    </w:p>
    <w:p>
      <w:pPr>
        <w:pStyle w:val="BodyText"/>
      </w:pPr>
      <w:r>
        <w:t xml:space="preserve">1</w:t>
      </w:r>
    </w:p>
    <w:p>
      <w:pPr>
        <w:pStyle w:val="BodyText"/>
      </w:pPr>
      <w:r>
        <w:t xml:space="preserve">Dementia</w:t>
      </w:r>
    </w:p>
    <w:p>
      <w:pPr>
        <w:pStyle w:val="BodyText"/>
      </w:pPr>
      <w:r>
        <w:t xml:space="preserve">2</w:t>
      </w:r>
    </w:p>
    <w:p>
      <w:pPr>
        <w:pStyle w:val="BodyText"/>
      </w:pPr>
      <w:r>
        <w:t xml:space="preserve">Lipids</w:t>
      </w:r>
    </w:p>
    <w:p>
      <w:pPr>
        <w:pStyle w:val="BodyText"/>
      </w:pPr>
      <w:r>
        <w:t xml:space="preserve">3</w:t>
      </w:r>
    </w:p>
    <w:p>
      <w:pPr>
        <w:pStyle w:val="BodyText"/>
      </w:pPr>
      <w:r>
        <w:t xml:space="preserve">Lipid-modifying treatments</w:t>
      </w:r>
    </w:p>
    <w:p>
      <w:pPr>
        <w:pStyle w:val="BodyText"/>
      </w:pPr>
      <w:r>
        <w:t xml:space="preserve">4</w:t>
      </w:r>
    </w:p>
    <w:p>
      <w:pPr>
        <w:pStyle w:val="BodyText"/>
      </w:pPr>
      <w:r>
        <w:t xml:space="preserve">1 AND 2</w:t>
      </w:r>
    </w:p>
    <w:p>
      <w:pPr>
        <w:pStyle w:val="BodyText"/>
      </w:pPr>
      <w:r>
        <w:t xml:space="preserve">5</w:t>
      </w:r>
    </w:p>
    <w:p>
      <w:pPr>
        <w:pStyle w:val="BodyText"/>
      </w:pPr>
      <w:r>
        <w:t xml:space="preserve">1 AND 3</w:t>
      </w:r>
    </w:p>
    <w:p>
      <w:pPr>
        <w:pStyle w:val="BodyText"/>
      </w:pPr>
      <w:r>
        <w:t xml:space="preserve">6</w:t>
      </w:r>
    </w:p>
    <w:p>
      <w:pPr>
        <w:pStyle w:val="BodyText"/>
      </w:pPr>
      <w:r>
        <w:t xml:space="preserve">4 OR 5</w:t>
      </w:r>
    </w:p>
    <w:p>
      <w:pPr>
        <w:pStyle w:val="BodyText"/>
      </w:pPr>
      <w:r>
        <w:t xml:space="preserve">7</w:t>
      </w:r>
    </w:p>
    <w:p>
      <w:pPr>
        <w:pStyle w:val="BodyText"/>
      </w:pPr>
      <w:r>
        <w:t xml:space="preserve">Animals NOT (Animals AND Humans)</w:t>
      </w:r>
    </w:p>
    <w:p>
      <w:pPr>
        <w:pStyle w:val="BodyText"/>
      </w:pPr>
      <w:r>
        <w:t xml:space="preserve">8</w:t>
      </w:r>
    </w:p>
    <w:p>
      <w:pPr>
        <w:pStyle w:val="BodyText"/>
      </w:pPr>
      <w:r>
        <w:t xml:space="preserve">6 NOT 7</w:t>
      </w:r>
    </w:p>
    <w:p>
      <w:pPr>
        <w:pStyle w:val="BodyText"/>
      </w:pPr>
      <w:r>
        <w:t xml:space="preserve">9</w:t>
      </w:r>
    </w:p>
    <w:p>
      <w:pPr>
        <w:pStyle w:val="BodyText"/>
      </w:pPr>
      <w:r>
        <w:t xml:space="preserve">Observational filter</w:t>
      </w:r>
    </w:p>
    <w:p>
      <w:pPr>
        <w:pStyle w:val="BodyText"/>
      </w:pPr>
      <w:r>
        <w:t xml:space="preserve">10</w:t>
      </w:r>
    </w:p>
    <w:p>
      <w:pPr>
        <w:pStyle w:val="BodyText"/>
      </w:pPr>
      <w:r>
        <w:t xml:space="preserve">Randomised controlled trial (RCT) filter</w:t>
      </w:r>
    </w:p>
    <w:p>
      <w:pPr>
        <w:pStyle w:val="BodyText"/>
      </w:pPr>
      <w:r>
        <w:t xml:space="preserve">11</w:t>
      </w:r>
    </w:p>
    <w:p>
      <w:pPr>
        <w:pStyle w:val="BodyText"/>
      </w:pPr>
      <w:r>
        <w:t xml:space="preserve">Mendelian randomisation/Instrumental variable filter</w:t>
      </w:r>
    </w:p>
    <w:p>
      <w:pPr>
        <w:pStyle w:val="BodyText"/>
      </w:pPr>
      <w:r>
        <w:t xml:space="preserve">12</w:t>
      </w:r>
    </w:p>
    <w:p>
      <w:pPr>
        <w:pStyle w:val="BodyText"/>
      </w:pPr>
      <w:r>
        <w:t xml:space="preserve">OR/ 9-11</w:t>
      </w:r>
    </w:p>
    <w:p>
      <w:pPr>
        <w:pStyle w:val="BodyText"/>
      </w:pPr>
      <w:r>
        <w:t xml:space="preserve">13</w:t>
      </w:r>
    </w:p>
    <w:p>
      <w:pPr>
        <w:pStyle w:val="BodyText"/>
      </w:pPr>
      <w:r>
        <w:t xml:space="preserve">8 AND 12</w:t>
      </w:r>
    </w:p>
    <w:p>
      <w:pPr>
        <w:pStyle w:val="BodyText"/>
      </w:pPr>
      <w:r>
        <w:t xml:space="preserve"> </w:t>
      </w:r>
    </w:p>
    <w:p>
      <w:pPr>
        <w:pStyle w:val="BodyText"/>
      </w:pPr>
      <w:r>
        <w:t xml:space="preserve">When searching the bibliographic databases, study design filters were employed to try and reduce the screening load. To ensure that the study design filters were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6</w:t>
      </w:r>
      <w:r>
        <w:t xml:space="preserve">) was screened.</w:t>
      </w:r>
    </w:p>
    <w:p>
      <w:pPr>
        <w:pStyle w:val="BodyText"/>
      </w:pPr>
      <w:r>
        <w:t xml:space="preserve">I also searched clinical trial registries, for example ClinicalTrials.gov, to identify relevant randomized controlled trials. In addition, I searched the bioRxiv and medRxiv preprint repositories using the tool developed in Chapter</w:t>
      </w:r>
      <w:r>
        <w:t xml:space="preserve"> </w:t>
      </w:r>
      <w:r>
        <w:t xml:space="preserve">2</w:t>
      </w:r>
      <w:r>
        <w:t xml:space="preserve"> </w:t>
      </w:r>
      <w:r>
        <w:t xml:space="preserve">to identify potentially relevant preprinted studies (see Appendix</w:t>
      </w:r>
      <w:r>
        <w:t xml:space="preserve"> </w:t>
      </w:r>
      <w:r>
        <w:t xml:space="preserve">9.3.3</w:t>
      </w:r>
      <w:r>
        <w:t xml:space="preserve"> </w:t>
      </w:r>
      <w:r>
        <w:t xml:space="preserve">for the code used to search these preprint repositories).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p>
    <w:p>
      <w:pPr>
        <w:pStyle w:val="BodyText"/>
      </w:pPr>
      <w:r>
        <w:t xml:space="preserve"> </w:t>
      </w:r>
      <w:r>
        <w:t xml:space="preserve"> </w:t>
      </w:r>
    </w:p>
    <w:bookmarkEnd w:id="88"/>
    <w:bookmarkStart w:id="91"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126</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identified as duplicates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127</w:t>
        </w:r>
      </w:hyperlink>
      <w:r>
        <w:t xml:space="preserve"> </w:t>
      </w:r>
      <w:r>
        <w:t xml:space="preserve">and Rayyan, a web-based screening application.</w:t>
      </w:r>
      <w:hyperlink w:anchor="ref-ouzzani2016">
        <w:r>
          <w:rPr>
            <w:rStyle w:val="Hyperlink"/>
            <w:vertAlign w:val="superscript"/>
          </w:rPr>
          <w:t xml:space="preserve">128</w:t>
        </w:r>
      </w:hyperlink>
      <w:r>
        <w:t xml:space="preserve"> </w:t>
      </w:r>
      <w:r>
        <w:t xml:space="preserve">Title and abstract screening to remove obviously irrelevant records was performed primarily by me, with a random ~10% sample of excluded records being screened in duplicate to ensure consistency with the inclusion criteria. Additionally, I re-screened the same ~10% sample with 3 month lag to assess intra-rater consistency.</w:t>
      </w:r>
    </w:p>
    <w:p>
      <w:pPr>
        <w:pStyle w:val="BodyText"/>
      </w:pPr>
      <w:r>
        <w:t xml:space="preserve">Similarly, I completed all full-text screening, with a random ~20% being screened in duplicate by a second reviewer, in addition to any records identified I identified as being difficult to assess against the inclusion criteria were screened in duplicate.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83</w:t>
        </w:r>
      </w:hyperlink>
    </w:p>
    <w:p>
      <w:pPr>
        <w:pStyle w:val="BodyText"/>
      </w:pPr>
      <w:r>
        <w:t xml:space="preserve">The criteria against which records were assessed for eligibility are presented in the subsequent sections.</w:t>
      </w:r>
    </w:p>
    <w:p>
      <w:pPr>
        <w:pStyle w:val="BodyText"/>
      </w:pPr>
      <w:r>
        <w:t xml:space="preserve"> </w:t>
      </w:r>
    </w:p>
    <w:bookmarkStart w:id="89" w:name="inclusion-criteria"/>
    <w:p>
      <w:pPr>
        <w:pStyle w:val="Heading4"/>
      </w:pPr>
      <w:r>
        <w:t xml:space="preserve">Inclusion criteria</w:t>
      </w:r>
    </w:p>
    <w:p>
      <w:pPr>
        <w:pStyle w:val="FirstParagraph"/>
      </w:pPr>
      <w:r>
        <w:t xml:space="preserve">I sought to include studies that examined blood lipid levels as a risk factor for demenita outcomes, defined either as binary hypercholesterolemia variable or by category/1-standard-deviation increase of a specific lipid fraction (total cholesterol, high- and low-density lipoprotein cholesterol and triglycerides). I also aimed to include studies examining the effect of treatments that modify lipids levels as a source of indirect evidence. Eligible study designs included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Eligible studies screened participants for dementia at baseline and excluded any prevalent cases. Alternatively, where no baseline screening was employed, participants were assumed to be dementia free if less than 50 years of age at baseline. Studies of any duration were included to allow for exploration of the effect of length of follow-up on the effect estimate using meta-regression. No limits were placed on the sample size of included studies.</w:t>
      </w:r>
    </w:p>
    <w:p>
      <w:pPr>
        <w:pStyle w:val="BodyText"/>
      </w:pPr>
      <w:r>
        <w:t xml:space="preserve">Eligible studies defined dementia outcomes according to recognised criteria, for example the International Classification of Diseases (ICD),</w:t>
      </w:r>
      <w:hyperlink w:anchor="ref-organizationwho1993">
        <w:r>
          <w:rPr>
            <w:rStyle w:val="Hyperlink"/>
            <w:vertAlign w:val="superscript"/>
          </w:rPr>
          <w:t xml:space="preserve">129</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130</w:t>
        </w:r>
      </w:hyperlink>
      <w:r>
        <w:t xml:space="preserve"> </w:t>
      </w:r>
      <w:r>
        <w:t xml:space="preserve">or Diagnostic and Statistical Manual of Mental Disorders (DSM) criteria.</w:t>
      </w:r>
      <w:hyperlink w:anchor="ref-edition2013">
        <w:r>
          <w:rPr>
            <w:rStyle w:val="Hyperlink"/>
            <w:vertAlign w:val="superscript"/>
          </w:rPr>
          <w:t xml:space="preserve">131</w:t>
        </w:r>
      </w:hyperlink>
      <w:r>
        <w:t xml:space="preserve"> </w:t>
      </w:r>
      <w:r>
        <w:t xml:space="preserve">Studies utilising electronic health records were the exception to this, as it was assumed that a valid criteria was employed when entering used when entering the outcome into the EHR.</w:t>
      </w:r>
    </w:p>
    <w:p>
      <w:pPr>
        <w:pStyle w:val="BodyText"/>
      </w:pPr>
      <w:r>
        <w:t xml:space="preserve">Conference abstracts with no corresponding full-text publication were eligible, and where required, I contacted authors to obtain information on the study’s status. No limitations were imposed on publication status, date, venue or language.</w:t>
      </w:r>
    </w:p>
    <w:p>
      <w:pPr>
        <w:pStyle w:val="BodyText"/>
      </w:pPr>
      <w:r>
        <w:t xml:space="preserve"> </w:t>
      </w:r>
    </w:p>
    <w:bookmarkEnd w:id="89"/>
    <w:bookmarkStart w:id="90"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nested case-control studies, where historical records are used to determine the exposure status, were eligible for inclusion. Cross-sectional studies, qualitative studies, case reports/series and narrative reviews were also excluded, as were studies that measure change in continuous cognitive measures (e.g. MoCA score) without attempt to map these scores to ordinal groups (e.g. no dementia/dementia). 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a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were excluded. Finally, studies using a dietary intervention, for example omega-3 fatty acid enriched diet, were excluded as it is difficult to disentangle the effect of other elements contained within the diet. Note, this is distinct from studies which delivered a simple tablet-based omega-3 intervention, which would have been eligible for inclusion.</w:t>
      </w:r>
    </w:p>
    <w:p>
      <w:pPr>
        <w:pStyle w:val="BodyText"/>
      </w:pPr>
      <w:r>
        <w:t xml:space="preserve"> </w:t>
      </w:r>
    </w:p>
    <w:bookmarkEnd w:id="90"/>
    <w:bookmarkEnd w:id="91"/>
    <w:bookmarkStart w:id="92"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consistency),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132</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132</w:t>
        </w:r>
      </w:hyperlink>
      <w:r>
        <w:t xml:space="preserve"> </w:t>
      </w:r>
      <w:r>
        <w:t xml:space="preserve">Given the small number of included studies in this review as a proportion of the total number screened, this is a useful characteristic.</w:t>
      </w:r>
    </w:p>
    <w:p>
      <w:pPr>
        <w:pStyle w:val="BodyText"/>
      </w:pPr>
      <w:r>
        <w:t xml:space="preserve">How to interpret agreement co-efficients is widely debated, and while arbitary cut-off values may mislead readers,</w:t>
      </w:r>
      <w:hyperlink w:anchor="ref-brennan1992">
        <w:r>
          <w:rPr>
            <w:rStyle w:val="Hyperlink"/>
            <w:vertAlign w:val="superscript"/>
          </w:rPr>
          <w:t xml:space="preserve">135</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136</w:t>
        </w:r>
      </w:hyperlink>
      <w:r>
        <w:t xml:space="preserve"> </w:t>
      </w:r>
      <w:r>
        <w:t xml:space="preserve">presented in Table</w:t>
      </w:r>
      <w:r>
        <w:t xml:space="preserve"> </w:t>
      </w:r>
      <w:r>
        <w:t xml:space="preserve">7</w:t>
      </w:r>
      <w:r>
        <w:t xml:space="preserve">.</w:t>
      </w:r>
    </w:p>
    <w:p>
      <w:pPr>
        <w:pStyle w:val="BodyText"/>
      </w:pPr>
      <w:r>
        <w:t xml:space="preserve"> </w:t>
      </w:r>
    </w:p>
    <w:p>
      <w:pPr>
        <w:pStyle w:val="BodyText"/>
      </w:pPr>
      <w:r>
        <w:t xml:space="preserve">Table 7: Suggested ranges to aid in interpretation of Gwet’s AC1 inter-rater reliability metric</w:t>
      </w:r>
    </w:p>
    <w:p>
      <w:pPr>
        <w:pStyle w:val="BodyText"/>
      </w:pPr>
      <w:r>
        <w:t xml:space="preserve">Kappa</w:t>
      </w:r>
    </w:p>
    <w:p>
      <w:pPr>
        <w:pStyle w:val="BodyText"/>
      </w:pPr>
      <w:r>
        <w:t xml:space="preserve">Interpretation</w:t>
      </w:r>
    </w:p>
    <w:p>
      <w:pPr>
        <w:pStyle w:val="BodyText"/>
      </w:pPr>
      <w:r>
        <w:t xml:space="preserve">0 – 0.20</w:t>
      </w:r>
    </w:p>
    <w:p>
      <w:pPr>
        <w:pStyle w:val="BodyText"/>
      </w:pPr>
      <w:r>
        <w:t xml:space="preserve">None</w:t>
      </w:r>
    </w:p>
    <w:p>
      <w:pPr>
        <w:pStyle w:val="BodyText"/>
      </w:pPr>
      <w:r>
        <w:t xml:space="preserve">0.21 – 0.39</w:t>
      </w:r>
    </w:p>
    <w:p>
      <w:pPr>
        <w:pStyle w:val="BodyText"/>
      </w:pPr>
      <w:r>
        <w:t xml:space="preserve">Minimal</w:t>
      </w:r>
    </w:p>
    <w:p>
      <w:pPr>
        <w:pStyle w:val="BodyText"/>
      </w:pPr>
      <w:r>
        <w:t xml:space="preserve">0.40 – 0.59</w:t>
      </w:r>
    </w:p>
    <w:p>
      <w:pPr>
        <w:pStyle w:val="BodyText"/>
      </w:pPr>
      <w:r>
        <w:t xml:space="preserve">Weak</w:t>
      </w:r>
    </w:p>
    <w:p>
      <w:pPr>
        <w:pStyle w:val="BodyText"/>
      </w:pPr>
      <w:r>
        <w:t xml:space="preserve">0.60 – 0.79</w:t>
      </w:r>
    </w:p>
    <w:p>
      <w:pPr>
        <w:pStyle w:val="BodyText"/>
      </w:pPr>
      <w:r>
        <w:t xml:space="preserve">Moderate</w:t>
      </w:r>
    </w:p>
    <w:p>
      <w:pPr>
        <w:pStyle w:val="BodyText"/>
      </w:pPr>
      <w:r>
        <w:t xml:space="preserve">0.80 – 0.90</w:t>
      </w:r>
    </w:p>
    <w:p>
      <w:pPr>
        <w:pStyle w:val="BodyText"/>
      </w:pPr>
      <w:r>
        <w:t xml:space="preserve">Strong</w:t>
      </w:r>
    </w:p>
    <w:p>
      <w:pPr>
        <w:pStyle w:val="BodyText"/>
      </w:pPr>
      <w:r>
        <w:t xml:space="preserve">&gt; 0.90</w:t>
      </w:r>
    </w:p>
    <w:p>
      <w:pPr>
        <w:pStyle w:val="BodyText"/>
      </w:pPr>
      <w:r>
        <w:t xml:space="preserve">Almost perfect</w:t>
      </w:r>
    </w:p>
    <w:p>
      <w:pPr>
        <w:pStyle w:val="BodyText"/>
      </w:pPr>
      <w:r>
        <w:t xml:space="preserve"> </w:t>
      </w:r>
    </w:p>
    <w:p>
      <w:pPr>
        <w:pStyle w:val="BodyText"/>
      </w:pPr>
      <w:r>
        <w:t xml:space="preserve">Intra- and inter-rater reliability was assessed against these cut-offs. If this assessment demonstrated issues with the screening process (defined as an AC1 of less than .9), a larger proportion of records would have been dual-screened.</w:t>
      </w:r>
    </w:p>
    <w:p>
      <w:pPr>
        <w:pStyle w:val="BodyText"/>
      </w:pPr>
      <w:r>
        <w:t xml:space="preserve"> </w:t>
      </w:r>
      <w:r>
        <w:t xml:space="preserve"> </w:t>
      </w:r>
    </w:p>
    <w:bookmarkEnd w:id="92"/>
    <w:bookmarkStart w:id="98"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list, journal), study characteristics (study location, data source, exposure, outcomes, outcome criteria used), patient characteristics (age, sex, baseline cognition scores, baseline education scores), and results (exposure-outcome pairing, effect measure, effect estimate, error estimate, p-value). I extracted all data in the first instance, which was subsequently checked for accuracy by a second member of the review team.</w:t>
      </w:r>
    </w:p>
    <w:p>
      <w:pPr>
        <w:pStyle w:val="BodyText"/>
      </w:pPr>
      <w:r>
        <w:t xml:space="preserve"> </w:t>
      </w:r>
    </w:p>
    <w:bookmarkStart w:id="93" w:name="grouping-multiple-reports-into-studies"/>
    <w:p>
      <w:pPr>
        <w:pStyle w:val="Heading4"/>
      </w:pPr>
      <w:r>
        <w:t xml:space="preserve">Grouping multiple reports into studies</w:t>
      </w:r>
    </w:p>
    <w:p>
      <w:pPr>
        <w:pStyle w:val="FirstParagraph"/>
      </w:pPr>
      <w:r>
        <w:t xml:space="preserve">As part of the data extraction process, multiple records resulting from the analysis of the same data were included and grouped into single units, hereafter called studies. This was common in cases where multiple papers report results on the same cohort but at different time points. This process builds out the most comprehensive account of a given studies possible by incorporating information from all available records.</w:t>
      </w:r>
    </w:p>
    <w:p>
      <w:pPr>
        <w:pStyle w:val="BodyText"/>
      </w:pPr>
      <w:r>
        <w:t xml:space="preserve">This was particularly relevant to preprints and published papers reporting the same study, which were not considered to be duplicate records but instead different reports of the same study. This is due to the potential for the published version to offer some information that the preprint did not, and vice versa.</w:t>
      </w:r>
    </w:p>
    <w:p>
      <w:pPr>
        <w:pStyle w:val="BodyText"/>
      </w:pPr>
      <w:r>
        <w:t xml:space="preserve"> </w:t>
      </w:r>
    </w:p>
    <w:bookmarkEnd w:id="93"/>
    <w:bookmarkStart w:id="94" w:name="combining-across-groups"/>
    <w:p>
      <w:pPr>
        <w:pStyle w:val="Heading4"/>
      </w:pPr>
      <w:r>
        <w:t xml:space="preserve">Combining across groups</w:t>
      </w:r>
    </w:p>
    <w:p>
      <w:pPr>
        <w:pStyle w:val="FirstParagraph"/>
      </w:pPr>
      <w:r>
        <w:t xml:space="preserve">In line with best practice, where summary data was presented across two groups (e.g. age at baseline stratified by hypercholesterolemia status), the following approach was used to combine the groups:</w:t>
      </w:r>
      <w:hyperlink w:anchor="ref-higgins2019">
        <w:r>
          <w:rPr>
            <w:rStyle w:val="Hyperlink"/>
            <w:vertAlign w:val="superscript"/>
          </w:rPr>
          <w:t xml:space="preserve">137</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2</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N</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3</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4</m:t>
          </m:r>
          <m:r>
            <m:rPr>
              <m:sty m:val="p"/>
            </m:rPr>
            <m:t>)</m:t>
          </m:r>
        </m:oMath>
      </m:oMathPara>
    </w:p>
    <w:p>
      <w:pPr>
        <w:pStyle w:val="FirstParagraph"/>
      </w:pPr>
      <w:r>
        <w:t xml:space="preserve"> </w:t>
      </w:r>
    </w:p>
    <w:p>
      <w:pPr>
        <w:pStyle w:val="BodyText"/>
      </w:pPr>
      <w:r>
        <w:t xml:space="preserve">This was implemented in a systematic manner, with the raw group data being extracted and a cleaning script employed to combine the groups for analysis.</w:t>
      </w:r>
    </w:p>
    <w:p>
      <w:pPr>
        <w:pStyle w:val="BodyText"/>
      </w:pPr>
      <w:r>
        <w:t xml:space="preserve"> </w:t>
      </w:r>
    </w:p>
    <w:bookmarkEnd w:id="94"/>
    <w:bookmarkStart w:id="95"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1.4.1</w:t>
      </w:r>
      <w:r>
        <w:t xml:space="preserve">.</w:t>
      </w:r>
    </w:p>
    <w:p>
      <w:pPr>
        <w:pStyle w:val="BodyText"/>
      </w:pPr>
      <w:r>
        <w:t xml:space="preserve"> </w:t>
      </w:r>
    </w:p>
    <w:bookmarkEnd w:id="95"/>
    <w:bookmarkStart w:id="96" w:name="contacting-authors"/>
    <w:p>
      <w:pPr>
        <w:pStyle w:val="Heading4"/>
      </w:pPr>
      <w:r>
        <w:t xml:space="preserve">Following up with authors</w:t>
      </w:r>
    </w:p>
    <w:p>
      <w:pPr>
        <w:pStyle w:val="FirstParagraph"/>
      </w:pPr>
      <w:r>
        <w:t xml:space="preserve">Where additional data points not included in the report of an analysis were required either for the analysis or risk-of-bias assessment, the corresponding author of the study was contacted. This approach was taken due to the potentially large impact of following up with authors on the results of the review.</w:t>
      </w:r>
      <w:hyperlink w:anchor="ref-reynders2019">
        <w:r>
          <w:rPr>
            <w:rStyle w:val="Hyperlink"/>
            <w:vertAlign w:val="superscript"/>
          </w:rPr>
          <w:t xml:space="preserve">138</w:t>
        </w:r>
      </w:hyperlink>
    </w:p>
    <w:p>
      <w:pPr>
        <w:pStyle w:val="BodyText"/>
      </w:pPr>
      <w:r>
        <w:t xml:space="preserve"> </w:t>
      </w:r>
    </w:p>
    <w:bookmarkEnd w:id="96"/>
    <w:bookmarkStart w:id="97" w:name="analysis-of-varying-effect-measures"/>
    <w:p>
      <w:pPr>
        <w:pStyle w:val="Heading4"/>
      </w:pPr>
      <w:r>
        <w:t xml:space="preserve">Analysis of varying effect measures</w:t>
      </w:r>
    </w:p>
    <w:p>
      <w:pPr>
        <w:pStyle w:val="FirstParagraph"/>
      </w:pPr>
      <w:r>
        <w:t xml:space="preserve">The range of effect measures presented by studies (odds ratios, risk ratios, hazard ratios, etc) are not directly interchangeable in the context of systematic review. As such, different effect estimates can be one potential problem that precludes a meta-analysis of all studies.</w:t>
      </w:r>
      <w:hyperlink w:anchor="ref-mckenzie2019">
        <w:r>
          <w:rPr>
            <w:rStyle w:val="Hyperlink"/>
            <w:vertAlign w:val="superscript"/>
          </w:rPr>
          <w:t xml:space="preserve">139</w:t>
        </w:r>
      </w:hyperlink>
      <w:r>
        <w:t xml:space="preserve"> </w:t>
      </w:r>
      <w:r>
        <w:t xml:space="preserve">If the outcome is rare, as is the case for dementia outcomes, the estimated prevalence of odds and risk ratios will approximate each other.</w:t>
      </w:r>
      <w:r>
        <w:t xml:space="preserve"> </w:t>
      </w:r>
      <w:r>
        <w:t xml:space="preserve">However, hazard ratios provide a very different interpretation, taking into account person-time-at-risk in each treatment group.</w:t>
      </w:r>
    </w:p>
    <w:p>
      <w:pPr>
        <w:pStyle w:val="BodyText"/>
      </w:pPr>
      <w:r>
        <w:t xml:space="preserve">Several existing reviews do not distinguish between the types of effect measures and include all existing studies in a single meta-analysis to produce an overall effect estimate. However, in this review, the small subset of studies reporting odds/risk ratios are synthesised separately to those reporting hazard ratios.</w:t>
      </w:r>
    </w:p>
    <w:p>
      <w:pPr>
        <w:pStyle w:val="BodyText"/>
      </w:pPr>
      <w:r>
        <w:t xml:space="preserve"> </w:t>
      </w:r>
    </w:p>
    <w:bookmarkEnd w:id="97"/>
    <w:bookmarkEnd w:id="98"/>
    <w:bookmarkStart w:id="103" w:name="risk-of-bias"/>
    <w:p>
      <w:pPr>
        <w:pStyle w:val="Heading3"/>
      </w:pPr>
      <w:r>
        <w:t xml:space="preserve">Risk-of-bias assessment</w:t>
      </w:r>
    </w:p>
    <w:p>
      <w:pPr>
        <w:pStyle w:val="FirstParagraph"/>
      </w:pPr>
      <w:r>
        <w:t xml:space="preserve">A key aim of the review presented in this chapter is to identify different sources of evidence at risk of a diverse range of biases, and to contrast and compare findings across them (see Section</w:t>
      </w:r>
      <w:r>
        <w:t xml:space="preserve"> </w:t>
      </w:r>
      <w:r>
        <w:t xml:space="preserve">6.4.1</w:t>
      </w:r>
      <w:r>
        <w:t xml:space="preserve"> </w:t>
      </w:r>
      <w:r>
        <w:t xml:space="preserve">for an overview of triangulation and Chapter</w:t>
      </w:r>
      <w:r>
        <w:t xml:space="preserve"> </w:t>
      </w:r>
      <w:r>
        <w:t xml:space="preserve">6</w:t>
      </w:r>
      <w:r>
        <w:t xml:space="preserve"> </w:t>
      </w:r>
      <w:r>
        <w:t xml:space="preserve">for the results of this analysis). To enable this triangulation exercise, a detailed and structured risk-of-bias assessment formed an important part of this review.</w:t>
      </w:r>
    </w:p>
    <w:p>
      <w:pPr>
        <w:pStyle w:val="BodyText"/>
      </w:pPr>
      <w:r>
        <w:t xml:space="preserve">There has been a recent movement within the evidence synthesis community away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84</w:t>
        </w:r>
      </w:hyperlink>
      <w:r>
        <w:rPr>
          <w:vertAlign w:val="superscript"/>
        </w:rPr>
        <w:t xml:space="preserve">,</w:t>
      </w:r>
      <w:hyperlink w:anchor="ref-sterne2016">
        <w:r>
          <w:rPr>
            <w:rStyle w:val="Hyperlink"/>
            <w:vertAlign w:val="superscript"/>
          </w:rPr>
          <w:t xml:space="preserve">140</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141</w:t>
        </w:r>
      </w:hyperlink>
      <w:r>
        <w:rPr>
          <w:vertAlign w:val="superscript"/>
        </w:rPr>
        <w:t xml:space="preserve">,</w:t>
      </w:r>
      <w:hyperlink w:anchor="ref-juni2001">
        <w:r>
          <w:rPr>
            <w:rStyle w:val="Hyperlink"/>
            <w:vertAlign w:val="superscript"/>
          </w:rPr>
          <w:t xml:space="preserve">142</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unclear reporting, in addition to challenges in the comparison of results from different tools.</w:t>
      </w:r>
      <w:r>
        <w:t xml:space="preserve"> </w:t>
      </w:r>
      <w:r>
        <w:t xml:space="preserve"> </w:t>
      </w:r>
      <w:r>
        <w:t xml:space="preserve">As part of this shift, the focus shifted from checklist or score based tools towards domain-based methods, in which different potential sources of bias in a study are assessed in order.</w:t>
      </w:r>
      <w:r>
        <w:t xml:space="preserve"> </w:t>
      </w:r>
      <w:r>
        <w:t xml:space="preserve"> </w:t>
      </w:r>
      <w:r>
        <w:t xml:space="preserve">Finally, tools movide from assessing bias at the study level to considering each indivudal result reported seperately. For example, a study may report on the efficacy of an intervention at six months and two years follow-up. In this case, missing outcome data that is not an issue at six months may introduce bias after two years of follow-up, and assigning a single risk-of-bias judgement to the study as a whole masks the different biases applicable to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99" w:name="randomised-controlled-trials-1"/>
    <w:p>
      <w:pPr>
        <w:pStyle w:val="Heading4"/>
      </w:pPr>
      <w:r>
        <w:t xml:space="preserve">Randomised controlled trials</w:t>
      </w:r>
    </w:p>
    <w:p>
      <w:pPr>
        <w:pStyle w:val="FirstParagraph"/>
      </w:pPr>
      <w:r>
        <w:t xml:space="preserve">Randomized controlled trials were assessed using the RoB 2 tool.</w:t>
      </w:r>
      <w:hyperlink w:anchor="ref-sterne2019">
        <w:r>
          <w:rPr>
            <w:rStyle w:val="Hyperlink"/>
            <w:vertAlign w:val="superscript"/>
          </w:rPr>
          <w:t xml:space="preserve">143</w:t>
        </w:r>
      </w:hyperlink>
      <w:r>
        <w:t xml:space="preserve"> </w:t>
      </w: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for each domain include:</w:t>
      </w:r>
      <w:r>
        <w:t xml:space="preserve"> </w:t>
      </w:r>
      <w:r>
        <w:t xml:space="preserve">“</w:t>
      </w:r>
      <w:r>
        <w:t xml:space="preserve">low risk</w:t>
      </w:r>
      <w:r>
        <w:t xml:space="preserve">”</w:t>
      </w:r>
      <w:r>
        <w:t xml:space="preserve">,</w:t>
      </w:r>
      <w:r>
        <w:t xml:space="preserve"> </w:t>
      </w:r>
      <w:r>
        <w:t xml:space="preserve">“</w:t>
      </w:r>
      <w:r>
        <w:t xml:space="preserve">some concerns</w:t>
      </w:r>
      <w:r>
        <w:t xml:space="preserve">”</w:t>
      </w:r>
      <w:r>
        <w:t xml:space="preserve">,</w:t>
      </w:r>
      <w:r>
        <w:t xml:space="preserve"> </w:t>
      </w:r>
      <w:r>
        <w:t xml:space="preserve">“</w:t>
      </w:r>
      <w:r>
        <w:t xml:space="preserve">high risk</w:t>
      </w:r>
      <w:r>
        <w:t xml:space="preserve">”</w:t>
      </w:r>
      <w:r>
        <w:t xml:space="preserve">. Each of the five domains contains a series of signalling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99"/>
    <w:bookmarkStart w:id="100" w:name="rob-tools-nrse"/>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140</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prompting questions per domain, with acceptable judgements including</w:t>
      </w:r>
      <w:r>
        <w:t xml:space="preserve"> </w:t>
      </w:r>
      <w:r>
        <w:t xml:space="preserve">“</w:t>
      </w:r>
      <w:r>
        <w:t xml:space="preserve">low risk</w:t>
      </w:r>
      <w:r>
        <w:t xml:space="preserve">”</w:t>
      </w:r>
      <w:r>
        <w:t xml:space="preserve">,</w:t>
      </w:r>
      <w:r>
        <w:t xml:space="preserve"> </w:t>
      </w:r>
      <w:r>
        <w:t xml:space="preserve">“</w:t>
      </w:r>
      <w:r>
        <w:t xml:space="preserve">moderate risk</w:t>
      </w:r>
      <w:r>
        <w:t xml:space="preserve">”</w:t>
      </w:r>
      <w:r>
        <w:t xml:space="preserve">,</w:t>
      </w:r>
      <w:r>
        <w:t xml:space="preserve"> </w:t>
      </w:r>
      <w:r>
        <w:t xml:space="preserve">“</w:t>
      </w:r>
      <w:r>
        <w:t xml:space="preserve">serious risk</w:t>
      </w:r>
      <w:r>
        <w:t xml:space="preserve">”</w:t>
      </w:r>
      <w:r>
        <w:t xml:space="preserve"> </w:t>
      </w:r>
      <w:r>
        <w:t xml:space="preserve">and</w:t>
      </w:r>
      <w:r>
        <w:t xml:space="preserve"> </w:t>
      </w:r>
      <w:r>
        <w:t xml:space="preserve">“</w:t>
      </w:r>
      <w:r>
        <w:t xml:space="preserve">critical risk</w:t>
      </w:r>
      <w:r>
        <w:t xml:space="preserve">”</w:t>
      </w:r>
      <w:r>
        <w:t xml:space="preserve">. In the context of the tool, observational studies are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144</w:t>
        </w:r>
      </w:hyperlink>
      <w:r>
        <w:t xml:space="preserve"> </w:t>
      </w:r>
      <w:r>
        <w:t xml:space="preserve">but was insufficiently developed at the time the risk-of-bias assessments for this review were performed. Instead, I used a version of the ROBINS-I tool informed by the preliminary ROBINS-E tool (Risk of Bias In Non-randomised Studies – of Exposure), which I had previously applied in a published review.</w:t>
      </w:r>
      <w:hyperlink w:anchor="ref-french2019">
        <w:r>
          <w:rPr>
            <w:rStyle w:val="Hyperlink"/>
            <w:vertAlign w:val="superscript"/>
          </w:rPr>
          <w:t xml:space="preserve">145</w:t>
        </w:r>
      </w:hyperlink>
      <w:r>
        <w:t xml:space="preserve"> </w:t>
      </w:r>
      <w:r>
        <w:t xml:space="preserve">The version had no signalling questions and so judgements, using the same four levels of bias as ROBINS-I, were made at the domain level. The motivation using this tool above other established tools such as the Newcastle-Ottowa scale (NOS)</w:t>
      </w:r>
      <w:hyperlink w:anchor="ref-wells2000">
        <w:r>
          <w:rPr>
            <w:rStyle w:val="Hyperlink"/>
            <w:vertAlign w:val="superscript"/>
          </w:rPr>
          <w:t xml:space="preserve">146</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 as part of this review.</w:t>
      </w:r>
    </w:p>
    <w:p>
      <w:pPr>
        <w:pStyle w:val="BodyText"/>
      </w:pPr>
      <w:r>
        <w:t xml:space="preserve"> </w:t>
      </w:r>
    </w:p>
    <w:bookmarkEnd w:id="100"/>
    <w:bookmarkStart w:id="101"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147</w:t>
        </w:r>
      </w:hyperlink>
      <w:r>
        <w:t xml:space="preserve"> </w:t>
      </w:r>
      <w:r>
        <w:t xml:space="preserve">as identified by a review of risk-of-bias assessments in systematic reviews of Mendelian randomisation studies (advance results from this review were obtained from contact with the review authors.).</w:t>
      </w:r>
      <w:r>
        <w:t xml:space="preserve"> </w:t>
      </w:r>
      <w:r>
        <w:t xml:space="preserve"> </w:t>
      </w:r>
      <w:r>
        <w:t xml:space="preserve">A copy of this tool is available in Appendix</w:t>
      </w:r>
      <w:r>
        <w:t xml:space="preserve"> </w:t>
      </w:r>
      <w:r>
        <w:t xml:space="preserve">9.3.5</w:t>
      </w:r>
      <w:r>
        <w:t xml:space="preserve">, but in summary, results were assessed for bias arising from weak instruments, genetic and other confounding, pleiotropy and population stratification. Acceptable judgements for each fo the 5 domains in the tool included</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w:t>
      </w:r>
      <w:r>
        <w:t xml:space="preserve">and</w:t>
      </w:r>
      <w:r>
        <w:t xml:space="preserve"> </w:t>
      </w:r>
      <w:r>
        <w:t xml:space="preserve">“</w:t>
      </w:r>
      <w:r>
        <w:t xml:space="preserve">high</w:t>
      </w:r>
      <w:r>
        <w:t xml:space="preserve">”</w:t>
      </w:r>
      <w:r>
        <w:t xml:space="preserve"> </w:t>
      </w:r>
      <w:r>
        <w:t xml:space="preserve">risk of bias.</w:t>
      </w:r>
    </w:p>
    <w:p>
      <w:pPr>
        <w:pStyle w:val="BodyText"/>
      </w:pPr>
      <w:r>
        <w:t xml:space="preserve"> </w:t>
      </w:r>
    </w:p>
    <w:bookmarkEnd w:id="101"/>
    <w:bookmarkStart w:id="102" w:name="methods-rob-me"/>
    <w:p>
      <w:pPr>
        <w:pStyle w:val="Heading4"/>
      </w:pPr>
      <w:r>
        <w:t xml:space="preserve">Risk of bias due to missing evidence</w:t>
      </w:r>
    </w:p>
    <w:p>
      <w:pPr>
        <w:pStyle w:val="FirstParagraph"/>
      </w:pPr>
      <w:r>
        <w:t xml:space="preserve">In addition to assessing the risk of bias within each result contributing to a synthesis, I also assessed risk of bias due to missing evidence at the analysis level. This assessment examines evidence missing due to selective non-reporting - as distinct from the selective reporting of a single result from multiple planned - and was performed using the forthcoming RoB-ME (Risk of Bias due to Missing Evidence in a synthesis) tool.</w:t>
      </w:r>
      <w:hyperlink w:anchor="ref-zotero-15123">
        <w:r>
          <w:rPr>
            <w:rStyle w:val="Hyperlink"/>
            <w:vertAlign w:val="superscript"/>
          </w:rPr>
          <w:t xml:space="preserve">148</w:t>
        </w:r>
      </w:hyperlink>
      <w:r>
        <w:t xml:space="preserve"> </w:t>
      </w:r>
      <w:r>
        <w:t xml:space="preserve"> </w:t>
      </w:r>
      <w:r>
        <w:t xml:space="preserve">The tool is in development stages, and as part of this review, I piloted the tool, and provided feedback to the developers.</w:t>
      </w:r>
      <w:r>
        <w:t xml:space="preserve"> </w:t>
      </w:r>
    </w:p>
    <w:p>
      <w:pPr>
        <w:pStyle w:val="BodyText"/>
      </w:pPr>
      <w:r>
        <w:t xml:space="preserve">This additional appraisal marks a departure from the registered protocol, as there was initially no intention to try and examine the risk of bias due to missing evidence. This is largely because the tool did not exist when the protocol was registered.</w:t>
      </w:r>
    </w:p>
    <w:p>
      <w:pPr>
        <w:pStyle w:val="BodyText"/>
      </w:pPr>
      <w:r>
        <w:t xml:space="preserve"> </w:t>
      </w:r>
    </w:p>
    <w:bookmarkEnd w:id="102"/>
    <w:bookmarkEnd w:id="103"/>
    <w:bookmarkStart w:id="109" w:name="analysis-methods"/>
    <w:p>
      <w:pPr>
        <w:pStyle w:val="Heading3"/>
      </w:pPr>
      <w:r>
        <w:t xml:space="preserve">Analysis methods</w:t>
      </w:r>
    </w:p>
    <w:p>
      <w:pPr>
        <w:pStyle w:val="FirstParagraph"/>
      </w:pPr>
      <w:r>
        <w:t xml:space="preserve">An inital qualiatative synthesis of evidence was performed, summarising the data extracted from studies stratified by study design. 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p>
    <w:p>
      <w:pPr>
        <w:pStyle w:val="BodyText"/>
      </w:pPr>
      <w:r>
        <w:t xml:space="preserve">Results were not combined across different study designs (i.e. RCTs were not combined in a meta-analysis with results from observational studies). The summary effect estimates produced by meta-analysis of individual study designs are discussed, but are compared and contrasted more fully as part of the triangulation exercise presented in Chapter</w:t>
      </w:r>
      <w:r>
        <w:t xml:space="preserve"> </w:t>
      </w:r>
      <w:r>
        <w:t xml:space="preserve">7</w:t>
      </w:r>
      <w:r>
        <w:t xml:space="preserve">.</w:t>
      </w:r>
    </w:p>
    <w:p>
      <w:pPr>
        <w:pStyle w:val="BodyText"/>
      </w:pPr>
      <w:r>
        <w:t xml:space="preserve"> </w:t>
      </w:r>
      <w:r>
        <w:t xml:space="preserve"> </w:t>
      </w:r>
    </w:p>
    <w:bookmarkStart w:id="104" w:name="random-effects-meta-analysis"/>
    <w:p>
      <w:pPr>
        <w:pStyle w:val="Heading4"/>
      </w:pPr>
      <w:r>
        <w:t xml:space="preserve">Random-effects meta-analysis</w:t>
      </w:r>
    </w:p>
    <w:p>
      <w:pPr>
        <w:pStyle w:val="FirstParagraph"/>
      </w:pPr>
      <w:r>
        <w:t xml:space="preserve">For results examining the effect of binary or continuous exposure (as opposed to categorical/dose-response, as discussed in the next section) on any dementia outcome, a random-effects meta-analysis model was used. Random-effects meta-analysis does not assume one true underlying effect, but rather allows for a distribution of true effects with variance</w:t>
      </w:r>
      <w:r>
        <w:t xml:space="preserve"> </w:t>
      </w:r>
      <m:oMath>
        <m:sSup>
          <m:e>
            <m:r>
              <m:t>τ</m:t>
            </m:r>
          </m:e>
          <m:sup>
            <m:r>
              <m:t>2</m:t>
            </m:r>
          </m:sup>
        </m:sSup>
      </m:oMath>
      <w:r>
        <w:t xml:space="preserve">. The weight (</w:t>
      </w:r>
      <m:oMath>
        <m:r>
          <m:t>w</m:t>
        </m:r>
      </m:oMath>
      <w:r>
        <w:t xml:space="preserve">) assigned to each result (denoted as</w:t>
      </w:r>
      <w:r>
        <w:t xml:space="preserve"> </w:t>
      </w:r>
      <m:oMath>
        <m:sSub>
          <m:e>
            <m:r>
              <m:t>y</m:t>
            </m:r>
          </m:e>
          <m:sub>
            <m:r>
              <m:t>i</m:t>
            </m:r>
          </m:sub>
        </m:sSub>
      </m:oMath>
      <w:r>
        <w:t xml:space="preserve">) is then give as the inverse of variance of that result plus the estimate of between-result variance, denoted as</w:t>
      </w:r>
      <w:r>
        <w:t xml:space="preserve"> </w:t>
      </w:r>
      <m:oMath>
        <m:sSub>
          <m:e>
            <m:r>
              <m:t>w</m:t>
            </m:r>
          </m:e>
          <m:sub>
            <m:r>
              <m:t>i</m:t>
            </m:r>
          </m:sub>
        </m:sSub>
        <m:r>
          <m:rPr>
            <m:sty m:val="p"/>
          </m:rPr>
          <m:t>=</m:t>
        </m:r>
        <m:f>
          <m:fPr>
            <m:type m:val="bar"/>
          </m:fPr>
          <m:num>
            <m:r>
              <m:t>1</m:t>
            </m:r>
          </m:num>
          <m:den>
            <m:sSub>
              <m:e>
                <m:r>
                  <m:t>v</m:t>
                </m:r>
              </m:e>
              <m:sub>
                <m:r>
                  <m:t>i</m:t>
                </m:r>
              </m:sub>
            </m:sSub>
            <m:r>
              <m:rPr>
                <m:sty m:val="p"/>
              </m:rPr>
              <m:t>+</m:t>
            </m:r>
            <m:sSup>
              <m:e>
                <m:r>
                  <m:t>τ</m:t>
                </m:r>
              </m:e>
              <m:sup>
                <m:r>
                  <m:t>2</m:t>
                </m:r>
              </m:sup>
            </m:sSup>
          </m:den>
        </m:f>
      </m:oMath>
      <w:r>
        <w:t xml:space="preserve"> </w:t>
      </w:r>
      <w:r>
        <w:t xml:space="preserve">for result</w:t>
      </w:r>
      <w:r>
        <w:t xml:space="preserve"> </w:t>
      </w:r>
      <m:oMath>
        <m:r>
          <m:t>i</m:t>
        </m:r>
      </m:oMath>
      <w:r>
        <w:t xml:space="preserve">.</w:t>
      </w:r>
    </w:p>
    <w:p>
      <w:pPr>
        <w:pStyle w:val="BodyText"/>
      </w:pPr>
      <w:r>
        <w:t xml:space="preserve">Once the weights are calculated for each result, the overall estimate (</w:t>
      </w:r>
      <m:oMath>
        <m:acc>
          <m:accPr>
            <m:chr m:val="̂"/>
          </m:accPr>
          <m:e>
            <m:r>
              <m:t>y</m:t>
            </m:r>
          </m:e>
        </m:acc>
      </m:oMath>
      <w:r>
        <w:t xml:space="preserve">) and variance (</w:t>
      </w:r>
      <m:oMath>
        <m:r>
          <m:t>V</m:t>
        </m:r>
        <m:r>
          <m:t>a</m:t>
        </m:r>
        <m:r>
          <m:t>r</m:t>
        </m:r>
        <m:r>
          <m:rPr>
            <m:sty m:val="p"/>
          </m:rPr>
          <m:t>(</m:t>
        </m:r>
        <m:acc>
          <m:accPr>
            <m:chr m:val="̂"/>
          </m:accPr>
          <m:e>
            <m:r>
              <m:t>y</m:t>
            </m:r>
          </m:e>
        </m:acc>
        <m:r>
          <m:rPr>
            <m:sty m:val="p"/>
          </m:rPr>
          <m:t>)</m:t>
        </m:r>
      </m:oMath>
      <w:r>
        <w:t xml:space="preserve">) can be estimated:</w:t>
      </w:r>
    </w:p>
    <w:p>
      <w:pPr>
        <w:pStyle w:val="BodyText"/>
      </w:pPr>
      <m:oMathPara>
        <m:oMathParaPr>
          <m:jc m:val="center"/>
        </m:oMathParaPr>
        <m:oMath>
          <m:acc>
            <m:accPr>
              <m:chr m:val="̂"/>
            </m:accPr>
            <m:e>
              <m:r>
                <m:t>y</m:t>
              </m:r>
            </m:e>
          </m:acc>
          <m:r>
            <m:rPr>
              <m:sty m:val="p"/>
            </m:rPr>
            <m:t>=</m:t>
          </m:r>
          <m:f>
            <m:fPr>
              <m:type m:val="bar"/>
            </m:fPr>
            <m:num>
              <m:r>
                <m:rPr>
                  <m:sty m:val="p"/>
                </m:rPr>
                <m:t>∑</m:t>
              </m:r>
              <m:sSub>
                <m:e>
                  <m:r>
                    <m:t>y</m:t>
                  </m:r>
                </m:e>
                <m:sub>
                  <m:r>
                    <m:t>i</m:t>
                  </m:r>
                </m:sub>
              </m:sSub>
              <m:sSub>
                <m:e>
                  <m:r>
                    <m:t>w</m:t>
                  </m:r>
                </m:e>
                <m:sub>
                  <m:r>
                    <m:t>i</m:t>
                  </m:r>
                </m:sub>
              </m:sSub>
            </m:num>
            <m:den>
              <m:r>
                <m:rPr>
                  <m:sty m:val="p"/>
                </m:rPr>
                <m:t>∑</m:t>
              </m:r>
              <m:sSub>
                <m:e>
                  <m:r>
                    <m:t>w</m:t>
                  </m:r>
                </m:e>
                <m:sub>
                  <m:r>
                    <m:t>i</m:t>
                  </m:r>
                </m:sub>
              </m:sSub>
            </m:den>
          </m:f>
          <m:r>
            <m:t>  </m:t>
          </m:r>
          <m:r>
            <m:rPr>
              <m:sty m:val="p"/>
            </m:rPr>
            <m:t>(</m:t>
          </m:r>
          <m:r>
            <m:t>6</m:t>
          </m:r>
          <m:r>
            <m:rPr>
              <m:sty m:val="p"/>
            </m:rPr>
            <m:t>)</m:t>
          </m:r>
        </m:oMath>
      </m:oMathPara>
    </w:p>
    <w:p>
      <w:pPr>
        <w:pStyle w:val="FirstParagraph"/>
      </w:pPr>
      <m:oMathPara>
        <m:oMathParaPr>
          <m:jc m:val="center"/>
        </m:oMathParaPr>
        <m:oMath>
          <m:r>
            <m:t>V</m:t>
          </m:r>
          <m:r>
            <m:t>a</m:t>
          </m:r>
          <m:r>
            <m:t>r</m:t>
          </m:r>
          <m:r>
            <m:rPr>
              <m:sty m:val="p"/>
            </m:rPr>
            <m:t>(</m:t>
          </m:r>
          <m:acc>
            <m:accPr>
              <m:chr m:val="̂"/>
            </m:accPr>
            <m:e>
              <m:r>
                <m:t>y</m:t>
              </m:r>
            </m:e>
          </m:acc>
          <m:r>
            <m:rPr>
              <m:sty m:val="p"/>
            </m:rPr>
            <m:t>)</m:t>
          </m:r>
          <m:r>
            <m:rPr>
              <m:sty m:val="p"/>
            </m:rPr>
            <m:t>=</m:t>
          </m:r>
          <m:f>
            <m:fPr>
              <m:type m:val="bar"/>
            </m:fPr>
            <m:num>
              <m:r>
                <m:t>1</m:t>
              </m:r>
            </m:num>
            <m:den>
              <m:r>
                <m:rPr>
                  <m:sty m:val="p"/>
                </m:rPr>
                <m:t>∑</m:t>
              </m:r>
              <m:sSub>
                <m:e>
                  <m:r>
                    <m:t>w</m:t>
                  </m:r>
                </m:e>
                <m:sub>
                  <m:r>
                    <m:t>i</m:t>
                  </m:r>
                </m:sub>
              </m:sSub>
            </m:den>
          </m:f>
          <m:r>
            <m:t>  </m:t>
          </m:r>
          <m:r>
            <m:rPr>
              <m:sty m:val="p"/>
            </m:rPr>
            <m:t>(</m:t>
          </m:r>
          <m:r>
            <m:t>7</m:t>
          </m:r>
          <m:r>
            <m:rPr>
              <m:sty m:val="p"/>
            </m:rPr>
            <m:t>)</m:t>
          </m:r>
        </m:oMath>
      </m:oMathPara>
    </w:p>
    <w:p>
      <w:pPr>
        <w:pStyle w:val="FirstParagraph"/>
      </w:pPr>
      <w:r>
        <w:t xml:space="preserve"> </w:t>
      </w:r>
    </w:p>
    <w:p>
      <w:pPr>
        <w:pStyle w:val="BodyText"/>
      </w:pPr>
      <w:r>
        <w:t xml:space="preserve">Results were stratified into subgroups on the basis of the overall risk of bias assessment, and summary estimates for each subgroup, in addition to an overall effect estimate, are displayed in each forest plot. Additional descriptive statistics are presented, while prediction intervals are shown as a dotted line banding the overall effect estimate. Finally, where at least 10 results are available, a test subgroup differences between studies at different levels of risk of bias was performed (see subsequent Section</w:t>
      </w:r>
      <w:r>
        <w:t xml:space="preserve"> </w:t>
      </w:r>
      <w:r>
        <w:t xml:space="preserve">3.3.8.4</w:t>
      </w:r>
      <w:r>
        <w:t xml:space="preserve">). All models were implemented using the</w:t>
      </w:r>
      <w:r>
        <w:t xml:space="preserve"> </w:t>
      </w:r>
      <w:r>
        <w:rPr>
          <w:rStyle w:val="VerbatimChar"/>
        </w:rPr>
        <w:t xml:space="preserve">metafor</w:t>
      </w:r>
      <w:r>
        <w:t xml:space="preserve"> </w:t>
      </w:r>
      <w:r>
        <w:t xml:space="preserve">R package.</w:t>
      </w:r>
    </w:p>
    <w:p>
      <w:pPr>
        <w:pStyle w:val="BodyText"/>
      </w:pPr>
      <w:r>
        <w:t xml:space="preserve"> </w:t>
      </w:r>
    </w:p>
    <w:bookmarkEnd w:id="104"/>
    <w:bookmarkStart w:id="105"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 In order to address this limitation, I performed a dose-response meta-analysis in those studies reporting more than two categories for lipid levels. This marks a departure from the published protocol, as I was unaware that such a large number of studies would report dementia risk across multiple lipid categories.</w:t>
      </w:r>
    </w:p>
    <w:p>
      <w:pPr>
        <w:pStyle w:val="BodyText"/>
      </w:pPr>
      <w:r>
        <w:t xml:space="preserve">Studies were excluded from this analysis if the number of categories was less than three or if the necessary information for synthesis (cut-off points, number of participants and number of events per category) was not available. A restricted cubic spline model was fitted to allow for a non-linear relationship, for example a U or J-shaped relationship, where low and high levels of the exposure can have different effects versus a</w:t>
      </w:r>
      <w:r>
        <w:t xml:space="preserve"> </w:t>
      </w:r>
      <w:r>
        <w:t xml:space="preserve">“</w:t>
      </w:r>
      <w:r>
        <w:t xml:space="preserve">normal</w:t>
      </w:r>
      <w:r>
        <w:t xml:space="preserve">”</w:t>
      </w:r>
      <w:r>
        <w:t xml:space="preserve"> </w:t>
      </w:r>
      <w:r>
        <w:t xml:space="preserve">reference dose.</w:t>
      </w:r>
      <w:r>
        <w:t xml:space="preserve"> </w:t>
      </w:r>
      <w:r>
        <w:t xml:space="preserve"> </w:t>
      </w:r>
      <w:r>
        <w:t xml:space="preserve">The locations of the knots in the model wer identified using fixed percentiles (25th, 50th, 75th) of the exposure data.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When the highest reported category was open ended (e.g LDL-c</w:t>
      </w:r>
      <w:r>
        <w:t xml:space="preserve"> </w:t>
      </w:r>
      <m:oMath>
        <m:r>
          <m:rPr>
            <m:sty m:val="p"/>
          </m:rPr>
          <m:t>≥</m:t>
        </m:r>
      </m:oMath>
      <w:r>
        <w:t xml:space="preserve"> </w:t>
      </w:r>
      <w:r>
        <w:t xml:space="preserve">200 mg/dL), I calculated the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naturally).</w:t>
      </w:r>
    </w:p>
    <w:p>
      <w:pPr>
        <w:pStyle w:val="BodyText"/>
      </w:pPr>
      <w:r>
        <w:t xml:space="preserve"> </w:t>
      </w:r>
      <w:r>
        <w:t xml:space="preserve"> </w:t>
      </w:r>
    </w:p>
    <w:bookmarkEnd w:id="105"/>
    <w:bookmarkStart w:id="106" w:name="additional-analyses"/>
    <w:p>
      <w:pPr>
        <w:pStyle w:val="Heading4"/>
      </w:pPr>
      <w:r>
        <w:t xml:space="preserve">Additional analyses</w:t>
      </w:r>
    </w:p>
    <w:p>
      <w:pPr>
        <w:pStyle w:val="FirstParagraph"/>
      </w:pPr>
      <w:r>
        <w:t xml:space="preserve">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 Syntheses with greater than 10 studies were assessed for heterogeneity across these covariates.</w:t>
      </w:r>
      <w:r>
        <w:t xml:space="preserve"> </w:t>
      </w:r>
    </w:p>
    <w:p>
      <w:pPr>
        <w:pStyle w:val="BodyText"/>
      </w:pPr>
      <w:r>
        <w:t xml:space="preserve">Finally, I investigated the potential for small study effects, which may be caused by publication bias, both visually using funnel plots and formally using Egger’s regression test.</w:t>
      </w:r>
      <w:r>
        <w:t xml:space="preserve"> </w:t>
      </w:r>
    </w:p>
    <w:p>
      <w:pPr>
        <w:pStyle w:val="BodyText"/>
      </w:pPr>
      <w:r>
        <w:t xml:space="preserve"> </w:t>
      </w:r>
      <w:r>
        <w:t xml:space="preserve"> </w:t>
      </w:r>
    </w:p>
    <w:bookmarkEnd w:id="106"/>
    <w:bookmarkStart w:id="107" w:name="sys-rev-visualising-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149</w:t>
        </w:r>
      </w:hyperlink>
      <w:r>
        <w:t xml:space="preserve"> </w:t>
      </w:r>
      <w:r>
        <w:t xml:space="preserve">As part of the initial descriptive synthesis, the location of each individual study contributing to the evidence base was quantified and visualised on a world map.</w:t>
      </w:r>
    </w:p>
    <w:p>
      <w:pPr>
        <w:pStyle w:val="BodyText"/>
      </w:pPr>
      <w:r>
        <w:t xml:space="preserve">One of the limitations of current risk-of-bias assessments in systematic reviews is that they are often divorced from the results to which they refer, and are infrequently incorporated into the analysis.</w:t>
      </w:r>
      <w:r>
        <w:t xml:space="preserve"> </w:t>
      </w:r>
      <w:r>
        <w:t xml:space="preserve"> </w:t>
      </w:r>
      <w:r>
        <w:t xml:space="preserve">In response to this criticism, I developed a new visualisation tool was designed to allow for the production of</w:t>
      </w:r>
      <w:r>
        <w:t xml:space="preserve"> </w:t>
      </w:r>
      <w:r>
        <w:t xml:space="preserve">“</w:t>
      </w:r>
      <w:r>
        <w:t xml:space="preserve">paired</w:t>
      </w:r>
      <w:r>
        <w:t xml:space="preserve">”</w:t>
      </w:r>
      <w:r>
        <w:t xml:space="preserve"> </w:t>
      </w:r>
      <w:r>
        <w:t xml:space="preserve">forest plots, as recommended by the ROB2 publication, where a risk-of-bias assessment is presented alongside it’s corresponding numerical results.</w:t>
      </w:r>
      <w:hyperlink w:anchor="ref-sterne2019">
        <w:r>
          <w:rPr>
            <w:rStyle w:val="Hyperlink"/>
            <w:vertAlign w:val="superscript"/>
          </w:rPr>
          <w:t xml:space="preserve">143</w:t>
        </w:r>
      </w:hyperlink>
      <w:r>
        <w:t xml:space="preserve"> </w:t>
      </w:r>
      <w:r>
        <w:t xml:space="preserve">This tool was developed as an adjunct to this thesis to aid in creating standardised risk-of-bias figures,</w:t>
      </w:r>
      <w:hyperlink w:anchor="ref-mcguinness2020robvisPaper">
        <w:r>
          <w:rPr>
            <w:rStyle w:val="Hyperlink"/>
            <w:vertAlign w:val="superscript"/>
          </w:rPr>
          <w:t xml:space="preserve">150</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researchers to design a modular method for creating custom forest plots.</w:t>
      </w:r>
      <w:hyperlink w:anchor="ref-zotero-14999">
        <w:r>
          <w:rPr>
            <w:rStyle w:val="Hyperlink"/>
            <w:vertAlign w:val="superscript"/>
          </w:rPr>
          <w:t xml:space="preserve">151</w:t>
        </w:r>
      </w:hyperlink>
      <w:r>
        <w:t xml:space="preserve"> </w:t>
      </w:r>
      <w:r>
        <w:t xml:space="preserve"> </w:t>
      </w:r>
      <w:r>
        <w:t xml:space="preserve">A summary of this tool is contained in Appendix</w:t>
      </w:r>
      <w:r>
        <w:t xml:space="preserve"> </w:t>
      </w:r>
      <w:r>
        <w:t xml:space="preserve">10.2</w:t>
      </w:r>
      <w:r>
        <w:t xml:space="preserve">, and all forest plots presented in this Chapter were created using this tool.</w:t>
      </w:r>
    </w:p>
    <w:p>
      <w:pPr>
        <w:pStyle w:val="BodyText"/>
      </w:pPr>
      <w:r>
        <w:t xml:space="preserve"> </w:t>
      </w:r>
      <w:r>
        <w:t xml:space="preserve"> </w:t>
      </w:r>
    </w:p>
    <w:bookmarkEnd w:id="107"/>
    <w:bookmarkStart w:id="108" w:name="X70e6c291630de5daf4cc0c432796c9ea205184d"/>
    <w:p>
      <w:pPr>
        <w:pStyle w:val="Heading4"/>
      </w:pPr>
      <w:r>
        <w:t xml:space="preserve">Assessment of added value of including preprints</w:t>
      </w:r>
    </w:p>
    <w:p>
      <w:pPr>
        <w:pStyle w:val="FirstParagraph"/>
      </w:pPr>
      <w:r>
        <w:rPr>
          <w:iCs/>
          <w:i/>
        </w:rPr>
        <w:t xml:space="preserve">[Note: Julian, I am particularly interested in your feedback on this section, and the corresponding results section (Section</w:t>
      </w:r>
      <w:r>
        <w:rPr>
          <w:iCs/>
          <w:i/>
        </w:rPr>
        <w:t xml:space="preserve"> </w:t>
      </w:r>
      <w:r>
        <w:rPr>
          <w:iCs/>
          <w:i/>
        </w:rPr>
        <w:t xml:space="preserve">3.4.12</w:t>
      </w:r>
      <w:r>
        <w:rPr>
          <w:iCs/>
          <w:i/>
        </w:rPr>
        <w:t xml:space="preserve">), as I am not convinced on the language I am using]</w:t>
      </w:r>
    </w:p>
    <w:p>
      <w:pPr>
        <w:pStyle w:val="BodyText"/>
      </w:pPr>
      <w:r>
        <w:t xml:space="preserve">Preprints are considered a valuable evidence source within this thesis (see Introduction, Section</w:t>
      </w:r>
      <w:r>
        <w:t xml:space="preserve"> </w:t>
      </w:r>
      <w:r>
        <w:t xml:space="preserve">1.6.1</w:t>
      </w:r>
      <w:r>
        <w:t xml:space="preserve">). As an adjunct analysis to this review, I explored the additional evidential value of including preprints in each meta-analysis performed, assessed using the fixed effect weight from a standard meta-analysis.</w:t>
      </w:r>
    </w:p>
    <w:p>
      <w:pPr>
        <w:pStyle w:val="BodyText"/>
      </w:pPr>
      <w:r>
        <w:t xml:space="preserve">Additionally, I followed identified preprints up after a two-year lag to investigate whether they had been subsequently published (in which case preprints provide a snapshot into the future, and a systematic review update would capture these reports) or not (in which case preprints provide a distinct evidence source to conventional bibliographic databases).</w:t>
      </w:r>
    </w:p>
    <w:p>
      <w:pPr>
        <w:pStyle w:val="BodyText"/>
      </w:pPr>
      <w:r>
        <w:t xml:space="preserve"> </w:t>
      </w:r>
      <w:r>
        <w:t xml:space="preserve"> </w:t>
      </w:r>
    </w:p>
    <w:bookmarkEnd w:id="108"/>
    <w:bookmarkEnd w:id="109"/>
    <w:bookmarkEnd w:id="110"/>
    <w:bookmarkStart w:id="146" w:name="results"/>
    <w:p>
      <w:pPr>
        <w:pStyle w:val="Heading2"/>
      </w:pPr>
      <w:r>
        <w:t xml:space="preserve">Results</w:t>
      </w:r>
    </w:p>
    <w:bookmarkStart w:id="111" w:name="X9867a2731246839864e605e1b5b36dae9f3382a"/>
    <w:p>
      <w:pPr>
        <w:pStyle w:val="Heading3"/>
      </w:pPr>
      <w:r>
        <w:t xml:space="preserve">Initial search and validation of search filters</w:t>
      </w:r>
    </w:p>
    <w:p>
      <w:pPr>
        <w:pStyle w:val="FirstParagraph"/>
      </w:pPr>
      <w:r>
        <w:t xml:space="preserve">The database search identified 23,447 records, of which 7,338 were duplicated records. Of the random sample of 500 records screened to ensure the accuracy of the study design filters, no eligible records were identified. Many of those excluded by the filters were commentaries/educational articles, or described basic science studies.</w:t>
      </w:r>
      <w:r>
        <w:t xml:space="preserve"> </w:t>
      </w:r>
    </w:p>
    <w:p>
      <w:pPr>
        <w:pStyle w:val="BodyText"/>
      </w:pPr>
      <w:r>
        <w:t xml:space="preserve"> </w:t>
      </w:r>
      <w:r>
        <w:t xml:space="preserve"> </w:t>
      </w:r>
    </w:p>
    <w:bookmarkEnd w:id="111"/>
    <w:bookmarkStart w:id="113"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p>
    <w:p>
      <w:pPr>
        <w:pStyle w:val="BodyText"/>
      </w:pPr>
      <w:r>
        <w:t xml:space="preserve">The PRISMA flow diagram</w:t>
      </w:r>
      <w:r>
        <w:t xml:space="preserve"> </w:t>
      </w:r>
      <w:r>
        <w:t xml:space="preserve"> </w:t>
      </w:r>
      <w:r>
        <w:t xml:space="preserve">presented in Figure</w:t>
      </w:r>
      <w:r>
        <w:t xml:space="preserve"> </w:t>
      </w:r>
      <w:r>
        <w:t xml:space="preserve">4</w:t>
      </w:r>
      <w:r>
        <w:t xml:space="preserve">, illustrates the movement of articles through the review. To highlight the contribution of preprint archives to the review, the flow diagram delineates between those records captured through databases searches (presented on the left of the diagram) and those captured by the search tool described in the previous chapter (presented in grey on the right of the diagram).</w:t>
      </w:r>
    </w:p>
    <w:p>
      <w:pPr>
        <w:pStyle w:val="BodyText"/>
      </w:pPr>
      <w:r>
        <w:t xml:space="preserve">Common reasons for exclusion at the full text-stage included studies that reported on the wrong exposures (n = 70 ; most commonly a ineligible lipid fraction), used the wrong study design (n= 56), or reported on a wrong outcome (n=24; e.g. change in cognitive scores).</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2"/>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standard bibliographic databases and preprint servers to the review are indicated.</w:t>
      </w:r>
    </w:p>
    <w:bookmarkEnd w:id="113"/>
    <w:bookmarkStart w:id="114" w:name="validation-of-screening"/>
    <w:p>
      <w:pPr>
        <w:pStyle w:val="Heading3"/>
      </w:pPr>
      <w:r>
        <w:t xml:space="preserve">Validation of screening</w:t>
      </w:r>
    </w:p>
    <w:p>
      <w:pPr>
        <w:pStyle w:val="FirstParagraph"/>
      </w:pPr>
      <w:r>
        <w:t xml:space="preserve">For the assessment of the intra-/inter-rater reliability, the estimated values of</w:t>
      </w:r>
      <w:r>
        <w:t xml:space="preserve"> </w:t>
      </w:r>
      <m:oMath>
        <m:r>
          <m:t>A</m:t>
        </m:r>
        <m:r>
          <m:t>C</m:t>
        </m:r>
        <m:r>
          <m:t>1</m:t>
        </m:r>
      </m:oMath>
      <w:r>
        <w:t xml:space="preserve"> </w:t>
      </w:r>
      <w:r>
        <w:t xml:space="preserve">were interpreted against the categories presented in Table</w:t>
      </w:r>
      <w:r>
        <w:t xml:space="preserve"> </w:t>
      </w:r>
      <w:r>
        <w:t xml:space="preserve">7</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8</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9</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152</w:t>
        </w:r>
      </w:hyperlink>
    </w:p>
    <w:p>
      <w:pPr>
        <w:pStyle w:val="BodyText"/>
      </w:pPr>
      <w:r>
        <w:t xml:space="preserve"> </w:t>
      </w:r>
    </w:p>
    <w:p>
      <w:pPr>
        <w:pStyle w:val="BodyText"/>
      </w:pPr>
      <w:r>
        <w:t xml:space="preserve">(ref:agreeInter-caption) Inter-rater agreement on a subset of records, indicating high accuracy.</w:t>
      </w:r>
    </w:p>
    <w:p>
      <w:pPr>
        <w:pStyle w:val="BodyText"/>
      </w:pPr>
      <w:r>
        <w:t xml:space="preserve">Table 8: (ref:agreeInter-caption)</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Second reviewer decision</w:t>
      </w:r>
    </w:p>
    <w:p>
      <w:pPr>
        <w:pStyle w:val="BodyText"/>
      </w:pPr>
      <w:r>
        <w:t xml:space="preserve">Exclude</w:t>
      </w:r>
    </w:p>
    <w:p>
      <w:pPr>
        <w:pStyle w:val="BodyText"/>
      </w:pPr>
      <w:r>
        <w:t xml:space="preserve">1244</w:t>
      </w:r>
    </w:p>
    <w:p>
      <w:pPr>
        <w:pStyle w:val="BodyText"/>
      </w:pPr>
      <w:r>
        <w:t xml:space="preserve">9</w:t>
      </w:r>
    </w:p>
    <w:p>
      <w:pPr>
        <w:pStyle w:val="BodyText"/>
      </w:pPr>
      <w:r>
        <w:t xml:space="preserve">1253</w:t>
      </w:r>
    </w:p>
    <w:p>
      <w:pPr>
        <w:pStyle w:val="BodyText"/>
      </w:pPr>
      <w:r>
        <w:t xml:space="preserve">Second reviewer decision</w:t>
      </w:r>
    </w:p>
    <w:p>
      <w:pPr>
        <w:pStyle w:val="BodyText"/>
      </w:pPr>
      <w:r>
        <w:t xml:space="preserve">Include</w:t>
      </w:r>
    </w:p>
    <w:p>
      <w:pPr>
        <w:pStyle w:val="BodyText"/>
      </w:pPr>
      <w:r>
        <w:t xml:space="preserve">26</w:t>
      </w:r>
    </w:p>
    <w:p>
      <w:pPr>
        <w:pStyle w:val="BodyText"/>
      </w:pPr>
      <w:r>
        <w:t xml:space="preserve">22</w:t>
      </w:r>
    </w:p>
    <w:p>
      <w:pPr>
        <w:pStyle w:val="BodyText"/>
      </w:pPr>
      <w:r>
        <w:t xml:space="preserve">48</w:t>
      </w:r>
    </w:p>
    <w:p>
      <w:pPr>
        <w:pStyle w:val="BodyText"/>
      </w:pPr>
      <w:r>
        <w:t xml:space="preserve">Second reviewer decision</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Table 9: Intra-rater agreement on subset of records, indicating high consistency.</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Same reviewer decision (with 3 month lag)</w:t>
      </w:r>
    </w:p>
    <w:p>
      <w:pPr>
        <w:pStyle w:val="BodyText"/>
      </w:pPr>
      <w:r>
        <w:t xml:space="preserve">Exclude</w:t>
      </w:r>
    </w:p>
    <w:p>
      <w:pPr>
        <w:pStyle w:val="BodyText"/>
      </w:pPr>
      <w:r>
        <w:t xml:space="preserve">1266</w:t>
      </w:r>
    </w:p>
    <w:p>
      <w:pPr>
        <w:pStyle w:val="BodyText"/>
      </w:pPr>
      <w:r>
        <w:t xml:space="preserve">14</w:t>
      </w:r>
    </w:p>
    <w:p>
      <w:pPr>
        <w:pStyle w:val="BodyText"/>
      </w:pPr>
      <w:r>
        <w:t xml:space="preserve">1280</w:t>
      </w:r>
    </w:p>
    <w:p>
      <w:pPr>
        <w:pStyle w:val="BodyText"/>
      </w:pPr>
      <w:r>
        <w:t xml:space="preserve">Same reviewer decision (with 3 month lag)</w:t>
      </w:r>
    </w:p>
    <w:p>
      <w:pPr>
        <w:pStyle w:val="BodyText"/>
      </w:pPr>
      <w:r>
        <w:t xml:space="preserve">Include</w:t>
      </w:r>
    </w:p>
    <w:p>
      <w:pPr>
        <w:pStyle w:val="BodyText"/>
      </w:pPr>
      <w:r>
        <w:t xml:space="preserve">4</w:t>
      </w:r>
    </w:p>
    <w:p>
      <w:pPr>
        <w:pStyle w:val="BodyText"/>
      </w:pPr>
      <w:r>
        <w:t xml:space="preserve">17</w:t>
      </w:r>
    </w:p>
    <w:p>
      <w:pPr>
        <w:pStyle w:val="BodyText"/>
      </w:pPr>
      <w:r>
        <w:t xml:space="preserve">21</w:t>
      </w:r>
    </w:p>
    <w:p>
      <w:pPr>
        <w:pStyle w:val="BodyText"/>
      </w:pPr>
      <w:r>
        <w:t xml:space="preserve">Same reviewer decision (with 3 month lag)</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 </w:t>
      </w:r>
    </w:p>
    <w:p>
      <w:pPr>
        <w:pStyle w:val="BodyText"/>
      </w:pPr>
      <w:r>
        <w:t xml:space="preserve">Those records which were excluded in the initial screening, but were included by the second reviewer (n=26, Table</w:t>
      </w:r>
      <w:r>
        <w:t xml:space="preserve"> </w:t>
      </w:r>
      <w:r>
        <w:t xml:space="preserve">8</w:t>
      </w:r>
      <w:r>
        <w:t xml:space="preserve">) were investigated. This discrepancy between the two reviewers was explained in all cases by differing interpretations of the inclusion criteria, most commonly around the definition of cognitive decline versus dementia and the definition of eligible lipids fractions.</w:t>
      </w:r>
    </w:p>
    <w:p>
      <w:pPr>
        <w:pStyle w:val="BodyText"/>
      </w:pPr>
      <w:r>
        <w:t xml:space="preserve"> </w:t>
      </w:r>
      <w:r>
        <w:t xml:space="preserve"> </w:t>
      </w:r>
    </w:p>
    <w:bookmarkEnd w:id="114"/>
    <w:bookmarkStart w:id="116" w:name="sys-rev-characteristics"/>
    <w:p>
      <w:pPr>
        <w:pStyle w:val="Heading3"/>
      </w:pPr>
      <w:r>
        <w:t xml:space="preserve">Characteristics of included studies</w:t>
      </w:r>
    </w:p>
    <w:p>
      <w:pPr>
        <w:pStyle w:val="FirstParagraph"/>
      </w:pPr>
      <w:r>
        <w:t xml:space="preserve">Following full-text screening, 81 unique studies (described across 95 reports) met the criteria for inclusion in the review.</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rPr>
          <w:vertAlign w:val="superscript"/>
        </w:rPr>
        <w:t xml:space="preserve">,</w:t>
      </w:r>
      <w:hyperlink w:anchor="ref-reitz2004a">
        <w:r>
          <w:rPr>
            <w:rStyle w:val="Hyperlink"/>
            <w:vertAlign w:val="superscript"/>
          </w:rPr>
          <w:t xml:space="preserve">54</w:t>
        </w:r>
      </w:hyperlink>
      <w:r>
        <w:rPr>
          <w:vertAlign w:val="superscript"/>
        </w:rPr>
        <w:t xml:space="preserve">,</w:t>
      </w:r>
      <w:hyperlink w:anchor="ref-ancelin2012">
        <w:r>
          <w:rPr>
            <w:rStyle w:val="Hyperlink"/>
            <w:vertAlign w:val="superscript"/>
          </w:rPr>
          <w:t xml:space="preserve">153</w:t>
        </w:r>
      </w:hyperlink>
      <w:r>
        <w:rPr>
          <w:vertAlign w:val="superscript"/>
        </w:rPr>
        <w:t xml:space="preserve">–</w:t>
      </w:r>
      <w:hyperlink w:anchor="ref-zimetbaum1992">
        <w:r>
          <w:rPr>
            <w:rStyle w:val="Hyperlink"/>
            <w:vertAlign w:val="superscript"/>
          </w:rPr>
          <w:t xml:space="preserve">230</w:t>
        </w:r>
      </w:hyperlink>
      <w:r>
        <w:t xml:space="preserve"> </w:t>
      </w:r>
      <w:r>
        <w:t xml:space="preserve">Table</w:t>
      </w:r>
      <w:r>
        <w:t xml:space="preserve"> </w:t>
      </w:r>
      <w:r>
        <w:t xml:space="preserve">10</w:t>
      </w:r>
      <w:r>
        <w:t xml:space="preserve"> </w:t>
      </w:r>
      <w:r>
        <w:t xml:space="preserve">presents a summary of the characteristics of each study.</w:t>
      </w:r>
    </w:p>
    <w:p>
      <w:pPr>
        <w:pStyle w:val="BodyText"/>
      </w:pPr>
      <w:r>
        <w:t xml:space="preserve">The majority of included studies described non-randomised analyses, with the sole two included randomised controlled trials (the Heart Protection Study/British Heart Foundation trial</w:t>
      </w:r>
      <w:hyperlink w:anchor="X49f9892f062f4edfe92b37e5c1639cb4f6c013f">
        <w:r>
          <w:rPr>
            <w:rStyle w:val="Hyperlink"/>
            <w:vertAlign w:val="superscript"/>
          </w:rPr>
          <w:t xml:space="preserve">177</w:t>
        </w:r>
      </w:hyperlink>
      <w:r>
        <w:t xml:space="preserve"> </w:t>
      </w:r>
      <w:r>
        <w:t xml:space="preserve">and the JUPITER trial</w:t>
      </w:r>
      <w:hyperlink w:anchor="ref-ridker2008">
        <w:r>
          <w:rPr>
            <w:rStyle w:val="Hyperlink"/>
            <w:vertAlign w:val="superscript"/>
          </w:rPr>
          <w:t xml:space="preserve">207</w:t>
        </w:r>
      </w:hyperlink>
      <w:r>
        <w:t xml:space="preserve">) both reporting on the effect of statin use on all-cause dementia in older adults. A similarly small number of Mendelian randomisation studies were identified, several of which employed a two-sample approach using summary statistics from the same published genome wide association studies (GWAS) leading to complications in the synthesis (see Section</w:t>
      </w:r>
      <w:r>
        <w:t xml:space="preserve"> </w:t>
      </w:r>
      <w:r>
        <w:t xml:space="preserve">3.4.7</w:t>
      </w:r>
      <w:r>
        <w:t xml:space="preserve">).</w:t>
      </w:r>
    </w:p>
    <w:p>
      <w:pPr>
        <w:pStyle w:val="BodyText"/>
      </w:pPr>
      <w:r>
        <w:t xml:space="preserve">Of the 31 non-randomised studies examining treatments that modify lipid levels, all examined statin use (n = 31; 100%), while a small number also reported on other non-statins agents such as fibrates (n = 2; 6.5%). In the 43 non-randomised studies of exposure, hypercholesterolemia (n = 19; 44.2%) and total cholesterol levels (n = 21; 48.8%) were the most frequently reported risk factors.</w:t>
      </w:r>
    </w:p>
    <w:p>
      <w:pPr>
        <w:pStyle w:val="BodyText"/>
      </w:pPr>
      <w:r>
        <w:t xml:space="preserve">In terms of outcomes, the vast majority of studies examined either all-cause dementia (n = 61; 75.3%) or Alzheimer’s disease (n = 51; 63%), with only a small proportion examining vascular dementia (n = 16; 19.8%). Some other outcome classifications such as vascular-component or mixed dementia were also investigated, but were much rarer.</w:t>
      </w:r>
    </w:p>
    <w:p>
      <w:pPr>
        <w:pStyle w:val="BodyText"/>
      </w:pPr>
      <w:r>
        <w:t xml:space="preserve">Three included reports were preprinted (denoted in the Table</w:t>
      </w:r>
      <w:r>
        <w:t xml:space="preserve"> </w:t>
      </w:r>
      <w:r>
        <w:t xml:space="preserve">10</w:t>
      </w:r>
      <w:r>
        <w:t xml:space="preserve"> </w:t>
      </w:r>
      <w:r>
        <w:t xml:space="preserve">using an asterisk),</w:t>
      </w:r>
      <w:hyperlink w:anchor="ref-ridker2008">
        <w:r>
          <w:rPr>
            <w:rStyle w:val="Hyperlink"/>
            <w:vertAlign w:val="superscript"/>
          </w:rPr>
          <w:t xml:space="preserve">207</w:t>
        </w:r>
      </w:hyperlink>
      <w:r>
        <w:rPr>
          <w:vertAlign w:val="superscript"/>
        </w:rPr>
        <w:t xml:space="preserve">,</w:t>
      </w:r>
      <w:hyperlink w:anchor="ref-so2017">
        <w:r>
          <w:rPr>
            <w:rStyle w:val="Hyperlink"/>
            <w:vertAlign w:val="superscript"/>
          </w:rPr>
          <w:t xml:space="preserve">211</w:t>
        </w:r>
      </w:hyperlink>
      <w:r>
        <w:rPr>
          <w:vertAlign w:val="superscript"/>
        </w:rPr>
        <w:t xml:space="preserve">,</w:t>
      </w:r>
      <w:hyperlink w:anchor="ref-zhu2017">
        <w:r>
          <w:rPr>
            <w:rStyle w:val="Hyperlink"/>
            <w:vertAlign w:val="superscript"/>
          </w:rPr>
          <w:t xml:space="preserve">231</w:t>
        </w:r>
      </w:hyperlink>
      <w:r>
        <w:t xml:space="preserve"> </w:t>
      </w:r>
      <w:r>
        <w:t xml:space="preserve">one of which had subsequently been published and was captured by the primary literature search.</w:t>
      </w:r>
      <w:hyperlink w:anchor="ref-zhu2018">
        <w:r>
          <w:rPr>
            <w:rStyle w:val="Hyperlink"/>
            <w:vertAlign w:val="superscript"/>
          </w:rPr>
          <w:t xml:space="preserve">229</w:t>
        </w:r>
      </w:hyperlink>
      <w:r>
        <w:t xml:space="preserve"> </w:t>
      </w:r>
      <w:r>
        <w:t xml:space="preserve">All three included preprints were obtained from the bioRxiv preprint server and all described a Mendelian randomisation analysis.</w:t>
      </w:r>
    </w:p>
    <w:p>
      <w:pPr>
        <w:pStyle w:val="TableCaption"/>
      </w:pPr>
      <w:r>
        <w:t xml:space="preserve">Table 10:</w:t>
      </w:r>
      <w:r>
        <w:t xml:space="preserve"> </w:t>
      </w:r>
      <w:bookmarkStart w:id="2d84939d-622f-4382-aa08-9ede5da8caaa" w:name="tab:studyCharacteristics-table"/>
      <w:r>
        <w:t xml:space="preserve">Characteristics of included studies, stratified by study design. Note that three studies reported on multiple analytical designs within a single study report, and these have been duplicated across the relevant sub-sections.</w:t>
      </w:r>
      <w:bookmarkEnd w:id="2d84939d-622f-4382-aa08-9ede5da8caa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(median) 60-71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 (3.3)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 (9.21)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 (9.1)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 (4.9)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 (6.1)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 (6.07)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Statin;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LRA (exlc. statin + fibrates);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 (18.1)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(median) 46-66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 (8.4)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 (4.7)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 (6.4)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 (6.0)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 (4.9)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(median) 39–46 (range)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Statin;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 (0.6)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212085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 (5.6)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(13.3)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Yamada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 (median) 75-85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Larsson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bl>
    <w:p>
      <w:pPr>
        <w:pStyle w:val="BodyText"/>
      </w:pPr>
      <w:r>
        <w:t xml:space="preserve">As illustrated in Figure</w:t>
      </w:r>
      <w:r>
        <w:t xml:space="preserve"> </w:t>
      </w:r>
      <w:r>
        <w:t xml:space="preserve">5</w:t>
      </w:r>
      <w:r>
        <w:t xml:space="preserve">, the majority of reports described studies conducted in high-income countries, with the most high represented region being North America. Of interest, several of the included studies were conducted in Taiwan (n = 10; 12.35%), all but one of which made use of the Taiwan National Health Insurance database.</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15"/>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p>
      <w:pPr>
        <w:pStyle w:val="BodyText"/>
      </w:pPr>
      <w:r>
        <w:t xml:space="preserve">Finally, there were several eligible studies reported as conference abstracts that did not present numerical results. These reports were included in the analysis to enable assessment of risk of bias due to missing evidence (see Section</w:t>
      </w:r>
      <w:r>
        <w:t xml:space="preserve"> </w:t>
      </w:r>
      <w:r>
        <w:t xml:space="preserve">3.3.7.4</w:t>
      </w:r>
      <w:r>
        <w:t xml:space="preserve">).</w:t>
      </w:r>
    </w:p>
    <w:p>
      <w:pPr>
        <w:pStyle w:val="BodyText"/>
      </w:pPr>
      <w:r>
        <w:t xml:space="preserve"> </w:t>
      </w:r>
    </w:p>
    <w:bookmarkEnd w:id="116"/>
    <w:bookmarkStart w:id="117" w:name="risk-of-bias-res"/>
    <w:p>
      <w:pPr>
        <w:pStyle w:val="Heading3"/>
      </w:pPr>
      <w:r>
        <w:t xml:space="preserve">Risk of bias</w:t>
      </w:r>
    </w:p>
    <w:p>
      <w:pPr>
        <w:pStyle w:val="FirstParagraph"/>
      </w:pPr>
      <w:r>
        <w:t xml:space="preserve">As discussed above, the risk-of-bias assessments are presented alongside their corresponding numerical result. A more detailed discussion of the sources and directions of bias is presented in Chapter</w:t>
      </w:r>
      <w:r>
        <w:t xml:space="preserve"> </w:t>
      </w:r>
      <w:r>
        <w:t xml:space="preserve">6</w:t>
      </w:r>
      <w:r>
        <w:t xml:space="preserve">, and so this section presents a brief summary of the biases observed in each study design.</w:t>
      </w:r>
    </w:p>
    <w:p>
      <w:pPr>
        <w:pStyle w:val="BodyText"/>
      </w:pPr>
      <w:r>
        <w:t xml:space="preserve">For the two randomised controlled trials, both were judged to be at low risk of bias. In contrast, many of the non-randomised studies of statin use were at serious risk of bias due poor controlling for confounding, immortal time bias, and missing outcome data (as noted above, a judgement of low risk of bias for a non-randomised study is rare). Similarly, non-randomised studies of exposures suffered from incomplete adjustment for potentially important confounders, and concerns over the selection of the reported result from among several analyses (e.g. examination of lipids as a binary or continuous variable). Finally, bias was introduced into Mendelian randomisation studies via the potential for hoziontal pleiotropy and population stratification.</w:t>
      </w:r>
      <w:hyperlink w:anchor="ref-davies2018">
        <w:r>
          <w:rPr>
            <w:rStyle w:val="Hyperlink"/>
            <w:vertAlign w:val="superscript"/>
          </w:rPr>
          <w:t xml:space="preserve">62</w:t>
        </w:r>
      </w:hyperlink>
    </w:p>
    <w:p>
      <w:pPr>
        <w:pStyle w:val="BodyText"/>
      </w:pPr>
      <w:r>
        <w:t xml:space="preserve">Following best practice, any result judged to be at critical risk of bias should be excluded from any quantitative analyses.</w:t>
      </w:r>
      <w:r>
        <w:t xml:space="preserve"> </w:t>
      </w:r>
      <w:r>
        <w:t xml:space="preserve"> </w:t>
      </w:r>
      <w:r>
        <w:t xml:space="preserve">Four observational studies were excluded on this basis, predominantly due to a lack of adjustment for any potentially important confounders (i.e. the study reported unadjusted estimates).</w:t>
      </w:r>
      <w:hyperlink w:anchor="ref-kuo2015">
        <w:r>
          <w:rPr>
            <w:rStyle w:val="Hyperlink"/>
            <w:vertAlign w:val="superscript"/>
          </w:rPr>
          <w:t xml:space="preserve">184</w:t>
        </w:r>
      </w:hyperlink>
      <w:r>
        <w:rPr>
          <w:vertAlign w:val="superscript"/>
        </w:rPr>
        <w:t xml:space="preserve">,</w:t>
      </w:r>
      <w:hyperlink w:anchor="ref-mainousa.g.2005">
        <w:r>
          <w:rPr>
            <w:rStyle w:val="Hyperlink"/>
            <w:vertAlign w:val="superscript"/>
          </w:rPr>
          <w:t xml:space="preserve">190</w:t>
        </w:r>
      </w:hyperlink>
      <w:r>
        <w:rPr>
          <w:vertAlign w:val="superscript"/>
        </w:rPr>
        <w:t xml:space="preserve">,</w:t>
      </w:r>
      <w:hyperlink w:anchor="ref-notkola1998">
        <w:r>
          <w:rPr>
            <w:rStyle w:val="Hyperlink"/>
            <w:vertAlign w:val="superscript"/>
          </w:rPr>
          <w:t xml:space="preserve">197</w:t>
        </w:r>
      </w:hyperlink>
    </w:p>
    <w:p>
      <w:pPr>
        <w:pStyle w:val="BodyText"/>
      </w:pPr>
      <w:r>
        <w:t xml:space="preserve"> </w:t>
      </w:r>
    </w:p>
    <w:bookmarkEnd w:id="117"/>
    <w:bookmarkStart w:id="126" w:name="sys-rev-res-Dementia"/>
    <w:p>
      <w:pPr>
        <w:pStyle w:val="Heading3"/>
      </w:pPr>
      <w:r>
        <w:t xml:space="preserve">All-cause dementia</w:t>
      </w:r>
    </w:p>
    <w:bookmarkStart w:id="120" w:name="statins"/>
    <w:p>
      <w:pPr>
        <w:pStyle w:val="Heading4"/>
      </w:pPr>
      <w:r>
        <w:t xml:space="preserve">Statins</w:t>
      </w:r>
    </w:p>
    <w:p>
      <w:pPr>
        <w:pStyle w:val="FirstParagraph"/>
      </w:pPr>
      <w:r>
        <w:t xml:space="preserve">The two randomised controlled trials provided very weak evidence (OR: 1.07, 95%CI: 0.70-1.66) of an effect on statin use on all-cause dementia risk (Figure</w:t>
      </w:r>
      <w:r>
        <w:t xml:space="preserve"> </w:t>
      </w:r>
      <w:r>
        <w:t xml:space="preserve">6</w:t>
      </w:r>
      <w:r>
        <w:t xml:space="preserve">).</w:t>
      </w:r>
    </w:p>
    <w:p>
      <w:pPr>
        <w:pStyle w:val="CaptionedFigure"/>
      </w:pPr>
      <w:r>
        <w:drawing>
          <wp:inline>
            <wp:extent cx="5943600" cy="1867988"/>
            <wp:effectExtent b="0" l="0" r="0" t="0"/>
            <wp:docPr descr="Figure 6: Random-effects meta-analysis of randomised controlled trials examining statin statins on all-cause dementia"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18"/>
                    <a:stretch>
                      <a:fillRect/>
                    </a:stretch>
                  </pic:blipFill>
                  <pic:spPr bwMode="auto">
                    <a:xfrm>
                      <a:off x="0" y="0"/>
                      <a:ext cx="5943600" cy="1867988"/>
                    </a:xfrm>
                    <a:prstGeom prst="rect">
                      <a:avLst/>
                    </a:prstGeom>
                    <a:noFill/>
                    <a:ln w="9525">
                      <a:noFill/>
                      <a:headEnd/>
                      <a:tailEnd/>
                    </a:ln>
                  </pic:spPr>
                </pic:pic>
              </a:graphicData>
            </a:graphic>
          </wp:inline>
        </w:drawing>
      </w:r>
    </w:p>
    <w:p>
      <w:pPr>
        <w:pStyle w:val="ImageCaption"/>
      </w:pPr>
      <w:r>
        <w:t xml:space="preserve">Figure 6: Random-effects meta-analysis of randomised controlled trials examining statin statins on all-cause dementia</w:t>
      </w:r>
    </w:p>
    <w:p>
      <w:pPr>
        <w:pStyle w:val="BodyText"/>
      </w:pPr>
      <w:r>
        <w:t xml:space="preserve"> </w:t>
      </w:r>
    </w:p>
    <w:p>
      <w:pPr>
        <w:pStyle w:val="BodyText"/>
      </w:pPr>
      <w:r>
        <w:t xml:space="preserve">In contrast, a meta-analysis of 15 prospective observational studies provided some evidence of a protective effect of statins use on all-cause dementia risk (HR: 0.77, 95%CI: 0.65-0.90, Figure</w:t>
      </w:r>
      <w:r>
        <w:t xml:space="preserve"> </w:t>
      </w:r>
      <w:r>
        <w:t xml:space="preserve">7</w:t>
      </w:r>
      <w:r>
        <w:t xml:space="preserve">).</w:t>
      </w:r>
    </w:p>
    <w:p>
      <w:pPr>
        <w:pStyle w:val="BodyText"/>
      </w:pPr>
      <w:r>
        <w:drawing>
          <wp:inline>
            <wp:extent cx="5943600" cy="5434148"/>
            <wp:effectExtent b="0" l="0" r="0" t="0"/>
            <wp:docPr descr="Figure 7: Random-effects meta-analysis of non-randomised studies examining the effect of statin use on all-cause dementia" title="" id="1" name="Picture"/>
            <a:graphic>
              <a:graphicData uri="http://schemas.openxmlformats.org/drawingml/2006/picture">
                <pic:pic>
                  <pic:nvPicPr>
                    <pic:cNvPr descr="figures/sys-rev/fp_obs_Statin-Ever_Dementia.png" id="0" name="Picture"/>
                    <pic:cNvPicPr>
                      <a:picLocks noChangeArrowheads="1" noChangeAspect="1"/>
                    </pic:cNvPicPr>
                  </pic:nvPicPr>
                  <pic:blipFill>
                    <a:blip r:embed="rId119"/>
                    <a:stretch>
                      <a:fillRect/>
                    </a:stretch>
                  </pic:blipFill>
                  <pic:spPr bwMode="auto">
                    <a:xfrm>
                      <a:off x="0" y="0"/>
                      <a:ext cx="5943600" cy="5434148"/>
                    </a:xfrm>
                    <a:prstGeom prst="rect">
                      <a:avLst/>
                    </a:prstGeom>
                    <a:noFill/>
                    <a:ln w="9525">
                      <a:noFill/>
                      <a:headEnd/>
                      <a:tailEnd/>
                    </a:ln>
                  </pic:spPr>
                </pic:pic>
              </a:graphicData>
            </a:graphic>
          </wp:inline>
        </w:drawing>
      </w:r>
      <w:r>
        <w:t xml:space="preserve"> </w:t>
      </w:r>
    </w:p>
    <w:p>
      <w:pPr>
        <w:pStyle w:val="BodyText"/>
      </w:pPr>
      <w:r>
        <w:t xml:space="preserve">Finally, a single Mendelian randomisation analysis was identified examining the effect of lowered LDL-c levels on the risk of all-cause dementia via genetic inhibition of the 3-hydroxy-3-methylglutaryl-coenzyme A reductase (HMGCR), emulating statin treatment (see Section</w:t>
      </w:r>
      <w:r>
        <w:t xml:space="preserve"> </w:t>
      </w:r>
      <w:r>
        <w:t xml:space="preserve">1.4.2</w:t>
      </w:r>
      <w:r>
        <w:t xml:space="preserve"> </w:t>
      </w:r>
      <w:r>
        <w:t xml:space="preserve">for more details of the statin mechanism of action). This analysis provided weak evidence for an effect (RR: 0.90, 95%CI: 0.29-2.81).</w:t>
      </w:r>
    </w:p>
    <w:p>
      <w:pPr>
        <w:pStyle w:val="BodyText"/>
      </w:pPr>
      <w:r>
        <w:t xml:space="preserve"> </w:t>
      </w:r>
      <w:r>
        <w:t xml:space="preserve"> </w:t>
      </w:r>
    </w:p>
    <w:bookmarkEnd w:id="120"/>
    <w:bookmarkStart w:id="122" w:name="fibrates"/>
    <w:p>
      <w:pPr>
        <w:pStyle w:val="Heading4"/>
      </w:pPr>
      <w:r>
        <w:t xml:space="preserve">Fibrates</w:t>
      </w:r>
    </w:p>
    <w:p>
      <w:pPr>
        <w:pStyle w:val="FirstParagraph"/>
      </w:pPr>
      <w:r>
        <w:t xml:space="preserve">Two studies examined the effect of fibrate use on all-cause dementia and found very weak evidence for an effect (HR: 0.90, 95%CI: 0.75-1.07, Figure</w:t>
      </w:r>
      <w:r>
        <w:t xml:space="preserve"> </w:t>
      </w:r>
      <w:r>
        <w:t xml:space="preserve">8</w:t>
      </w:r>
      <w:r>
        <w:t xml:space="preserve">).</w:t>
      </w:r>
    </w:p>
    <w:p>
      <w:pPr>
        <w:pStyle w:val="BodyText"/>
      </w:pPr>
      <w:r>
        <w:drawing>
          <wp:inline>
            <wp:extent cx="5943600" cy="2377440"/>
            <wp:effectExtent b="0" l="0" r="0" t="0"/>
            <wp:docPr descr="Figure 8: Random-effects meta-analysis of non-randomised studies examining the effect of fibrate use on all-cause dementia" title="" id="1" name="Picture"/>
            <a:graphic>
              <a:graphicData uri="http://schemas.openxmlformats.org/drawingml/2006/picture">
                <pic:pic>
                  <pic:nvPicPr>
                    <pic:cNvPr descr="figures/sys-rev/fp_obs_Fibrate_Dementia.png" id="0" name="Picture"/>
                    <pic:cNvPicPr>
                      <a:picLocks noChangeArrowheads="1" noChangeAspect="1"/>
                    </pic:cNvPicPr>
                  </pic:nvPicPr>
                  <pic:blipFill>
                    <a:blip r:embed="rId121"/>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bookmarkEnd w:id="122"/>
    <w:bookmarkStart w:id="125" w:name="lipids"/>
    <w:p>
      <w:pPr>
        <w:pStyle w:val="Heading4"/>
      </w:pPr>
      <w:r>
        <w:t xml:space="preserve">Lipids</w:t>
      </w:r>
    </w:p>
    <w:p>
      <w:pPr>
        <w:pStyle w:val="FirstParagraph"/>
      </w:pPr>
      <w:r>
        <w:t xml:space="preserve">Across all outcomes, lipid levels were categorised in a number of ways. The most common categorisation was hypercholesterolemia at baseline, defined most frequently as a total cholesterol measurement of greater than 6.5 mmol/L.</w:t>
      </w:r>
    </w:p>
    <w:p>
      <w:pPr>
        <w:pStyle w:val="BodyText"/>
      </w:pPr>
      <w:r>
        <w:t xml:space="preserve">Eleven studies reported on the association of hypercholesterolemia with all-cause dementia and provided weak evidence for an effect (HR: 1.11, 95%CI: 0.99-1.24, Figure</w:t>
      </w:r>
      <w:r>
        <w:t xml:space="preserve"> </w:t>
      </w:r>
      <w:r>
        <w:t xml:space="preserve">9</w:t>
      </w:r>
      <w:r>
        <w:t xml:space="preserve">).</w:t>
      </w:r>
    </w:p>
    <w:p>
      <w:pPr>
        <w:pStyle w:val="BodyText"/>
      </w:pPr>
      <w:r>
        <w:drawing>
          <wp:inline>
            <wp:extent cx="5943600" cy="4754880"/>
            <wp:effectExtent b="0" l="0" r="0" t="0"/>
            <wp:docPr descr="Figure 9: Random-effects meta-analysis of non-randomised studies examining the effect of hypercholesterolemia on all-cause dementia" title="" id="1" name="Picture"/>
            <a:graphic>
              <a:graphicData uri="http://schemas.openxmlformats.org/drawingml/2006/picture">
                <pic:pic>
                  <pic:nvPicPr>
                    <pic:cNvPr descr="figures/sys-rev/fp_obs_hyperchol_Dementia.png" id="0" name="Picture"/>
                    <pic:cNvPicPr>
                      <a:picLocks noChangeArrowheads="1" noChangeAspect="1"/>
                    </pic:cNvPicPr>
                  </pic:nvPicPr>
                  <pic:blipFill>
                    <a:blip r:embed="rId123"/>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p>
    <w:p>
      <w:pPr>
        <w:pStyle w:val="BodyText"/>
      </w:pPr>
      <w:r>
        <w:t xml:space="preserve">Several studies analysed individual lipid fractions by estimating the risk of dementia per 1 standard deviation increase in that fraction (Figure</w:t>
      </w:r>
      <w:r>
        <w:t xml:space="preserve"> </w:t>
      </w:r>
      <w:r>
        <w:t xml:space="preserve">??</w:t>
      </w:r>
      <w:r>
        <w:t xml:space="preserve">). Very weak evidence for an effect on all-cause dementia was found for total cholesterol (N = 5; HR: 0.97, 95%CI: 0.87-1.07), LDL-c (N = 2; HR: 0.96, 95%CI: 0.86-1.08), HDL-c (N = 4; HR: 1.04, 95%CI: 0.96-1.13) and triglycerides (N = 3; HR: 0.90, 95%CI: 0.75-1.08).</w:t>
      </w:r>
    </w:p>
    <w:p>
      <w:pPr>
        <w:pStyle w:val="BodyText"/>
      </w:pPr>
      <w:r>
        <w:drawing>
          <wp:inline>
            <wp:extent cx="5943600" cy="8915400"/>
            <wp:effectExtent b="0" l="0" r="0" t="0"/>
            <wp:docPr descr="(#fig:lipidFractionsDementia)Random-effects meta-analysis of four lipid fractions (total cholesteol, HDL, LDL, and triglycerides) on all-cause dementia risk, standardised per 1-SD increase in the lipid fraction." title="" id="1" name="Picture"/>
            <a:graphic>
              <a:graphicData uri="http://schemas.openxmlformats.org/drawingml/2006/picture">
                <pic:pic>
                  <pic:nvPicPr>
                    <pic:cNvPr descr="figures/sys-rev/fp_lipids_composite_Dementia.pdf" id="0" name="Picture"/>
                    <pic:cNvPicPr>
                      <a:picLocks noChangeArrowheads="1" noChangeAspect="1"/>
                    </pic:cNvPicPr>
                  </pic:nvPicPr>
                  <pic:blipFill>
                    <a:blip r:embed="rId124"/>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no identified Mendelian randomisation analysis examining the effect of lower lipid levels, as determined by any genetic instrument, on all-cause dementia risk.</w:t>
      </w:r>
    </w:p>
    <w:p>
      <w:pPr>
        <w:pStyle w:val="BodyText"/>
      </w:pPr>
      <w:r>
        <w:t xml:space="preserve"> </w:t>
      </w:r>
    </w:p>
    <w:bookmarkEnd w:id="125"/>
    <w:bookmarkEnd w:id="126"/>
    <w:bookmarkStart w:id="134" w:name="sys-rev-res-AD"/>
    <w:p>
      <w:pPr>
        <w:pStyle w:val="Heading3"/>
      </w:pPr>
      <w:r>
        <w:t xml:space="preserve">Alzheimer’s disease</w:t>
      </w:r>
    </w:p>
    <w:bookmarkStart w:id="129" w:name="statins-1"/>
    <w:p>
      <w:pPr>
        <w:pStyle w:val="Heading4"/>
      </w:pPr>
      <w:r>
        <w:t xml:space="preserve">Statins</w:t>
      </w:r>
    </w:p>
    <w:p>
      <w:pPr>
        <w:pStyle w:val="FirstParagraph"/>
      </w:pPr>
      <w:r>
        <w:t xml:space="preserve">There were no randomised trials of the use of statins or any other lipid regulating agents on Alzheimer’s disease, though several observational studies reported on this outcome and provided evidence for a protective effect (N = 11; HR: 0.83, 95%CI: 0.69-1.00; Figure</w:t>
      </w:r>
      <w:r>
        <w:t xml:space="preserve"> </w:t>
      </w:r>
      <w:r>
        <w:t xml:space="preserve">10</w:t>
      </w:r>
      <w:r>
        <w:t xml:space="preserve">).</w:t>
      </w:r>
    </w:p>
    <w:p>
      <w:pPr>
        <w:pStyle w:val="BodyText"/>
      </w:pPr>
      <w:r>
        <w:drawing>
          <wp:inline>
            <wp:extent cx="5943600" cy="4075611"/>
            <wp:effectExtent b="0" l="0" r="0" t="0"/>
            <wp:docPr descr="Figure 10: Random-effects meta-analysis of non-randomised studies examining the effect of statin use on Alzheimer’s disease" title="" id="1" name="Picture"/>
            <a:graphic>
              <a:graphicData uri="http://schemas.openxmlformats.org/drawingml/2006/picture">
                <pic:pic>
                  <pic:nvPicPr>
                    <pic:cNvPr descr="figures/sys-rev/fp_obs_Statin-Ever_AD.png" id="0" name="Picture"/>
                    <pic:cNvPicPr>
                      <a:picLocks noChangeArrowheads="1" noChangeAspect="1"/>
                    </pic:cNvPicPr>
                  </pic:nvPicPr>
                  <pic:blipFill>
                    <a:blip r:embed="rId127"/>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p>
    <w:p>
      <w:pPr>
        <w:pStyle w:val="BodyText"/>
      </w:pPr>
      <w:r>
        <w:t xml:space="preserve">Two Mendelian randomisation studies looked at specifically as a result of HMGCR inhibition, mediated by SNPs in the gene (rs172338484 and rs12916).</w:t>
      </w:r>
      <w:hyperlink w:anchor="ref-benn2017b">
        <w:r>
          <w:rPr>
            <w:rStyle w:val="Hyperlink"/>
            <w:vertAlign w:val="superscript"/>
          </w:rPr>
          <w:t xml:space="preserve">158</w:t>
        </w:r>
      </w:hyperlink>
      <w:r>
        <w:rPr>
          <w:vertAlign w:val="superscript"/>
        </w:rPr>
        <w:t xml:space="preserve">,</w:t>
      </w:r>
      <w:hyperlink w:anchor="ref-so2017">
        <w:r>
          <w:rPr>
            <w:rStyle w:val="Hyperlink"/>
            <w:vertAlign w:val="superscript"/>
          </w:rPr>
          <w:t xml:space="preserve">211</w:t>
        </w:r>
      </w:hyperlink>
      <w:r>
        <w:t xml:space="preserve"> </w:t>
      </w:r>
      <w:r>
        <w:t xml:space="preserve">The first used a one sample approach (SNP-exposure and SNP-outcome associations are estimated using the same dataset) in a large Copenhagen-based cohort, while the second made use of summary level data obtained from the Global Lipids Genetic Consortium (SNP-exposure) and the International Genomics of Alzheimer’s Project (SNP-outcome). Meta-analysis of these estimates provided weak evidence of an effect (RR: 0.76, 95%CI: 0.51-1.14, Figure</w:t>
      </w:r>
      <w:r>
        <w:t xml:space="preserve"> </w:t>
      </w:r>
      <w:r>
        <w:t xml:space="preserve">11</w:t>
      </w:r>
      <w:r>
        <w:t xml:space="preserve">).</w:t>
      </w:r>
    </w:p>
    <w:p>
      <w:pPr>
        <w:pStyle w:val="BodyText"/>
      </w:pPr>
      <w:r>
        <w:drawing>
          <wp:inline>
            <wp:extent cx="5943600" cy="1867988"/>
            <wp:effectExtent b="0" l="0" r="0" t="0"/>
            <wp:docPr descr="Figure 11: Random-effects meta-analysis of genetically lowered LDL-c via HMGCR inhibition on Alzheimer’s disease" title="" id="1" name="Picture"/>
            <a:graphic>
              <a:graphicData uri="http://schemas.openxmlformats.org/drawingml/2006/picture">
                <pic:pic>
                  <pic:nvPicPr>
                    <pic:cNvPr descr="figures/sys-rev/fp_MR_HMGCR_AD.png" id="0" name="Picture"/>
                    <pic:cNvPicPr>
                      <a:picLocks noChangeArrowheads="1" noChangeAspect="1"/>
                    </pic:cNvPicPr>
                  </pic:nvPicPr>
                  <pic:blipFill>
                    <a:blip r:embed="rId128"/>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129"/>
    <w:bookmarkStart w:id="133" w:name="lipids-1"/>
    <w:p>
      <w:pPr>
        <w:pStyle w:val="Heading4"/>
      </w:pPr>
      <w:r>
        <w:t xml:space="preserve">Lipids</w:t>
      </w:r>
    </w:p>
    <w:p>
      <w:pPr>
        <w:pStyle w:val="FirstParagraph"/>
      </w:pPr>
      <w:r>
        <w:t xml:space="preserve">9 studies reported on the association of hypercholesterolemia with all-cause dementia and provided weak evidence for an effect (HR: 0.99, 95%CI: 0.78-1.25, Figure</w:t>
      </w:r>
      <w:r>
        <w:t xml:space="preserve"> </w:t>
      </w:r>
      <w:r>
        <w:t xml:space="preserve">12</w:t>
      </w:r>
      <w:r>
        <w:t xml:space="preserve">)</w:t>
      </w:r>
    </w:p>
    <w:p>
      <w:pPr>
        <w:pStyle w:val="BodyText"/>
      </w:pPr>
      <w:r>
        <w:drawing>
          <wp:inline>
            <wp:extent cx="5943600" cy="3396342"/>
            <wp:effectExtent b="0" l="0" r="0" t="0"/>
            <wp:docPr descr="Figure 12: Random-effects meta-analysis of non-randomised studies examining the effect of hypercholesterolemia on Alzheimer’s disease" title="" id="1" name="Picture"/>
            <a:graphic>
              <a:graphicData uri="http://schemas.openxmlformats.org/drawingml/2006/picture">
                <pic:pic>
                  <pic:nvPicPr>
                    <pic:cNvPr descr="figures/sys-rev/fp_obs_hyperchol_AD.png" id="0" name="Picture"/>
                    <pic:cNvPicPr>
                      <a:picLocks noChangeArrowheads="1" noChangeAspect="1"/>
                    </pic:cNvPicPr>
                  </pic:nvPicPr>
                  <pic:blipFill>
                    <a:blip r:embed="rId130"/>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BodyText"/>
      </w:pPr>
      <w:r>
        <w:t xml:space="preserve">Similarly to all-cause dementia, several studies analysed individual lipid fractions by estimating the risk of dementia per 1 standard deviation increase in that fraction (Figure</w:t>
      </w:r>
      <w:r>
        <w:t xml:space="preserve"> </w:t>
      </w:r>
      <w:r>
        <w:t xml:space="preserve">??</w:t>
      </w:r>
      <w:r>
        <w:t xml:space="preserve">). Very weak evidence for an effect on all-cause dementia was found for total cholesterol (N = 5; HR: 1.00, 95%CI: 0.93-1.07), LDL-c (N = 3; HR: 1.03, 95%CI: 0.91-1.16), HDL-c (N = 4; HR: 0.99, 95%CI: 0.91-1.07) or triglycerides (N = 3; HR: 0.99, 95%CI: 0.83-1.19).</w:t>
      </w:r>
    </w:p>
    <w:p>
      <w:pPr>
        <w:pStyle w:val="BodyText"/>
      </w:pPr>
      <w:r>
        <w:drawing>
          <wp:inline>
            <wp:extent cx="5943600" cy="8915400"/>
            <wp:effectExtent b="0" l="0" r="0" t="0"/>
            <wp:docPr descr="(#fig:lipidFractionsAD)Random-effects meta-analysis of four lipid fractions (total cholesteol, HDL, LDL, and triglycerides) on Alzheimer’s disease risk, standardised per 1-SD increase in the lipid fraction." title="" id="1" name="Picture"/>
            <a:graphic>
              <a:graphicData uri="http://schemas.openxmlformats.org/drawingml/2006/picture">
                <pic:pic>
                  <pic:nvPicPr>
                    <pic:cNvPr descr="figures/sys-rev/fp_lipids_composite_AD.pdf" id="0" name="Picture"/>
                    <pic:cNvPicPr>
                      <a:picLocks noChangeArrowheads="1" noChangeAspect="1"/>
                    </pic:cNvPicPr>
                  </pic:nvPicPr>
                  <pic:blipFill>
                    <a:blip r:embed="rId131"/>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several identified Mendelian randomisation studies examining the effect of genetically lowered LDL-c on Alzheimer’s disease risk (Figure</w:t>
      </w:r>
      <w:r>
        <w:t xml:space="preserve"> </w:t>
      </w:r>
      <w:r>
        <w:t xml:space="preserve">13</w:t>
      </w:r>
      <w:r>
        <w:t xml:space="preserve">). However, all of these studies used a two-sample approach, making use of summary statistics from the GLGC and IGAP consortia. Due to this overlap, which would result in a falsely precise estimate caused by multiple counting of the same participants, no meta-analysis of these studies was performed. However, across all analysis, using varying number of SNPS, no evidence for an effect was observed (Figure</w:t>
      </w:r>
      <w:r>
        <w:t xml:space="preserve"> </w:t>
      </w:r>
      <w:r>
        <w:t xml:space="preserve">13</w:t>
      </w:r>
      <w:r>
        <w:t xml:space="preserve">).</w:t>
      </w:r>
    </w:p>
    <w:p>
      <w:pPr>
        <w:pStyle w:val="BodyText"/>
      </w:pPr>
      <w:r>
        <w:drawing>
          <wp:inline>
            <wp:extent cx="5943600" cy="2971800"/>
            <wp:effectExtent b="0" l="0" r="0" t="0"/>
            <wp:docPr descr="Figure 13: Summary of duplication across Mendelian randomisation studies which used summary statistics from the Global Lipid Genetics Consortium (GLGC) and the International Genomics of Alzheimer’s Project (IGAP). Note that the Alzheimer’s Disease Genetics Consortium (ADGC) is a sub-cohort within IGAP."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32"/>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bookmarkEnd w:id="133"/>
    <w:bookmarkEnd w:id="134"/>
    <w:bookmarkStart w:id="140" w:name="sys-rev-res-VaD"/>
    <w:p>
      <w:pPr>
        <w:pStyle w:val="Heading3"/>
      </w:pPr>
      <w:r>
        <w:t xml:space="preserve">Vascular dementia</w:t>
      </w:r>
    </w:p>
    <w:bookmarkStart w:id="136" w:name="statins-2"/>
    <w:p>
      <w:pPr>
        <w:pStyle w:val="Heading4"/>
      </w:pPr>
      <w:r>
        <w:t xml:space="preserve">Statins</w:t>
      </w:r>
    </w:p>
    <w:p>
      <w:pPr>
        <w:pStyle w:val="FirstParagraph"/>
      </w:pPr>
      <w:r>
        <w:t xml:space="preserve">As noted in Section</w:t>
      </w:r>
      <w:r>
        <w:t xml:space="preserve"> </w:t>
      </w:r>
      <w:r>
        <w:t xml:space="preserve">3.4.4</w:t>
      </w:r>
      <w:r>
        <w:t xml:space="preserve"> </w:t>
      </w:r>
      <w:r>
        <w:t xml:space="preserve">above, there was substantially less literature available on the association of my risk factors of interest and vascular dementia. There were no available randomised trials for this outcome. Three prospective cohort studies examined statin use and vascular dementia, though meta-analysis of these studies provided very weak evidence for an effect (N = 3; HR: 1.02, 95%CI: 0.77-1.36; Figure</w:t>
      </w:r>
      <w:r>
        <w:t xml:space="preserve"> </w:t>
      </w:r>
      <w:r>
        <w:t xml:space="preserve">14</w:t>
      </w:r>
      <w:r>
        <w:t xml:space="preserve">).</w:t>
      </w:r>
    </w:p>
    <w:p>
      <w:pPr>
        <w:pStyle w:val="BodyText"/>
      </w:pPr>
      <w:r>
        <w:drawing>
          <wp:inline>
            <wp:extent cx="5943600" cy="2377440"/>
            <wp:effectExtent b="0" l="0" r="0" t="0"/>
            <wp:docPr descr="Figure 14: Random-effects meta-analysis of non-randomised studies examining effect of statin use on vascular dementia" title="" id="1" name="Picture"/>
            <a:graphic>
              <a:graphicData uri="http://schemas.openxmlformats.org/drawingml/2006/picture">
                <pic:pic>
                  <pic:nvPicPr>
                    <pic:cNvPr descr="figures/sys-rev/fp_obs_Statin-Ever_VaD.png" id="0" name="Picture"/>
                    <pic:cNvPicPr>
                      <a:picLocks noChangeArrowheads="1" noChangeAspect="1"/>
                    </pic:cNvPicPr>
                  </pic:nvPicPr>
                  <pic:blipFill>
                    <a:blip r:embed="rId135"/>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A single Mendelian randomisation analysis was identified that examining the effect of genetically lowered LDL-c levels via HMGCR inhibition on the risk of vascular dementia, which provided weak evidence for an effect (RR: 0.44, 95%CI: 0.21-0.91).</w:t>
      </w:r>
    </w:p>
    <w:p>
      <w:pPr>
        <w:pStyle w:val="BodyText"/>
      </w:pPr>
      <w:r>
        <w:t xml:space="preserve"> </w:t>
      </w:r>
    </w:p>
    <w:bookmarkEnd w:id="136"/>
    <w:bookmarkStart w:id="139" w:name="lipids-2"/>
    <w:p>
      <w:pPr>
        <w:pStyle w:val="Heading4"/>
      </w:pPr>
      <w:r>
        <w:t xml:space="preserve">Lipids</w:t>
      </w:r>
    </w:p>
    <w:p>
      <w:pPr>
        <w:pStyle w:val="FirstParagraph"/>
      </w:pPr>
      <w:r>
        <w:t xml:space="preserve">Three studies reported on the association of hypercholesterolemia with vascular dementia and provided weak evidence for an effect (HR: 1.20, 95%CI: 1.00-1.44, Figure</w:t>
      </w:r>
      <w:r>
        <w:t xml:space="preserve"> </w:t>
      </w:r>
      <w:r>
        <w:t xml:space="preserve">15</w:t>
      </w:r>
      <w:r>
        <w:t xml:space="preserve">)</w:t>
      </w:r>
    </w:p>
    <w:p>
      <w:pPr>
        <w:pStyle w:val="BodyText"/>
      </w:pPr>
      <w:r>
        <w:drawing>
          <wp:inline>
            <wp:extent cx="5943600" cy="2377440"/>
            <wp:effectExtent b="0" l="0" r="0" t="0"/>
            <wp:docPr descr="Figure 15: Random-effects meta-analysis of non-randomised studies examining the effect of hypercholesterolemia on vascular dementia" title="" id="1" name="Picture"/>
            <a:graphic>
              <a:graphicData uri="http://schemas.openxmlformats.org/drawingml/2006/picture">
                <pic:pic>
                  <pic:nvPicPr>
                    <pic:cNvPr descr="figures/sys-rev/fp_obs_hyperchol_VaD.png" id="0" name="Picture"/>
                    <pic:cNvPicPr>
                      <a:picLocks noChangeArrowheads="1" noChangeAspect="1"/>
                    </pic:cNvPicPr>
                  </pic:nvPicPr>
                  <pic:blipFill>
                    <a:blip r:embed="rId137"/>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Few studies investigated the effect of individual lipid fractions. Only for total cholesterol was there greater than one result reported (Figure</w:t>
      </w:r>
      <w:r>
        <w:t xml:space="preserve"> </w:t>
      </w:r>
      <w:r>
        <w:t xml:space="preserve">16</w:t>
      </w:r>
      <w:r>
        <w:t xml:space="preserve">), and a meta-analysis of these found very weak evidence for an effect (N = 2; HR: 1.05, 95%CI: 0.79-1.41). A single study provided evidence on the other three fractions,</w:t>
      </w:r>
      <w:hyperlink w:anchor="ref-yoshitake1995">
        <w:r>
          <w:rPr>
            <w:rStyle w:val="Hyperlink"/>
            <w:vertAlign w:val="superscript"/>
          </w:rPr>
          <w:t xml:space="preserve">226</w:t>
        </w:r>
      </w:hyperlink>
      <w:r>
        <w:t xml:space="preserve"> </w:t>
      </w:r>
      <w:r>
        <w:t xml:space="preserve">and similar found minimal evidence of an effect LDL-c (N = 1; HR: 1.12, 95%CI: 0.83-1.51), HDL-c (N = 1; HR: 0.83, 95%CI: 0.60-1.14) or triglycerides (N = 1; HR: 1.00, 95%CI: 0.75-1.34).</w:t>
      </w:r>
    </w:p>
    <w:p>
      <w:pPr>
        <w:pStyle w:val="BodyText"/>
      </w:pPr>
      <w:r>
        <w:drawing>
          <wp:inline>
            <wp:extent cx="5943600" cy="2377440"/>
            <wp:effectExtent b="0" l="0" r="0" t="0"/>
            <wp:docPr descr="Figure 16: Random-effects meta-analysis of four lipid fractions (total cholesteol, HDL, LDL, and triglycerides) on Alzheimer’s disease risk, standardised per 1-SD increase in the lipid fraction." title="" id="1" name="Picture"/>
            <a:graphic>
              <a:graphicData uri="http://schemas.openxmlformats.org/drawingml/2006/picture">
                <pic:pic>
                  <pic:nvPicPr>
                    <pic:cNvPr descr="figures/sys-rev/fp_obs_VaD_TC_.png" id="0" name="Picture"/>
                    <pic:cNvPicPr>
                      <a:picLocks noChangeArrowheads="1" noChangeAspect="1"/>
                    </pic:cNvPicPr>
                  </pic:nvPicPr>
                  <pic:blipFill>
                    <a:blip r:embed="rId138"/>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Finally, there were no identified Mendelian randomisation analysis examining the effect of genetically determined lipid levels on vascular dementia risk.</w:t>
      </w:r>
    </w:p>
    <w:p>
      <w:pPr>
        <w:pStyle w:val="BodyText"/>
      </w:pPr>
      <w:r>
        <w:t xml:space="preserve"> </w:t>
      </w:r>
    </w:p>
    <w:bookmarkEnd w:id="139"/>
    <w:bookmarkEnd w:id="140"/>
    <w:bookmarkStart w:id="142" w:name="dose-response-results"/>
    <w:p>
      <w:pPr>
        <w:pStyle w:val="Heading3"/>
      </w:pPr>
      <w:r>
        <w:t xml:space="preserve">Dose response meta-analysis of lipid levels</w:t>
      </w:r>
    </w:p>
    <w:p>
      <w:pPr>
        <w:pStyle w:val="FirstParagraph"/>
      </w:pPr>
      <w:r>
        <w:t xml:space="preserve">There were 13 studies that were eligible for dose-response meta-analysis as they provide several categories of lipid exposure. However, following data extract, five were excluded as they did not reported the relevant information needed (most commonly, the cut-off measures for each category).</w:t>
      </w:r>
    </w:p>
    <w:p>
      <w:pPr>
        <w:pStyle w:val="BodyText"/>
      </w:pPr>
      <w:r>
        <w:t xml:space="preserve">Across the remaining eight studies, a sufficient number of studies (n</w:t>
      </w:r>
      <w:r>
        <w:t xml:space="preserve"> </w:t>
      </w:r>
      <m:oMath>
        <m:r>
          <m:rPr>
            <m:sty m:val="p"/>
          </m:rPr>
          <m:t>≥</m:t>
        </m:r>
      </m:oMath>
      <w:r>
        <w:t xml:space="preserve"> </w:t>
      </w:r>
      <w:r>
        <w:t xml:space="preserve">3) were identified only for the total cholesterol-Alzheimer’s, LDL-Alzheimer’s, and total cholesterol-dementia strata. This analysis provided very weak evidence for a non-linear effect of lipid levels on dementia outcomes, and Figure</w:t>
      </w:r>
      <w:r>
        <w:t xml:space="preserve"> </w:t>
      </w:r>
      <w:r>
        <w:t xml:space="preserve">17</w:t>
      </w:r>
      <w:r>
        <w:t xml:space="preserve"> </w:t>
      </w:r>
      <w:r>
        <w:t xml:space="preserve">illustrates this for the total cholesterol-Alzheimer’s strata. Similar figures for the other analysed lipid-outcome strata are presented in Appendix</w:t>
      </w:r>
      <w:r>
        <w:t xml:space="preserve"> </w:t>
      </w:r>
      <w:r>
        <w:t xml:space="preserve">??</w:t>
      </w:r>
      <w:r>
        <w:t xml:space="preserve">.</w:t>
      </w:r>
    </w:p>
    <w:p>
      <w:pPr>
        <w:pStyle w:val="BodyText"/>
      </w:pPr>
      <w:r>
        <w:t xml:space="preserve">(ref:lipidsDoseResponse-scap) Dose-response meta-analysis of total cholesterol</w:t>
      </w:r>
    </w:p>
    <w:p>
      <w:pPr>
        <w:pStyle w:val="BodyText"/>
      </w:pPr>
      <w:r>
        <w:drawing>
          <wp:inline>
            <wp:extent cx="5943600" cy="5943600"/>
            <wp:effectExtent b="0" l="0" r="0" t="0"/>
            <wp:docPr descr="Figure 17: Dose-response meta-analysis of total cholesterol on Alzheimer’s disease" title="" id="1" name="Picture"/>
            <a:graphic>
              <a:graphicData uri="http://schemas.openxmlformats.org/drawingml/2006/picture">
                <pic:pic>
                  <pic:nvPicPr>
                    <pic:cNvPr descr="figures/sys-rev/dr_AD_TC.png" id="0" name="Picture"/>
                    <pic:cNvPicPr>
                      <a:picLocks noChangeArrowheads="1" noChangeAspect="1"/>
                    </pic:cNvPicPr>
                  </pic:nvPicPr>
                  <pic:blipFill>
                    <a:blip r:embed="rId141"/>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t xml:space="preserve"> </w:t>
      </w:r>
    </w:p>
    <w:bookmarkEnd w:id="142"/>
    <w:bookmarkStart w:id="143" w:name="additional-analyses-1"/>
    <w:p>
      <w:pPr>
        <w:pStyle w:val="Heading3"/>
      </w:pPr>
      <w:r>
        <w:t xml:space="preserve">Additional analyses</w:t>
      </w:r>
    </w:p>
    <w:p>
      <w:pPr>
        <w:pStyle w:val="FirstParagraph"/>
      </w:pPr>
      <w:r>
        <w:t xml:space="preserve">Investigation of potential sources of heterogeneity was complicated by two factors. In the first instance, few meta-analysis included more than 10 results, the recommended minimum required for meta-regression. Secondly, poor reporting of summary statistics including education level and baseline cognitive ability precluded the use of several results in a meta-regression analysis.</w:t>
      </w:r>
    </w:p>
    <w:p>
      <w:pPr>
        <w:pStyle w:val="BodyText"/>
      </w:pPr>
      <w:r>
        <w:t xml:space="preserve">Age and sex were assessed as potential causes of heterogeneity in the meta-analyses of statin use and hypercholesterolemia on all cause dementia and Alzheimer’s disease, but I found very weak evidence for variation in the observed effect estimates due to these factors.</w:t>
      </w:r>
    </w:p>
    <w:p>
      <w:pPr>
        <w:pStyle w:val="BodyText"/>
      </w:pPr>
      <w:r>
        <w:t xml:space="preserve">Similarly, assessment of small-study effects, for which publication bias could be one potential reason, was hindered by the relatively small number of results included in a given meta-analysis. However, all analyses assessed provided weak evidence of small-study effects.</w:t>
      </w:r>
    </w:p>
    <w:p>
      <w:pPr>
        <w:pStyle w:val="BodyText"/>
      </w:pPr>
      <w:r>
        <w:t xml:space="preserve">[</w:t>
      </w:r>
      <w:r>
        <w:rPr>
          <w:iCs/>
          <w:i/>
        </w:rPr>
        <w:t xml:space="preserve">Note: Julian, is this sufficient or should I report statistics for each? Additionally, are there any other sensitivity analyses I should be presenting here?</w:t>
      </w:r>
      <w:r>
        <w:t xml:space="preserve">]</w:t>
      </w:r>
    </w:p>
    <w:p>
      <w:pPr>
        <w:pStyle w:val="BodyText"/>
      </w:pPr>
      <w:r>
        <w:t xml:space="preserve"> </w:t>
      </w:r>
    </w:p>
    <w:p>
      <w:pPr>
        <w:pStyle w:val="BodyText"/>
      </w:pPr>
      <w:r>
        <w:t xml:space="preserve"> </w:t>
      </w:r>
    </w:p>
    <w:bookmarkEnd w:id="143"/>
    <w:bookmarkStart w:id="144" w:name="missing-evidence"/>
    <w:p>
      <w:pPr>
        <w:pStyle w:val="Heading3"/>
      </w:pPr>
      <w:r>
        <w:t xml:space="preserve">Missing evidence</w:t>
      </w:r>
    </w:p>
    <w:p>
      <w:pPr>
        <w:pStyle w:val="FirstParagraph"/>
      </w:pPr>
      <w:r>
        <w:t xml:space="preserve">The risk of bias due to missing evidence in each synthesis is shown beside the overall summary diamond in each forest plot presented above. For randomised controlled trials and non-randomised studies of interventions, the risk of bias due to missing evidence was assessed to be minimal. However, there was substantial evidence that results were selectively reported in studies examining the effect of lipid fractions on dementia outcomes (Figures</w:t>
      </w:r>
      <w:r>
        <w:t xml:space="preserve"> </w:t>
      </w:r>
      <w:r>
        <w:t xml:space="preserve">??</w:t>
      </w:r>
      <w:r>
        <w:t xml:space="preserve">,</w:t>
      </w:r>
      <w:r>
        <w:t xml:space="preserve"> </w:t>
      </w:r>
      <w:r>
        <w:t xml:space="preserve">??</w:t>
      </w:r>
      <w:r>
        <w:t xml:space="preserve"> </w:t>
      </w:r>
      <w:r>
        <w:t xml:space="preserve">and</w:t>
      </w:r>
      <w:r>
        <w:t xml:space="preserve"> </w:t>
      </w:r>
      <w:r>
        <w:t xml:space="preserve">16</w:t>
      </w:r>
      <w:r>
        <w:t xml:space="preserve">.</w:t>
      </w:r>
    </w:p>
    <w:p>
      <w:pPr>
        <w:pStyle w:val="BodyText"/>
      </w:pPr>
      <w:r>
        <w:t xml:space="preserve"> </w:t>
      </w:r>
    </w:p>
    <w:bookmarkEnd w:id="144"/>
    <w:bookmarkStart w:id="145" w:name="sys-rev-including-preprints-res"/>
    <w:p>
      <w:pPr>
        <w:pStyle w:val="Heading3"/>
      </w:pPr>
      <w:r>
        <w:t xml:space="preserve">Added evidential value of including preprints</w:t>
      </w:r>
    </w:p>
    <w:p>
      <w:pPr>
        <w:pStyle w:val="FirstParagraph"/>
      </w:pPr>
      <w:r>
        <w:t xml:space="preserve">As show in Figure</w:t>
      </w:r>
      <w:r>
        <w:t xml:space="preserve"> </w:t>
      </w:r>
      <w:r>
        <w:t xml:space="preserve">4</w:t>
      </w:r>
      <w:r>
        <w:t xml:space="preserve">, the number of hits returned by the preprint searching was not substantial (bioRxiv = 256, medRxiv = 0). From these hits, three preprinted reports of eligible studies were included in the review, of which two described unique studies not captured by the main search.</w:t>
      </w:r>
      <w:hyperlink w:anchor="ref-so2017">
        <w:r>
          <w:rPr>
            <w:rStyle w:val="Hyperlink"/>
            <w:vertAlign w:val="superscript"/>
          </w:rPr>
          <w:t xml:space="preserve">211</w:t>
        </w:r>
      </w:hyperlink>
      <w:r>
        <w:rPr>
          <w:vertAlign w:val="superscript"/>
        </w:rPr>
        <w:t xml:space="preserve">,</w:t>
      </w:r>
      <w:hyperlink w:anchor="ref-andrews2019">
        <w:r>
          <w:rPr>
            <w:rStyle w:val="Hyperlink"/>
            <w:vertAlign w:val="superscript"/>
          </w:rPr>
          <w:t xml:space="preserve">232</w:t>
        </w:r>
      </w:hyperlink>
    </w:p>
    <w:p>
      <w:pPr>
        <w:pStyle w:val="BodyText"/>
      </w:pPr>
      <w:r>
        <w:t xml:space="preserve">Including preprints did provide useful additional evidential value in a number of meta-analysis. To demonstrate this, the effect of HMGCR SNPS on Alzheimer’s disease (Figure</w:t>
      </w:r>
      <w:r>
        <w:t xml:space="preserve"> </w:t>
      </w:r>
      <w:r>
        <w:t xml:space="preserve">11</w:t>
      </w:r>
      <w:r>
        <w:t xml:space="preserve">) in Mendelian randomisation studies was re-analysed using a fixed-effect model. Examination of the weight assigned to each result in the analysis illustrates that a large proportion (78%) of the weight is given to the preprinted result.</w:t>
      </w:r>
    </w:p>
    <w:p>
      <w:pPr>
        <w:pStyle w:val="BodyText"/>
      </w:pPr>
      <w:r>
        <w:t xml:space="preserve">Investigation of the publication status of the two preprints reporting studies not also identified by the main search after a two-year lag found that one had been subsequently published in late 2019.</w:t>
      </w:r>
      <w:hyperlink w:anchor="ref-andrews2021">
        <w:r>
          <w:rPr>
            <w:rStyle w:val="Hyperlink"/>
            <w:vertAlign w:val="superscript"/>
          </w:rPr>
          <w:t xml:space="preserve">155</w:t>
        </w:r>
      </w:hyperlink>
      <w:r>
        <w:rPr>
          <w:vertAlign w:val="superscript"/>
        </w:rPr>
        <w:t xml:space="preserve">,</w:t>
      </w:r>
      <w:hyperlink w:anchor="ref-andrews2019">
        <w:r>
          <w:rPr>
            <w:rStyle w:val="Hyperlink"/>
            <w:vertAlign w:val="superscript"/>
          </w:rPr>
          <w:t xml:space="preserve">232</w:t>
        </w:r>
      </w:hyperlink>
      <w:r>
        <w:t xml:space="preserve"> </w:t>
      </w:r>
      <w:r>
        <w:t xml:space="preserve">The final preprint has not yet been published.</w:t>
      </w:r>
      <w:hyperlink w:anchor="ref-so2017">
        <w:r>
          <w:rPr>
            <w:rStyle w:val="Hyperlink"/>
            <w:vertAlign w:val="superscript"/>
          </w:rPr>
          <w:t xml:space="preserve">211</w:t>
        </w:r>
      </w:hyperlink>
    </w:p>
    <w:p>
      <w:pPr>
        <w:pStyle w:val="BodyText"/>
      </w:pPr>
      <w:r>
        <w:t xml:space="preserve"> </w:t>
      </w:r>
      <w:r>
        <w:t xml:space="preserve"> </w:t>
      </w:r>
    </w:p>
    <w:bookmarkEnd w:id="145"/>
    <w:bookmarkEnd w:id="146"/>
    <w:bookmarkStart w:id="158" w:name="discussion-1"/>
    <w:p>
      <w:pPr>
        <w:pStyle w:val="Heading2"/>
      </w:pPr>
      <w:r>
        <w:t xml:space="preserve">Discussion</w:t>
      </w:r>
    </w:p>
    <w:p>
      <w:pPr>
        <w:pStyle w:val="FirstParagraph"/>
      </w:pPr>
      <w:r>
        <w:t xml:space="preserve">This review has presented a summary of the available evidence on the association between lipids, and treatments that modify lipids such as statins, and the subsequent risk of dementia. This discussion seeks to to summarise the key findings in terms of literature sources and results as reported. A detailed comparison across the evidence sources, exposure measures and sources of bias reported here is presented as part of the triangulation exercise in Chapter</w:t>
      </w:r>
      <w:r>
        <w:t xml:space="preserve"> </w:t>
      </w:r>
      <w:r>
        <w:t xml:space="preserve">6</w:t>
      </w:r>
      <w:r>
        <w:t xml:space="preserve">.</w:t>
      </w:r>
    </w:p>
    <w:p>
      <w:pPr>
        <w:pStyle w:val="BodyText"/>
      </w:pPr>
      <w:r>
        <w:t xml:space="preserve"> </w:t>
      </w:r>
    </w:p>
    <w:bookmarkStart w:id="148" w:name="summary-of-findings"/>
    <w:p>
      <w:pPr>
        <w:pStyle w:val="Heading3"/>
      </w:pPr>
      <w:r>
        <w:t xml:space="preserve">Summary of findings</w:t>
      </w:r>
    </w:p>
    <w:p>
      <w:pPr>
        <w:pStyle w:val="FirstParagraph"/>
      </w:pPr>
      <w:r>
        <w:t xml:space="preserve">There was some evidence of protective effect of statins on all-cause and Alzheimer’s disease dementia when looking at solely at observational studies. This finding was not supported by evidence from the two available RCTs, or by studies that emulated statin treatment using a genetic proxy, suggesting that these findings may be a result of heterogeneity in exposure (e.g. mid-life in studies of lipids with late-life lipid reduction in RCTs) or alternatively due to biases within the non-randomised studies.</w:t>
      </w:r>
    </w:p>
    <w:p>
      <w:pPr>
        <w:pStyle w:val="BodyText"/>
      </w:pPr>
      <w:r>
        <w:t xml:space="preserve">The majority of studies were non-randomised studies of lipids, or treatments that affect lipid levels such as statins. This distribution of evidence between analytical designs is to be expected. Randomised controlled trials of dementia are particularly challenging, as the long follow-up made necessary by the long latent period of the condition, makes trials logistically challenging and financial expensive. Similarly, Mendelian randomisation is a comparatively new study design (as illustrated in Figure</w:t>
      </w:r>
      <w:r>
        <w:t xml:space="preserve"> </w:t>
      </w:r>
      <w:r>
        <w:t xml:space="preserve">18</w:t>
      </w:r>
      <w:r>
        <w:t xml:space="preserve">), which appears in the literature in recent years, driven by the availability of summary genome wide association studies (GWAS) that form the basis of the two-sample Mendelian randomisation approach.</w:t>
      </w:r>
    </w:p>
    <w:p>
      <w:pPr>
        <w:pStyle w:val="BodyText"/>
      </w:pPr>
      <w:r>
        <w:t xml:space="preserve"> </w:t>
      </w:r>
    </w:p>
    <w:p>
      <w:pPr>
        <w:pStyle w:val="BodyText"/>
      </w:pPr>
      <w:r>
        <w:t xml:space="preserve">(ref:typeByYear-cap) Included study designs by year of publication</w:t>
      </w:r>
    </w:p>
    <w:p>
      <w:pPr>
        <w:pStyle w:val="BodyText"/>
      </w:pPr>
      <w:r>
        <w:drawing>
          <wp:inline>
            <wp:extent cx="4587290" cy="2752374"/>
            <wp:effectExtent b="0" l="0" r="0" t="0"/>
            <wp:docPr descr="Figure 18: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47"/>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A common theme was an absence of studies examining vascular dementia as an outcome, most noticeable when comparing the evidence base for statins in dementia/Alzheimer’s (Figures</w:t>
      </w:r>
      <w:r>
        <w:t xml:space="preserve"> </w:t>
      </w:r>
      <w:r>
        <w:t xml:space="preserve">7</w:t>
      </w:r>
      <w:r>
        <w:t xml:space="preserve"> </w:t>
      </w:r>
      <w:r>
        <w:t xml:space="preserve">&amp;</w:t>
      </w:r>
      <w:r>
        <w:t xml:space="preserve"> </w:t>
      </w:r>
      <w:r>
        <w:t xml:space="preserve">10</w:t>
      </w:r>
      <w:r>
        <w:t xml:space="preserve">) with that available for vascular dementia (Figure</w:t>
      </w:r>
      <w:r>
        <w:t xml:space="preserve"> </w:t>
      </w:r>
      <w:r>
        <w:t xml:space="preserve">14</w:t>
      </w:r>
      <w:r>
        <w:t xml:space="preserve">). This is particularly interesting given that lipids and statins are strongly related to the prevention of vascular disease. A potential explanation for this observation may be publication bias or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76</w:t>
        </w:r>
      </w:hyperlink>
      <w:r>
        <w:t xml:space="preserve"> </w:t>
      </w:r>
      <w:r>
        <w:t xml:space="preserve">though there was very weak evidence of a small-study effects for this outcome (of which publication bias is a potential cause).</w:t>
      </w:r>
      <w:hyperlink w:anchor="ref-sterne2011">
        <w:r>
          <w:rPr>
            <w:rStyle w:val="Hyperlink"/>
            <w:vertAlign w:val="superscript"/>
          </w:rPr>
          <w:t xml:space="preserve">233</w:t>
        </w:r>
      </w:hyperlink>
      <w:r>
        <w:t xml:space="preserve"> </w:t>
      </w:r>
      <w:r>
        <w:t xml:space="preserve">Similarly, only one Mendelian randomisation studies examined this outcome, primarily because of the absence (until recently) of vascular dementia GWAS which precludes a two-sample approach.</w:t>
      </w:r>
    </w:p>
    <w:p>
      <w:pPr>
        <w:pStyle w:val="BodyText"/>
      </w:pPr>
      <w:r>
        <w:t xml:space="preserve">Of note, this review did not include the commonly cited PROSPER RCT, which examined the effect of pravastatin on CVD risk, reporting on cognitive outcomes as one of several secondary outcomes.</w:t>
      </w:r>
      <w:hyperlink w:anchor="ref-shepherd2002a">
        <w:r>
          <w:rPr>
            <w:rStyle w:val="Hyperlink"/>
            <w:vertAlign w:val="superscript"/>
          </w:rPr>
          <w:t xml:space="preserve">234</w:t>
        </w:r>
      </w:hyperlink>
      <w:r>
        <w:t xml:space="preserve"> </w:t>
      </w:r>
      <w:r>
        <w:t xml:space="preserve">While widely cited in relation to the effect of statins on dementia risk and included in the Cochrane review of RCTs on this topic,</w:t>
      </w:r>
      <w:hyperlink w:anchor="ref-mcguinness2016">
        <w:r>
          <w:rPr>
            <w:rStyle w:val="Hyperlink"/>
            <w:vertAlign w:val="superscript"/>
          </w:rPr>
          <w:t xml:space="preserve">235</w:t>
        </w:r>
      </w:hyperlink>
      <w:r>
        <w:t xml:space="preserve"> </w:t>
      </w:r>
      <w:r>
        <w:t xml:space="preserve">the trial reported solely on the change in a range of cognitive measures (MMSE, Stroop test, Picture-Word Learning test and others) over follow-up. Though an useful indicator of general cognitive decline, it is not equivalent to a dementia diagnosis using recognised criteria as cognitive tests should feed into a broader diagnostic pathway (see Section</w:t>
      </w:r>
      <w:r>
        <w:t xml:space="preserve"> </w:t>
      </w:r>
      <w:r>
        <w:t xml:space="preserve">1.3.2</w:t>
      </w:r>
      <w:r>
        <w:t xml:space="preserve">). As such, this trial did not met the inclusion criteria for this review.</w:t>
      </w:r>
    </w:p>
    <w:p>
      <w:pPr>
        <w:pStyle w:val="BodyText"/>
      </w:pPr>
      <w:r>
        <w:t xml:space="preserve">Risk of bias across the individual results was generally quite high, and the causes and expected directions of these biases are discussed in more detail in Chapter</w:t>
      </w:r>
      <w:r>
        <w:t xml:space="preserve"> </w:t>
      </w:r>
      <w:r>
        <w:t xml:space="preserve">6</w:t>
      </w:r>
      <w:r>
        <w:t xml:space="preserve">. Of particular interest to this chapter, however, was the high risk of bias due to missing evidence observed for observational studies of statin levels. In many cases, estimates were know to be missing from meta-analyses not at random due to preferential reporting of significant results observed in a number of analysis, leading to the high-risk judgement. These missing estimates were most commonly identified via analysis of conference abstract/final publication pairs.</w:t>
      </w:r>
      <w:hyperlink w:anchor="ref-yamada2009">
        <w:r>
          <w:rPr>
            <w:rStyle w:val="Hyperlink"/>
            <w:vertAlign w:val="superscript"/>
          </w:rPr>
          <w:t xml:space="preserve">236</w:t>
        </w:r>
      </w:hyperlink>
      <w:r>
        <w:rPr>
          <w:vertAlign w:val="superscript"/>
        </w:rPr>
        <w:t xml:space="preserve">,</w:t>
      </w:r>
      <w:hyperlink w:anchor="ref-yamada2009a">
        <w:r>
          <w:rPr>
            <w:rStyle w:val="Hyperlink"/>
            <w:vertAlign w:val="superscript"/>
          </w:rPr>
          <w:t xml:space="preserve">237</w:t>
        </w:r>
      </w:hyperlink>
      <w:r>
        <w:t xml:space="preserve"> </w:t>
      </w:r>
      <w:r>
        <w:t xml:space="preserve">In addition, some authors stated outright that non-significant results were not reported (e.g. </w:t>
      </w:r>
      <w:r>
        <w:t xml:space="preserve">“</w:t>
      </w:r>
      <w:r>
        <w:t xml:space="preserve">The other lipid variables not significantly associated with dementia and Alzheimer’s disease … were not reported in the Table.</w:t>
      </w:r>
      <w:r>
        <w:t xml:space="preserve">”</w:t>
      </w:r>
      <w:r>
        <w:t xml:space="preserve">).</w:t>
      </w:r>
      <w:hyperlink w:anchor="ref-ancelin2013">
        <w:r>
          <w:rPr>
            <w:rStyle w:val="Hyperlink"/>
            <w:vertAlign w:val="superscript"/>
          </w:rPr>
          <w:t xml:space="preserve">154</w:t>
        </w:r>
      </w:hyperlink>
      <w:r>
        <w:t xml:space="preserve"> </w:t>
      </w:r>
      <w:r>
        <w:t xml:space="preserve">However, as all identified missing results are likely to be non-significant, they would not be expected to have a substantial impact on their respective meta-analysis (which provided very weak evidence for an effect), other than increasing the precision of the summary estimate.</w:t>
      </w:r>
    </w:p>
    <w:p>
      <w:pPr>
        <w:pStyle w:val="BodyText"/>
      </w:pPr>
      <w:r>
        <w:t xml:space="preserve">Finally in terms of generalisability, despite a large proportion of included studies being conducted in the Western world (Figure</w:t>
      </w:r>
      <w:r>
        <w:t xml:space="preserve"> </w:t>
      </w:r>
      <w:r>
        <w:t xml:space="preserve">5</w:t>
      </w:r>
      <w:r>
        <w:t xml:space="preserve">), the applicability of the results to other populations is aided by the inclusion of studies which made use of data from the Taiwan health insurance database.</w:t>
      </w:r>
    </w:p>
    <w:p>
      <w:pPr>
        <w:pStyle w:val="BodyText"/>
      </w:pPr>
      <w:r>
        <w:t xml:space="preserve"> </w:t>
      </w:r>
    </w:p>
    <w:bookmarkEnd w:id="148"/>
    <w:bookmarkStart w:id="149" w:name="rev-previous-reviews"/>
    <w:p>
      <w:pPr>
        <w:pStyle w:val="Heading3"/>
      </w:pPr>
      <w:r>
        <w:t xml:space="preserve">Comparison with previous reviews</w:t>
      </w:r>
    </w:p>
    <w:p>
      <w:pPr>
        <w:pStyle w:val="FirstParagraph"/>
      </w:pPr>
      <w:r>
        <w:t xml:space="preserve">While conducting this review, I identified several previous systematic reviews of this topic.</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238</w:t>
        </w:r>
      </w:hyperlink>
      <w:r>
        <w:rPr>
          <w:vertAlign w:val="superscript"/>
        </w:rPr>
        <w:t xml:space="preserve">–</w:t>
      </w:r>
      <w:hyperlink w:anchor="ref-kuzma2018a">
        <w:r>
          <w:rPr>
            <w:rStyle w:val="Hyperlink"/>
            <w:vertAlign w:val="superscript"/>
          </w:rPr>
          <w:t xml:space="preserve">241</w:t>
        </w:r>
      </w:hyperlink>
      <w:r>
        <w:rPr>
          <w:vertAlign w:val="superscript"/>
        </w:rPr>
        <w:t xml:space="preserve">,</w:t>
      </w:r>
      <w:hyperlink w:anchor="ref-kuzma2018a">
        <w:r>
          <w:rPr>
            <w:rStyle w:val="Hyperlink"/>
            <w:vertAlign w:val="superscript"/>
          </w:rPr>
          <w:t xml:space="preserve">241</w:t>
        </w:r>
      </w:hyperlink>
      <w:r>
        <w:t xml:space="preserve"> </w:t>
      </w:r>
      <w:r>
        <w:t xml:space="preserve">However, this review is the first to use established domain based assessments tools (for example, the RoB 2 tool for randomized controlled trials)</w:t>
      </w:r>
      <w:hyperlink w:anchor="ref-sterne2019">
        <w:r>
          <w:rPr>
            <w:rStyle w:val="Hyperlink"/>
            <w:vertAlign w:val="superscript"/>
          </w:rPr>
          <w:t xml:space="preserve">143</w:t>
        </w:r>
      </w:hyperlink>
      <w:r>
        <w:t xml:space="preserve"> </w:t>
      </w:r>
      <w:r>
        <w:t xml:space="preserve">to assess the risk of bias in included studies. The majority of the highly cited reviews on this topic either do not formally consider risk of bias in the observational studies they include</w:t>
      </w:r>
      <w:hyperlink w:anchor="ref-chu2018">
        <w:r>
          <w:rPr>
            <w:rStyle w:val="Hyperlink"/>
            <w:vertAlign w:val="superscript"/>
          </w:rPr>
          <w:t xml:space="preserve">57</w:t>
        </w:r>
      </w:hyperlink>
      <w:r>
        <w:rPr>
          <w:vertAlign w:val="superscript"/>
        </w:rPr>
        <w:t xml:space="preserve">,</w:t>
      </w:r>
      <w:hyperlink w:anchor="ref-power2015">
        <w:r>
          <w:rPr>
            <w:rStyle w:val="Hyperlink"/>
            <w:vertAlign w:val="superscript"/>
          </w:rPr>
          <w:t xml:space="preserve">242</w:t>
        </w:r>
      </w:hyperlink>
      <w:r>
        <w:t xml:space="preserve"> </w:t>
      </w:r>
      <w:r>
        <w:t xml:space="preserve">or used a non-domain-based assessment tool (e.g. the Newcastle-Ottowa Scale).</w:t>
      </w:r>
      <w:hyperlink w:anchor="ref-poly2020">
        <w:r>
          <w:rPr>
            <w:rStyle w:val="Hyperlink"/>
            <w:vertAlign w:val="superscript"/>
          </w:rPr>
          <w:t xml:space="preserve">240</w:t>
        </w:r>
      </w:hyperlink>
    </w:p>
    <w:p>
      <w:pPr>
        <w:pStyle w:val="BodyText"/>
      </w:pPr>
      <w:r>
        <w:t xml:space="preserve">I identified one previous review of Mendelian randomisation studies examining risk factors for Alzhiemer’s disease. However, this review was conducted prior to the majority of Mendelian randomisation studies included in this review being published and extracted results including SNPs in the APoE4 genetic region (see the following section for a discussion of the bias this introduces).</w:t>
      </w:r>
    </w:p>
    <w:p>
      <w:pPr>
        <w:pStyle w:val="BodyText"/>
      </w:pPr>
      <w:r>
        <w:t xml:space="preserve">Despite these differences in time-scales and methodology, the duplication of work across reviews (including this review) is substantial. In retrospect, an alternative approach to conducting a further systematic review from scratch could have been employed. Known as an umbrella review, or review-of-reviews, these studies use other systematic reviews rather than primary studies as the unit of analysis.</w:t>
      </w:r>
      <w:hyperlink w:anchor="ref-aromataris2015">
        <w:r>
          <w:rPr>
            <w:rStyle w:val="Hyperlink"/>
            <w:vertAlign w:val="superscript"/>
          </w:rPr>
          <w:t xml:space="preserve">243</w:t>
        </w:r>
      </w:hyperlink>
      <w:r>
        <w:rPr>
          <w:vertAlign w:val="superscript"/>
        </w:rPr>
        <w:t xml:space="preserve">,</w:t>
      </w:r>
      <w:hyperlink w:anchor="ref-smith2011">
        <w:r>
          <w:rPr>
            <w:rStyle w:val="Hyperlink"/>
            <w:vertAlign w:val="superscript"/>
          </w:rPr>
          <w:t xml:space="preserve">244</w:t>
        </w:r>
      </w:hyperlink>
      <w:r>
        <w:t xml:space="preserve"> </w:t>
      </w:r>
      <w:r>
        <w:t xml:space="preserve">This approach would have enabled more efficient identification of relevant primary studies to which the methods which sets this review apart from other published reviews could have been applied.</w:t>
      </w:r>
    </w:p>
    <w:p>
      <w:pPr>
        <w:pStyle w:val="BodyText"/>
      </w:pPr>
      <w:r>
        <w:t xml:space="preserve"> </w:t>
      </w:r>
    </w:p>
    <w:bookmarkEnd w:id="149"/>
    <w:bookmarkStart w:id="151" w:name="rev-discussion-MR"/>
    <w:p>
      <w:pPr>
        <w:pStyle w:val="Heading3"/>
      </w:pPr>
      <w:r>
        <w:t xml:space="preserve">Inclusion of Mendelian randomisations studies</w:t>
      </w:r>
    </w:p>
    <w:p>
      <w:pPr>
        <w:pStyle w:val="FirstParagraph"/>
      </w:pPr>
      <w:r>
        <w:t xml:space="preserve">One of the particular strengths of this review is the inclusion and critical assessment of Mendelian randomisation studies as a source of evidence.</w:t>
      </w:r>
    </w:p>
    <w:p>
      <w:pPr>
        <w:pStyle w:val="BodyText"/>
      </w:pPr>
      <w:r>
        <w:t xml:space="preserve">Mendelian randomisation is a powerful analytical technique, using natural variation in participants genomes to identify causal links between a genetically determined risk factor and an outcome, given that the core assumptions detailed in Figure</w:t>
      </w:r>
      <w:r>
        <w:t xml:space="preserve"> </w:t>
      </w:r>
      <w:r>
        <w:t xml:space="preserve">19</w:t>
      </w:r>
      <w:r>
        <w:t xml:space="preserve"> </w:t>
      </w:r>
      <w:r>
        <w:t xml:space="preserve">are valid. However, inclusion of Mendelian randomisation as an acceptable study design in this review was complicated by a number of factors.</w:t>
      </w:r>
    </w:p>
    <w:p>
      <w:pPr>
        <w:pStyle w:val="BodyText"/>
      </w:pPr>
      <w:r>
        <w:drawing>
          <wp:inline>
            <wp:extent cx="4587290" cy="3853324"/>
            <wp:effectExtent b="0" l="0" r="0" t="0"/>
            <wp:docPr descr="Figure 19: Summary of the assumptions in Mendelian randomisation analyses: (I) relevance - the genetic variant associates with the risk factor of interest; (II) independence - the variant-exposure association has no unmeasured confounders; and (III) exclusion restriction - variants affect the outcome only through their effect on the risk factor of interest (i.e. there is no horizontal pleiotropy)." title="" id="1" name="Picture"/>
            <a:graphic>
              <a:graphicData uri="http://schemas.openxmlformats.org/drawingml/2006/picture">
                <pic:pic>
                  <pic:nvPicPr>
                    <pic:cNvPr descr="figures/sys-rev/mrAssumptions.png" id="0" name="Picture"/>
                    <pic:cNvPicPr>
                      <a:picLocks noChangeArrowheads="1" noChangeAspect="1"/>
                    </pic:cNvPicPr>
                  </pic:nvPicPr>
                  <pic:blipFill>
                    <a:blip r:embed="rId150"/>
                    <a:stretch>
                      <a:fillRect/>
                    </a:stretch>
                  </pic:blipFill>
                  <pic:spPr bwMode="auto">
                    <a:xfrm>
                      <a:off x="0" y="0"/>
                      <a:ext cx="4587290" cy="3853324"/>
                    </a:xfrm>
                    <a:prstGeom prst="rect">
                      <a:avLst/>
                    </a:prstGeom>
                    <a:noFill/>
                    <a:ln w="9525">
                      <a:noFill/>
                      <a:headEnd/>
                      <a:tailEnd/>
                    </a:ln>
                  </pic:spPr>
                </pic:pic>
              </a:graphicData>
            </a:graphic>
          </wp:inline>
        </w:drawing>
      </w:r>
      <w:r>
        <w:t xml:space="preserve"> </w:t>
      </w:r>
    </w:p>
    <w:p>
      <w:pPr>
        <w:pStyle w:val="BodyText"/>
      </w:pPr>
      <w:r>
        <w:t xml:space="preserve">Firstly, this study design is relatively new, particularly when compared to randomised trials or cohort studies. Figure</w:t>
      </w:r>
      <w:r>
        <w:t xml:space="preserve"> </w:t>
      </w:r>
      <w:r>
        <w:t xml:space="preserve">18</w:t>
      </w:r>
      <w:r>
        <w:t xml:space="preserve"> </w:t>
      </w:r>
      <w:r>
        <w:t xml:space="preserve">demonstrates that Mendelian randomisation studies only begin to appear in the evidence base much later than NRSE/NRSI, likely due to the limited availabilt of large scale GWAS datasets needed for two-sample Mendelian randomisation analyses. As such, the process and tools for systematically assessing this study design are not as well developed. A key example of this is in the absence of validated search filters for Mendelian randomisations studies. This limitation is further complicated by the varying terminology used to describe the method, particularly in the early years of it’s application, which lead o me including general terms for instrumental variable analyses in my search.</w:t>
      </w:r>
    </w:p>
    <w:p>
      <w:pPr>
        <w:pStyle w:val="BodyText"/>
      </w:pPr>
      <w:r>
        <w:t xml:space="preserve">Additionally, there is currently no widely used risk-of-bias assessment tool for Mendelian randomisation studies. A recent commentary provided a checklist interpreting Mendelian randomisation studies, this guide includes reporting items in their quality checklist. While reporting quality is important, it is a separate consideration to internal validity, as discussed in Section</w:t>
      </w:r>
      <w:r>
        <w:t xml:space="preserve"> </w:t>
      </w:r>
      <w:r>
        <w:t xml:space="preserve">3.3.7</w:t>
      </w:r>
      <w:r>
        <w:t xml:space="preserve">. Similarly, a previous review of Mendelian randomisation studies used the Q-Genie tool which was validated to assess the quality of genetic association studies in meta-analysis.</w:t>
      </w:r>
      <w:hyperlink w:anchor="ref-sohani2015">
        <w:r>
          <w:rPr>
            <w:rStyle w:val="Hyperlink"/>
            <w:vertAlign w:val="superscript"/>
          </w:rPr>
          <w:t xml:space="preserve">245</w:t>
        </w:r>
      </w:hyperlink>
      <w:r>
        <w:t xml:space="preserve"> </w:t>
      </w:r>
      <w:r>
        <w:t xml:space="preserve">While this tool assesses the underlying GWAS used, it does not assess the additional methodological considerations of the Mendelian randomisation analysis itself.</w:t>
      </w:r>
      <w:r>
        <w:t xml:space="preserve"> </w:t>
      </w:r>
      <w:r>
        <w:t xml:space="preserve"> </w:t>
      </w:r>
      <w:r>
        <w:t xml:space="preserve">For this review, I utilised the best available author-devised tool, sourced from a recent review of systematic reviews of Mendelian randomisation studies.</w:t>
      </w:r>
    </w:p>
    <w:p>
      <w:pPr>
        <w:pStyle w:val="BodyText"/>
      </w:pPr>
      <w:r>
        <w:t xml:space="preserve">As a further stumbling block, Mendelian randomisation, particularly when using a two-sample summary data design, is a form of analysis that lends itself to multiple exposure-outcome comparisons. This is particularly relevant to the consideration of bias due to missing evidence. As an example, through snowballing and other measures, I identified at least one relevant Mendelian randomisation study that had not been identified by the search strategy.</w:t>
      </w:r>
      <w:hyperlink w:anchor="ref-larsson2017b">
        <w:r>
          <w:rPr>
            <w:rStyle w:val="Hyperlink"/>
            <w:vertAlign w:val="superscript"/>
          </w:rPr>
          <w:t xml:space="preserve">246</w:t>
        </w:r>
      </w:hyperlink>
      <w:r>
        <w:t xml:space="preserve"> </w:t>
      </w:r>
      <w:r>
        <w:t xml:space="preserve">On review of this paper, the search would not have been expected to find it given the absence of any lipid-related keywords in the title and abstract. The study examined the association between lipid fractions with Alzheimer’s disease as one of many risk factors for the condition. Studies such as this can introduce bias into a systematic review, as it is commonly only those risk factors that show a statistically significant result that are reported in the abstract and so are captured by the search. This may bias systematic reviews, including this one, as the analysis of multiple risk factors against a single outcome within a single publication becomes more common. 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247</w:t>
        </w:r>
      </w:hyperlink>
      <w:r>
        <w:rPr>
          <w:vertAlign w:val="superscript"/>
        </w:rPr>
        <w:t xml:space="preserve">,</w:t>
      </w:r>
      <w:hyperlink w:anchor="ref-wagner2020">
        <w:r>
          <w:rPr>
            <w:rStyle w:val="Hyperlink"/>
            <w:vertAlign w:val="superscript"/>
          </w:rPr>
          <w:t xml:space="preserve">248</w:t>
        </w:r>
      </w:hyperlink>
      <w:r>
        <w:t xml:space="preserve"> </w:t>
      </w:r>
      <w:r>
        <w:t xml:space="preserve">Alternatively, in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w:t>
      </w:r>
      <w:r>
        <w:t xml:space="preserve">followed by manual review of studies that look across multiple risk factors would be advisable. This was not feasible in the context of this review, given the large number of records to be screened even when using study design filters (n=16,109). Additionally, the value of methods that supporting the traditional bibliographic database search, such as snowballing (forwards and backwards citation chasing) and communication with relevant topic experts should not be underestimated. Finally, development of a risk-of-bias assessment tool for this study design by a panel of methodologists and analysts would be of substantial benefit to the field.</w:t>
      </w:r>
    </w:p>
    <w:p>
      <w:pPr>
        <w:pStyle w:val="BodyText"/>
      </w:pPr>
      <w:r>
        <w:t xml:space="preserve">One item of particular interest is the attenuation of any effects observed by Mendelian randomisation studies following the adjustment for/exclusion of genetic variation in the Apoe4 gene region. As covered in the introduction (see Section</w:t>
      </w:r>
      <w:r>
        <w:t xml:space="preserve"> </w:t>
      </w:r>
      <w:r>
        <w:t xml:space="preserve">1.5.1</w:t>
      </w:r>
      <w:r>
        <w:t xml:space="preserve">), an increasing number of ApoE4 alleles is a major independent risk factor for Alzheimer’s disease, and so violates the exclusion restriction criteria (Figure</w:t>
      </w:r>
      <w:r>
        <w:t xml:space="preserve"> </w:t>
      </w:r>
      <w:r>
        <w:t xml:space="preserve">19</w:t>
      </w:r>
      <w:r>
        <w:t xml:space="preserve">). In all cases, excluding these variants attenuates the observed effect to the null. A clear example of this is Benn</w:t>
      </w:r>
      <w:r>
        <w:t xml:space="preserve"> </w:t>
      </w:r>
      <w:r>
        <w:rPr>
          <w:iCs/>
          <w:i/>
        </w:rPr>
        <w:t xml:space="preserve">et al</w:t>
      </w:r>
      <w:r>
        <w:t xml:space="preserve"> </w:t>
      </w:r>
      <w:r>
        <w:t xml:space="preserve">(2017), where the ApoE variants were not sufficient identified and excluded and the published paper detailed evidence for a protective effect of LDL-c was identified (RR: 0.83, 95%CI: 0.75-0.92).</w:t>
      </w:r>
      <w:hyperlink w:anchor="ref-benn2017">
        <w:r>
          <w:rPr>
            <w:rStyle w:val="Hyperlink"/>
            <w:vertAlign w:val="superscript"/>
          </w:rPr>
          <w:t xml:space="preserve">66</w:t>
        </w:r>
      </w:hyperlink>
      <w:r>
        <w:t xml:space="preserve"> </w:t>
      </w:r>
      <w:r>
        <w:t xml:space="preserve">Following several rapid responses, the data was re-analysed excluding a larger area around ApoE4 which attenuated the finding to the null.</w:t>
      </w:r>
      <w:hyperlink w:anchor="ref-benn2017a">
        <w:r>
          <w:rPr>
            <w:rStyle w:val="Hyperlink"/>
            <w:vertAlign w:val="superscript"/>
          </w:rPr>
          <w:t xml:space="preserve">249</w:t>
        </w:r>
      </w:hyperlink>
    </w:p>
    <w:p>
      <w:pPr>
        <w:pStyle w:val="BodyText"/>
      </w:pPr>
      <w:r>
        <w:t xml:space="preserve"> </w:t>
      </w:r>
    </w:p>
    <w:bookmarkEnd w:id="151"/>
    <w:bookmarkStart w:id="153" w:name="inclusion-of-preprints"/>
    <w:p>
      <w:pPr>
        <w:pStyle w:val="Heading3"/>
      </w:pPr>
      <w:r>
        <w:t xml:space="preserve">Inclusion of preprints</w:t>
      </w:r>
    </w:p>
    <w:p>
      <w:pPr>
        <w:pStyle w:val="FirstParagraph"/>
      </w:pPr>
      <w:r>
        <w:t xml:space="preserve">As highlighted in Section</w:t>
      </w:r>
      <w:r>
        <w:t xml:space="preserve"> </w:t>
      </w:r>
      <w:r>
        <w:t xml:space="preserve">1.6.1</w:t>
      </w:r>
      <w:r>
        <w:t xml:space="preserve">, this review explicitly sought to synthesize evidence across different publication statuses (preprinted vs. published). Using the tool described in Chapter</w:t>
      </w:r>
      <w:r>
        <w:t xml:space="preserve"> </w:t>
      </w:r>
      <w:r>
        <w:t xml:space="preserve">2.2</w:t>
      </w:r>
      <w:r>
        <w:t xml:space="preserve">, two preprint serves related to health and biomedical sciences were search as part of this review. The small number of studies returned by the searches (or the absence of any relevant hits in the medRxiv database - see Figure</w:t>
      </w:r>
      <w:r>
        <w:t xml:space="preserve"> </w:t>
      </w:r>
      <w:r>
        <w:t xml:space="preserve">4</w:t>
      </w:r>
      <w:r>
        <w:t xml:space="preserve">) is due to the timing of the preprint searches. The searches for this review were performed in mid-July 2019, but the medRxiv repository, an offshoot of the Epidemiology and Clinical Trials categories of the bioRxiv preprint server, only registered its first preprint 25th June 2019. As such, at the point it was searched, the medRxiv database contained only a very small number of records (n=148).</w:t>
      </w:r>
    </w:p>
    <w:p>
      <w:pPr>
        <w:pStyle w:val="BodyText"/>
      </w:pPr>
      <w:r>
        <w:drawing>
          <wp:inline>
            <wp:extent cx="5504749" cy="6422207"/>
            <wp:effectExtent b="0" l="0" r="0" t="0"/>
            <wp:docPr descr="Figure 20: Growth of preprint repositories over time. Given the relative sizes of the preprint repositories at the time the searches for this review were conducted (bioRxiv n= 56,007, medRxiv n = 148), th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52"/>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p>
    <w:p>
      <w:pPr>
        <w:pStyle w:val="BodyText"/>
      </w:pPr>
      <w:r>
        <w:t xml:space="preserve">Three relevant preprints from the bioRxiv hits were identified. The added evidential value of including these preprints was described in Section</w:t>
      </w:r>
      <w:r>
        <w:t xml:space="preserve"> </w:t>
      </w:r>
      <w:r>
        <w:t xml:space="preserve">3.4.12</w:t>
      </w:r>
      <w:r>
        <w:t xml:space="preserve">, and indicated that results available only via preprinted reports can contribute substantially to a meta-analysis. Of note, all three included preprints described Mendelian randomisation studies, potentially indicating that more biologically-focused study designs are over-represented in the bioRxiv repository.</w:t>
      </w:r>
    </w:p>
    <w:p>
      <w:pPr>
        <w:pStyle w:val="BodyText"/>
      </w:pPr>
      <w:r>
        <w:t xml:space="preserve">Of the three identified preprints, two were subsequently published as of September 2020. This fits well with the analysis presented in Chapter</w:t>
      </w:r>
      <w:r>
        <w:t xml:space="preserve"> </w:t>
      </w:r>
      <w:r>
        <w:t xml:space="preserve">2</w:t>
      </w:r>
      <w:r>
        <w:t xml:space="preserve"> </w:t>
      </w:r>
      <w:r>
        <w:t xml:space="preserve">that, allowing for a two-year lag, approximately two-thirds of preprints are published, and also nicely illustrates the dual advantages of preprinted reports to evidence syntheses.</w:t>
      </w:r>
    </w:p>
    <w:p>
      <w:pPr>
        <w:pStyle w:val="BodyText"/>
      </w:pPr>
      <w:r>
        <w:t xml:space="preserve">Firstly, preprints provide an advance snapshot of the literature, capturing articles that will eventually be published but were not available at the time of the main search. Consider the example of one eligible preprint in this review was initially posted on bioRxiv in July 2019</w:t>
      </w:r>
      <w:hyperlink w:anchor="ref-andrews2019b">
        <w:r>
          <w:rPr>
            <w:rStyle w:val="Hyperlink"/>
            <w:vertAlign w:val="superscript"/>
          </w:rPr>
          <w:t xml:space="preserve">250</w:t>
        </w:r>
      </w:hyperlink>
      <w:r>
        <w:t xml:space="preserve"> </w:t>
      </w:r>
      <w:r>
        <w:t xml:space="preserve">and was subsequently published in 2021 following peer-review.</w:t>
      </w:r>
      <w:hyperlink w:anchor="ref-andrews2021">
        <w:r>
          <w:rPr>
            <w:rStyle w:val="Hyperlink"/>
            <w:vertAlign w:val="superscript"/>
          </w:rPr>
          <w:t xml:space="preserve">155</w:t>
        </w:r>
      </w:hyperlink>
      <w:r>
        <w:t xml:space="preserve"> </w:t>
      </w:r>
      <w:r>
        <w:t xml:space="preserve">Secondly, inclusion of preprints allows for results that may never be formally published to be included in an evidence synthesis exercise as is the case with the second preprint included in this review.</w:t>
      </w:r>
      <w:hyperlink w:anchor="ref-so2017">
        <w:r>
          <w:rPr>
            <w:rStyle w:val="Hyperlink"/>
            <w:vertAlign w:val="superscript"/>
          </w:rPr>
          <w:t xml:space="preserve">211</w:t>
        </w:r>
      </w:hyperlink>
      <w:r>
        <w:t xml:space="preserve"> </w:t>
      </w:r>
      <w:r>
        <w:t xml:space="preserve">Both of these aspects illustrate that, if the aim is to find the current state of the art in the topic area at the time of searching, inclusion of preprints is a necessity.</w:t>
      </w:r>
    </w:p>
    <w:p>
      <w:pPr>
        <w:pStyle w:val="BodyText"/>
      </w:pPr>
      <w:r>
        <w:t xml:space="preserve">More recently, inclusion of preprints in systematic reviews has become significantly more widespread. This is largely due to the role of preprint servers, in particular medRxiv, as a key evidence dissemination venue during the early stages of the COVID-19 pandemic.</w:t>
      </w:r>
      <w:hyperlink w:anchor="ref-fraser2020preprinting">
        <w:r>
          <w:rPr>
            <w:rStyle w:val="Hyperlink"/>
            <w:vertAlign w:val="superscript"/>
          </w:rPr>
          <w:t xml:space="preserve">75</w:t>
        </w:r>
      </w:hyperlink>
      <w:r>
        <w:t xml:space="preserve"> </w:t>
      </w:r>
      <w:r>
        <w:t xml:space="preserve">How well this adoption of preprints will transfer to other less-urgent topics, where the speed of research does not put the same focus on preprinted articles, is currently unknown.</w:t>
      </w:r>
    </w:p>
    <w:p>
      <w:pPr>
        <w:pStyle w:val="BodyText"/>
      </w:pPr>
      <w:r>
        <w:t xml:space="preserve"> </w:t>
      </w:r>
      <w:r>
        <w:t xml:space="preserve"> </w:t>
      </w:r>
    </w:p>
    <w:p>
      <w:pPr>
        <w:pStyle w:val="BodyText"/>
      </w:pPr>
      <w:r>
        <w:t xml:space="preserve"> </w:t>
      </w:r>
    </w:p>
    <w:bookmarkEnd w:id="153"/>
    <w:bookmarkStart w:id="154" w:name="sys-rev-open-data"/>
    <w:p>
      <w:pPr>
        <w:pStyle w:val="Heading3"/>
      </w:pPr>
      <w:r>
        <w:t xml:space="preserve">Open data sharing</w:t>
      </w:r>
    </w:p>
    <w:p>
      <w:pPr>
        <w:pStyle w:val="FirstParagraph"/>
      </w:pPr>
      <w:r>
        <w:t xml:space="preserve">As discussed in Section</w:t>
      </w:r>
      <w:r>
        <w:t xml:space="preserve"> </w:t>
      </w:r>
      <w:r>
        <w:t xml:space="preserve">3.4.9</w:t>
      </w:r>
      <w:r>
        <w:t xml:space="preserve">, many primary studies did not report important information required for the dose-response meta-analysis, and so could not be included in the synthesis. This limitation was compounded by the expected low response rate to requests for further information from primary authors. While contacting authors is worthwhile, as it can substantially change the conclusion of a systematic review</w:t>
      </w:r>
      <w:hyperlink w:anchor="ref-meursingereynders2019">
        <w:r>
          <w:rPr>
            <w:rStyle w:val="Hyperlink"/>
            <w:vertAlign w:val="superscript"/>
          </w:rPr>
          <w:t xml:space="preserve">251</w:t>
        </w:r>
      </w:hyperlink>
      <w:r>
        <w:t xml:space="preserve"> </w:t>
      </w:r>
      <w:r>
        <w:t xml:space="preserve">and is not too costly to systematic reviewers,</w:t>
      </w:r>
      <w:hyperlink w:anchor="ref-cooper2019">
        <w:r>
          <w:rPr>
            <w:rStyle w:val="Hyperlink"/>
            <w:vertAlign w:val="superscript"/>
          </w:rPr>
          <w:t xml:space="preserve">252</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co-authored a guidance article to aid primary prevention scientists in preparing and sharing their data so that it can easily be incorporated into a evidence synthesis exercise, using a trial of mindfulness interventions as an case study. A copy of this publication is available in Appendix</w:t>
      </w:r>
      <w:r>
        <w:t xml:space="preserve"> </w:t>
      </w:r>
      <w:r>
        <w:t xml:space="preserve">10.4</w:t>
      </w:r>
      <w:r>
        <w:t xml:space="preserve">.</w:t>
      </w:r>
      <w:hyperlink w:anchor="ref-hennessy2021">
        <w:r>
          <w:rPr>
            <w:rStyle w:val="Hyperlink"/>
            <w:vertAlign w:val="superscript"/>
          </w:rPr>
          <w:t xml:space="preserve">253</w:t>
        </w:r>
      </w:hyperlink>
      <w:r>
        <w:t xml:space="preserve"> </w:t>
      </w:r>
      <w:r>
        <w:t xml:space="preserve">In an attempt to apply my own guidance, I have invested a substantial amount of time and effort into making the data obtained by this review openly available to other researchers.</w:t>
      </w:r>
      <w:r>
        <w:t xml:space="preserve"> </w:t>
      </w:r>
      <w:r>
        <w:rPr>
          <w:bCs/>
          <w:b/>
        </w:rPr>
        <w:t xml:space="preserve">[Zenodo repository will be cited here]</w:t>
      </w:r>
    </w:p>
    <w:p>
      <w:pPr>
        <w:pStyle w:val="BodyText"/>
      </w:pPr>
      <w:r>
        <w:t xml:space="preserve"> </w:t>
      </w:r>
    </w:p>
    <w:bookmarkEnd w:id="154"/>
    <w:bookmarkStart w:id="157" w:name="strengths-and-limitations"/>
    <w:p>
      <w:pPr>
        <w:pStyle w:val="Heading3"/>
      </w:pPr>
      <w:r>
        <w:t xml:space="preserve">Strengths and limitations</w:t>
      </w:r>
    </w:p>
    <w:bookmarkStart w:id="155" w:name="strengths"/>
    <w:p>
      <w:pPr>
        <w:pStyle w:val="Heading4"/>
      </w:pPr>
      <w:r>
        <w:t xml:space="preserve">Strengths</w:t>
      </w:r>
    </w:p>
    <w:p>
      <w:pPr>
        <w:pStyle w:val="FirstParagraph"/>
      </w:pPr>
      <w:r>
        <w:t xml:space="preserve">I believe there are several aspects where this review is distinct from those reviews already available in the published literature. While several reviews of this research topic exist,</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238</w:t>
        </w:r>
      </w:hyperlink>
      <w:r>
        <w:rPr>
          <w:vertAlign w:val="superscript"/>
        </w:rPr>
        <w:t xml:space="preserve">–</w:t>
      </w:r>
      <w:hyperlink w:anchor="ref-poly2020">
        <w:r>
          <w:rPr>
            <w:rStyle w:val="Hyperlink"/>
            <w:vertAlign w:val="superscript"/>
          </w:rPr>
          <w:t xml:space="preserve">240</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r>
        <w:t xml:space="preserve"> </w:t>
      </w:r>
      <w:r>
        <w:t xml:space="preserve"> </w:t>
      </w:r>
      <w:r>
        <w:t xml:space="preserve">In addition, this review employed a structured approach to risk-of-bias assessment using a domain-based tool. This repres important strength of this review, as the detailed risk of bias assessments are used in</w:t>
      </w:r>
    </w:p>
    <w:p>
      <w:pPr>
        <w:pStyle w:val="BodyText"/>
      </w:pPr>
      <w:r>
        <w:t xml:space="preserve">Thirdly, as discussed at length in the section above, in contrast to other available reviews and enabled by the tool described in Chapter</w:t>
      </w:r>
      <w:r>
        <w:t xml:space="preserve"> </w:t>
      </w:r>
      <w:r>
        <w:t xml:space="preserve">2</w:t>
      </w:r>
      <w:r>
        <w:t xml:space="preserve">, this review systematically searched preprinted health-related preprints. Finally, as a secondary element, I used this review to pilot new research synthesis methodologies, in particular a new visualisation approach for risk-of-bias assessments and a forthcoming tool for assessing the risk-of-bias due to missing evidence.</w:t>
      </w:r>
    </w:p>
    <w:p>
      <w:pPr>
        <w:pStyle w:val="BodyText"/>
      </w:pPr>
      <w:r>
        <w:t xml:space="preserve"> </w:t>
      </w:r>
    </w:p>
    <w:bookmarkEnd w:id="155"/>
    <w:bookmarkStart w:id="156"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254</w:t>
        </w:r>
      </w:hyperlink>
      <w:r>
        <w:t xml:space="preserve"> </w:t>
      </w:r>
      <w:hyperlink w:anchor="ref-mcguinness2019validity">
        <w:r>
          <w:rPr>
            <w:rStyle w:val="Hyperlink"/>
            <w:vertAlign w:val="superscript"/>
          </w:rPr>
          <w:t xml:space="preserve">255</w:t>
        </w:r>
      </w:hyperlink>
      <w:r>
        <w:rPr>
          <w:vertAlign w:val="superscript"/>
        </w:rPr>
        <w:t xml:space="preserve">,</w:t>
      </w:r>
      <w:hyperlink w:anchor="ref-wilkinson2018">
        <w:r>
          <w:rPr>
            <w:rStyle w:val="Hyperlink"/>
            <w:vertAlign w:val="superscript"/>
          </w:rPr>
          <w:t xml:space="preserve">256</w:t>
        </w:r>
      </w:hyperlink>
      <w:r>
        <w:t xml:space="preserve"> </w:t>
      </w:r>
      <w:r>
        <w:t xml:space="preserve">Relatedly, several studies which made use of electronic health record database did not report the specific code lists used, potentially introducing substantial heterogeneity between effect estimates. An empirical example of the effect of differing EHR code list is presented as part of the analysis in Chapter 4 (see Section</w:t>
      </w:r>
      <w:r>
        <w:t xml:space="preserve"> </w:t>
      </w:r>
      <w:r>
        <w:t xml:space="preserve">4.4.4.7</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is not a major concern.</w:t>
      </w:r>
    </w:p>
    <w:p>
      <w:pPr>
        <w:pStyle w:val="BodyText"/>
      </w:pPr>
      <w:r>
        <w:t xml:space="preserve">One particular limitiation with regards to the risk-of-bias assessment is the fact that the ROBINS-E assessments were performed without the tool being finalised. This meant that there were no signalling questions to guide the domain-level risk-of-bias assessment, which may have influenced the accuracy with which domain-level judgements were assigned. However, there is no published empirical evidence supporting the need for signalling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257</w:t>
        </w:r>
      </w:hyperlink>
    </w:p>
    <w:p>
      <w:pPr>
        <w:pStyle w:val="BodyText"/>
      </w:pPr>
      <w:r>
        <w:t xml:space="preserve">One further limitation is the fact that the risk of bias due to missing evidence assessment, combined with some empirical evidence that some studies were missed by the search but contained relevant studies is a definite limitation of this review (see Section @Ref(rev-discussion-MR) above for a fuller discussion of this issue with respect to Mendelian randomisations studies). Unfortunately, this is probably a common limitation across all reviews, based on the way in which increased sensitivity must be balanced with a reasonable workload.</w:t>
      </w:r>
    </w:p>
    <w:p>
      <w:pPr>
        <w:pStyle w:val="BodyText"/>
      </w:pPr>
      <w:r>
        <w:t xml:space="preserve"> </w:t>
      </w:r>
    </w:p>
    <w:bookmarkEnd w:id="156"/>
    <w:bookmarkEnd w:id="157"/>
    <w:bookmarkEnd w:id="158"/>
    <w:bookmarkStart w:id="159" w:name="conclusions"/>
    <w:p>
      <w:pPr>
        <w:pStyle w:val="Heading2"/>
      </w:pPr>
      <w:r>
        <w:t xml:space="preserve">Conclusions</w:t>
      </w:r>
    </w:p>
    <w:p>
      <w:pPr>
        <w:pStyle w:val="FirstParagraph"/>
      </w:pPr>
      <w:r>
        <w:t xml:space="preserve">In this chapter I have presented a comprehensive systematic review of the different sources of evidence available which examined the relationship between lipid levels and dementia use.</w:t>
      </w:r>
    </w:p>
    <w:p>
      <w:pPr>
        <w:pStyle w:val="BodyText"/>
      </w:pPr>
      <w:r>
        <w:t xml:space="preserve">This work built on the tool introduced in the preceeding chapter (Chapter</w:t>
      </w:r>
      <w:r>
        <w:t xml:space="preserve"> </w:t>
      </w:r>
      <w:r>
        <w:t xml:space="preserve">(sys-rev-tools-heading)), and findings from this review are used though out the subsequent chapters: in Chapter</w:t>
      </w:r>
      <w:r>
        <w:t xml:space="preserve"> </w:t>
      </w:r>
      <w:r>
        <w:t xml:space="preserve">4</w:t>
      </w:r>
      <w:r>
        <w:t xml:space="preserve">, summary of the evidence guided the choice of analysis approach, ensuring that the new analysis was at risk of a different source of bias; while in Chapter</w:t>
      </w:r>
      <w:r>
        <w:t xml:space="preserve"> </w:t>
      </w:r>
      <w:r>
        <w:t xml:space="preserve">5</w:t>
      </w:r>
      <w:r>
        <w:t xml:space="preserve">, prospective cohorts identified by the review were contacted in an attempt to obtain individual participant data; finally, the cumulative effect measures calculated here are used as a key source of evidence for the triangulation exercise presented in Chapter</w:t>
      </w:r>
      <w:r>
        <w:t xml:space="preserve"> </w:t>
      </w:r>
      <w:r>
        <w:t xml:space="preserve">(discussion-heading).</w:t>
      </w:r>
    </w:p>
    <w:p>
      <w:r>
        <w:br w:type="page"/>
      </w:r>
    </w:p>
    <w:bookmarkEnd w:id="159"/>
    <w:bookmarkStart w:id="160" w:name="references-2"/>
    <w:p>
      <w:pPr>
        <w:pStyle w:val="Heading2"/>
      </w:pPr>
      <w:r>
        <w:t xml:space="preserve">References</w:t>
      </w:r>
    </w:p>
    <w:bookmarkEnd w:id="160"/>
    <w:bookmarkEnd w:id="161"/>
    <w:bookmarkStart w:id="213" w:name="cprd-analysis-heading"/>
    <w:p>
      <w:pPr>
        <w:pStyle w:val="Heading1"/>
      </w:pPr>
      <w:r>
        <w:t xml:space="preserve">Primary analysis of lipid regulating agents and dementia outcomes</w:t>
      </w:r>
    </w:p>
    <w:p>
      <w:pPr>
        <w:pStyle w:val="FirstParagraph"/>
      </w:pPr>
    </w:p>
    <w:bookmarkStart w:id="162" w:name="lay-summary-3"/>
    <w:p>
      <w:pPr>
        <w:pStyle w:val="Heading2"/>
      </w:pPr>
      <w:r>
        <w:t xml:space="preserve">Lay summary</w:t>
      </w:r>
    </w:p>
    <w:p>
      <w:pPr>
        <w:pStyle w:val="FirstParagraph"/>
      </w:pPr>
      <w:r>
        <w:t xml:space="preserve">Electronic health record (EHR) databases are large collections of patients data, used to manage patient administration and care. Under these systems, whenever a patient attends their GP, their clinical data is recorded in a central database using a standard set of codes.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the UK. Using this data, the analysis presented in this chapter examined the effect of treatment which lower cholesterol levels, such as statins, on the risk of dementia and related outcomes.</w:t>
      </w:r>
    </w:p>
    <w:p>
      <w:pPr>
        <w:pStyle w:val="BodyText"/>
      </w:pPr>
      <w:r>
        <w:t xml:space="preserve">Little evidence for an effect of lipid regulating agents effect on the risk of Alzheimer’s disease was found, with the exception of a slightly increased risk in those prescribed a certain type of drugs called fibrates. In contrast, I found an increased risk of vascular and other (i.e. non-Alzheimer’s) dementia with lipid regulating agent use.</w:t>
      </w:r>
    </w:p>
    <w:p>
      <w:pPr>
        <w:pStyle w:val="BodyText"/>
      </w:pPr>
      <w:r>
        <w:t xml:space="preserve">This increased risk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and so it appears as if statins are harmful. However, despite this limitation, the analysis presented provides an important source of information which will be used in later chapters.</w:t>
      </w:r>
    </w:p>
    <w:p>
      <w:pPr>
        <w:pStyle w:val="BodyText"/>
      </w:pPr>
      <w:r>
        <w:t xml:space="preserve"> </w:t>
      </w:r>
    </w:p>
    <w:bookmarkEnd w:id="162"/>
    <w:bookmarkStart w:id="163" w:name="introduction-1"/>
    <w:p>
      <w:pPr>
        <w:pStyle w:val="Heading2"/>
      </w:pPr>
      <w:r>
        <w:t xml:space="preserve">Introduction</w:t>
      </w:r>
    </w:p>
    <w:p>
      <w:pPr>
        <w:pStyle w:val="FirstParagraph"/>
      </w:pPr>
      <w:r>
        <w:t xml:space="preserve">In this Chapter, I present the results of an analysis of a large population-based electronic health record dataset to investigate the relationship between lipid regulating agent (LRA) use and dementia outcomes.</w:t>
      </w:r>
    </w:p>
    <w:p>
      <w:pPr>
        <w:pStyle w:val="BodyText"/>
      </w:pPr>
      <w:r>
        <w:t xml:space="preserve">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 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time-varying treatment indicator. This approach provides a evidence source at risk of a distinct set of biases due to the alternative analytical strategy that will be incorporated into the triangulation exercise presented in Chapter</w:t>
      </w:r>
      <w:r>
        <w:t xml:space="preserve"> </w:t>
      </w:r>
      <w:r>
        <w:t xml:space="preserve">7</w:t>
      </w:r>
      <w:r>
        <w:t xml:space="preserve">.</w:t>
      </w:r>
    </w:p>
    <w:p>
      <w:pPr>
        <w:pStyle w:val="BodyText"/>
      </w:pPr>
      <w:r>
        <w:t xml:space="preserve"> </w:t>
      </w:r>
    </w:p>
    <w:bookmarkEnd w:id="163"/>
    <w:bookmarkStart w:id="183" w:name="methods-1"/>
    <w:p>
      <w:pPr>
        <w:pStyle w:val="Heading2"/>
      </w:pPr>
      <w:r>
        <w:t xml:space="preserve">Methods</w:t>
      </w:r>
    </w:p>
    <w:bookmarkStart w:id="164"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258</w:t>
        </w:r>
      </w:hyperlink>
      <w:r>
        <w:t xml:space="preserve"> </w:t>
      </w:r>
      <w:r>
        <w:t xml:space="preserve">and amendments to this are recorded in Appendix</w:t>
      </w:r>
      <w:r>
        <w:t xml:space="preserve"> </w:t>
      </w:r>
      <w:r>
        <w:t xml:space="preserve">9.4.1</w:t>
      </w:r>
      <w:r>
        <w:t xml:space="preserve">.</w:t>
      </w:r>
      <w:hyperlink w:anchor="ref-vonelm2008">
        <w:r>
          <w:rPr>
            <w:rStyle w:val="Hyperlink"/>
            <w:vertAlign w:val="superscript"/>
          </w:rPr>
          <w:t xml:space="preserve">259</w:t>
        </w:r>
      </w:hyperlink>
    </w:p>
    <w:p>
      <w:pPr>
        <w:pStyle w:val="BodyText"/>
      </w:pPr>
      <w:r>
        <w:t xml:space="preserve"> </w:t>
      </w:r>
    </w:p>
    <w:bookmarkEnd w:id="164"/>
    <w:bookmarkStart w:id="165"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260</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261</w:t>
        </w:r>
      </w:hyperlink>
      <w:r>
        <w:rPr>
          <w:vertAlign w:val="superscript"/>
        </w:rPr>
        <w:t xml:space="preserve">,</w:t>
      </w:r>
      <w:hyperlink w:anchor="ref-wood2001revitalizing">
        <w:r>
          <w:rPr>
            <w:rStyle w:val="Hyperlink"/>
            <w:vertAlign w:val="superscript"/>
          </w:rPr>
          <w:t xml:space="preserve">262</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260</w:t>
        </w:r>
      </w:hyperlink>
      <w:r>
        <w:rPr>
          <w:vertAlign w:val="superscript"/>
        </w:rPr>
        <w:t xml:space="preserve">,</w:t>
      </w:r>
      <w:hyperlink w:anchor="ref-mathur2014">
        <w:r>
          <w:rPr>
            <w:rStyle w:val="Hyperlink"/>
            <w:vertAlign w:val="superscript"/>
          </w:rPr>
          <w:t xml:space="preserve">263</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264</w:t>
        </w:r>
      </w:hyperlink>
      <w:r>
        <w:t xml:space="preserve"> </w:t>
      </w:r>
      <w:r>
        <w:t xml:space="preserve">All clinical events, included clinical test results and diagnoses, can be identified by a specific Read code. The codes use a nested approach (see Table</w:t>
      </w:r>
      <w:r>
        <w:t xml:space="preserve"> </w:t>
      </w:r>
      <w:r>
        <w:t xml:space="preserve">11</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11:</w:t>
      </w:r>
      <w:r>
        <w:t xml:space="preserve"> </w:t>
      </w:r>
      <w:bookmarkStart w:id="55e15b10-5f82-4325-95d1-229064b9b1b8"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55e15b10-5f82-4325-95d1-229064b9b1b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Lists of relevant codes for each of the index events, exposures and outcomes used in the analysis were created. Each of these are described in more detail in the following sections.</w:t>
      </w:r>
    </w:p>
    <w:p>
      <w:pPr>
        <w:pStyle w:val="BodyText"/>
      </w:pPr>
      <w:r>
        <w:t xml:space="preserve"> </w:t>
      </w:r>
    </w:p>
    <w:bookmarkEnd w:id="165"/>
    <w:bookmarkStart w:id="166"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is thought to be higher after this date.</w:t>
      </w:r>
      <w:hyperlink w:anchor="ref-wolf2019">
        <w:r>
          <w:rPr>
            <w:rStyle w:val="Hyperlink"/>
            <w:vertAlign w:val="superscript"/>
          </w:rPr>
          <w:t xml:space="preserve">265</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4.5.4</w:t>
      </w:r>
      <w:r>
        <w:t xml:space="preserve">).</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the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66"/>
    <w:bookmarkStart w:id="167"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266</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09"/>
        </w:numPr>
        <w:pStyle w:val="Compact"/>
      </w:pPr>
      <w:r>
        <w:rPr>
          <w:bCs/>
          <w:b/>
        </w:rPr>
        <w:t xml:space="preserve">stopped</w:t>
      </w:r>
      <w:r>
        <w:t xml:space="preserve">: defined as the last prescription of the primary class being followed by at least six months of observation;</w:t>
      </w:r>
    </w:p>
    <w:p>
      <w:pPr>
        <w:numPr>
          <w:ilvl w:val="0"/>
          <w:numId w:val="1009"/>
        </w:numPr>
        <w:pStyle w:val="Compact"/>
      </w:pPr>
      <w:r>
        <w:rPr>
          <w:bCs/>
          <w:b/>
        </w:rPr>
        <w:t xml:space="preserve">added</w:t>
      </w:r>
      <w:r>
        <w:t xml:space="preserve">: defined as a second drug class being prescribed before the last prescription of the initial class; and</w:t>
      </w:r>
    </w:p>
    <w:p>
      <w:pPr>
        <w:numPr>
          <w:ilvl w:val="0"/>
          <w:numId w:val="1009"/>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67"/>
    <w:bookmarkStart w:id="169"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(see Figure</w:t>
      </w:r>
      <w:r>
        <w:t xml:space="preserve"> </w:t>
      </w:r>
      <w:r>
        <w:t xml:space="preserve">21</w:t>
      </w:r>
      <w:r>
        <w:t xml:space="preserve">). The diagnosis date of the outcome was determined by the first record of a relevant code.</w:t>
      </w:r>
    </w:p>
    <w:p>
      <w:pPr>
        <w:pStyle w:val="BodyText"/>
      </w:pPr>
      <w:r>
        <w:drawing>
          <wp:inline>
            <wp:extent cx="5943600" cy="3168282"/>
            <wp:effectExtent b="0" l="0" r="0" t="0"/>
            <wp:docPr descr="Figure 21: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68"/>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Participants were censored at the earliest of date of: diagnosis; death; transfer out of the study cohort; or end of follow-up (29th February 2016).</w:t>
      </w:r>
    </w:p>
    <w:p>
      <w:pPr>
        <w:pStyle w:val="BodyText"/>
      </w:pPr>
      <w:r>
        <w:t xml:space="preserve"> </w:t>
      </w:r>
    </w:p>
    <w:bookmarkEnd w:id="169"/>
    <w:bookmarkStart w:id="170"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w:t>
      </w:r>
    </w:p>
    <w:p>
      <w:pPr>
        <w:pStyle w:val="BodyText"/>
      </w:pPr>
      <w:r>
        <w:t xml:space="preserve">Demographic covariates adjusted for included age and gender. Age was calculated at date of entry into the cohort.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267</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4.5.4</w:t>
      </w:r>
      <w:r>
        <w:t xml:space="preserve">).</w:t>
      </w:r>
    </w:p>
    <w:p>
      <w:pPr>
        <w:pStyle w:val="BodyText"/>
      </w:pPr>
      <w:r>
        <w:t xml:space="preserve"> </w:t>
      </w:r>
    </w:p>
    <w:bookmarkEnd w:id="170"/>
    <w:bookmarkStart w:id="171"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268</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269</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270</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268</w:t>
        </w:r>
      </w:hyperlink>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271</w:t>
        </w:r>
      </w:hyperlink>
      <w:r>
        <w:t xml:space="preserve"> </w:t>
      </w:r>
      <w:r>
        <w:t xml:space="preserve">where participants missing any covariate are dropped from the dataset. As a sensitivity analysis, I preformed and compared the results of both methods,</w:t>
      </w:r>
      <w:hyperlink w:anchor="ref-hughes2019">
        <w:r>
          <w:rPr>
            <w:rStyle w:val="Hyperlink"/>
            <w:vertAlign w:val="superscript"/>
          </w:rPr>
          <w:t xml:space="preserve">272</w:t>
        </w:r>
      </w:hyperlink>
      <w:r>
        <w:t xml:space="preserve"> </w:t>
      </w:r>
      <w:r>
        <w:t xml:space="preserve">to investigate the impact of multiple imputation on the results.</w:t>
      </w:r>
    </w:p>
    <w:p>
      <w:pPr>
        <w:pStyle w:val="BodyText"/>
      </w:pPr>
      <w:r>
        <w:t xml:space="preserve"> </w:t>
      </w:r>
      <w:r>
        <w:t xml:space="preserve"> </w:t>
      </w:r>
    </w:p>
    <w:bookmarkEnd w:id="171"/>
    <w:bookmarkStart w:id="172"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8</m:t>
          </m:r>
          <m:r>
            <m:rPr>
              <m:sty m:val="p"/>
            </m:rPr>
            <m:t>)</m:t>
          </m:r>
        </m:oMath>
      </m:oMathPara>
    </w:p>
    <w:p>
      <w:pPr>
        <w:pStyle w:val="FirstParagraph"/>
      </w:pPr>
      <w:r>
        <w:t xml:space="preserve">where:</w:t>
      </w:r>
    </w:p>
    <w:p>
      <w:pPr>
        <w:numPr>
          <w:ilvl w:val="0"/>
          <w:numId w:val="1010"/>
        </w:numPr>
        <w:pStyle w:val="Compact"/>
      </w:pPr>
      <m:oMath>
        <m:r>
          <m:t>t</m:t>
        </m:r>
      </m:oMath>
      <w:r>
        <w:t xml:space="preserve"> </w:t>
      </w:r>
      <w:r>
        <w:t xml:space="preserve">is the survival time;</w:t>
      </w:r>
    </w:p>
    <w:p>
      <w:pPr>
        <w:numPr>
          <w:ilvl w:val="0"/>
          <w:numId w:val="1010"/>
        </w:numPr>
        <w:pStyle w:val="Compact"/>
      </w:pPr>
      <m:oMath>
        <m:r>
          <m:t>h</m:t>
        </m:r>
        <m:r>
          <m:rPr>
            <m:sty m:val="p"/>
          </m:rPr>
          <m:t>(</m:t>
        </m:r>
        <m:r>
          <m:t>t</m:t>
        </m:r>
        <m:r>
          <m:rPr>
            <m:sty m:val="p"/>
          </m:rPr>
          <m:t>)</m:t>
        </m:r>
      </m:oMath>
      <w:r>
        <w:t xml:space="preserve"> </w:t>
      </w:r>
      <w:r>
        <w:t xml:space="preserve">is the hazard function; and</w:t>
      </w:r>
    </w:p>
    <w:p>
      <w:pPr>
        <w:numPr>
          <w:ilvl w:val="0"/>
          <w:numId w:val="1010"/>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0"/>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t xml:space="preserve">A Cox PR model was chosen for this analysis as it inherently accounts for the length of time participants spend in each exposure group. Using this approach, time-at-risk can be properly attributed, thus mitigating the impact of immortal time bias. This is discussed in detail in the following section.</w:t>
      </w:r>
    </w:p>
    <w:p>
      <w:pPr>
        <w:pStyle w:val="BodyText"/>
      </w:pPr>
      <w:r>
        <w:t xml:space="preserve"> </w:t>
      </w:r>
    </w:p>
    <w:bookmarkEnd w:id="172"/>
    <w:bookmarkStart w:id="174" w:name="cprd-immortal-time-bias"/>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22</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273</w:t>
        </w:r>
      </w:hyperlink>
      <w:r>
        <w:t xml:space="preserve"> </w:t>
      </w:r>
      <w:r>
        <w:t xml:space="preserve">For example, if the unexposed group are followed from a cholesterol test result, while the exposed group is followed from date of LRA prescription, any events that occur in the exposed group prior to the exposure event will be inappropriately excluded from the analysis.</w:t>
      </w:r>
    </w:p>
    <w:p>
      <w:pPr>
        <w:pStyle w:val="BodyText"/>
      </w:pPr>
      <w:r>
        <w:t xml:space="preserve">The second presentation of immortal time bias is as a type of misclassification bias (Panel B, Figure</w:t>
      </w:r>
      <w:r>
        <w:t xml:space="preserve"> </w:t>
      </w:r>
      <w:r>
        <w:t xml:space="preserve">22</w:t>
      </w:r>
      <w:r>
        <w:t xml:space="preserve">). It occurs when the exposure time prior to the exposure date, and any events occurring within it, is inappropriately assigned to the exposed group. This second presentation appears to be common in the existing literature, as several of the studies included in the systematic review presented in Chapter</w:t>
      </w:r>
      <w:r>
        <w:t xml:space="preserve"> </w:t>
      </w:r>
      <w:r>
        <w:t xml:space="preserve">??</w:t>
      </w:r>
      <w:r>
        <w:t xml:space="preserve"> </w:t>
      </w:r>
      <w:r>
        <w:t xml:space="preserve">were identified as being at risk of immortal time bias following formal risk of bias assessment using the ROBINS-I tool (see Section</w:t>
      </w:r>
      <w:r>
        <w:t xml:space="preserve"> </w:t>
      </w:r>
      <w:r>
        <w:t xml:space="preserve">??</w:t>
      </w:r>
      <w:r>
        <w:t xml:space="preserve">).</w:t>
      </w:r>
    </w:p>
    <w:p>
      <w:pPr>
        <w:pStyle w:val="BodyText"/>
      </w:pPr>
      <w:r>
        <w:t xml:space="preserve">This analysis is primarily concerned with the second presentation of immortal time bias, as all participants were followed from a common index date (earliest of: date of raised cholesterol test results; hypercholesterolemeia diagnosis; or LRA prescription). To address the potential for this second form of immortal time bias in the analysis, I employed a time-varying indicator of treatment status to correctly allocate time-at-risk to the exposed and unexposed groups.</w:t>
      </w:r>
      <w:hyperlink w:anchor="ref-levesque2010">
        <w:r>
          <w:rPr>
            <w:rStyle w:val="Hyperlink"/>
            <w:vertAlign w:val="superscript"/>
          </w:rPr>
          <w:t xml:space="preserve">273</w:t>
        </w:r>
      </w:hyperlink>
    </w:p>
    <w:p>
      <w:pPr>
        <w:pStyle w:val="BodyText"/>
      </w:pPr>
      <w:r>
        <w:t xml:space="preserve">Under this approach, all patients start in the unexposed group, &amp; contribute time-at-risk until they are prescribed a lipid regulating agent and move into the exposed group. Note, patients for whom prescription of a lipid regulating agent was the index event only contribute time to the exposed group (i.e. they enter the cohort and move into the exposed group on the same day).</w:t>
      </w:r>
    </w:p>
    <w:p>
      <w:pPr>
        <w:pStyle w:val="BodyText"/>
      </w:pPr>
      <w:r>
        <w:drawing>
          <wp:inline>
            <wp:extent cx="5943600" cy="3961601"/>
            <wp:effectExtent b="0" l="0" r="0" t="0"/>
            <wp:docPr descr="Figure 22: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73"/>
                    <a:stretch>
                      <a:fillRect/>
                    </a:stretch>
                  </pic:blipFill>
                  <pic:spPr bwMode="auto">
                    <a:xfrm>
                      <a:off x="0" y="0"/>
                      <a:ext cx="5943600" cy="3961601"/>
                    </a:xfrm>
                    <a:prstGeom prst="rect">
                      <a:avLst/>
                    </a:prstGeom>
                    <a:noFill/>
                    <a:ln w="9525">
                      <a:noFill/>
                      <a:headEnd/>
                      <a:tailEnd/>
                    </a:ln>
                  </pic:spPr>
                </pic:pic>
              </a:graphicData>
            </a:graphic>
          </wp:inline>
        </w:drawing>
      </w:r>
      <w:r>
        <w:t xml:space="preserve"> </w:t>
      </w:r>
    </w:p>
    <w:bookmarkEnd w:id="174"/>
    <w:bookmarkStart w:id="175" w:name="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274</w:t>
        </w:r>
      </w:hyperlink>
      <w:r>
        <w:rPr>
          <w:vertAlign w:val="superscript"/>
        </w:rPr>
        <w:t xml:space="preserve">–</w:t>
      </w:r>
      <w:hyperlink w:anchor="ref-pencina2007">
        <w:r>
          <w:rPr>
            <w:rStyle w:val="Hyperlink"/>
            <w:vertAlign w:val="superscript"/>
          </w:rPr>
          <w:t xml:space="preserve">276</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75"/>
    <w:bookmarkStart w:id="182" w:name="sensitivity-analyses"/>
    <w:p>
      <w:pPr>
        <w:pStyle w:val="Heading3"/>
      </w:pPr>
      <w:r>
        <w:t xml:space="preserve">Sensitivity analyses</w:t>
      </w:r>
    </w:p>
    <w:p>
      <w:pPr>
        <w:pStyle w:val="FirstParagraph"/>
      </w:pPr>
      <w:r>
        <w:t xml:space="preserve">The primary analysis examined the effect of a lipid regulating agent on dementia risk, stratified by outcome and drug class. To assess the robustness of the results, a number of sensitivity analyses were performed. These are described in the following sections.</w:t>
      </w:r>
    </w:p>
    <w:bookmarkStart w:id="177"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4.3.5</w:t>
      </w:r>
      <w:r>
        <w:t xml:space="preserve">), I extracted data on two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277</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 Negative outcomes are those without a likely causal path between the exposure and outcome (see Figure</w:t>
      </w:r>
      <w:r>
        <w:t xml:space="preserve"> </w:t>
      </w:r>
      <w:r>
        <w:t xml:space="preserve">23</w:t>
      </w:r>
      <w:r>
        <w:t xml:space="preserve"> </w:t>
      </w:r>
      <w:r>
        <w:t xml:space="preserve">for a directed acyclic graph describing an ideal negative outcome).</w:t>
      </w:r>
    </w:p>
    <w:p>
      <w:pPr>
        <w:pStyle w:val="BodyText"/>
      </w:pPr>
      <w:r>
        <w:t xml:space="preserve">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w:t>
      </w:r>
    </w:p>
    <w:p>
      <w:pPr>
        <w:pStyle w:val="BodyText"/>
      </w:pPr>
      <w:r>
        <w:t xml:space="preserve">Due to the wealth of data available on statins as a lipid regulating agent, control outcomes were chosen in reference to this drug class. Muscular backpain was chosen as a negative control outcome in this analysis. Despite observational analyses suggesting a link between statins and muscle pain (as opposed to more serious complications such as myopathy),</w:t>
      </w:r>
      <w:hyperlink w:anchor="ref-selva-ocallaghan2018">
        <w:r>
          <w:rPr>
            <w:rStyle w:val="Hyperlink"/>
            <w:vertAlign w:val="superscript"/>
          </w:rPr>
          <w:t xml:space="preserve">278</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association of statin use with muscle pain</w:t>
      </w:r>
      <w:hyperlink w:anchor="ref-herrett2021">
        <w:r>
          <w:rPr>
            <w:rStyle w:val="Hyperlink"/>
            <w:vertAlign w:val="superscript"/>
          </w:rPr>
          <w:t xml:space="preserve">279</w:t>
        </w:r>
      </w:hyperlink>
      <w:r>
        <w:t xml:space="preserve"> </w:t>
      </w:r>
      <w:r>
        <w:t xml:space="preserve">have found little evidence supporting an effect. As such, if statins are not associated with backpain in this analysis, then confidence in the results for the dementia outcomes is increased.</w:t>
      </w:r>
    </w:p>
    <w:p>
      <w:pPr>
        <w:pStyle w:val="BodyText"/>
      </w:pPr>
      <w:r>
        <w:t xml:space="preserve">Additionally, incident ischemic heart disease was included as a positive control outcome, given the well-established protective effect of lipid-lowering treatment, via statins, on the risk of this condition.</w:t>
      </w:r>
      <w:hyperlink w:anchor="ref-collins2016a">
        <w:r>
          <w:rPr>
            <w:rStyle w:val="Hyperlink"/>
            <w:vertAlign w:val="superscript"/>
          </w:rPr>
          <w:t xml:space="preserve">30</w:t>
        </w:r>
      </w:hyperlink>
      <w:r>
        <w:t xml:space="preserve"> </w:t>
      </w:r>
      <w:r>
        <w:t xml:space="preserve">Similar to the backpain outcome, if the analysis strategy can reproduce this known protective association, this will provide evidence that potential confounders have been sufficiently adjusted for.</w:t>
      </w:r>
    </w:p>
    <w:p>
      <w:pPr>
        <w:pStyle w:val="BodyText"/>
      </w:pPr>
      <w:r>
        <w:drawing>
          <wp:inline>
            <wp:extent cx="4587290" cy="2752374"/>
            <wp:effectExtent b="0" l="0" r="0" t="0"/>
            <wp:docPr descr="Figure 23: Causal diagram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76"/>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bookmarkEnd w:id="177"/>
    <w:bookmarkStart w:id="178" w:name="impact-of-additional-covariates"/>
    <w:p>
      <w:pPr>
        <w:pStyle w:val="Heading4"/>
      </w:pPr>
      <w:r>
        <w:t xml:space="preserve">Impact of additional covariates</w:t>
      </w:r>
    </w:p>
    <w:p>
      <w:pPr>
        <w:pStyle w:val="FirstParagraph"/>
      </w:pPr>
      <w:r>
        <w:t xml:space="preserve">To observe the effect of adjusting for additional covariates, I ran a model unadjusted except for age (captured via the time axis in the Cox model) and gender, and compared the results with the full adjusted model.</w:t>
      </w:r>
    </w:p>
    <w:p>
      <w:pPr>
        <w:pStyle w:val="BodyText"/>
      </w:pPr>
      <w:r>
        <w:t xml:space="preserve"> </w:t>
      </w:r>
    </w:p>
    <w:bookmarkEnd w:id="178"/>
    <w:bookmarkStart w:id="179"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and female) to assess the robustness of the estimates, as statins are contraindicated in pregnancy, .</w:t>
      </w:r>
      <w:hyperlink w:anchor="ref-karalis2016">
        <w:r>
          <w:rPr>
            <w:rStyle w:val="Hyperlink"/>
            <w:vertAlign w:val="superscript"/>
          </w:rPr>
          <w:t xml:space="preserve">280</w:t>
        </w:r>
      </w:hyperlink>
    </w:p>
    <w:p>
      <w:pPr>
        <w:pStyle w:val="BodyText"/>
      </w:pPr>
      <w:r>
        <w:t xml:space="preserve"> </w:t>
      </w:r>
    </w:p>
    <w:bookmarkEnd w:id="179"/>
    <w:bookmarkStart w:id="180"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1.4.2</w:t>
      </w:r>
      <w:r>
        <w:t xml:space="preserve"> </w:t>
      </w:r>
      <w:r>
        <w:t xml:space="preserve">in the Introductory Chapter).</w:t>
      </w:r>
    </w:p>
    <w:p>
      <w:pPr>
        <w:pStyle w:val="BodyText"/>
      </w:pPr>
      <w:r>
        <w:t xml:space="preserve">To explore whether any observed associations in the statin analysis varied by statin property, a sensitivity analysis was performed, stratifying by statin lipophilicity.</w:t>
      </w:r>
    </w:p>
    <w:p>
      <w:pPr>
        <w:pStyle w:val="BodyText"/>
      </w:pPr>
      <w:r>
        <w:t xml:space="preserve"> </w:t>
      </w:r>
    </w:p>
    <w:bookmarkEnd w:id="180"/>
    <w:bookmarkStart w:id="181" w:name="impact-of-dementia-code-lists"/>
    <w:p>
      <w:pPr>
        <w:pStyle w:val="Heading4"/>
      </w:pPr>
      <w:r>
        <w:t xml:space="preserve">Impact of dementia code lists</w:t>
      </w:r>
    </w:p>
    <w:p>
      <w:pPr>
        <w:pStyle w:val="FirstParagraph"/>
      </w:pPr>
      <w:r>
        <w:t xml:space="preserve">As part of an exploratory analysis of the effect of the choice of code lists on the analysis, I created an alternative Alzheimer’s disease and non-Alzheimer’s dementia outcome using code lists from a previous study published in 2009 by Smeeth</w:t>
      </w:r>
      <w:r>
        <w:t xml:space="preserve"> </w:t>
      </w:r>
      <w:r>
        <w:rPr>
          <w:iCs/>
          <w:i/>
        </w:rPr>
        <w:t xml:space="preserve">et al</w:t>
      </w:r>
      <w:r>
        <w:t xml:space="preserve">.</w:t>
      </w:r>
      <w:hyperlink w:anchor="ref-smeeth2009">
        <w:r>
          <w:rPr>
            <w:rStyle w:val="Hyperlink"/>
            <w:vertAlign w:val="superscript"/>
          </w:rPr>
          <w:t xml:space="preserve">281</w:t>
        </w:r>
      </w:hyperlink>
    </w:p>
    <w:p>
      <w:pPr>
        <w:pStyle w:val="BodyText"/>
      </w:pPr>
      <w:r>
        <w:t xml:space="preserve">This previous study used a propensity matching approach to estimate the association of statins with a range of outcomes, and found evidence for a protective effect of statin use on all-cause dementia (HR: 0.81, 95%CI: 0.69-0.96) and non-AD dementia (HR: 0.82, 95%CI: 0.69-0.97), but little evidence of an effect on AD (HR: 0.81, 95%CI: 0.49-1.35).</w:t>
      </w:r>
    </w:p>
    <w:p>
      <w:pPr>
        <w:pStyle w:val="BodyText"/>
      </w:pPr>
      <w:r>
        <w:t xml:space="preserve">The code lists used were obtained through correspondence with the authors of that study, and are available for inspection (see Section</w:t>
      </w:r>
      <w:r>
        <w:t xml:space="preserve"> </w:t>
      </w:r>
      <w:r>
        <w:t xml:space="preserve">4.5.4</w:t>
      </w:r>
      <w:r>
        <w:t xml:space="preserve">).</w:t>
      </w:r>
    </w:p>
    <w:p>
      <w:pPr>
        <w:pStyle w:val="BodyText"/>
      </w:pPr>
      <w:r>
        <w:t xml:space="preserve"> </w:t>
      </w:r>
    </w:p>
    <w:bookmarkEnd w:id="181"/>
    <w:bookmarkEnd w:id="182"/>
    <w:bookmarkEnd w:id="183"/>
    <w:bookmarkStart w:id="204" w:name="results-1"/>
    <w:p>
      <w:pPr>
        <w:pStyle w:val="Heading2"/>
      </w:pPr>
      <w:r>
        <w:t xml:space="preserve">Results</w:t>
      </w:r>
    </w:p>
    <w:bookmarkStart w:id="185"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24</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24: Attrition of CPRD participants as the eligibility criteria were applied. Most attrition was due to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84"/>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 quartile range (IQR):48-67) and participants were followed up for a median of 5.9 years (IQR:2.7-9.7). During follow-up, an all-cause dementia diagnosis was recorded for 41,830 patients (12,647 probable AD, 9,954 possible AD, 8,466 vascular dementia, 10,763 other dementia: Table</w:t>
      </w:r>
      <w:r>
        <w:t xml:space="preserve"> </w:t>
      </w:r>
      <w:r>
        <w:t xml:space="preserve">14</w:t>
      </w:r>
      <w:r>
        <w:t xml:space="preserve">). The distribution of baseline characteristics across the seven drug classes can be seen in Table</w:t>
      </w:r>
      <w:r>
        <w:t xml:space="preserve"> </w:t>
      </w:r>
      <w:r>
        <w:t xml:space="preserve">12</w:t>
      </w:r>
      <w:r>
        <w:t xml:space="preserve">.</w:t>
      </w:r>
    </w:p>
    <w:p>
      <w:pPr>
        <w:pStyle w:val="TableCaption"/>
      </w:pPr>
      <w:r>
        <w:t xml:space="preserve">Table 12:</w:t>
      </w:r>
      <w:r>
        <w:t xml:space="preserve"> </w:t>
      </w:r>
      <w:bookmarkStart w:id="478d4109-eb8d-4fa7-beed-c0431254c19a" w:name="tab:cprdCharacteristics-table"/>
      <w:r>
        <w:t xml:space="preserve">Patient characteristics by drug class. Summary statistics are presented as "% (N)" unless otherwise specified in the variable name.</w:t>
      </w:r>
      <w:bookmarkEnd w:id="478d4109-eb8d-4fa7-beed-c0431254c19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43.6% (72)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83.0% (137)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(87)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LRA - Lipid regulating agent; IMD - Index of Multiple Deprivation; BMI - Body Mass Index; CAD - Coronary Arterial Disease; CBS - Coronary Bypass Surgery; CVD - Cardiovascular disease; PAD - Peripheral arterial disease; CKD - Chronic Kidney Disease; SD - Standard deviation.</w:t>
            </w:r>
          </w:p>
        </w:tc>
      </w:tr>
    </w:tbl>
    <w:p>
      <w:pPr>
        <w:pStyle w:val="BodyText"/>
      </w:pPr>
      <w:r>
        <w:t xml:space="preserve">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(N=127 &amp; N=168 respectively; see Table</w:t>
      </w:r>
      <w:r>
        <w:t xml:space="preserve"> </w:t>
      </w:r>
      <w:r>
        <w:t xml:space="preserve">12</w:t>
      </w:r>
      <w:r>
        <w:t xml:space="preserve">).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BodyText"/>
      </w:pPr>
      <w:r>
        <w:t xml:space="preserve"> </w:t>
      </w:r>
    </w:p>
    <w:p>
      <w:pPr>
        <w:pStyle w:val="TableCaption"/>
      </w:pPr>
      <w:r>
        <w:t xml:space="preserve">Table 13:</w:t>
      </w:r>
      <w:r>
        <w:t xml:space="preserve"> </w:t>
      </w:r>
      <w:bookmarkStart w:id="bf944dd4-b3c1-4671-87e9-d51ea9212b21" w:name="tab:cprdSSA-table"/>
      <w:r>
        <w:t xml:space="preserve">Participants who stopped, switched or added treatments by initial treatment type.</w:t>
      </w:r>
      <w:bookmarkEnd w:id="bf944dd4-b3c1-4671-87e9-d51ea9212b2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p>
      <w:pPr>
        <w:pStyle w:val="BodyText"/>
      </w:pPr>
      <w:r>
        <w:t xml:space="preserve">The stopping, addition and switching of drug classes was common across all drug classes (Table</w:t>
      </w:r>
      <w:r>
        <w:t xml:space="preserve"> </w:t>
      </w:r>
      <w:r>
        <w:t xml:space="preserve">13</w:t>
      </w:r>
      <w:r>
        <w:t xml:space="preserve">).</w:t>
      </w:r>
    </w:p>
    <w:p>
      <w:pPr>
        <w:pStyle w:val="BodyText"/>
      </w:pPr>
      <w:r>
        <w:t xml:space="preserve"> </w:t>
      </w:r>
    </w:p>
    <w:bookmarkEnd w:id="185"/>
    <w:bookmarkStart w:id="186"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86"/>
    <w:bookmarkStart w:id="188" w:name="primary-analysis"/>
    <w:p>
      <w:pPr>
        <w:pStyle w:val="Heading3"/>
      </w:pPr>
      <w:r>
        <w:t xml:space="preserve">Primary analysis</w:t>
      </w:r>
    </w:p>
    <w:p>
      <w:pPr>
        <w:pStyle w:val="FirstParagraph"/>
      </w:pPr>
      <w:r>
        <w:t xml:space="preserve">Crude rate ratios per 100,000 participant-years-at-risk were calculated for each outcome and class of interest and are presented in Table</w:t>
      </w:r>
      <w:r>
        <w:t xml:space="preserve"> </w:t>
      </w:r>
      <w:r>
        <w:t xml:space="preserve">14</w:t>
      </w:r>
      <w:r>
        <w:t xml:space="preserve">.</w:t>
      </w:r>
    </w:p>
    <w:p>
      <w:pPr>
        <w:pStyle w:val="TableCaption"/>
      </w:pPr>
      <w:r>
        <w:t xml:space="preserve">Table 14:</w:t>
      </w:r>
      <w:r>
        <w:t xml:space="preserve"> </w:t>
      </w:r>
      <w:bookmarkStart w:id="97f219f7-3908-4bae-9773-4877fc883849" w:name="tab:followUp-table"/>
      <w:r>
        <w:t xml:space="preserve">Summary</w:t>
      </w:r>
      <w:bookmarkEnd w:id="97f219f7-3908-4bae-9773-4877fc88384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5,872,690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5,817,933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5,806,982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5,801,506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5,812,457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4,870,637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4,758,385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4,747,433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4,752,909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4,755,647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Fatty Acid Groups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Bile acid sequestrants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10,836,413</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10,666,667</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10,655,715</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r>
    </w:tbl>
    <w:p>
      <w:pPr>
        <w:pStyle w:val="BodyText"/>
      </w:pPr>
      <w:r>
        <w:t xml:space="preserve">The results of the primary analysis using the fully adjusted Cox proportional hazards model with participant age as the time scale are presented for each drug/outcome combination in Figure</w:t>
      </w:r>
      <w:r>
        <w:t xml:space="preserve"> </w:t>
      </w:r>
      <w:r>
        <w:t xml:space="preserve">25</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25: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87"/>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My results show litte evidence was found for an effect of lipid-regulating agents on probable (HR:0.98, 95%CI:0.94-1.01) and possible (HR:0.97, 95%CI:0.93-1.01) Alzheimer’s disease when compared with no treatment, with the sole exception of fibrates on probable Alzheimer’s disease (HR:1.28, 95%CI:1.08-1.52).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(HR:1.17, 95%CI:1.14-1.19), but the magnitude of the association was not as extreme as that observed for the vascular dementia subgroup. There was also some evidence that fibrates were associated with increased risk of all-cause dementia (HR:1.28, 95%CI:1.08-1.52).</w:t>
      </w:r>
    </w:p>
    <w:p>
      <w:pPr>
        <w:pStyle w:val="BodyText"/>
      </w:pPr>
      <w:r>
        <w:t xml:space="preserve"> </w:t>
      </w:r>
    </w:p>
    <w:bookmarkEnd w:id="188"/>
    <w:bookmarkStart w:id="203" w:name="sensitivity-analyses-1"/>
    <w:p>
      <w:pPr>
        <w:pStyle w:val="Heading3"/>
      </w:pPr>
      <w:r>
        <w:t xml:space="preserve">Sensitivity analyses</w:t>
      </w:r>
    </w:p>
    <w:p>
      <w:pPr>
        <w:pStyle w:val="FirstParagraph"/>
      </w:pPr>
      <w:r>
        <w:t xml:space="preserve">The results of the series of sensitivity analyses performed are described in the following sections.</w:t>
      </w:r>
    </w:p>
    <w:bookmarkStart w:id="190"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269</w:t>
        </w:r>
      </w:hyperlink>
    </w:p>
    <w:p>
      <w:pPr>
        <w:pStyle w:val="BodyText"/>
      </w:pPr>
      <w:r>
        <w:t xml:space="preserve"> </w:t>
      </w:r>
    </w:p>
    <w:p>
      <w:pPr>
        <w:pStyle w:val="BodyText"/>
      </w:pPr>
      <w:r>
        <w:drawing>
          <wp:inline>
            <wp:extent cx="5943600" cy="4087549"/>
            <wp:effectExtent b="0" l="0" r="0" t="0"/>
            <wp:docPr descr="Figure 26: Comparison of complete case versus imputed data analyse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89"/>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90"/>
    <w:bookmarkStart w:id="192"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27</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w:t>
      </w:r>
    </w:p>
    <w:p>
      <w:pPr>
        <w:pStyle w:val="BodyText"/>
      </w:pPr>
      <w:r>
        <w:t xml:space="preserve"> </w:t>
      </w:r>
    </w:p>
    <w:p>
      <w:pPr>
        <w:pStyle w:val="BodyText"/>
      </w:pPr>
      <w:r>
        <w:drawing>
          <wp:inline>
            <wp:extent cx="5943600" cy="2135368"/>
            <wp:effectExtent b="0" l="0" r="0" t="0"/>
            <wp:docPr descr="Figure 27: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91"/>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92"/>
    <w:bookmarkStart w:id="194"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28</w:t>
      </w:r>
      <w:r>
        <w:t xml:space="preserve">.</w:t>
      </w:r>
    </w:p>
    <w:p>
      <w:pPr>
        <w:pStyle w:val="BodyText"/>
      </w:pPr>
      <w:r>
        <w:t xml:space="preserve">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8: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93"/>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p>
    <w:bookmarkEnd w:id="194"/>
    <w:bookmarkStart w:id="196"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29</w:t>
      </w:r>
      <w:r>
        <w:t xml:space="preserve">).</w:t>
      </w:r>
    </w:p>
    <w:p>
      <w:pPr>
        <w:pStyle w:val="BodyText"/>
      </w:pPr>
      <w:r>
        <w:t xml:space="preserve"> </w:t>
      </w:r>
    </w:p>
    <w:p>
      <w:pPr>
        <w:pStyle w:val="BodyText"/>
      </w:pPr>
      <w:r>
        <w:drawing>
          <wp:inline>
            <wp:extent cx="5943600" cy="1664208"/>
            <wp:effectExtent b="0" l="0" r="0" t="0"/>
            <wp:docPr descr="Figure 29: Analysis of any lipid 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95"/>
                    <a:stretch>
                      <a:fillRect/>
                    </a:stretch>
                  </pic:blipFill>
                  <pic:spPr bwMode="auto">
                    <a:xfrm>
                      <a:off x="0" y="0"/>
                      <a:ext cx="5943600" cy="1664208"/>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15</w:t>
      </w:r>
      <w:r>
        <w:t xml:space="preserve">). While the total frequency of any dementia outcome declines in more recent strata, likely due to the limited follow-up inherent to these groups, the decline in frequency is relatively constant across all dementia subtypes.</w:t>
      </w:r>
    </w:p>
    <w:p>
      <w:pPr>
        <w:pStyle w:val="BodyText"/>
      </w:pPr>
      <w:r>
        <w:t xml:space="preserve"> </w:t>
      </w:r>
    </w:p>
    <w:p>
      <w:pPr>
        <w:pStyle w:val="TableCaption"/>
      </w:pPr>
      <w:r>
        <w:t xml:space="preserve">Table 15:</w:t>
      </w:r>
      <w:r>
        <w:t xml:space="preserve"> </w:t>
      </w:r>
      <w:bookmarkStart w:id="0c4b4f43-f4cc-4e6e-9446-6ef35070f803" w:name="tab:diagnosisType-table"/>
      <w:r>
        <w:t xml:space="preserve">Frequency of diagnoses by grouped year of cohort entry</w:t>
      </w:r>
      <w:bookmarkEnd w:id="0c4b4f43-f4cc-4e6e-9446-6ef35070f80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96"/>
    <w:bookmarkStart w:id="198"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30</w:t>
      </w:r>
      <w:r>
        <w:t xml:space="preserve">).</w:t>
      </w:r>
    </w:p>
    <w:p>
      <w:pPr>
        <w:pStyle w:val="BodyText"/>
      </w:pPr>
      <w:r>
        <w:drawing>
          <wp:inline>
            <wp:extent cx="5943600" cy="4068214"/>
            <wp:effectExtent b="0" l="0" r="0" t="0"/>
            <wp:docPr descr="Figure 30: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97"/>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p>
    <w:p>
      <w:pPr>
        <w:pStyle w:val="BodyText"/>
      </w:pPr>
      <w:r>
        <w:t xml:space="preserve"> </w:t>
      </w:r>
    </w:p>
    <w:bookmarkEnd w:id="198"/>
    <w:bookmarkStart w:id="200"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16:</w:t>
      </w:r>
      <w:r>
        <w:t xml:space="preserve"> </w:t>
      </w:r>
      <w:bookmarkStart w:id="b5c3f88e-c87a-4a4f-bf79-76b9d9f83f60" w:name="tab:statinTypeTable-table"/>
      <w:r>
        <w:t xml:space="preserve">Summary of statin properties (lipophilicity vs hydrophilicity) by grouped year of prescription.</w:t>
      </w:r>
      <w:bookmarkEnd w:id="b5c3f88e-c87a-4a4f-bf79-76b9d9f83f6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 outcomes compared to lipophilic statins (Figure</w:t>
      </w:r>
      <w:r>
        <w:t xml:space="preserve"> </w:t>
      </w:r>
      <w:r>
        <w:t xml:space="preserve">31</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31: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199"/>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200"/>
    <w:bookmarkStart w:id="202" w:name="comparing-codelists"/>
    <w:p>
      <w:pPr>
        <w:pStyle w:val="Heading4"/>
      </w:pPr>
      <w:r>
        <w:t xml:space="preserve">Comparing codelists</w:t>
      </w:r>
    </w:p>
    <w:p>
      <w:pPr>
        <w:pStyle w:val="FirstParagraph"/>
      </w:pPr>
      <w:r>
        <w:t xml:space="preserve">When using the Smeeth et al code lists to define dementia outcomes, effect estimates of HR: 1.19 (95%CI: 1.07-1.32) and HR: 1.33 (95%CI: 1.26-1.42) were obtained for the Alzheimer’s disease and non-Alzheimer’s dementia outcomes respectively.</w:t>
      </w:r>
    </w:p>
    <w:p>
      <w:pPr>
        <w:pStyle w:val="BodyText"/>
      </w:pPr>
      <w:r>
        <w:t xml:space="preserve">However, comparison of the results using the two sets of code lists was deemed less useful following a comparison of the codes used. While all of the codes used to define Alzheimer’s in the Smeeth paper are included in the Probable Alzheimer’s code-list (see Figure</w:t>
      </w:r>
      <w:r>
        <w:t xml:space="preserve"> </w:t>
      </w:r>
      <w:r>
        <w:t xml:space="preserve">32</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281</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32: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201"/>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competing (e.g. AD vs non-AD dementia).</w:t>
      </w:r>
    </w:p>
    <w:p>
      <w:pPr>
        <w:pStyle w:val="BodyText"/>
      </w:pPr>
      <w:r>
        <w:t xml:space="preserve"> </w:t>
      </w:r>
    </w:p>
    <w:bookmarkEnd w:id="202"/>
    <w:bookmarkEnd w:id="203"/>
    <w:bookmarkEnd w:id="204"/>
    <w:bookmarkStart w:id="211" w:name="discussion-2"/>
    <w:p>
      <w:pPr>
        <w:pStyle w:val="Heading2"/>
      </w:pPr>
      <w:r>
        <w:t xml:space="preserve">Discussion</w:t>
      </w:r>
    </w:p>
    <w:bookmarkStart w:id="205" w:name="summary-of-findings-1"/>
    <w:p>
      <w:pPr>
        <w:pStyle w:val="Heading3"/>
      </w:pPr>
      <w:r>
        <w:t xml:space="preserve">Summary of findings</w:t>
      </w:r>
    </w:p>
    <w:p>
      <w:pPr>
        <w:pStyle w:val="FirstParagraph"/>
      </w:pPr>
      <w:r>
        <w:t xml:space="preserve">Lipid-regulating agents showed little evidence of an effect on probable and possible Alzheimer’s disease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 outcomes compared to lipophilic statins.</w:t>
      </w:r>
    </w:p>
    <w:p>
      <w:pPr>
        <w:pStyle w:val="BodyText"/>
      </w:pPr>
      <w:r>
        <w:t xml:space="preserve"> </w:t>
      </w:r>
    </w:p>
    <w:bookmarkEnd w:id="205"/>
    <w:bookmarkStart w:id="207"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comparison of the result presented above with those from the systematic review (Chapter</w:t>
      </w:r>
      <w:r>
        <w:t xml:space="preserve"> </w:t>
      </w:r>
      <w:r>
        <w:t xml:space="preserve">??</w:t>
      </w:r>
      <w:r>
        <w:t xml:space="preserve">) and the individual patient data analysis (Chapter</w:t>
      </w:r>
      <w:r>
        <w:t xml:space="preserve"> </w:t>
      </w:r>
      <w:r>
        <w:t xml:space="preserve">5</w:t>
      </w:r>
      <w:r>
        <w:t xml:space="preserve">), see Section</w:t>
      </w:r>
      <w:r>
        <w:t xml:space="preserve"> </w:t>
      </w:r>
      <w:r>
        <w:t xml:space="preserve">7</w:t>
      </w:r>
      <w:r>
        <w:t xml:space="preserve">.</w:t>
      </w:r>
    </w:p>
    <w:p>
      <w:pPr>
        <w:pStyle w:val="BodyText"/>
      </w:pPr>
      <w:r>
        <w:t xml:space="preserve">A likely explanation for the observed increased risk of vascular and other dementia with lipid regulating agent use is residual confounding by indication. While the term has been used to describe different source of bias in epidemiological analyses,</w:t>
      </w:r>
      <w:hyperlink w:anchor="ref-salas1999">
        <w:r>
          <w:rPr>
            <w:rStyle w:val="Hyperlink"/>
            <w:vertAlign w:val="superscript"/>
          </w:rPr>
          <w:t xml:space="preserve">282</w:t>
        </w:r>
      </w:hyperlink>
      <w:r>
        <w:t xml:space="preserve"> </w:t>
      </w:r>
      <w:r>
        <w:t xml:space="preserve">“</w:t>
      </w:r>
      <w:r>
        <w:t xml:space="preserve">confounding by indication</w:t>
      </w:r>
      <w:r>
        <w:t xml:space="preserve">”</w:t>
      </w:r>
      <w:r>
        <w:t xml:space="preserve"> </w:t>
      </w:r>
      <w:r>
        <w:t xml:space="preserve">is used here to described the role of risk factors that both prompt treatment (in this case statins) and increase the risk of the outcome (in this case vascular dementia), thus causing a distorted positive association between the treatment and outcome (see Figure</w:t>
      </w:r>
      <w:r>
        <w:t xml:space="preserve"> </w:t>
      </w:r>
      <w:r>
        <w:t xml:space="preserve">33</w:t>
      </w:r>
      <w:r>
        <w:t xml:space="preserve">). In causal inference language, statins and dementia are said to be d-connected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283</w:t>
        </w:r>
      </w:hyperlink>
    </w:p>
    <w:p>
      <w:pPr>
        <w:pStyle w:val="BodyText"/>
      </w:pPr>
      <w:r>
        <w:t xml:space="preserve">(ref:indicationBias-cap) Causal diagram (directed acyclic graph) illustrating confounding by indication.</w:t>
      </w:r>
    </w:p>
    <w:p>
      <w:pPr>
        <w:pStyle w:val="BodyText"/>
      </w:pPr>
      <w:r>
        <w:drawing>
          <wp:inline>
            <wp:extent cx="5943600" cy="2228849"/>
            <wp:effectExtent b="0" l="0" r="0" t="0"/>
            <wp:docPr descr="Figure 33: (ref:indicationBias-cap)"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206"/>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In the case of this analysis, the confounding variable (or, more likely, variables) would prompt prescription of statins (or another lipid regulating agent) but also represent a vascular risk factor that contributes to the development of the vascular dementia.</w:t>
      </w:r>
    </w:p>
    <w:p>
      <w:pPr>
        <w:pStyle w:val="BodyText"/>
      </w:pPr>
      <w:r>
        <w:t xml:space="preserve">Supporting evidence for this interpretation comes from a variety of sources, including the results of the control outcome analyses. The slight harmful effect for the backpain outcome is substantially smaller that that observed for the ischemic heart disease outcome, indicating that the majority of the uncontrolled confounding is likely related to vascular factors. This is supported by the increasingly harmful effect moving from Probable/Possible AD to other dementia to vascular dementia, indicating that the confounding by indication likely increases as the proportion of vascular outcomes increase. This is supported by the decision tree for assigning outcomes in the presence of greater than one dementia code, where the Alzheimer’s disease outcomes require a</w:t>
      </w:r>
      <w:r>
        <w:t xml:space="preserve"> </w:t>
      </w:r>
      <w:r>
        <w:t xml:space="preserve">“</w:t>
      </w:r>
      <w:r>
        <w:t xml:space="preserve">pure</w:t>
      </w:r>
      <w:r>
        <w:t xml:space="preserve">”</w:t>
      </w:r>
      <w:r>
        <w:t xml:space="preserve"> </w:t>
      </w:r>
      <w:r>
        <w:t xml:space="preserve">condition, and the presence of any vascular or other dementia codes excludes participants from this group (Figure</w:t>
      </w:r>
      <w:r>
        <w:t xml:space="preserve"> </w:t>
      </w:r>
      <w:r>
        <w:t xml:space="preserve">21</w:t>
      </w:r>
      <w:r>
        <w:t xml:space="preserve">).</w:t>
      </w:r>
    </w:p>
    <w:p>
      <w:pPr>
        <w:pStyle w:val="BodyText"/>
      </w:pPr>
      <w:r>
        <w:t xml:space="preserve">A review of other available literature suggests that this observation (a harmful effect of lipid regulating agents on vascular-related outcome) is not unusual. Using a conventional epidemiological technique, a previous analysis also found an increased risk of coronary heart disease (analogous to ischemic heart disease) in those taking statins (HR: 1.31, 95%CI: 1.04-1.66).</w:t>
      </w:r>
      <w:hyperlink w:anchor="ref-danaei2013b">
        <w:r>
          <w:rPr>
            <w:rStyle w:val="Hyperlink"/>
            <w:vertAlign w:val="superscript"/>
          </w:rPr>
          <w:t xml:space="preserve">284</w:t>
        </w:r>
      </w:hyperlink>
      <w:r>
        <w:t xml:space="preserve"> </w:t>
      </w:r>
      <w:r>
        <w:t xml:space="preserve">Following control for confounding by indication through use of a trial emulation analysis, the expected protective effect of statins was observed.</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I also adjusted for several additional potential baseline variables. However, important confounding variables for which I have not adjusted could include genetic factors. A recent preprint of a study in the UK Biobank demonstrated that an Alzheimer’s disease polygenic risk score was associated with an increased risk of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285</w:t>
        </w:r>
      </w:hyperlink>
    </w:p>
    <w:p>
      <w:pPr>
        <w:pStyle w:val="BodyText"/>
      </w:pPr>
      <w:r>
        <w:t xml:space="preserve">On a more general note, the unexpected increase in vascular dementia risk with statin use is particularly interesting given the absence of vascular dementia in the published literature, as highlighted in the previous chapter (see Section</w:t>
      </w:r>
      <w:r>
        <w:t xml:space="preserve"> </w:t>
      </w:r>
      <w:r>
        <w:t xml:space="preserve">??</w:t>
      </w:r>
      <w:r>
        <w:t xml:space="preserve">). It is possible that previous research identified a similar effect to this analysis, and via a publication bias mechanism, these results did not make it into the evidence base.</w:t>
      </w:r>
    </w:p>
    <w:p>
      <w:pPr>
        <w:pStyle w:val="BodyText"/>
      </w:pPr>
      <w:r>
        <w:t xml:space="preserve">In summary, despite best efforts to account for strong confounding, participants prescribed a lipid regulating agent likely have a different vascular risk profile that those who are not, which may induce a spurious harmful association between lipid regulating agent use and vascular dementia outcomes.</w:t>
      </w:r>
    </w:p>
    <w:p>
      <w:pPr>
        <w:pStyle w:val="BodyText"/>
      </w:pPr>
      <w:r>
        <w:t xml:space="preserve"> </w:t>
      </w:r>
    </w:p>
    <w:bookmarkEnd w:id="207"/>
    <w:bookmarkStart w:id="208" w:name="strengths-and-limitations-1"/>
    <w:p>
      <w:pPr>
        <w:pStyle w:val="Heading3"/>
      </w:pPr>
      <w:r>
        <w:t xml:space="preserve">Strengths and limitations</w:t>
      </w:r>
    </w:p>
    <w:p>
      <w:pPr>
        <w:pStyle w:val="FirstParagraph"/>
      </w:pPr>
      <w:r>
        <w:t xml:space="preserve">The primary strength of this analysis compared to others available in the literature is the relative size of the CPRD and length of follow-up. Having reviewed the other studies identified by the systematic review in Chapter</w:t>
      </w:r>
      <w:r>
        <w:t xml:space="preserve"> </w:t>
      </w:r>
      <w:r>
        <w:t xml:space="preserve">??</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w:t>
      </w:r>
    </w:p>
    <w:p>
      <w:pPr>
        <w:pStyle w:val="BodyText"/>
      </w:pPr>
      <w:r>
        <w:t xml:space="preserve">However, the findings of this analysis are subject to several limitations. There is a strong possibility of differential misclassification</w:t>
      </w:r>
      <w:hyperlink w:anchor="ref-porta2014dictionary">
        <w:r>
          <w:rPr>
            <w:rStyle w:val="Hyperlink"/>
            <w:vertAlign w:val="superscript"/>
          </w:rPr>
          <w:t xml:space="preserve">286</w:t>
        </w:r>
      </w:hyperlink>
      <w:r>
        <w:t xml:space="preserve"> </w:t>
      </w:r>
      <w:r>
        <w:t xml:space="preserve">of dementia-related conditions based on the exposure. 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based on varying positive predictive value of electronic health record code lists to identify dementia cases.</w:t>
      </w:r>
      <w:hyperlink w:anchor="ref-mcguinness2019validity">
        <w:r>
          <w:rPr>
            <w:rStyle w:val="Hyperlink"/>
            <w:vertAlign w:val="superscript"/>
          </w:rPr>
          <w:t xml:space="preserve">255</w:t>
        </w:r>
      </w:hyperlink>
      <w:r>
        <w:rPr>
          <w:vertAlign w:val="superscript"/>
        </w:rPr>
        <w:t xml:space="preserve">,</w:t>
      </w:r>
      <w:hyperlink w:anchor="ref-wilkinson2018">
        <w:r>
          <w:rPr>
            <w:rStyle w:val="Hyperlink"/>
            <w:vertAlign w:val="superscript"/>
          </w:rPr>
          <w:t xml:space="preserve">256</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This is a particular challenge in comparing research across different time-periods and coding systems, as illustrated by the discrepancy between the results when using the codes lists defined for this study and those used by Smeeth</w:t>
      </w:r>
      <w:r>
        <w:t xml:space="preserve"> </w:t>
      </w:r>
      <w:r>
        <w:rPr>
          <w:iCs/>
          <w:i/>
        </w:rPr>
        <w:t xml:space="preserve">et al</w:t>
      </w:r>
      <w:r>
        <w:t xml:space="preserve">.</w:t>
      </w:r>
    </w:p>
    <w:p>
      <w:pPr>
        <w:pStyle w:val="BodyText"/>
      </w:pPr>
      <w:r>
        <w:t xml:space="preserve"> </w:t>
      </w:r>
    </w:p>
    <w:bookmarkEnd w:id="208"/>
    <w:bookmarkStart w:id="209"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treatments, as documented in Section</w:t>
      </w:r>
      <w:r>
        <w:t xml:space="preserve"> </w:t>
      </w:r>
      <w:r>
        <w:t xml:space="preserve">3.5.5</w:t>
      </w:r>
      <w:r>
        <w:t xml:space="preserve">, the outputs from this analysis are readily available.</w:t>
      </w:r>
    </w:p>
    <w:p>
      <w:pPr>
        <w:pStyle w:val="BodyText"/>
      </w:pPr>
      <w:r>
        <w:t xml:space="preserve">All code, Read codelists and summary statistics (i.e. the tables presented in this chapter, plus summary tables of effect estimates) are readily available in machine readable formats (i.e. as comma separated values, or CSV, files) from the archived repository for this project (Zotero DOI: XXXX-XXXX).</w:t>
      </w:r>
      <w:r>
        <w:t xml:space="preserve"> </w:t>
      </w:r>
    </w:p>
    <w:p>
      <w:pPr>
        <w:pStyle w:val="BodyText"/>
      </w:pPr>
      <w:r>
        <w:t xml:space="preserve">The raw data supporting this analysis is not available, as access to the CPRD data is controlled by a data monitoring committee. In the context of access-controlled data, sharing the analysis code represents a way for readers to validate the findings.</w:t>
      </w:r>
      <w:hyperlink w:anchor="ref-goldacre2019c">
        <w:r>
          <w:rPr>
            <w:rStyle w:val="Hyperlink"/>
            <w:vertAlign w:val="superscript"/>
          </w:rPr>
          <w:t xml:space="preserve">287</w:t>
        </w:r>
      </w:hyperlink>
    </w:p>
    <w:p>
      <w:pPr>
        <w:pStyle w:val="BodyText"/>
      </w:pPr>
      <w:r>
        <w:t xml:space="preserve">Additionally, to help ensure accurate reporting of this analysis, the Strengthening the Reporting of Observational Studies in Epidemiology (STROBE) reporting guidelines were used</w:t>
      </w:r>
      <w:hyperlink w:anchor="ref-vandenbroucke2007">
        <w:r>
          <w:rPr>
            <w:rStyle w:val="Hyperlink"/>
            <w:vertAlign w:val="superscript"/>
          </w:rPr>
          <w:t xml:space="preserve">288</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This open approach will enable easy inclusion of this analysis in future evidence synthesis exercises, allowing new work to readily build on that presented here.</w:t>
      </w:r>
    </w:p>
    <w:p>
      <w:pPr>
        <w:pStyle w:val="BodyText"/>
      </w:pPr>
      <w:r>
        <w:t xml:space="preserve"> </w:t>
      </w:r>
    </w:p>
    <w:bookmarkEnd w:id="209"/>
    <w:bookmarkStart w:id="210" w:name="conclusions-1"/>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made use of a large scale electronic health record database, the CPRD, and employed a time-varying Cox proportional hazards model to account for the potential immortal time bias.</w:t>
      </w:r>
    </w:p>
    <w:p>
      <w:pPr>
        <w:pStyle w:val="BodyText"/>
      </w:pPr>
      <w:r>
        <w:t xml:space="preserve">It found little evidence for an effect of lipid-regulating agents on probable or possible Alzheimer’s disease. However, lipid 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This is supported by our findings for the negative and positive control outcomes used, which provide some evidence of uncontrolled vascular confounders that may both prompt LRA prescription and increase risk of vascular dementia.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284</w:t>
        </w:r>
      </w:hyperlink>
    </w:p>
    <w:p>
      <w:pPr>
        <w:pStyle w:val="BodyText"/>
      </w:pPr>
      <w:r>
        <w:t xml:space="preserve">Regardless, this analysis has provided an additional source of evidence for the triangulation exercise presented in Chapter</w:t>
      </w:r>
      <w:r>
        <w:t xml:space="preserve"> </w:t>
      </w:r>
      <w:r>
        <w:t xml:space="preserve">7</w:t>
      </w:r>
      <w:r>
        <w:t xml:space="preserve">. In the following Chapter, the dataset described here is incorporated along with several other datasets as part of an IPD analysis to investigate the effect of blood lipid levels on dementia outcomes directly, rather than via the proxy of treatment.</w:t>
      </w:r>
    </w:p>
    <w:p>
      <w:r>
        <w:br w:type="page"/>
      </w:r>
    </w:p>
    <w:bookmarkEnd w:id="210"/>
    <w:bookmarkEnd w:id="211"/>
    <w:bookmarkStart w:id="212" w:name="references-3"/>
    <w:p>
      <w:pPr>
        <w:pStyle w:val="Heading2"/>
      </w:pPr>
      <w:r>
        <w:t xml:space="preserve">References</w:t>
      </w:r>
    </w:p>
    <w:bookmarkEnd w:id="212"/>
    <w:bookmarkEnd w:id="213"/>
    <w:bookmarkStart w:id="262" w:name="ipd-heading"/>
    <w:p>
      <w:pPr>
        <w:pStyle w:val="Heading1"/>
      </w:pPr>
      <w:r>
        <w:t xml:space="preserve">Individual participant data meta-analysis</w:t>
      </w:r>
    </w:p>
    <w:p>
      <w:pPr>
        <w:pStyle w:val="FirstParagraph"/>
      </w:pPr>
    </w:p>
    <w:bookmarkStart w:id="214" w:name="lay-summary-4"/>
    <w:p>
      <w:pPr>
        <w:pStyle w:val="Heading2"/>
      </w:pPr>
      <w:r>
        <w:t xml:space="preserve">Lay Summary</w:t>
      </w:r>
    </w:p>
    <w:p>
      <w:pPr>
        <w:pStyle w:val="FirstParagraph"/>
      </w:pPr>
      <w:r>
        <w:t xml:space="preserve">As part of a broader investigation into the relationship between lipid levels and dementia risk, I applied for access to 37 unique data sources containing information on these variables. However, only a small proportion of these data sources (n = 3, 8.1%) provided me with access.</w:t>
      </w:r>
    </w:p>
    <w:p>
      <w:pPr>
        <w:pStyle w:val="BodyText"/>
      </w:pPr>
      <w:r>
        <w:t xml:space="preserve">The resulting analysis did not suggest an effect of any lipid fraction (total cholesterol, LDL-c, HDL-c, or triglycerides) on any dementia outcome. In addition, patients characteristics such as age and sex did not have any impact on the relationship of lipid fractions and dementia outcomes.</w:t>
      </w:r>
    </w:p>
    <w:p>
      <w:pPr>
        <w:pStyle w:val="BodyText"/>
      </w:pPr>
      <w:r>
        <w:t xml:space="preserve">Finally, the reasons for the low response rate are explored and future studies to investigate how data access rates could be improved are suggested.</w:t>
      </w:r>
    </w:p>
    <w:p>
      <w:pPr>
        <w:pStyle w:val="BodyText"/>
      </w:pPr>
      <w:r>
        <w:t xml:space="preserve"> </w:t>
      </w:r>
    </w:p>
    <w:bookmarkEnd w:id="214"/>
    <w:bookmarkStart w:id="215" w:name="introduction-2"/>
    <w:p>
      <w:pPr>
        <w:pStyle w:val="Heading2"/>
      </w:pPr>
      <w:r>
        <w:t xml:space="preserve">Introduction</w:t>
      </w:r>
    </w:p>
    <w:p>
      <w:pPr>
        <w:pStyle w:val="FirstParagraph"/>
      </w:pPr>
      <w:r>
        <w:t xml:space="preserve">Individual patient data meta-analyses are considered to be the gold standard form of evidence synthesis, allowing for the application of a common selection model and analytical approach across all identified cohorts. They are particularly useful for investigating the impact of patient-level characteristics, something that is not possible with aggregate data unless the results have been explicitly stratified by the characteristic of interest.</w:t>
      </w:r>
    </w:p>
    <w:p>
      <w:pPr>
        <w:pStyle w:val="BodyText"/>
      </w:pPr>
      <w:r>
        <w:t xml:space="preserve">While the systematic review presented in Chapter</w:t>
      </w:r>
      <w:r>
        <w:t xml:space="preserve"> </w:t>
      </w:r>
      <w:r>
        <w:t xml:space="preserve">??</w:t>
      </w:r>
      <w:r>
        <w:t xml:space="preserve"> </w:t>
      </w:r>
      <w:r>
        <w:t xml:space="preserve">did not provide strong evidence for an effect of age at lipid measurement or patient sex on the relationship between lipids and dementia, the number of included studies in the lipid fraction meta-analyses were very small, due to both the relatively small number of studies reporting on this exposure and the poor reporting of smmary statistics of patient characteristics.</w:t>
      </w:r>
    </w:p>
    <w:p>
      <w:pPr>
        <w:pStyle w:val="BodyText"/>
      </w:pPr>
      <w:r>
        <w:t xml:space="preserve">As such, the aims of this analysis were two fold: firstly, to perform a individual patient data meta-analysis across identified cohorts to examine the impact of patient age-at-measurement and sex on the effect of lipids on dementia; and secondly, to expand the evidence base for the effect of lipids on dementia outcomes by incorporating previously unanalysed cohorts contained in the Dementia Platform UK, a large consortia of dementia cohorts.</w:t>
      </w:r>
    </w:p>
    <w:p>
      <w:pPr>
        <w:pStyle w:val="BodyText"/>
      </w:pPr>
      <w:r>
        <w:t xml:space="preserve"> </w:t>
      </w:r>
    </w:p>
    <w:bookmarkEnd w:id="215"/>
    <w:bookmarkStart w:id="236" w:name="methods-2"/>
    <w:p>
      <w:pPr>
        <w:pStyle w:val="Heading2"/>
      </w:pPr>
      <w:r>
        <w:t xml:space="preserve">Methods</w:t>
      </w:r>
    </w:p>
    <w:bookmarkStart w:id="216" w:name="eligibility-criteria"/>
    <w:p>
      <w:pPr>
        <w:pStyle w:val="Heading3"/>
      </w:pPr>
      <w:r>
        <w:t xml:space="preserve">Eligibility criteria</w:t>
      </w:r>
    </w:p>
    <w:p>
      <w:pPr>
        <w:pStyle w:val="FirstParagraph"/>
      </w:pPr>
      <w:r>
        <w:t xml:space="preserve">Eligible data sources were defined as those that contained lipid measurements and lipids reported/available as a continuous measure, Data sources which were cross-sectional, either by design or due to the available data (e.g. a study conducted multiple waves, but onyl data from a single wave could be accessed) were excluded. Similarly, due to the limited time-frame, studies making use of population-level electronic health records, which often require an extensive project proposals in order to gain access to the data, were ineligible due to the time and cost involved in applying. The one exception to this was data from the CPRD, which I already had access to as part of the analysis reported in Chapter</w:t>
      </w:r>
      <w:r>
        <w:t xml:space="preserve"> </w:t>
      </w:r>
      <w:r>
        <w:t xml:space="preserve">(cprd-analysis-heading).</w:t>
      </w:r>
    </w:p>
    <w:bookmarkEnd w:id="216"/>
    <w:bookmarkStart w:id="219" w:name="applying-for-data-access"/>
    <w:p>
      <w:pPr>
        <w:pStyle w:val="Heading3"/>
      </w:pPr>
      <w:r>
        <w:t xml:space="preserve">Applying for data access</w:t>
      </w:r>
    </w:p>
    <w:p>
      <w:pPr>
        <w:pStyle w:val="FirstParagraph"/>
      </w:pPr>
      <w:r>
        <w:t xml:space="preserve">Potentially eligible data sources were identified via two mechanisms with a distinct focus. For each approach, the number of cohorts responding to the request, and where applciable, the reasons given for a lack of data sharing were recorded.</w:t>
      </w:r>
    </w:p>
    <w:bookmarkStart w:id="217" w:name="systematic-review"/>
    <w:p>
      <w:pPr>
        <w:pStyle w:val="Heading4"/>
      </w:pPr>
      <w:r>
        <w:t xml:space="preserve">Systematic review</w:t>
      </w:r>
    </w:p>
    <w:p>
      <w:pPr>
        <w:pStyle w:val="FirstParagraph"/>
      </w:pPr>
      <w:r>
        <w:t xml:space="preserve">The first approach focused on previously analysed data sources. The systematic review detailed in Chapter</w:t>
      </w:r>
      <w:r>
        <w:t xml:space="preserve"> </w:t>
      </w:r>
      <w:r>
        <w:t xml:space="preserve">??</w:t>
      </w:r>
      <w:r>
        <w:t xml:space="preserve"> </w:t>
      </w:r>
      <w:r>
        <w:t xml:space="preserve">identified several observational prospective cohort studies examining the effect of blood lipid levels on dementia outcomes. The data sources used in each of these cohort analyses were screened against the criteria listed in the previous section, and eligible cohorts were approached for data access. In the first instance, the first/corresponding author of the publication was emailed (see Appendix</w:t>
      </w:r>
      <w:r>
        <w:t xml:space="preserve"> </w:t>
      </w:r>
      <w:r>
        <w:t xml:space="preserve">9.5.1</w:t>
      </w:r>
      <w:r>
        <w:t xml:space="preserve"> </w:t>
      </w:r>
      <w:r>
        <w:t xml:space="preserve">for a copy of the text and documentation sent to potentially collaborators) in Autumn 2020. If this approach did not elicit a response within two months, the last author was contacted, on the basis that the first/corresponding author may have been a more junior member of the research group who has moved to a different institution.</w:t>
      </w:r>
    </w:p>
    <w:bookmarkEnd w:id="217"/>
    <w:bookmarkStart w:id="218" w:name="dementia-platform-uk"/>
    <w:p>
      <w:pPr>
        <w:pStyle w:val="Heading4"/>
      </w:pPr>
      <w:r>
        <w:t xml:space="preserve">Dementia Platform UK</w:t>
      </w:r>
    </w:p>
    <w:p>
      <w:pPr>
        <w:pStyle w:val="FirstParagraph"/>
      </w:pPr>
      <w:r>
        <w:t xml:space="preserve">The second approach focused on incorporating previously unanalysed data, thus providing additional evidence on the relationship between statins and dementia risk.</w:t>
      </w:r>
    </w:p>
    <w:p>
      <w:pPr>
        <w:pStyle w:val="BodyText"/>
      </w:pPr>
      <w:r>
        <w:t xml:space="preserve">This was achieved through the Dementia Platform UK (DPUK), a collaborative grouping of existing dementia cohorts established by the MRC which works with data owners to make their data readily accessible for secondary analysis.</w:t>
      </w:r>
      <w:hyperlink w:anchor="ref-bauermeister2020">
        <w:r>
          <w:rPr>
            <w:rStyle w:val="Hyperlink"/>
            <w:vertAlign w:val="superscript"/>
          </w:rPr>
          <w:t xml:space="preserve">99</w:t>
        </w:r>
      </w:hyperlink>
      <w:r>
        <w:t xml:space="preserve"> </w:t>
      </w:r>
      <w:r>
        <w:t xml:space="preserve">It provides access to 42 cohorts with over 3 million participants, and makes use of a central streamlined application processs for all cohorts with the intent of making it easier to access data from existing data sources.</w:t>
      </w:r>
    </w:p>
    <w:p>
      <w:pPr>
        <w:pStyle w:val="BodyText"/>
      </w:pPr>
      <w:r>
        <w:t xml:space="preserve">Cohorts included in the DPUK were assessed against the eligibility criteria, and in Autumn 2020, an application for access to a subset of 16 cohorts was made via the common-access procedure.</w:t>
      </w:r>
    </w:p>
    <w:p>
      <w:pPr>
        <w:pStyle w:val="BodyText"/>
      </w:pPr>
      <w:r>
        <w:t xml:space="preserve"> </w:t>
      </w:r>
    </w:p>
    <w:bookmarkEnd w:id="218"/>
    <w:bookmarkEnd w:id="219"/>
    <w:bookmarkStart w:id="220" w:name="risk-of-bias-assessment"/>
    <w:p>
      <w:pPr>
        <w:pStyle w:val="Heading3"/>
      </w:pPr>
      <w:r>
        <w:t xml:space="preserve">Risk of bias assessment</w:t>
      </w:r>
    </w:p>
    <w:p>
      <w:pPr>
        <w:pStyle w:val="FirstParagraph"/>
      </w:pPr>
      <w:r>
        <w:t xml:space="preserve">Risk of bias assessment was performed for each of the included cohorts using the risk-of-bias assessment tool for non-randomised studies of exposures introduced previously (for a more detailed discussion of this tool, see Section</w:t>
      </w:r>
      <w:r>
        <w:t xml:space="preserve"> </w:t>
      </w:r>
      <w:r>
        <w:t xml:space="preserve">3.3.7.2</w:t>
      </w:r>
      <w:r>
        <w:t xml:space="preserve">).</w:t>
      </w:r>
    </w:p>
    <w:p>
      <w:pPr>
        <w:pStyle w:val="BodyText"/>
      </w:pPr>
      <w:r>
        <w:t xml:space="preserve">Due to the inherent conflict of interest in assessing my own analysis, the result were also assessed by two independent reviewers.</w:t>
      </w:r>
    </w:p>
    <w:p>
      <w:pPr>
        <w:pStyle w:val="BodyText"/>
      </w:pPr>
      <w:r>
        <w:t xml:space="preserve"> </w:t>
      </w:r>
    </w:p>
    <w:bookmarkEnd w:id="220"/>
    <w:bookmarkStart w:id="221" w:name="missing-data-2"/>
    <w:p>
      <w:pPr>
        <w:pStyle w:val="Heading3"/>
      </w:pPr>
      <w:r>
        <w:t xml:space="preserve">Missing data</w:t>
      </w:r>
    </w:p>
    <w:p>
      <w:pPr>
        <w:pStyle w:val="FirstParagraph"/>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269</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270</w:t>
        </w:r>
      </w:hyperlink>
      <w:r>
        <w:t xml:space="preserve"> </w:t>
      </w:r>
      <w:r>
        <w:t xml:space="preserve">Imputation was performed using the MICE (Multiple Imputation by Chained Equations) using the XXX command in R.</w:t>
      </w:r>
    </w:p>
    <w:p>
      <w:pPr>
        <w:pStyle w:val="BodyText"/>
      </w:pPr>
      <w:r>
        <w:t xml:space="preserve"> </w:t>
      </w:r>
    </w:p>
    <w:bookmarkEnd w:id="221"/>
    <w:bookmarkStart w:id="225" w:name="variable-definition"/>
    <w:p>
      <w:pPr>
        <w:pStyle w:val="Heading3"/>
      </w:pPr>
      <w:r>
        <w:t xml:space="preserve">Variable definition</w:t>
      </w:r>
    </w:p>
    <w:bookmarkStart w:id="222" w:name="exposure"/>
    <w:p>
      <w:pPr>
        <w:pStyle w:val="Heading4"/>
      </w:pPr>
      <w:r>
        <w:t xml:space="preserve">Exposure</w:t>
      </w:r>
    </w:p>
    <w:p>
      <w:pPr>
        <w:pStyle w:val="FirstParagraph"/>
      </w:pPr>
      <w:r>
        <w:t xml:space="preserve">To aid interpretability of the outcome, all analyses were standardised to refer to a 1-standard deviation increase in the lipid fraction under investigation.</w:t>
      </w:r>
    </w:p>
    <w:bookmarkEnd w:id="222"/>
    <w:bookmarkStart w:id="223" w:name="outcomes"/>
    <w:p>
      <w:pPr>
        <w:pStyle w:val="Heading4"/>
      </w:pPr>
      <w:r>
        <w:t xml:space="preserve">Outcomes</w:t>
      </w:r>
    </w:p>
    <w:p>
      <w:pPr>
        <w:pStyle w:val="FirstParagraph"/>
      </w:pPr>
      <w:r>
        <w:t xml:space="preserve">Similar to the analyses presented in othe chapters, th endpoints in this analysis was incidience of dementia and related sub-types (AD, vascular dementia).</w:t>
      </w:r>
    </w:p>
    <w:bookmarkEnd w:id="223"/>
    <w:bookmarkStart w:id="224" w:name="covariates-1"/>
    <w:p>
      <w:pPr>
        <w:pStyle w:val="Heading4"/>
      </w:pPr>
      <w:r>
        <w:t xml:space="preserve">Covariates</w:t>
      </w:r>
    </w:p>
    <w:p>
      <w:pPr>
        <w:pStyle w:val="FirstParagraph"/>
      </w:pPr>
      <w:r>
        <w:t xml:space="preserve">Relevant covariates were adjusted for in all models. these included age, sex,education and comorbities. For information on how these were defined across cohorts, see Appendix</w:t>
      </w:r>
      <w:r>
        <w:t xml:space="preserve"> </w:t>
      </w:r>
      <w:r>
        <w:t xml:space="preserve">??</w:t>
      </w:r>
      <w:r>
        <w:t xml:space="preserve">.</w:t>
      </w:r>
    </w:p>
    <w:p>
      <w:pPr>
        <w:pStyle w:val="BodyText"/>
      </w:pPr>
      <w:r>
        <w:t xml:space="preserve"> </w:t>
      </w:r>
    </w:p>
    <w:bookmarkEnd w:id="224"/>
    <w:bookmarkEnd w:id="225"/>
    <w:bookmarkStart w:id="231" w:name="statistical-analysis"/>
    <w:p>
      <w:pPr>
        <w:pStyle w:val="Heading3"/>
      </w:pPr>
      <w:r>
        <w:t xml:space="preserve">Statistical analysis</w:t>
      </w:r>
    </w:p>
    <w:bookmarkStart w:id="226" w:name="descriptive-statistics"/>
    <w:p>
      <w:pPr>
        <w:pStyle w:val="Heading4"/>
      </w:pPr>
      <w:r>
        <w:t xml:space="preserve">Descriptive statistics</w:t>
      </w:r>
    </w:p>
    <w:p>
      <w:pPr>
        <w:pStyle w:val="FirstParagraph"/>
      </w:pPr>
      <w:r>
        <w:t xml:space="preserve">All IPD obtained was examined and recoded as necessary to ensure they comply with the coding guideline for the IPD database. As recommended , summary statistics for each data source were calculated and compared to publicly available statistics to ensure no errors were introduced in the data cleaning process.</w:t>
      </w:r>
      <w:hyperlink w:anchor="ref-levis2021">
        <w:r>
          <w:rPr>
            <w:rStyle w:val="Hyperlink"/>
            <w:vertAlign w:val="superscript"/>
          </w:rPr>
          <w:t xml:space="preserve">289</w:t>
        </w:r>
      </w:hyperlink>
      <w:r>
        <w:t xml:space="preserve"> </w:t>
      </w:r>
      <w:r>
        <w:t xml:space="preserve">Any discrepancies were investigated.</w:t>
      </w:r>
    </w:p>
    <w:bookmarkEnd w:id="226"/>
    <w:bookmarkStart w:id="227" w:name="data-cleaning-and-harmonisation"/>
    <w:p>
      <w:pPr>
        <w:pStyle w:val="Heading4"/>
      </w:pPr>
      <w:r>
        <w:t xml:space="preserve">Data cleaning and harmonisation</w:t>
      </w:r>
    </w:p>
    <w:p>
      <w:pPr>
        <w:pStyle w:val="FirstParagraph"/>
      </w:pPr>
      <w:r>
        <w:t xml:space="preserve">Across all cohorts, data cleaning was performed in a similar manner, using commonly named variables, so that a single model could be applied using functional programming. The one exception to this is the CPRD data, which was held in a different system to the rest. However, an identical model was applied within this cohort. The advantage of this approach is that it reduces the likelihood of errors in model mis-specification if needing to change variables names from cohort to cohort.</w:t>
      </w:r>
    </w:p>
    <w:bookmarkEnd w:id="227"/>
    <w:bookmarkStart w:id="228" w:name="individual-patient-data-analysis"/>
    <w:p>
      <w:pPr>
        <w:pStyle w:val="Heading4"/>
      </w:pPr>
      <w:r>
        <w:t xml:space="preserve">Individual patient data analysis</w:t>
      </w:r>
    </w:p>
    <w:p>
      <w:pPr>
        <w:pStyle w:val="FirstParagraph"/>
      </w:pPr>
      <w:r>
        <w:t xml:space="preserve">In this analysis, an two-stage individual patient data model was used out of necessity, with the one-stage model being precluded by the included datasets being in protected data silos. It also allows for each studys’ data to be analysed according to a common analysis plan, which is particularly important in this topic, due to the differing definitions between studies of the serum concentrations above or below which lipids are deemed to be at abnormal levels.</w:t>
      </w:r>
    </w:p>
    <w:p>
      <w:pPr>
        <w:pStyle w:val="BodyText"/>
      </w:pPr>
      <w:r>
        <w:t xml:space="preserve">Under a two-stage approach, estimates for the effect of each lipid fraction on available dementia outcomes in each study were first calculated for each data source. Effect estimates for the associations between lipid fractions and incident dementia, adjusted for identical covariates, were obtained by applying a common model to each data source. More specifically, hazard ratios were used to quantify the effect of a 1-SD lower exposure to a lipid fraction on dementia outcomes. A discrete proportional hazards model was employed to account for the interval censoring introduced by design of the longitudinal cohort studies.</w:t>
      </w:r>
      <w:hyperlink w:anchor="ref-wang2017">
        <w:r>
          <w:rPr>
            <w:rStyle w:val="Hyperlink"/>
            <w:vertAlign w:val="superscript"/>
          </w:rPr>
          <w:t xml:space="preserve">290</w:t>
        </w:r>
      </w:hyperlink>
      <w:r>
        <w:t xml:space="preserve"> </w:t>
      </w:r>
      <w:r>
        <w:t xml:space="preserve">An overall effect estimate was then produced by combining data-source-specific estimtes in a random-effects meta-analysis (see Section</w:t>
      </w:r>
      <w:r>
        <w:t xml:space="preserve"> </w:t>
      </w:r>
      <w:r>
        <w:t xml:space="preserve">??</w:t>
      </w:r>
      <w:r>
        <w:t xml:space="preserve"> </w:t>
      </w:r>
      <w:r>
        <w:t xml:space="preserve">in Chapter</w:t>
      </w:r>
      <w:r>
        <w:t xml:space="preserve"> </w:t>
      </w:r>
      <w:r>
        <w:t xml:space="preserve">??</w:t>
      </w:r>
      <w:r>
        <w:t xml:space="preserve"> </w:t>
      </w:r>
      <w:r>
        <w:t xml:space="preserve">for a broader discussion of meta-analysis methods). Following best practice, clustering within studies was accounted for.</w:t>
      </w:r>
      <w:hyperlink w:anchor="ref-abo-zaid2013">
        <w:r>
          <w:rPr>
            <w:rStyle w:val="Hyperlink"/>
            <w:vertAlign w:val="superscript"/>
          </w:rPr>
          <w:t xml:space="preserve">291</w:t>
        </w:r>
      </w:hyperlink>
    </w:p>
    <w:p>
      <w:pPr>
        <w:pStyle w:val="BodyText"/>
      </w:pPr>
      <w:r>
        <w:t xml:space="preserve"> </w:t>
      </w:r>
    </w:p>
    <w:bookmarkEnd w:id="228"/>
    <w:bookmarkStart w:id="229" w:name="Xe053a90f1dc06cdff8afb3c0fcf28e3d7583255"/>
    <w:p>
      <w:pPr>
        <w:pStyle w:val="Heading4"/>
      </w:pPr>
      <w:r>
        <w:t xml:space="preserve">Investigating effect of patient-level covariates</w:t>
      </w:r>
    </w:p>
    <w:p>
      <w:pPr>
        <w:pStyle w:val="FirstParagraph"/>
      </w:pPr>
      <w:r>
        <w:t xml:space="preserve">In order to investigate the interaction of patient-level characteristics with lipid levels, interaction terms for lipid-covariate terms were included in the model above. These were extracted and synthesised using a random effects meta-analysis.</w:t>
      </w:r>
    </w:p>
    <w:p>
      <w:pPr>
        <w:pStyle w:val="BodyText"/>
      </w:pPr>
      <w:r>
        <w:t xml:space="preserve"> </w:t>
      </w:r>
    </w:p>
    <w:bookmarkEnd w:id="229"/>
    <w:bookmarkStart w:id="230" w:name="Xa47f58ef8659a4897bfdd535e185e4ae70e2b7e"/>
    <w:p>
      <w:pPr>
        <w:pStyle w:val="Heading4"/>
      </w:pPr>
      <w:r>
        <w:t xml:space="preserve">Combining published aggregate data and individual participant data</w:t>
      </w:r>
    </w:p>
    <w:p>
      <w:pPr>
        <w:pStyle w:val="FirstParagraph"/>
      </w:pPr>
      <w:r>
        <w:t xml:space="preserve">Where a data source did not provided their individual participant data, but stratified by a patient characteristic of interest in the published data, the aggregate data and individual data were combined.</w:t>
      </w:r>
    </w:p>
    <w:p>
      <w:pPr>
        <w:pStyle w:val="BodyText"/>
      </w:pPr>
      <w:r>
        <w:t xml:space="preserve"> </w:t>
      </w:r>
    </w:p>
    <w:bookmarkEnd w:id="230"/>
    <w:bookmarkEnd w:id="231"/>
    <w:bookmarkStart w:id="232" w:name="comparison-with-published-findings"/>
    <w:p>
      <w:pPr>
        <w:pStyle w:val="Heading3"/>
      </w:pPr>
      <w:r>
        <w:t xml:space="preserve">Comparison with published findings</w:t>
      </w:r>
    </w:p>
    <w:p>
      <w:pPr>
        <w:pStyle w:val="FirstParagraph"/>
      </w:pPr>
      <w:r>
        <w:t xml:space="preserve">Where an included data source had previously been analysed and results for the association between lipid levels and dementia outcomes reported, these were compared to the results of this analysis. If discrepancies were identified, these were investigated.</w:t>
      </w:r>
    </w:p>
    <w:bookmarkEnd w:id="232"/>
    <w:bookmarkStart w:id="235" w:name="secondary-analyses"/>
    <w:p>
      <w:pPr>
        <w:pStyle w:val="Heading3"/>
      </w:pPr>
      <w:r>
        <w:t xml:space="preserve">Secondary analyses</w:t>
      </w:r>
    </w:p>
    <w:bookmarkStart w:id="233" w:name="amount-of-information-added"/>
    <w:p>
      <w:pPr>
        <w:pStyle w:val="Heading4"/>
      </w:pPr>
      <w:r>
        <w:t xml:space="preserve">Amount of information added</w:t>
      </w:r>
    </w:p>
    <w:p>
      <w:pPr>
        <w:pStyle w:val="FirstParagraph"/>
      </w:pPr>
      <w:r>
        <w:t xml:space="preserve">The proportion of new information added to the evidence base via incorporation of the unanalysed datasets was quantified, by addding the additional results to the lipid-dementia meta-analyses presented in Section</w:t>
      </w:r>
      <w:r>
        <w:t xml:space="preserve"> </w:t>
      </w:r>
      <w:r>
        <w:t xml:space="preserve">??</w:t>
      </w:r>
      <w:r>
        <w:t xml:space="preserve">, and extracting the combined weights assigned to the new data in a fixed-effect model.</w:t>
      </w:r>
    </w:p>
    <w:bookmarkEnd w:id="233"/>
    <w:bookmarkStart w:id="234" w:name="data-availability-statements"/>
    <w:p>
      <w:pPr>
        <w:pStyle w:val="Heading4"/>
      </w:pPr>
      <w:r>
        <w:t xml:space="preserve">Data availability statements</w:t>
      </w:r>
    </w:p>
    <w:p>
      <w:pPr>
        <w:pStyle w:val="FirstParagraph"/>
      </w:pPr>
      <w:r>
        <w:t xml:space="preserve">As a sensitivity analysis, I examined the data sharing statements for each using a predefined categories used in a similar previous analysis.</w:t>
      </w:r>
      <w:hyperlink w:anchor="ref-mcguinness2020DAScomparison">
        <w:r>
          <w:rPr>
            <w:rStyle w:val="Hyperlink"/>
            <w:vertAlign w:val="superscript"/>
          </w:rPr>
          <w:t xml:space="preserve">292</w:t>
        </w:r>
      </w:hyperlink>
    </w:p>
    <w:p>
      <w:pPr>
        <w:pStyle w:val="BodyText"/>
      </w:pPr>
      <w:r>
        <w:t xml:space="preserve"> </w:t>
      </w:r>
    </w:p>
    <w:bookmarkEnd w:id="234"/>
    <w:bookmarkEnd w:id="235"/>
    <w:bookmarkEnd w:id="236"/>
    <w:bookmarkStart w:id="252" w:name="results-2"/>
    <w:p>
      <w:pPr>
        <w:pStyle w:val="Heading2"/>
      </w:pPr>
      <w:r>
        <w:t xml:space="preserve">Results</w:t>
      </w:r>
    </w:p>
    <w:bookmarkStart w:id="238" w:name="data-access"/>
    <w:p>
      <w:pPr>
        <w:pStyle w:val="Heading3"/>
      </w:pPr>
      <w:r>
        <w:t xml:space="preserve">Data access</w:t>
      </w:r>
    </w:p>
    <w:p>
      <w:pPr>
        <w:pStyle w:val="FirstParagraph"/>
      </w:pPr>
      <w:r>
        <w:t xml:space="preserve">Of the 37 studies to which I applied for data access, only three (8.1%) provided data and were included in the analysis. Figure</w:t>
      </w:r>
      <w:r>
        <w:t xml:space="preserve"> </w:t>
      </w:r>
      <w:r>
        <w:t xml:space="preserve">34</w:t>
      </w:r>
      <w:r>
        <w:t xml:space="preserve"> </w:t>
      </w:r>
      <w:r>
        <w:t xml:space="preserve">details whether the cohorts eventually included in the review were identified by the systematic review or via DPUK portal. In addition, the reasons for cohorts not being included in the analysis are presented, stratified by application approach.</w:t>
      </w:r>
    </w:p>
    <w:p>
      <w:pPr>
        <w:pStyle w:val="BodyText"/>
      </w:pPr>
      <w:r>
        <w:t xml:space="preserve">In summary, the requests for data from cohorts identified by the systematic review was characterised by a very low response rate. For the minority who did respond, common reasons given by corresponding authors for not sharing the data included that they no longer worked with the same group and did not know if the data were available or how to obtain it, had access to the data, or that they were currently or intended to perform a similar analysis as the one proposed.</w:t>
      </w:r>
    </w:p>
    <w:p>
      <w:pPr>
        <w:pStyle w:val="BodyText"/>
      </w:pPr>
      <w:r>
        <w:t xml:space="preserve">With respect to the application to DPUK cohorts, where a dedicated project manager liaises with data owners on the applicants’ behalf, the overall response rate was higher resulting in eventual access to three cohorts (one of which was also identified by the systematic review). However, even using this streamlined approach, a response was obtained for only half of the approach cohorts.</w:t>
      </w:r>
    </w:p>
    <w:p>
      <w:pPr>
        <w:pStyle w:val="BodyText"/>
      </w:pPr>
      <w:r>
        <w:drawing>
          <wp:inline>
            <wp:extent cx="5943600" cy="4592781"/>
            <wp:effectExtent b="0" l="0" r="0" t="0"/>
            <wp:docPr descr="Figure 34: Flowchart of included cohorts, stratified by identification method (systematic review vs DPUK)." title="" id="1" name="Picture"/>
            <a:graphic>
              <a:graphicData uri="http://schemas.openxmlformats.org/drawingml/2006/picture">
                <pic:pic>
                  <pic:nvPicPr>
                    <pic:cNvPr descr="figures/ipd/cohortFlowchart.png" id="0" name="Picture"/>
                    <pic:cNvPicPr>
                      <a:picLocks noChangeArrowheads="1" noChangeAspect="1"/>
                    </pic:cNvPicPr>
                  </pic:nvPicPr>
                  <pic:blipFill>
                    <a:blip r:embed="rId237"/>
                    <a:stretch>
                      <a:fillRect/>
                    </a:stretch>
                  </pic:blipFill>
                  <pic:spPr bwMode="auto">
                    <a:xfrm>
                      <a:off x="0" y="0"/>
                      <a:ext cx="5943600" cy="4592781"/>
                    </a:xfrm>
                    <a:prstGeom prst="rect">
                      <a:avLst/>
                    </a:prstGeom>
                    <a:noFill/>
                    <a:ln w="9525">
                      <a:noFill/>
                      <a:headEnd/>
                      <a:tailEnd/>
                    </a:ln>
                  </pic:spPr>
                </pic:pic>
              </a:graphicData>
            </a:graphic>
          </wp:inline>
        </w:drawing>
      </w:r>
      <w:r>
        <w:t xml:space="preserve"> </w:t>
      </w:r>
    </w:p>
    <w:p>
      <w:pPr>
        <w:pStyle w:val="BodyText"/>
      </w:pPr>
      <w:r>
        <w:t xml:space="preserve">As highlighted in Figure</w:t>
      </w:r>
      <w:r>
        <w:t xml:space="preserve"> </w:t>
      </w:r>
      <w:r>
        <w:t xml:space="preserve">34</w:t>
      </w:r>
      <w:r>
        <w:t xml:space="preserve">, there was little overlap between cohorts identified by the systematic review and those contained in the DPUK (n = 1, 2.7%), indicating that the DPUK is a useful source of unanalysed data with respect to this question.</w:t>
      </w:r>
    </w:p>
    <w:p>
      <w:pPr>
        <w:pStyle w:val="BodyText"/>
      </w:pPr>
      <w:r>
        <w:t xml:space="preserve"> </w:t>
      </w:r>
    </w:p>
    <w:bookmarkEnd w:id="238"/>
    <w:bookmarkStart w:id="244" w:name="included-data-sources"/>
    <w:p>
      <w:pPr>
        <w:pStyle w:val="Heading3"/>
      </w:pPr>
      <w:r>
        <w:t xml:space="preserve">Included data sources</w:t>
      </w:r>
    </w:p>
    <w:p>
      <w:pPr>
        <w:pStyle w:val="FirstParagraph"/>
      </w:pPr>
      <w:r>
        <w:t xml:space="preserve">The four data sources used in this analysis are summarised in Table</w:t>
      </w:r>
      <w:r>
        <w:t xml:space="preserve"> </w:t>
      </w:r>
      <w:r>
        <w:t xml:space="preserve">17</w:t>
      </w:r>
      <w:r>
        <w:t xml:space="preserve"> </w:t>
      </w:r>
      <w:r>
        <w:t xml:space="preserve">and are described in detail in the following sections. Of note, all included data sources were based in the United Kingdom. This is likely due to the majority of included datasets coming from the Dementia Platform UK route (Figure</w:t>
      </w:r>
      <w:r>
        <w:t xml:space="preserve"> </w:t>
      </w:r>
      <w:r>
        <w:t xml:space="preserve">34</w:t>
      </w:r>
      <w:r>
        <w:t xml:space="preserve">), which as implied by the name, has a geographical focus on cohorts performed in the United Kingdom.</w:t>
      </w:r>
      <w:hyperlink w:anchor="ref-bauermeister2020">
        <w:r>
          <w:rPr>
            <w:rStyle w:val="Hyperlink"/>
            <w:vertAlign w:val="superscript"/>
          </w:rPr>
          <w:t xml:space="preserve">99</w:t>
        </w:r>
      </w:hyperlink>
    </w:p>
    <w:p>
      <w:pPr>
        <w:pStyle w:val="BodyText"/>
      </w:pPr>
      <w:r>
        <w:t xml:space="preserve"> </w:t>
      </w:r>
    </w:p>
    <w:p>
      <w:pPr>
        <w:pStyle w:val="TableCaption"/>
      </w:pPr>
      <w:r>
        <w:t xml:space="preserve">Table 17:</w:t>
      </w:r>
      <w:r>
        <w:t xml:space="preserve"> </w:t>
      </w:r>
      <w:bookmarkStart w:id="05a097ce-1b97-4336-bac9-6a541f7fdbbb" w:name="tab:cohortOverview-table"/>
      <w:r>
        <w:t xml:space="preserve">Summary of cohorts for which data were available</w:t>
      </w:r>
      <w:bookmarkEnd w:id="05a097ce-1b97-4336-bac9-6a541f7fdbb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Dementia events (all-cause)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(mean)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Male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CaPS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CPRD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Whitehall II</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8022</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r>
    </w:tbl>
    <w:p>
      <w:pPr>
        <w:pStyle w:val="BodyText"/>
      </w:pPr>
      <w:r>
        <w:t xml:space="preserve"> </w:t>
      </w:r>
    </w:p>
    <w:p>
      <w:pPr>
        <w:pStyle w:val="BodyText"/>
      </w:pPr>
      <w:r>
        <w:t xml:space="preserve"> </w:t>
      </w:r>
    </w:p>
    <w:bookmarkStart w:id="239" w:name="caerphilly-prospective-study"/>
    <w:p>
      <w:pPr>
        <w:pStyle w:val="Heading4"/>
      </w:pPr>
      <w:r>
        <w:t xml:space="preserve">Caerphilly Prospective Study</w:t>
      </w:r>
    </w:p>
    <w:p>
      <w:pPr>
        <w:pStyle w:val="FirstParagraph"/>
      </w:pPr>
      <w:r>
        <w:t xml:space="preserve">The Caerphilly</w:t>
      </w:r>
      <w:r>
        <w:t xml:space="preserve"> </w:t>
      </w:r>
      <w:r>
        <w:t xml:space="preserve"> </w:t>
      </w:r>
      <w:r>
        <w:t xml:space="preserve">Prospective Study is a longitudinal study of men in the</w:t>
      </w:r>
    </w:p>
    <w:p>
      <w:pPr>
        <w:pStyle w:val="BodyText"/>
      </w:pPr>
      <w:r>
        <w:t xml:space="preserve">Cholesterol measures (total, LDL-c, HDL-c and triglyceride) were measured at baseline in 1979-1983.</w:t>
      </w:r>
      <w:r>
        <w:t xml:space="preserve"> </w:t>
      </w:r>
      <w:r>
        <w:t xml:space="preserve">As the study population has aged, additional outcomes. Of particular relevance to this analysis, from Phase III (1989-1993) onwards, a battery of cognitive tests were introduced.</w:t>
      </w:r>
    </w:p>
    <w:p>
      <w:pPr>
        <w:pStyle w:val="BodyText"/>
      </w:pPr>
      <w:r>
        <w:t xml:space="preserve"> </w:t>
      </w:r>
    </w:p>
    <w:bookmarkEnd w:id="239"/>
    <w:bookmarkStart w:id="240" w:name="cprd"/>
    <w:p>
      <w:pPr>
        <w:pStyle w:val="Heading4"/>
      </w:pPr>
      <w:r>
        <w:t xml:space="preserve">CPRD</w:t>
      </w:r>
    </w:p>
    <w:p>
      <w:pPr>
        <w:pStyle w:val="FirstParagraph"/>
      </w:pPr>
      <w:r>
        <w:t xml:space="preserve">The Clinical Practice Research Datalink (CPRD) is a large population-based, electronic health record (EHR) database.</w:t>
      </w:r>
      <w:hyperlink w:anchor="ref-herrett2015">
        <w:r>
          <w:rPr>
            <w:rStyle w:val="Hyperlink"/>
            <w:vertAlign w:val="superscript"/>
          </w:rPr>
          <w:t xml:space="preserve">260</w:t>
        </w:r>
      </w:hyperlink>
      <w:r>
        <w:t xml:space="preserve"> </w:t>
      </w:r>
      <w:r>
        <w:t xml:space="preserve">containing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260</w:t>
        </w:r>
      </w:hyperlink>
      <w:r>
        <w:rPr>
          <w:vertAlign w:val="superscript"/>
        </w:rPr>
        <w:t xml:space="preserve">,</w:t>
      </w:r>
      <w:hyperlink w:anchor="ref-mathur2014">
        <w:r>
          <w:rPr>
            <w:rStyle w:val="Hyperlink"/>
            <w:vertAlign w:val="superscript"/>
          </w:rPr>
          <w:t xml:space="preserve">263</w:t>
        </w:r>
      </w:hyperlink>
    </w:p>
    <w:p>
      <w:pPr>
        <w:pStyle w:val="BodyText"/>
      </w:pPr>
      <w:r>
        <w:t xml:space="preserve">The CPRD is introduced more fully in Chapter @ref(). Briefly, a similar approach to the cohort definition as used in Chapter</w:t>
      </w:r>
    </w:p>
    <w:p>
      <w:pPr>
        <w:pStyle w:val="BodyText"/>
      </w:pPr>
      <w:r>
        <w:t xml:space="preserve">Participants were included from the first date of lipid measurement, so no issues with immortal time bias as discussed in Chapter …</w:t>
      </w:r>
    </w:p>
    <w:p>
      <w:pPr>
        <w:pStyle w:val="BodyText"/>
      </w:pPr>
      <w:r>
        <w:t xml:space="preserve">Additionally, other number of participants is larger in this analysis as there is no restriction on the level which lipids should be in order to be included in the analysis.</w:t>
      </w:r>
    </w:p>
    <w:p>
      <w:pPr>
        <w:pStyle w:val="BodyText"/>
      </w:pPr>
      <w:r>
        <w:t xml:space="preserve">the</w:t>
      </w:r>
    </w:p>
    <w:p>
      <w:pPr>
        <w:pStyle w:val="BodyText"/>
      </w:pPr>
      <w:r>
        <w:t xml:space="preserve"> </w:t>
      </w:r>
    </w:p>
    <w:bookmarkEnd w:id="240"/>
    <w:bookmarkStart w:id="241"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293</w:t>
        </w:r>
      </w:hyperlink>
      <w:r>
        <w:rPr>
          <w:vertAlign w:val="superscript"/>
        </w:rPr>
        <w:t xml:space="preserve">,</w:t>
      </w:r>
      <w:hyperlink w:anchor="ref-riboli2002">
        <w:r>
          <w:rPr>
            <w:rStyle w:val="Hyperlink"/>
            <w:vertAlign w:val="superscript"/>
          </w:rPr>
          <w:t xml:space="preserve">294</w:t>
        </w:r>
      </w:hyperlink>
    </w:p>
    <w:p>
      <w:pPr>
        <w:pStyle w:val="BodyText"/>
      </w:pPr>
      <w:r>
        <w:t xml:space="preserve">The added evidental value of the EPIC cohort is small, given the relatively small number of participants and the fact that the cohort has only 8 dementia events.</w:t>
      </w:r>
    </w:p>
    <w:p>
      <w:pPr>
        <w:pStyle w:val="BodyText"/>
      </w:pPr>
      <w:r>
        <w:t xml:space="preserve"> </w:t>
      </w:r>
    </w:p>
    <w:bookmarkEnd w:id="241"/>
    <w:bookmarkStart w:id="243" w:name="whitehall-ii"/>
    <w:p>
      <w:pPr>
        <w:pStyle w:val="Heading4"/>
      </w:pPr>
      <w:r>
        <w:t xml:space="preserve">Whitehall II</w:t>
      </w:r>
    </w:p>
    <w:p>
      <w:pPr>
        <w:pStyle w:val="FirstParagraph"/>
      </w:pPr>
      <w:r>
        <w:rPr>
          <w:iCs/>
          <w:i/>
        </w:rPr>
        <w:t xml:space="preserve">The Whitehall II study is a prospective cohort study of 10 308 participants (70% men), aged 35–55 years and recruited between 1985 and 1989 from 20 London-based Civil service departments (</w:t>
      </w:r>
      <w:hyperlink r:id="rId242">
        <w:r>
          <w:rPr>
            <w:rStyle w:val="Hyperlink"/>
            <w:iCs/>
            <w:i/>
          </w:rPr>
          <w:t xml:space="preserve">https://www.ucl.ac.uk/whitehallII</w:t>
        </w:r>
      </w:hyperlink>
      <w:r>
        <w:rPr>
          <w:iCs/>
          <w:i/>
        </w:rPr>
        <w:t xml:space="preserve">). Clinical examinations have been performed in 1991-1994, 1997-1999, 2002-2004, 2007-2009, 2012-2013, 2015-2016 with the data from circulating metabolomic traits and cognitive testing for the present study obtained from the 1997-1999 clinic phase.</w:t>
      </w:r>
      <w:r>
        <w:t xml:space="preserve"> </w:t>
      </w:r>
      <w:r>
        <w:t xml:space="preserve">- taken from EN ID: 2140</w:t>
      </w:r>
    </w:p>
    <w:p>
      <w:pPr>
        <w:pStyle w:val="BodyText"/>
      </w:pPr>
      <w:r>
        <w:t xml:space="preserve">This data source was analysed in one of the included studies identified by the systematic review presented in Chapter</w:t>
      </w:r>
      <w:r>
        <w:t xml:space="preserve"> </w:t>
      </w:r>
      <w:r>
        <w:t xml:space="preserve">??</w:t>
      </w:r>
      <w:r>
        <w:t xml:space="preserve">,</w:t>
      </w:r>
      <w:hyperlink w:anchor="ref-tynkkynen2018">
        <w:r>
          <w:rPr>
            <w:rStyle w:val="Hyperlink"/>
            <w:vertAlign w:val="superscript"/>
          </w:rPr>
          <w:t xml:space="preserve">221</w:t>
        </w:r>
      </w:hyperlink>
      <w:r>
        <w:t xml:space="preserve"> </w:t>
      </w:r>
      <w:r>
        <w:t xml:space="preserve">meaning that a comparison between the published result and the analysis reported here was was possible.</w:t>
      </w:r>
    </w:p>
    <w:p>
      <w:pPr>
        <w:pStyle w:val="BodyText"/>
      </w:pPr>
      <w:r>
        <w:t xml:space="preserve"> </w:t>
      </w:r>
    </w:p>
    <w:bookmarkEnd w:id="243"/>
    <w:bookmarkEnd w:id="244"/>
    <w:bookmarkStart w:id="249" w:name="excluded-data-sources"/>
    <w:p>
      <w:pPr>
        <w:pStyle w:val="Heading3"/>
      </w:pPr>
      <w:r>
        <w:t xml:space="preserve">Excluded data sources</w:t>
      </w:r>
    </w:p>
    <w:bookmarkStart w:id="245" w:name="X21956c5bb1220e1050675bc21f8db7a8b7dcfce"/>
    <w:p>
      <w:pPr>
        <w:pStyle w:val="Heading4"/>
      </w:pPr>
      <w:r>
        <w:t xml:space="preserve">Cohorts identified the systematic review but excluded from the IPD analysis</w:t>
      </w:r>
    </w:p>
    <w:p>
      <w:pPr>
        <w:pStyle w:val="FirstParagraph"/>
      </w:pPr>
      <w:r>
        <w:t xml:space="preserve">The main reason for exclusion within this records was use of an electronic health record database. Examples included the Taiwan National Health Insurance database and studies run in the US making use of Medicare data.</w:t>
      </w:r>
    </w:p>
    <w:p>
      <w:pPr>
        <w:pStyle w:val="BodyText"/>
      </w:pPr>
      <w:r>
        <w:t xml:space="preserve"> </w:t>
      </w:r>
    </w:p>
    <w:bookmarkEnd w:id="245"/>
    <w:bookmarkStart w:id="246" w:name="X7c5d35d5c36dc4ca51650e927c54faff052b227"/>
    <w:p>
      <w:pPr>
        <w:pStyle w:val="Heading4"/>
      </w:pPr>
      <w:r>
        <w:t xml:space="preserve">Cohorts identified in the DPUK but excluded from the IPD analysis</w:t>
      </w:r>
    </w:p>
    <w:p>
      <w:pPr>
        <w:pStyle w:val="FirstParagraph"/>
      </w:pPr>
      <w:r>
        <w:t xml:space="preserve">Several additional cohorts are present in the DPUK collection but were not formally approached with a request for data access. This was primarily due to the information obtained via the online data dictionary system or via initial contact with the cohort owners indicating that the study was relatively new (and so was yet to collect more than 1 wave of data) or that the exposure variables of interest were not recorded.</w:t>
      </w:r>
    </w:p>
    <w:p>
      <w:pPr>
        <w:pStyle w:val="BodyText"/>
      </w:pPr>
      <w:r>
        <w:t xml:space="preserve"> </w:t>
      </w:r>
    </w:p>
    <w:bookmarkEnd w:id="246"/>
    <w:bookmarkStart w:id="247" w:name="X7e47c7380e72975e23f42d5481f1710588c830f"/>
    <w:p>
      <w:pPr>
        <w:pStyle w:val="Heading4"/>
      </w:pPr>
      <w:r>
        <w:t xml:space="preserve">Cohorts providing data but ultimately excluded</w:t>
      </w:r>
    </w:p>
    <w:p>
      <w:pPr>
        <w:pStyle w:val="FirstParagraph"/>
      </w:pPr>
      <w:r>
        <w:t xml:space="preserve">As highlighted in Figure</w:t>
      </w:r>
      <w:r>
        <w:t xml:space="preserve"> </w:t>
      </w:r>
      <w:r>
        <w:t xml:space="preserve">34</w:t>
      </w:r>
      <w:r>
        <w:t xml:space="preserve">, several cohorts from the DPUK responding positively but on inspection of data provided these cohorts were excluded for a range of reason. The exclusion reason for each cohort for which data were provided is illustrated in Table</w:t>
      </w:r>
      <w:r>
        <w:t xml:space="preserve"> </w:t>
      </w:r>
      <w:r>
        <w:t xml:space="preserve">18</w:t>
      </w:r>
      <w:r>
        <w:t xml:space="preserve">.</w:t>
      </w:r>
    </w:p>
    <w:p>
      <w:pPr>
        <w:pStyle w:val="BodyText"/>
      </w:pPr>
      <w:r>
        <w:t xml:space="preserve"> </w:t>
      </w:r>
    </w:p>
    <w:p>
      <w:pPr>
        <w:pStyle w:val="BodyText"/>
      </w:pPr>
      <w:r>
        <w:t xml:space="preserve">"</w:t>
      </w:r>
      <w:r>
        <w:t xml:space="preserve">“</w:t>
      </w:r>
      <w:r>
        <w:t xml:space="preserve">,</w:t>
      </w:r>
      <w:r>
        <w:t xml:space="preserve">”</w:t>
      </w:r>
      <w:r>
        <w:t xml:space="preserve">Cohort</w:t>
      </w:r>
      <w:r>
        <w:t xml:space="preserve">“</w:t>
      </w:r>
      <w:r>
        <w:t xml:space="preserve">,</w:t>
      </w:r>
      <w:r>
        <w:t xml:space="preserve">”</w:t>
      </w:r>
      <w:r>
        <w:t xml:space="preserve">Reason"</w:t>
      </w:r>
      <w:r>
        <w:t xml:space="preserve"> </w:t>
      </w:r>
      <w:r>
        <w:t xml:space="preserve">“</w:t>
      </w:r>
      <w:r>
        <w:t xml:space="preserve">1</w:t>
      </w:r>
      <w:r>
        <w:t xml:space="preserve">”</w:t>
      </w:r>
      <w:r>
        <w:t xml:space="preserve">,</w:t>
      </w:r>
      <w:r>
        <w:t xml:space="preserve">“</w:t>
      </w:r>
      <w:r>
        <w:t xml:space="preserve">NICOLA</w:t>
      </w:r>
      <w:r>
        <w:t xml:space="preserve">”</w:t>
      </w:r>
      <w:r>
        <w:t xml:space="preserve">,</w:t>
      </w:r>
      <w:r>
        <w:t xml:space="preserve">“</w:t>
      </w:r>
      <w:r>
        <w:t xml:space="preserve">Cross-sectional - only one wave of data available</w:t>
      </w:r>
      <w:r>
        <w:t xml:space="preserve">”</w:t>
      </w:r>
      <w:r>
        <w:t xml:space="preserve"> </w:t>
      </w:r>
      <w:r>
        <w:t xml:space="preserve">“</w:t>
      </w:r>
      <w:r>
        <w:t xml:space="preserve">2</w:t>
      </w:r>
      <w:r>
        <w:t xml:space="preserve">”</w:t>
      </w:r>
      <w:r>
        <w:t xml:space="preserve">,</w:t>
      </w:r>
      <w:r>
        <w:t xml:space="preserve">“</w:t>
      </w:r>
      <w:r>
        <w:t xml:space="preserve">TRACK HD</w:t>
      </w:r>
      <w:r>
        <w:t xml:space="preserve">”</w:t>
      </w:r>
      <w:r>
        <w:t xml:space="preserve">,</w:t>
      </w:r>
      <w:r>
        <w:t xml:space="preserve">“</w:t>
      </w:r>
      <w:r>
        <w:t xml:space="preserve">Participants carried HTT gene (i.e. premanifest Huntington’s Disease). Cohort owners indicated that this is likely to overshadw</w:t>
      </w:r>
      <w:r>
        <w:t xml:space="preserve">”</w:t>
      </w:r>
    </w:p>
    <w:p>
      <w:pPr>
        <w:pStyle w:val="TableCaption"/>
      </w:pPr>
      <w:r>
        <w:t xml:space="preserve">Table 18:</w:t>
      </w:r>
      <w:r>
        <w:t xml:space="preserve"> </w:t>
      </w:r>
      <w:bookmarkStart w:id="0edf6d24-23e9-43f0-bc27-7889db650425" w:name="tab:dataExcluded-table"/>
      <w:r>
        <w:t xml:space="preserve">Exclusion reasons for cohorts providing data</w:t>
      </w:r>
      <w:bookmarkEnd w:id="0edf6d24-23e9-43f0-bc27-7889db65042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Reason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NICOLA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TRACK HD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Participants carried HTT gene (i.e. premanifest Huntington's Disease). Cohort owners indicated that this is likely to overshadw</w:t>
            </w:r>
          </w:p>
        </w:tc>
      </w:tr>
    </w:tbl>
    <w:p>
      <w:pPr>
        <w:pStyle w:val="BodyText"/>
      </w:pPr>
      <w:r>
        <w:t xml:space="preserve"> </w:t>
      </w:r>
    </w:p>
    <w:p>
      <w:pPr>
        <w:pStyle w:val="BodyText"/>
      </w:pPr>
      <w:r>
        <w:t xml:space="preserve">BRACE is a memory-complaint-based cohort, suggesting that it is unlikely they were dementia-free at baseline).</w:t>
      </w:r>
      <w:r>
        <w:t xml:space="preserve"> </w:t>
      </w:r>
      <w:r>
        <w:t xml:space="preserve"> </w:t>
      </w:r>
      <w:r>
        <w:t xml:space="preserve">Similarly, the Memento study was excluded as it’s criteria for entry required participants to be outpatients from a memory clinic.</w:t>
      </w:r>
      <w:r>
        <w:t xml:space="preserve"> </w:t>
      </w:r>
      <w:r>
        <w:t xml:space="preserve"> </w:t>
      </w:r>
      <w:r>
        <w:t xml:space="preserve">The Generation Scotland provided only cross-sectional data only for the variables of interest, as did the the NICOLA study.</w:t>
      </w:r>
      <w:r>
        <w:t xml:space="preserve"> </w:t>
      </w:r>
      <w:r>
        <w:t xml:space="preserve"> </w:t>
      </w:r>
      <w:r>
        <w:t xml:space="preserve">Finally, the ELSA study was excluded based on the definition of the exposure variable. This study provided a</w:t>
      </w:r>
      <w:r>
        <w:t xml:space="preserve"> </w:t>
      </w:r>
      <w:r>
        <w:t xml:space="preserve">“</w:t>
      </w:r>
      <w:r>
        <w:t xml:space="preserve">high cholesterol</w:t>
      </w:r>
      <w:r>
        <w:t xml:space="preserve">”</w:t>
      </w:r>
      <w:r>
        <w:t xml:space="preserve"> </w:t>
      </w:r>
      <w:r>
        <w:t xml:space="preserve">a binary variable rather than the raw continuous lipid measurement data.</w:t>
      </w:r>
      <w:r>
        <w:t xml:space="preserve"> </w:t>
      </w:r>
    </w:p>
    <w:p>
      <w:pPr>
        <w:pStyle w:val="BodyText"/>
      </w:pPr>
      <w:r>
        <w:t xml:space="preserve"> </w:t>
      </w:r>
    </w:p>
    <w:bookmarkEnd w:id="247"/>
    <w:bookmarkStart w:id="248" w:name="cohorts-approach-but-received-no-answer"/>
    <w:p>
      <w:pPr>
        <w:pStyle w:val="Heading4"/>
      </w:pPr>
      <w:r>
        <w:t xml:space="preserve">Cohorts approach but received no answer</w:t>
      </w:r>
    </w:p>
    <w:p>
      <w:pPr>
        <w:pStyle w:val="FirstParagraph"/>
      </w:pPr>
      <w:r>
        <w:t xml:space="preserve">This was particularly common among the cohorts identified via the systematic review and included studies with a dedicated access process or data access committee. A cohort of particular interest, having been used in multiple studies identified by the systematic review, is the Three City Study in France. Despite multiple attempts to contact the team, there was no response received.</w:t>
      </w:r>
      <w:r>
        <w:t xml:space="preserve"> </w:t>
      </w:r>
      <w:r>
        <w:t xml:space="preserve"> </w:t>
      </w:r>
      <w:r>
        <w:t xml:space="preserve">This study was approach at multiple points over the curse of this analysis, and no answer was received.</w:t>
      </w:r>
    </w:p>
    <w:p>
      <w:pPr>
        <w:pStyle w:val="BodyText"/>
      </w:pPr>
      <w:r>
        <w:t xml:space="preserve">This was also a problem for cohorts approach via the DPUK - half of the cohorts applied to did not respond to the application within a year.</w:t>
      </w:r>
    </w:p>
    <w:bookmarkEnd w:id="248"/>
    <w:bookmarkEnd w:id="249"/>
    <w:bookmarkStart w:id="251" w:name="analytical-results"/>
    <w:p>
      <w:pPr>
        <w:pStyle w:val="Heading3"/>
      </w:pPr>
      <w:r>
        <w:t xml:space="preserve">Analytical results</w:t>
      </w:r>
    </w:p>
    <w:p>
      <w:pPr>
        <w:pStyle w:val="FirstParagraph"/>
      </w:pPr>
      <w:r>
        <w:t xml:space="preserve">There was no evidence for an effect of any lipid fraction on any dementia outcome (Figure</w:t>
      </w:r>
      <w:r>
        <w:t xml:space="preserve"> </w:t>
      </w:r>
      <w:r>
        <w:t xml:space="preserve">35</w:t>
      </w:r>
      <w:r>
        <w:t xml:space="preserve">). Additionally, meta-analysis of the interaction coefficients for age-at-lipid-measurement and participant sex did not reveal an evidence for an varying effect across these variables.</w:t>
      </w:r>
    </w:p>
    <w:p>
      <w:pPr>
        <w:pStyle w:val="BodyText"/>
      </w:pPr>
      <w:r>
        <w:t xml:space="preserve"> </w:t>
      </w:r>
    </w:p>
    <w:p>
      <w:pPr>
        <w:pStyle w:val="BodyText"/>
      </w:pPr>
      <w:r>
        <w:drawing>
          <wp:inline>
            <wp:extent cx="5943600" cy="1867988"/>
            <wp:effectExtent b="0" l="0" r="0" t="0"/>
            <wp:docPr descr="Figure 35: Random effects meta-analysis of estimates from included data sources:" title="" id="1" name="Picture"/>
            <a:graphic>
              <a:graphicData uri="http://schemas.openxmlformats.org/drawingml/2006/picture">
                <pic:pic>
                  <pic:nvPicPr>
                    <pic:cNvPr descr="figures/ipd/TC.png" id="0" name="Picture"/>
                    <pic:cNvPicPr>
                      <a:picLocks noChangeArrowheads="1" noChangeAspect="1"/>
                    </pic:cNvPicPr>
                  </pic:nvPicPr>
                  <pic:blipFill>
                    <a:blip r:embed="rId250"/>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251"/>
    <w:bookmarkEnd w:id="252"/>
    <w:bookmarkStart w:id="259" w:name="discussion-3"/>
    <w:p>
      <w:pPr>
        <w:pStyle w:val="Heading2"/>
      </w:pPr>
      <w:r>
        <w:t xml:space="preserve">Discussion</w:t>
      </w:r>
    </w:p>
    <w:bookmarkStart w:id="253" w:name="summary-of-findings-2"/>
    <w:p>
      <w:pPr>
        <w:pStyle w:val="Heading3"/>
      </w:pPr>
      <w:r>
        <w:t xml:space="preserve">Summary of findings</w:t>
      </w:r>
    </w:p>
    <w:p>
      <w:pPr>
        <w:pStyle w:val="FirstParagraph"/>
      </w:pPr>
      <w:r>
        <w:t xml:space="preserve">This analysis requested data from 37 data sources, but only obtained data from n = 3, 8.1%, all of which were based in the United Kingdom. No evidence for an effect of lipids on the risk of dementia or related outcomes was identified. Similalarly, there was no evidence for an effect of age-at-measurement or sex on the lipid-dementia relationship.</w:t>
      </w:r>
    </w:p>
    <w:p>
      <w:pPr>
        <w:pStyle w:val="BodyText"/>
      </w:pPr>
      <w:r>
        <w:t xml:space="preserve">Additionally analyses revealed that authors of cohorts indentified by the systematic review rarely stated that the data underpinning their analyses would be freely available, while a review of corresponding authors of these publications demonstrated that for many, the institutional email address provided was out of date.</w:t>
      </w:r>
    </w:p>
    <w:bookmarkEnd w:id="253"/>
    <w:bookmarkStart w:id="256" w:name="limitations-1"/>
    <w:p>
      <w:pPr>
        <w:pStyle w:val="Heading3"/>
      </w:pPr>
      <w:r>
        <w:t xml:space="preserve">Limitations</w:t>
      </w:r>
    </w:p>
    <w:bookmarkStart w:id="254" w:name="low-response-rate-to-request-for-data"/>
    <w:p>
      <w:pPr>
        <w:pStyle w:val="Heading4"/>
      </w:pPr>
      <w:r>
        <w:t xml:space="preserve">Low response rate to request for data</w:t>
      </w:r>
    </w:p>
    <w:p>
      <w:pPr>
        <w:pStyle w:val="FirstParagraph"/>
      </w:pPr>
      <w:r>
        <w:rPr>
          <w:iCs/>
          <w:i/>
        </w:rPr>
        <w:t xml:space="preserve">(although, in hindsight, the form of contact used (email) has been shown to be less successful in eliciting responses from authors when compared with telephoning</w:t>
      </w:r>
      <w:hyperlink w:anchor="ref-danko2019">
        <w:r>
          <w:rPr>
            <w:rStyle w:val="Hyperlink"/>
            <w:vertAlign w:val="superscript"/>
            <w:iCs/>
            <w:i/>
          </w:rPr>
          <w:t xml:space="preserve">295</w:t>
        </w:r>
      </w:hyperlink>
      <w:r>
        <w:rPr>
          <w:iCs/>
          <w:i/>
        </w:rPr>
        <w:t xml:space="preserve">)</w:t>
      </w:r>
    </w:p>
    <w:p>
      <w:pPr>
        <w:pStyle w:val="BodyText"/>
      </w:pPr>
      <w:r>
        <w:t xml:space="preserve">A key limitation of this analysis is the very low response rate to requests for data access. This finding is not unexpected however, given that a review of IPD studies published between 1987 and 2015 found that fewer than half managed to obtained data from greater than 80% of studies,</w:t>
      </w:r>
      <w:r>
        <w:t xml:space="preserve"> </w:t>
      </w:r>
      <w:r>
        <w:t xml:space="preserve"> </w:t>
      </w:r>
      <w:r>
        <w:t xml:space="preserve">and that in many cases, the exact percentage of studies for which data were obtained was not accurately reported.</w:t>
      </w:r>
    </w:p>
    <w:p>
      <w:pPr>
        <w:pStyle w:val="BodyText"/>
      </w:pPr>
      <w:r>
        <w:t xml:space="preserve">There are likely several likely reasons for this low response rate. In general terms, there are a several well-documented reasons why data are not made readily available, including concerns regarding participant privacy, concerns around scoping or</w:t>
      </w:r>
      <w:r>
        <w:t xml:space="preserve"> </w:t>
      </w:r>
      <w:r>
        <w:t xml:space="preserve">“</w:t>
      </w:r>
      <w:r>
        <w:t xml:space="preserve">parasitic</w:t>
      </w:r>
      <w:r>
        <w:t xml:space="preserve">”</w:t>
      </w:r>
      <w:r>
        <w:t xml:space="preserve"> </w:t>
      </w:r>
      <w:r>
        <w:t xml:space="preserve">behaviour, and a lack of trust between primary and secondary researchers.</w:t>
      </w:r>
      <w:r>
        <w:t xml:space="preserve"> </w:t>
      </w:r>
    </w:p>
    <w:p>
      <w:pPr>
        <w:pStyle w:val="BodyText"/>
      </w:pPr>
      <w:r>
        <w:t xml:space="preserve">More specific to this analysis, individual participant data meta-analysis including studies other than randomised controlled trials have less success in obtaining individual participant data from studies.</w:t>
      </w:r>
      <w:hyperlink w:anchor="ref-nevitt2017a">
        <w:r>
          <w:rPr>
            <w:rStyle w:val="Hyperlink"/>
            <w:vertAlign w:val="superscript"/>
          </w:rPr>
          <w:t xml:space="preserve">94</w:t>
        </w:r>
      </w:hyperlink>
      <w:r>
        <w:t xml:space="preserve"> </w:t>
      </w:r>
      <w:r>
        <w:t xml:space="preserve">Additionally, while no evidence is available on whether the characteristics of the researcher requesting data access influences the response rate and eventual decision, there is the possibility that my position as a PhD student meant I was less likely to elicit the response rate than a well-known professor might. The timing of the requests for data access, coinciding with a global pandemic, may also have affected the response rate as researchers prioritised other work.</w:t>
      </w:r>
    </w:p>
    <w:p>
      <w:pPr>
        <w:pStyle w:val="BodyText"/>
      </w:pPr>
      <w:r>
        <w:rPr>
          <w:iCs/>
          <w:i/>
        </w:rPr>
        <w:t xml:space="preserve">Many authors claim that their data can be made</w:t>
      </w:r>
      <w:r>
        <w:rPr>
          <w:iCs/>
          <w:i/>
        </w:rPr>
        <w:t xml:space="preserve"> </w:t>
      </w:r>
      <w:r>
        <w:rPr>
          <w:iCs/>
          <w:i/>
        </w:rPr>
        <w:t xml:space="preserve">“</w:t>
      </w:r>
      <w:r>
        <w:rPr>
          <w:iCs/>
          <w:i/>
        </w:rPr>
        <w:t xml:space="preserve">available on request</w:t>
      </w:r>
      <w:r>
        <w:rPr>
          <w:iCs/>
          <w:i/>
        </w:rPr>
        <w:t xml:space="preserve">”</w:t>
      </w:r>
      <w:r>
        <w:rPr>
          <w:iCs/>
          <w:i/>
        </w:rPr>
        <w:t xml:space="preserve">, despite previous work establishing that these statements are demonstrably untrue in the majority of cases - that when data is requested, it is not actually made available.</w:t>
      </w:r>
      <w:hyperlink w:anchor="ref-krawczyk2012">
        <w:r>
          <w:rPr>
            <w:rStyle w:val="Hyperlink"/>
            <w:vertAlign w:val="superscript"/>
            <w:iCs/>
            <w:i/>
          </w:rPr>
          <w:t xml:space="preserve">296</w:t>
        </w:r>
      </w:hyperlink>
      <w:r>
        <w:rPr>
          <w:vertAlign w:val="superscript"/>
          <w:iCs/>
          <w:i/>
        </w:rPr>
        <w:t xml:space="preserve">–</w:t>
      </w:r>
      <w:hyperlink w:anchor="ref-naudet2018">
        <w:r>
          <w:rPr>
            <w:rStyle w:val="Hyperlink"/>
            <w:vertAlign w:val="superscript"/>
            <w:iCs/>
            <w:i/>
          </w:rPr>
          <w:t xml:space="preserve">298</w:t>
        </w:r>
      </w:hyperlink>
      <w:r>
        <w:rPr>
          <w:iCs/>
          <w:i/>
        </w:rPr>
        <w:t xml:space="preserve"> </w:t>
      </w:r>
      <w:r>
        <w:rPr>
          <w:iCs/>
          <w:i/>
        </w:rPr>
        <w:t xml:space="preserve">Additionally, previous work found that the availability of data</w:t>
      </w:r>
      <w:r>
        <w:rPr>
          <w:iCs/>
          <w:i/>
        </w:rPr>
        <w:t xml:space="preserve"> </w:t>
      </w:r>
      <w:r>
        <w:rPr>
          <w:iCs/>
          <w:i/>
        </w:rPr>
        <w:t xml:space="preserve">“</w:t>
      </w:r>
      <w:r>
        <w:rPr>
          <w:iCs/>
          <w:i/>
        </w:rPr>
        <w:t xml:space="preserve">available on request</w:t>
      </w:r>
      <w:r>
        <w:rPr>
          <w:iCs/>
          <w:i/>
        </w:rPr>
        <w:t xml:space="preserve">”</w:t>
      </w:r>
      <w:r>
        <w:rPr>
          <w:iCs/>
          <w:i/>
        </w:rPr>
        <w:t xml:space="preserve"> </w:t>
      </w:r>
      <w:r>
        <w:rPr>
          <w:iCs/>
          <w:i/>
        </w:rPr>
        <w:t xml:space="preserve">declines with article age, indicating that this approach is not a valid long term option for data sharing.</w:t>
      </w:r>
      <w:hyperlink w:anchor="ref-vines2014">
        <w:r>
          <w:rPr>
            <w:rStyle w:val="Hyperlink"/>
            <w:vertAlign w:val="superscript"/>
            <w:iCs/>
            <w:i/>
          </w:rPr>
          <w:t xml:space="preserve">97</w:t>
        </w:r>
      </w:hyperlink>
      <w:r>
        <w:rPr>
          <w:iCs/>
          <w:i/>
        </w:rPr>
        <w:t xml:space="preserve"> </w:t>
      </w:r>
      <w:r>
        <w:rPr>
          <w:iCs/>
          <w:i/>
        </w:rPr>
        <w:t xml:space="preserve">Several of the included studies are greater than 10 years old, and so obtaining data from these cohorts is less likely compared with more recently published studies.</w:t>
      </w:r>
      <w:r>
        <w:t xml:space="preserve"> </w:t>
      </w:r>
    </w:p>
    <w:p>
      <w:pPr>
        <w:pStyle w:val="BodyText"/>
      </w:pPr>
      <w:r>
        <w:t xml:space="preserve">One of the reasons for this may be that the email addresses reported on publications are more likely to be out of date for older publications. Qualitatively, investigation of a subset of cohorts revealed that several corresponding/first authors were no longer at the same institution as when the study was reported, and as a result, were unlikely to have access to the institutional email address listed on the study publication.</w:t>
      </w:r>
      <w:r>
        <w:t xml:space="preserve"> </w:t>
      </w:r>
    </w:p>
    <w:p>
      <w:pPr>
        <w:pStyle w:val="BodyText"/>
      </w:pPr>
      <w:r>
        <w:t xml:space="preserve">These challenges are in theory what the DPUK was built to address. However, even with the help of the streamlined application process afforded by the DPUK, accessing sufficient data was a challenge. The response rate among DPUK cohorts a year after application was just 50%. In addition, some cohorts responded that that the proposed study question was already under investigation by another group, and that they would not share the data on this basis. In light of this, a centralised database of ongoing analysis being performed in DPUK would be of enormous help. Finally, the DPUK should more clearly distinguish between those cohorts that are</w:t>
      </w:r>
      <w:r>
        <w:t xml:space="preserve"> </w:t>
      </w:r>
      <w:r>
        <w:t xml:space="preserve">“</w:t>
      </w:r>
      <w:r>
        <w:t xml:space="preserve">DPUK native</w:t>
      </w:r>
      <w:r>
        <w:t xml:space="preserve">”</w:t>
      </w:r>
      <w:r>
        <w:t xml:space="preserve"> </w:t>
      </w:r>
      <w:r>
        <w:t xml:space="preserve">versus externally hosted, as the response time for externally hosted cohorts is likely to be much longer.</w:t>
      </w:r>
    </w:p>
    <w:p>
      <w:pPr>
        <w:pStyle w:val="BodyText"/>
      </w:pPr>
      <w:r>
        <w:t xml:space="preserve">Whether or not to press ahead with an IPD analysis in the absence of all (or even most) data is a personal decision, and some previous analyses have highlighted where they decided not to pursue an IPD study.</w:t>
      </w:r>
      <w:hyperlink w:anchor="ref-jaspers2014">
        <w:r>
          <w:rPr>
            <w:rStyle w:val="Hyperlink"/>
            <w:vertAlign w:val="superscript"/>
          </w:rPr>
          <w:t xml:space="preserve">299</w:t>
        </w:r>
      </w:hyperlink>
    </w:p>
    <w:p>
      <w:pPr>
        <w:pStyle w:val="BodyText"/>
      </w:pPr>
      <w:r>
        <w:t xml:space="preserve">For the purposes of this thesis, conducting the IPD analysis was useful as it afforded me the opportunity to gain experience in applying the methodology. In addition, it allowed me to analysed two addition previously unanalysed cohort studies which were then utilised in the triangulation study detailed in Chapter</w:t>
      </w:r>
      <w:r>
        <w:t xml:space="preserve"> </w:t>
      </w:r>
      <w:r>
        <w:t xml:space="preserve">6</w:t>
      </w:r>
      <w:r>
        <w:t xml:space="preserve">.</w:t>
      </w:r>
    </w:p>
    <w:p>
      <w:pPr>
        <w:pStyle w:val="BodyText"/>
      </w:pPr>
      <w:r>
        <w:t xml:space="preserve"> </w:t>
      </w:r>
    </w:p>
    <w:bookmarkEnd w:id="254"/>
    <w:bookmarkStart w:id="255" w:name="risk-of-bias-assessment-1"/>
    <w:p>
      <w:pPr>
        <w:pStyle w:val="Heading4"/>
      </w:pPr>
      <w:r>
        <w:t xml:space="preserve">Risk of bias assessment</w:t>
      </w:r>
    </w:p>
    <w:p>
      <w:pPr>
        <w:pStyle w:val="FirstParagraph"/>
      </w:pPr>
      <w:r>
        <w:t xml:space="preserve">There is some concerns about performing risk of bias assessments on your own analysis, and so two secondary reviewers</w:t>
      </w:r>
    </w:p>
    <w:p>
      <w:pPr>
        <w:pStyle w:val="BodyText"/>
      </w:pPr>
      <w:r>
        <w:t xml:space="preserve"> </w:t>
      </w:r>
    </w:p>
    <w:bookmarkEnd w:id="255"/>
    <w:bookmarkEnd w:id="256"/>
    <w:bookmarkStart w:id="257" w:name="strengths-1"/>
    <w:p>
      <w:pPr>
        <w:pStyle w:val="Heading3"/>
      </w:pPr>
      <w:r>
        <w:t xml:space="preserve">Strengths</w:t>
      </w:r>
    </w:p>
    <w:p>
      <w:pPr>
        <w:pStyle w:val="FirstParagraph"/>
      </w:pPr>
      <w:r>
        <w:t xml:space="preserve">While this analysis did not manage to systematically obtain and analyse a large proportion of identified data, it did enable an analysis of two previously unanalysed datasets - the CaPS study and the EPIC Norfolk study - providing additional data that is incorporated into the triangulation exercise reported in Chapter</w:t>
      </w:r>
      <w:r>
        <w:t xml:space="preserve"> </w:t>
      </w:r>
      <w:r>
        <w:t xml:space="preserve">6</w:t>
      </w:r>
      <w:r>
        <w:t xml:space="preserve">.</w:t>
      </w:r>
    </w:p>
    <w:p>
      <w:pPr>
        <w:pStyle w:val="BodyText"/>
      </w:pPr>
      <w:r>
        <w:t xml:space="preserve"> </w:t>
      </w:r>
    </w:p>
    <w:p>
      <w:pPr>
        <w:pStyle w:val="BodyText"/>
      </w:pPr>
      <w:r>
        <w:t xml:space="preserve"> </w:t>
      </w:r>
    </w:p>
    <w:bookmarkEnd w:id="257"/>
    <w:bookmarkStart w:id="258" w:name="reflections-on-the-process"/>
    <w:p>
      <w:pPr>
        <w:pStyle w:val="Heading3"/>
      </w:pPr>
      <w:r>
        <w:t xml:space="preserve">Reflections on the process</w:t>
      </w:r>
    </w:p>
    <w:p>
      <w:pPr>
        <w:pStyle w:val="FirstParagraph"/>
      </w:pPr>
      <w:r>
        <w:t xml:space="preserve">In hindsight, attempting to undertake a large-scale IPD meta-analysis as part of a larger PhD project may have been overly ambitious. Data harmonization between cohorts in an IPD analysis is an often under-appreciated challenge,</w:t>
      </w:r>
      <w:hyperlink w:anchor="ref-levis2021">
        <w:r>
          <w:rPr>
            <w:rStyle w:val="Hyperlink"/>
            <w:vertAlign w:val="superscript"/>
          </w:rPr>
          <w:t xml:space="preserve">289</w:t>
        </w:r>
      </w:hyperlink>
      <w:r>
        <w:t xml:space="preserve"> </w:t>
      </w:r>
      <w:r>
        <w:t xml:space="preserve">and in line with this, data cleaning for this analysis took substantially longer than expected.</w:t>
      </w:r>
    </w:p>
    <w:p>
      <w:pPr>
        <w:pStyle w:val="BodyText"/>
      </w:pPr>
      <w:r>
        <w:t xml:space="preserve"> </w:t>
      </w:r>
    </w:p>
    <w:bookmarkEnd w:id="258"/>
    <w:bookmarkEnd w:id="259"/>
    <w:bookmarkStart w:id="260" w:name="conclusion"/>
    <w:p>
      <w:pPr>
        <w:pStyle w:val="Heading2"/>
      </w:pPr>
      <w:r>
        <w:t xml:space="preserve">Conclusion</w:t>
      </w:r>
    </w:p>
    <w:p>
      <w:pPr>
        <w:pStyle w:val="FirstParagraph"/>
      </w:pPr>
      <w:r>
        <w:t xml:space="preserve">This analysis provided very weak evidence for an effect of lipid fractions on dementia outcomes. However, it does provide an analysis two previous unanalysed data sources that are subsequently used in Chapter</w:t>
      </w:r>
      <w:r>
        <w:t xml:space="preserve"> </w:t>
      </w:r>
      <w:r>
        <w:t xml:space="preserve">6</w:t>
      </w:r>
      <w:r>
        <w:t xml:space="preserve">.</w:t>
      </w:r>
    </w:p>
    <w:p>
      <w:r>
        <w:br w:type="page"/>
      </w:r>
    </w:p>
    <w:bookmarkEnd w:id="260"/>
    <w:bookmarkStart w:id="261" w:name="references-4"/>
    <w:p>
      <w:pPr>
        <w:pStyle w:val="Heading2"/>
      </w:pPr>
      <w:r>
        <w:t xml:space="preserve">References</w:t>
      </w:r>
    </w:p>
    <w:p>
      <w:pPr>
        <w:pStyle w:val="FirstParagraph"/>
      </w:pPr>
      <w:r>
        <w:t xml:space="preserve">— Hold — Hold</w:t>
      </w:r>
    </w:p>
    <w:p>
      <w:pPr>
        <w:pStyle w:val="BodyText"/>
      </w:pPr>
      <w:r>
        <w:t xml:space="preserve"> </w:t>
      </w:r>
    </w:p>
    <w:bookmarkEnd w:id="261"/>
    <w:bookmarkEnd w:id="262"/>
    <w:bookmarkStart w:id="286" w:name="tri-heading"/>
    <w:p>
      <w:pPr>
        <w:pStyle w:val="Heading1"/>
      </w:pPr>
      <w:r>
        <w:t xml:space="preserve">Aetiological triangulation across evidence sources</w:t>
      </w:r>
    </w:p>
    <w:p>
      <w:pPr>
        <w:pStyle w:val="FirstParagraph"/>
      </w:pPr>
    </w:p>
    <w:bookmarkStart w:id="263" w:name="lay-summary-5"/>
    <w:p>
      <w:pPr>
        <w:pStyle w:val="Heading2"/>
      </w:pPr>
      <w:r>
        <w:t xml:space="preserve">Lay Summary</w:t>
      </w:r>
    </w:p>
    <w:p>
      <w:pPr>
        <w:pStyle w:val="FirstParagraph"/>
      </w:pPr>
      <w:r>
        <w:t xml:space="preserve"> </w:t>
      </w:r>
    </w:p>
    <w:bookmarkEnd w:id="263"/>
    <w:bookmarkStart w:id="267" w:name="introduction-3"/>
    <w:p>
      <w:pPr>
        <w:pStyle w:val="Heading2"/>
      </w:pPr>
      <w:r>
        <w:t xml:space="preserve">Introduction</w:t>
      </w:r>
    </w:p>
    <w:p>
      <w:pPr>
        <w:pStyle w:val="FirstParagraph"/>
      </w:pPr>
      <w:r>
        <w:t xml:space="preserve">This chapter will attempt to triangulate the evidence identified by the systematic review in Chapter</w:t>
      </w:r>
      <w:r>
        <w:t xml:space="preserve"> </w:t>
      </w:r>
      <w:r>
        <w:t xml:space="preserve">(sys-rev-heading)</w:t>
      </w:r>
    </w:p>
    <w:bookmarkStart w:id="264" w:name="data-sources"/>
    <w:p>
      <w:pPr>
        <w:pStyle w:val="Heading3"/>
      </w:pPr>
      <w:r>
        <w:t xml:space="preserve">Data sources</w:t>
      </w:r>
    </w:p>
    <w:p>
      <w:pPr>
        <w:pStyle w:val="FirstParagraph"/>
      </w:pPr>
      <w:r>
        <w:t xml:space="preserve">This chapter builds on the comprehensive systematic review presented in CHapter @re(sys-rev-heading), and incorporates the results of the analyses presented in Chapters</w:t>
      </w:r>
      <w:r>
        <w:t xml:space="preserve"> </w:t>
      </w:r>
      <w:r>
        <w:t xml:space="preserve">??</w:t>
      </w:r>
      <w:r>
        <w:t xml:space="preserve"> </w:t>
      </w:r>
      <w:r>
        <w:t xml:space="preserve">&amp;</w:t>
      </w:r>
      <w:r>
        <w:t xml:space="preserve"> </w:t>
      </w:r>
      <w:r>
        <w:t xml:space="preserve">5</w:t>
      </w:r>
      <w:r>
        <w:t xml:space="preserve">.</w:t>
      </w:r>
    </w:p>
    <w:bookmarkEnd w:id="264"/>
    <w:bookmarkStart w:id="265" w:name="background-to-the-causal-question"/>
    <w:p>
      <w:pPr>
        <w:pStyle w:val="Heading3"/>
      </w:pPr>
      <w:r>
        <w:t xml:space="preserve">Background to the causal question</w:t>
      </w:r>
    </w:p>
    <w:p>
      <w:pPr>
        <w:pStyle w:val="FirstParagraph"/>
      </w:pPr>
      <w:r>
        <w:t xml:space="preserve">Following best practice guidance, three</w:t>
      </w:r>
    </w:p>
    <w:p>
      <w:pPr>
        <w:pStyle w:val="BodyText"/>
      </w:pPr>
      <w:r>
        <w:t xml:space="preserve">Table with columns describing exposure, outcome, timepoint, other aspects (cumulative), and</w:t>
      </w:r>
    </w:p>
    <w:p>
      <w:pPr>
        <w:pStyle w:val="BodyText"/>
      </w:pPr>
      <w:r>
        <w:t xml:space="preserve">This was also guideded by the forthcoming ROBINS-E tool, which has</w:t>
      </w:r>
    </w:p>
    <w:bookmarkEnd w:id="265"/>
    <w:bookmarkStart w:id="266" w:name="definition-of-the-causal-question"/>
    <w:p>
      <w:pPr>
        <w:pStyle w:val="Heading3"/>
      </w:pPr>
      <w:r>
        <w:t xml:space="preserve">Definition of the causal question</w:t>
      </w:r>
    </w:p>
    <w:p>
      <w:pPr>
        <w:pStyle w:val="FirstParagraph"/>
      </w:pPr>
      <w:r>
        <w:t xml:space="preserve">This chapter will consider two questions</w:t>
      </w:r>
    </w:p>
    <w:p>
      <w:pPr>
        <w:pStyle w:val="BodyText"/>
      </w:pPr>
      <w:r>
        <w:t xml:space="preserve">Firstly, an ter</w:t>
      </w:r>
    </w:p>
    <w:p>
      <w:pPr>
        <w:pStyle w:val="BodyText"/>
      </w:pPr>
      <w:r>
        <w:t xml:space="preserve">Secondly an</w:t>
      </w:r>
    </w:p>
    <w:p>
      <w:pPr>
        <w:pStyle w:val="BodyText"/>
      </w:pPr>
      <w:r>
        <w:t xml:space="preserve"> </w:t>
      </w:r>
    </w:p>
    <w:bookmarkEnd w:id="266"/>
    <w:bookmarkEnd w:id="267"/>
    <w:bookmarkStart w:id="275" w:name="terminology"/>
    <w:p>
      <w:pPr>
        <w:pStyle w:val="Heading2"/>
      </w:pPr>
      <w:r>
        <w:t xml:space="preserve">Terminology</w:t>
      </w:r>
    </w:p>
    <w:p>
      <w:pPr>
        <w:pStyle w:val="FirstParagraph"/>
      </w:pPr>
      <w:r>
        <w:t xml:space="preserve">The terminology used in describing different mechanisms by which an observed result may complicate interpretation. This section clearly defines how each are used in h</w:t>
      </w:r>
    </w:p>
    <w:p>
      <w:pPr>
        <w:pStyle w:val="BodyText"/>
      </w:pPr>
      <w:r>
        <w:t xml:space="preserve">Here, internal bias is used in terms of</w:t>
      </w:r>
    </w:p>
    <w:p>
      <w:pPr>
        <w:pStyle w:val="BodyText"/>
      </w:pPr>
      <w:r>
        <w:t xml:space="preserve">In contrast, external bias (also called indirectness, or )</w:t>
      </w:r>
    </w:p>
    <w:p>
      <w:pPr>
        <w:pStyle w:val="BodyText"/>
      </w:pPr>
      <w:r>
        <w:t xml:space="preserve">Additionally, potential biases can be additive or proportional. Pro</w:t>
      </w:r>
    </w:p>
    <w:bookmarkStart w:id="268" w:name="summary-of-triangulation"/>
    <w:p>
      <w:pPr>
        <w:pStyle w:val="Heading3"/>
      </w:pPr>
      <w:r>
        <w:t xml:space="preserve">Summary of triangulation</w:t>
      </w:r>
    </w:p>
    <w:p>
      <w:pPr>
        <w:pStyle w:val="FirstParagraph"/>
      </w:pPr>
      <w:r>
        <w:t xml:space="preserve">Need to check how much I talk about this in the introduction</w:t>
      </w:r>
    </w:p>
    <w:p>
      <w:pPr>
        <w:pStyle w:val="BodyText"/>
      </w:pPr>
      <w:r>
        <w:t xml:space="preserve">Describe in detail</w:t>
      </w:r>
    </w:p>
    <w:bookmarkEnd w:id="268"/>
    <w:bookmarkStart w:id="269" w:name="evidence-sources"/>
    <w:p>
      <w:pPr>
        <w:pStyle w:val="Heading3"/>
      </w:pPr>
      <w:r>
        <w:t xml:space="preserve">Evidence sources</w:t>
      </w:r>
    </w:p>
    <w:p>
      <w:pPr>
        <w:pStyle w:val="FirstParagraph"/>
      </w:pPr>
      <w:r>
        <w:t xml:space="preserve">As outlined in the thesis overview presented in Section</w:t>
      </w:r>
      <w:r>
        <w:t xml:space="preserve"> </w:t>
      </w:r>
      <w:r>
        <w:t xml:space="preserve">??</w:t>
      </w:r>
      <w:r>
        <w:t xml:space="preserve">, the triangulation draws on the research produced in the preceding chapters.</w:t>
      </w:r>
    </w:p>
    <w:p>
      <w:pPr>
        <w:numPr>
          <w:ilvl w:val="0"/>
          <w:numId w:val="1011"/>
        </w:numPr>
        <w:pStyle w:val="Compact"/>
      </w:pPr>
      <w:r>
        <w:t xml:space="preserve">Proposed method for this chapter</w:t>
      </w:r>
    </w:p>
    <w:p>
      <w:pPr>
        <w:numPr>
          <w:ilvl w:val="0"/>
          <w:numId w:val="1011"/>
        </w:numPr>
        <w:pStyle w:val="Compact"/>
      </w:pPr>
      <w:r>
        <w:t xml:space="preserve">Example: LDL-c at midlife on Alzheimer’s disease risk</w:t>
      </w:r>
    </w:p>
    <w:p>
      <w:pPr>
        <w:numPr>
          <w:ilvl w:val="0"/>
          <w:numId w:val="1012"/>
        </w:numPr>
      </w:pPr>
      <w:r>
        <w:t xml:space="preserve">Specific causal effect of interest using ROBINS-E framework:</w:t>
      </w:r>
      <w:r>
        <w:t xml:space="preserve"> </w:t>
      </w:r>
      <w:r>
        <w:t xml:space="preserve">• Population of interest: General population</w:t>
      </w:r>
      <w:r>
        <w:t xml:space="preserve"> </w:t>
      </w:r>
      <w:r>
        <w:t xml:space="preserve">• Exposure of interest: Low density lipoprotein cholesterol</w:t>
      </w:r>
      <w:r>
        <w:t xml:space="preserve"> </w:t>
      </w:r>
      <w:r>
        <w:t xml:space="preserve">• Exposure window of interest: Midlife (45-60)</w:t>
      </w:r>
      <w:r>
        <w:t xml:space="preserve"> </w:t>
      </w:r>
      <w:r>
        <w:t xml:space="preserve">• How exposure over time should be summarized: Cumulative exposure</w:t>
      </w:r>
    </w:p>
    <w:p>
      <w:pPr>
        <w:numPr>
          <w:ilvl w:val="0"/>
          <w:numId w:val="1012"/>
        </w:numPr>
      </w:pPr>
      <w:r>
        <w:t xml:space="preserve">Identify relevant studies from evidence base</w:t>
      </w:r>
      <w:r>
        <w:t xml:space="preserve"> </w:t>
      </w:r>
      <w:r>
        <w:t xml:space="preserve">• LDL-c assessed at midlife</w:t>
      </w:r>
      <w:r>
        <w:t xml:space="preserve"> </w:t>
      </w:r>
      <w:r>
        <w:t xml:space="preserve">• MR of LDL-c</w:t>
      </w:r>
      <w:r>
        <w:t xml:space="preserve"> </w:t>
      </w:r>
      <w:r>
        <w:t xml:space="preserve">• Statin use at midlife</w:t>
      </w:r>
    </w:p>
    <w:p>
      <w:pPr>
        <w:numPr>
          <w:ilvl w:val="0"/>
          <w:numId w:val="1012"/>
        </w:numPr>
      </w:pPr>
      <w:r>
        <w:t xml:space="preserve">Assess risk of bias in each result, define expected directions of each bias and plot</w:t>
      </w:r>
    </w:p>
    <w:p>
      <w:pPr>
        <w:numPr>
          <w:ilvl w:val="0"/>
          <w:numId w:val="1012"/>
        </w:numPr>
      </w:pPr>
      <w:r>
        <w:t xml:space="preserve">Assign additive value to each level of bias (High = 0.2, Some concerns =0.1, Low = 0), assign sign to these values based on predicted direction and sum across result</w:t>
      </w:r>
    </w:p>
    <w:p>
      <w:pPr>
        <w:numPr>
          <w:ilvl w:val="0"/>
          <w:numId w:val="1012"/>
        </w:numPr>
      </w:pPr>
      <w:r>
        <w:t xml:space="preserve">E.g. for effect estimate 0.71 (0.57-0.89):</w:t>
      </w:r>
    </w:p>
    <w:p>
      <w:pPr>
        <w:pStyle w:val="FirstParagraph"/>
      </w:pPr>
      <w:r>
        <w:t xml:space="preserve">Element D1 D2 D3 D4 D5 D6 D7 Overall</w:t>
      </w:r>
      <w:r>
        <w:t xml:space="preserve"> </w:t>
      </w:r>
      <w:r>
        <w:t xml:space="preserve">Bias High Some concerns Low Low Low Some concerns Some concerns Serious</w:t>
      </w:r>
      <w:r>
        <w:t xml:space="preserve"> </w:t>
      </w:r>
      <w:r>
        <w:t xml:space="preserve">Direction Left Away from null - - - Towards null Away from null</w:t>
      </w:r>
      <w:r>
        <w:br/>
      </w:r>
      <w:r>
        <w:t xml:space="preserve">Modifier -0.2 -0.1 0 0 0 0.1 -0.1 -0.3</w:t>
      </w:r>
    </w:p>
    <w:p>
      <w:pPr>
        <w:numPr>
          <w:ilvl w:val="0"/>
          <w:numId w:val="1013"/>
        </w:numPr>
        <w:pStyle w:val="Compact"/>
      </w:pPr>
      <w:r>
        <w:t xml:space="preserve">Assign a proportional value representing the indirectness for each result</w:t>
      </w:r>
      <w:r>
        <w:t xml:space="preserve"> </w:t>
      </w:r>
      <w:r>
        <w:t xml:space="preserve">• Statin studies would give smaller proportion (e.g. 0.7) of effect observed for generally lower lipids, as they would reduce cumulative exposure</w:t>
      </w:r>
      <w:r>
        <w:t xml:space="preserve"> </w:t>
      </w:r>
      <w:r>
        <w:t xml:space="preserve">• SNPs predict quite strongly LDL-c and so would have minimal indirectness</w:t>
      </w:r>
    </w:p>
    <w:p>
      <w:pPr>
        <w:numPr>
          <w:ilvl w:val="0"/>
          <w:numId w:val="1013"/>
        </w:numPr>
        <w:pStyle w:val="Compact"/>
      </w:pPr>
      <w:r>
        <w:t xml:space="preserve">Combine in a bias-adjusted meta-analysis</w:t>
      </w:r>
    </w:p>
    <w:bookmarkEnd w:id="269"/>
    <w:bookmarkStart w:id="270" w:name="limitations-2"/>
    <w:p>
      <w:pPr>
        <w:pStyle w:val="Heading3"/>
      </w:pPr>
      <w:r>
        <w:t xml:space="preserve">Limitations</w:t>
      </w:r>
    </w:p>
    <w:p>
      <w:pPr>
        <w:pStyle w:val="FirstParagraph"/>
      </w:pPr>
      <w:r>
        <w:t xml:space="preserve">In previous attempts at bias/indirectness-adjusted meta-analysis, the extent to each was assessed via a elictation process using a number of experts.</w:t>
      </w:r>
    </w:p>
    <w:p>
      <w:pPr>
        <w:pStyle w:val="BodyText"/>
      </w:pPr>
      <w:r>
        <w:t xml:space="preserve">Ideally, the modifying values )</w:t>
      </w:r>
    </w:p>
    <w:p>
      <w:pPr>
        <w:numPr>
          <w:ilvl w:val="0"/>
          <w:numId w:val="1014"/>
        </w:numPr>
        <w:pStyle w:val="Compact"/>
      </w:pPr>
      <w:r>
        <w:t xml:space="preserve">Ideally modifying values (both internal and external) would be based on empirical research, but in absence of this, sufficient to model multiple values (High = 0.1, Some concerns =0.05, Low = 0) and relationships (High = 0.3, Some concerns =0.1, Low = 0)?</w:t>
      </w:r>
      <w:r>
        <w:t xml:space="preserve"> </w:t>
      </w:r>
      <w:r>
        <w:t xml:space="preserve">Need range around modifying values, as total variance of the biases is added to the total variance of the studies (elicitation on scale presented above asks for range rather than single estimate</w:t>
      </w:r>
    </w:p>
    <w:bookmarkEnd w:id="270"/>
    <w:bookmarkStart w:id="271" w:name="risk-of-bias-tool"/>
    <w:p>
      <w:pPr>
        <w:pStyle w:val="Heading3"/>
      </w:pPr>
      <w:r>
        <w:t xml:space="preserve">Risk of bias tool</w:t>
      </w:r>
    </w:p>
    <w:p>
      <w:pPr>
        <w:pStyle w:val="FirstParagraph"/>
      </w:pPr>
      <w:r>
        <w:t xml:space="preserve">In addition, the tool also aim to capture the potential direction of bias for each result. Possible responses included:</w:t>
      </w:r>
      <w:r>
        <w:t xml:space="preserve"> </w:t>
      </w:r>
      <w:r>
        <w:t xml:space="preserve">“</w:t>
      </w:r>
      <w:r>
        <w:t xml:space="preserve">Favours experimental</w:t>
      </w:r>
      <w:r>
        <w:t xml:space="preserve">”</w:t>
      </w:r>
      <w:r>
        <w:t xml:space="preserve">,</w:t>
      </w:r>
      <w:r>
        <w:t xml:space="preserve"> </w:t>
      </w:r>
      <w:r>
        <w:t xml:space="preserve">“</w:t>
      </w:r>
      <w:r>
        <w:t xml:space="preserve">Favours comparator</w:t>
      </w:r>
      <w:r>
        <w:t xml:space="preserve">”</w:t>
      </w:r>
      <w:r>
        <w:t xml:space="preserve">,</w:t>
      </w:r>
      <w:r>
        <w:t xml:space="preserve"> </w:t>
      </w:r>
      <w:r>
        <w:t xml:space="preserve">“</w:t>
      </w:r>
      <w:r>
        <w:t xml:space="preserve">Towards null</w:t>
      </w:r>
      <w:r>
        <w:t xml:space="preserve">”</w:t>
      </w:r>
      <w:r>
        <w:t xml:space="preserve">,</w:t>
      </w:r>
      <w:r>
        <w:t xml:space="preserve"> </w:t>
      </w:r>
      <w:r>
        <w:t xml:space="preserve">“</w:t>
      </w:r>
      <w:r>
        <w:t xml:space="preserve">Away from null</w:t>
      </w:r>
      <w:r>
        <w:t xml:space="preserve">”</w:t>
      </w:r>
      <w:r>
        <w:t xml:space="preserve">, and</w:t>
      </w:r>
      <w:r>
        <w:t xml:space="preserve"> </w:t>
      </w:r>
      <w:r>
        <w:t xml:space="preserve">“</w:t>
      </w:r>
      <w:r>
        <w:t xml:space="preserve">Unpredictable</w:t>
      </w:r>
      <w:r>
        <w:t xml:space="preserve">”</w:t>
      </w:r>
      <w:r>
        <w:t xml:space="preserve">. Highlight that this is slightly different for the confounding domain in non-randomised studies.</w:t>
      </w:r>
    </w:p>
    <w:p>
      <w:pPr>
        <w:pStyle w:val="BodyText"/>
      </w:pPr>
      <w:r>
        <w:t xml:space="preserve">These levels only apply to existing tools, not the MR tool. However, a similar approach was employed.</w:t>
      </w:r>
    </w:p>
    <w:p>
      <w:pPr>
        <w:pStyle w:val="BodyText"/>
      </w:pPr>
      <w:r>
        <w:t xml:space="preserve">While the triangulation framework provides for inclusion of multiple distinct types of evidence, based on the scoping search, it is likely that the three main sources will be RCTs of statins, multivariable regression of prospective cohorts, and the use of genetic instruments in observational data (Mendelian Randomisation studies). One important difference between these approaches that will need to be addressed in the triangulation</w:t>
      </w:r>
      <w:r>
        <w:t xml:space="preserve"> </w:t>
      </w:r>
      <w:r>
        <w:t xml:space="preserve">is that RCTs relate to short-term modification of lipid levels, whereas Mendelian randomisation studies typically refer to lifelong exposures; and traditional observational epidemiology approaches may refer to short or longterm exposure (although are often not explicit about this). The triangulation will take these into account, for example by superimposing the studies on a hypothetical model for exposure-outcome relationship across the life course.</w:t>
      </w:r>
    </w:p>
    <w:p>
      <w:pPr>
        <w:pStyle w:val="BodyText"/>
      </w:pPr>
      <w:r>
        <w:t xml:space="preserve"> </w:t>
      </w:r>
    </w:p>
    <w:bookmarkEnd w:id="271"/>
    <w:bookmarkStart w:id="272" w:name="graphical-representation"/>
    <w:p>
      <w:pPr>
        <w:pStyle w:val="Heading3"/>
      </w:pPr>
      <w:r>
        <w:t xml:space="preserve">Graphical representation</w:t>
      </w:r>
    </w:p>
    <w:p>
      <w:pPr>
        <w:pStyle w:val="FirstParagraph"/>
      </w:pPr>
      <w:r>
        <w:t xml:space="preserve">For the graphs, the direction of bias is important.</w:t>
      </w:r>
    </w:p>
    <w:p>
      <w:pPr>
        <w:pStyle w:val="BodyText"/>
      </w:pPr>
      <w:r>
        <w:t xml:space="preserve">Where the direction of bias was unclear/could not be determined from the report, this is indicated</w:t>
      </w:r>
    </w:p>
    <w:p>
      <w:pPr>
        <w:pStyle w:val="BodyText"/>
      </w:pPr>
      <w:r>
        <w:t xml:space="preserve">In order to aid with the triangulation exercise, a new method of presentation of these results was developed to enable detailed comparison across different studies contributing to the causal question.</w:t>
      </w:r>
      <w:r>
        <w:t xml:space="preserve"> </w:t>
      </w:r>
      <w:r>
        <w:t xml:space="preserve">The level of bias in each study is reported using coloured blocks, while the predicted direction of bias in that domain, categorised as towards or away from the null, is indicated using an arrow</w:t>
      </w:r>
    </w:p>
    <w:p>
      <w:pPr>
        <w:pStyle w:val="BodyText"/>
      </w:pPr>
      <w:r>
        <w:t xml:space="preserve">Of note, a different approach was required for the confounding domains in the assesment tools used for non-randomised studies. Confounding in a study will either pull to the left or right, regardless of where the effect estimate is, while other domains will pull towards/away from the null (e.g. non-differential misclassification). In this case, the program accounted for the position of the effect estimate when assigning a directional arrow in relation to the positon of the effect estimate.</w:t>
      </w:r>
      <w:r>
        <w:t xml:space="preserve"> </w:t>
      </w:r>
      <w:r>
        <w:t xml:space="preserve">For example, see Figure @ref(), which shows an example study under the same confounding structure (protective), but with protective and harmful effect estimates. In this case, when the estimated effect is protective (Study 1), the arrow for the confounding domain indicates that the bias is pulling it away from the null. If the estimated effect is harmful, the arrow indicates that the results is being biased towards the null.</w:t>
      </w:r>
    </w:p>
    <w:p>
      <w:pPr>
        <w:pStyle w:val="BodyText"/>
      </w:pPr>
      <w:r>
        <w:t xml:space="preserve">These graphs were built using the risk of bias tool described in Appendix</w:t>
      </w:r>
      <w:r>
        <w:t xml:space="preserve"> </w:t>
      </w:r>
      <w:r>
        <w:t xml:space="preserve">()</w:t>
      </w:r>
    </w:p>
    <w:bookmarkEnd w:id="272"/>
    <w:bookmarkStart w:id="273" w:name="standardisation-across-study-designs"/>
    <w:p>
      <w:pPr>
        <w:pStyle w:val="Heading3"/>
      </w:pPr>
      <w:r>
        <w:t xml:space="preserve">Standardisation across study designs</w:t>
      </w:r>
    </w:p>
    <w:p>
      <w:pPr>
        <w:pStyle w:val="FirstParagraph"/>
      </w:pPr>
      <w:r>
        <w:t xml:space="preserve">Standardising across different measures of ex</w:t>
      </w:r>
    </w:p>
    <w:p>
      <w:pPr>
        <w:pStyle w:val="BodyText"/>
      </w:pPr>
      <w:r>
        <w:t xml:space="preserve">Want best information across lipids, and so standardised across differnt measures</w:t>
      </w:r>
    </w:p>
    <w:p>
      <w:pPr>
        <w:pStyle w:val="BodyText"/>
      </w:pPr>
      <w:r>
        <w:t xml:space="preserve">Fixing directions of effect - get everything pointing the same way</w:t>
      </w:r>
    </w:p>
    <w:bookmarkEnd w:id="273"/>
    <w:bookmarkStart w:id="274" w:name="analyses"/>
    <w:p>
      <w:pPr>
        <w:pStyle w:val="Heading3"/>
      </w:pPr>
      <w:r>
        <w:t xml:space="preserve">Analyses</w:t>
      </w:r>
    </w:p>
    <w:p>
      <w:pPr>
        <w:pStyle w:val="FirstParagraph"/>
      </w:pPr>
      <w:r>
        <w:t xml:space="preserve">Bias-adjusted meta-analysis</w:t>
      </w:r>
      <w:hyperlink w:anchor="ref-higgins2008a">
        <w:r>
          <w:rPr>
            <w:rStyle w:val="Hyperlink"/>
            <w:vertAlign w:val="superscript"/>
          </w:rPr>
          <w:t xml:space="preserve">300</w:t>
        </w:r>
      </w:hyperlink>
    </w:p>
    <w:bookmarkEnd w:id="274"/>
    <w:bookmarkEnd w:id="275"/>
    <w:bookmarkStart w:id="277" w:name="Xaed70c6bfbe9ac75ed11abe63d990e0ab7358f2"/>
    <w:p>
      <w:pPr>
        <w:pStyle w:val="Heading2"/>
      </w:pPr>
      <w:r>
        <w:t xml:space="preserve">Triangulation across exisiting evidence and evidence produced in this thesis</w:t>
      </w:r>
    </w:p>
    <w:bookmarkStart w:id="276" w:name="triangulation-overview"/>
    <w:p>
      <w:pPr>
        <w:pStyle w:val="Heading3"/>
      </w:pPr>
      <w:r>
        <w:t xml:space="preserve">Overview of triangulation</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p>
      <w:pPr>
        <w:pStyle w:val="BodyText"/>
      </w:pPr>
      <w:r>
        <w:t xml:space="preserve"> </w:t>
      </w:r>
    </w:p>
    <w:bookmarkEnd w:id="276"/>
    <w:bookmarkEnd w:id="277"/>
    <w:bookmarkStart w:id="279" w:name="Xdd879574ed7e4402680cdf12424a81de2cba061"/>
    <w:p>
      <w:pPr>
        <w:pStyle w:val="Heading2"/>
      </w:pPr>
      <w:r>
        <w:t xml:space="preserve">Qualitative vs qunatitative triangulation</w:t>
      </w:r>
    </w:p>
    <w:bookmarkStart w:id="278" w:name="researcher-positionality-statement"/>
    <w:p>
      <w:pPr>
        <w:pStyle w:val="Heading3"/>
      </w:pPr>
      <w:r>
        <w:t xml:space="preserve">Researcher positionality statement</w:t>
      </w:r>
    </w:p>
    <w:p>
      <w:pPr>
        <w:pStyle w:val="FirstParagraph"/>
      </w:pPr>
      <w:r>
        <w:t xml:space="preserve"> </w:t>
      </w:r>
    </w:p>
    <w:bookmarkEnd w:id="278"/>
    <w:bookmarkEnd w:id="279"/>
    <w:bookmarkStart w:id="280"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p>
      <w:pPr>
        <w:pStyle w:val="BodyText"/>
      </w:pPr>
      <w:r>
        <w:t xml:space="preserve"> </w:t>
      </w:r>
    </w:p>
    <w:bookmarkEnd w:id="280"/>
    <w:bookmarkStart w:id="281" w:name="X19a11de4ab8606b74b5ad332dc48f14a8936b74"/>
    <w:p>
      <w:pPr>
        <w:pStyle w:val="Heading2"/>
      </w:pPr>
      <w:r>
        <w:t xml:space="preserve">Use of concensus panel to bring everything together</w:t>
      </w:r>
    </w:p>
    <w:bookmarkEnd w:id="281"/>
    <w:bookmarkStart w:id="282" w:name="results-3"/>
    <w:p>
      <w:pPr>
        <w:pStyle w:val="Heading2"/>
      </w:pPr>
      <w:r>
        <w:t xml:space="preserve">Results</w:t>
      </w:r>
    </w:p>
    <w:p>
      <w:pPr>
        <w:pStyle w:val="FirstParagraph"/>
      </w:pPr>
      <w:r>
        <w:t xml:space="preserve">Summary of risk-of-bias/triangulation results</w:t>
      </w:r>
    </w:p>
    <w:p>
      <w:pPr>
        <w:pStyle w:val="BodyText"/>
      </w:pPr>
      <w:r>
        <w:t xml:space="preserve">Percentage of domains for which a direction of bias could be assigned?</w:t>
      </w:r>
    </w:p>
    <w:p>
      <w:pPr>
        <w:pStyle w:val="BodyText"/>
      </w:pPr>
      <w:r>
        <w:t xml:space="preserve">Compare bias-adjusted and</w:t>
      </w:r>
    </w:p>
    <w:p>
      <w:pPr>
        <w:pStyle w:val="BodyText"/>
      </w:pPr>
      <w:r>
        <w:t xml:space="preserve">See what happens if using additive (l=1,m=2,s=3,c=4) vs multiplicative/log scale (l=1,m=2,s=4,c=8). Present adjusted results and meta-analysis of adjusted results.</w:t>
      </w:r>
    </w:p>
    <w:p>
      <w:pPr>
        <w:pStyle w:val="BodyText"/>
      </w:pPr>
      <w:r>
        <w:t xml:space="preserve">Applicability/indirectness as an issue</w:t>
      </w:r>
      <w:r>
        <w:t xml:space="preserve"> </w:t>
      </w:r>
      <w:r>
        <w:t xml:space="preserve">Compare with GRADE and cite George’s example of 40% of effect predicted by MR seen when using statins for 5 years</w:t>
      </w:r>
    </w:p>
    <w:bookmarkEnd w:id="282"/>
    <w:bookmarkStart w:id="285" w:name="discussion-4"/>
    <w:p>
      <w:pPr>
        <w:pStyle w:val="Heading2"/>
      </w:pPr>
      <w:r>
        <w:t xml:space="preserve">Discussion</w:t>
      </w:r>
    </w:p>
    <w:p>
      <w:pPr>
        <w:pStyle w:val="FirstParagraph"/>
      </w:pPr>
      <w:r>
        <w:t xml:space="preserve">I hope this presents step forward in how researchers think about and visualise triangulation at the result level, rather than simply saying that certain</w:t>
      </w:r>
    </w:p>
    <w:bookmarkStart w:id="283" w:name="challenges-of-real-life-data"/>
    <w:p>
      <w:pPr>
        <w:pStyle w:val="Heading3"/>
      </w:pPr>
      <w:r>
        <w:t xml:space="preserve">Challenges of real-life data</w:t>
      </w:r>
    </w:p>
    <w:p>
      <w:pPr>
        <w:pStyle w:val="FirstParagraph"/>
      </w:pPr>
      <w:r>
        <w:t xml:space="preserve">Compare and contrast with the nice example presented in the triangulation paper - realities of non-exemplars is that it is very hard to get this right. ALso highlight the issue with assigning a direct of bias in many studies</w:t>
      </w:r>
    </w:p>
    <w:bookmarkEnd w:id="283"/>
    <w:bookmarkStart w:id="284" w:name="need-for-new-methods"/>
    <w:p>
      <w:pPr>
        <w:pStyle w:val="Heading3"/>
      </w:pPr>
      <w:r>
        <w:t xml:space="preserve">Need for new methods</w:t>
      </w:r>
    </w:p>
    <w:p>
      <w:pPr>
        <w:pStyle w:val="FirstParagraph"/>
      </w:pPr>
      <w:r>
        <w:t xml:space="preserve">Can I suggest any empirical studies that need to be performed? Average strength of immortal time bias/etc?</w:t>
      </w:r>
    </w:p>
    <w:p>
      <w:pPr>
        <w:pStyle w:val="BodyText"/>
      </w:pPr>
      <w:r>
        <w:t xml:space="preserve">— Hold — Hold</w:t>
      </w:r>
    </w:p>
    <w:bookmarkEnd w:id="284"/>
    <w:bookmarkEnd w:id="285"/>
    <w:bookmarkEnd w:id="286"/>
    <w:bookmarkStart w:id="318" w:name="discussion-heading"/>
    <w:p>
      <w:pPr>
        <w:pStyle w:val="Heading1"/>
      </w:pPr>
      <w:r>
        <w:t xml:space="preserve">Discussion</w:t>
      </w:r>
    </w:p>
    <w:p>
      <w:pPr>
        <w:pStyle w:val="FirstParagraph"/>
      </w:pPr>
    </w:p>
    <w:p>
      <w:pPr>
        <w:pStyle w:val="BodyText"/>
      </w:pPr>
      <w:r>
        <w:t xml:space="preserve"> </w:t>
      </w:r>
    </w:p>
    <w:bookmarkStart w:id="307" w:name="summary-of-findings-by-chapter"/>
    <w:p>
      <w:pPr>
        <w:pStyle w:val="Heading2"/>
      </w:pPr>
      <w:r>
        <w:t xml:space="preserve">Summary of findings (by chapter)</w:t>
      </w:r>
    </w:p>
    <w:bookmarkStart w:id="291" w:name="systematic-review-1"/>
    <w:p>
      <w:pPr>
        <w:pStyle w:val="Heading3"/>
      </w:pPr>
      <w:r>
        <w:t xml:space="preserve">Systematic review</w:t>
      </w:r>
    </w:p>
    <w:bookmarkStart w:id="287" w:name="principal-findings"/>
    <w:p>
      <w:pPr>
        <w:pStyle w:val="Heading4"/>
      </w:pPr>
      <w:r>
        <w:t xml:space="preserve">Principal findings</w:t>
      </w:r>
    </w:p>
    <w:bookmarkEnd w:id="287"/>
    <w:bookmarkStart w:id="288" w:name="comparison-with-existing-literature"/>
    <w:p>
      <w:pPr>
        <w:pStyle w:val="Heading4"/>
      </w:pPr>
      <w:r>
        <w:t xml:space="preserve">Comparison with existing literature</w:t>
      </w:r>
    </w:p>
    <w:bookmarkEnd w:id="288"/>
    <w:bookmarkStart w:id="289" w:name="strenghts-and-limitations"/>
    <w:p>
      <w:pPr>
        <w:pStyle w:val="Heading4"/>
      </w:pPr>
      <w:r>
        <w:t xml:space="preserve">Strenghts and limitations</w:t>
      </w:r>
    </w:p>
    <w:bookmarkEnd w:id="289"/>
    <w:bookmarkStart w:id="290" w:name="implications-of-this-research"/>
    <w:p>
      <w:pPr>
        <w:pStyle w:val="Heading4"/>
      </w:pPr>
      <w:r>
        <w:t xml:space="preserve">Implications of this research</w:t>
      </w:r>
    </w:p>
    <w:bookmarkEnd w:id="290"/>
    <w:bookmarkEnd w:id="291"/>
    <w:bookmarkStart w:id="296" w:name="cprd-1"/>
    <w:p>
      <w:pPr>
        <w:pStyle w:val="Heading3"/>
      </w:pPr>
      <w:r>
        <w:t xml:space="preserve">CPRD</w:t>
      </w:r>
    </w:p>
    <w:bookmarkStart w:id="292" w:name="principal-findings-1"/>
    <w:p>
      <w:pPr>
        <w:pStyle w:val="Heading4"/>
      </w:pPr>
      <w:r>
        <w:t xml:space="preserve">Principal findings</w:t>
      </w:r>
    </w:p>
    <w:bookmarkEnd w:id="292"/>
    <w:bookmarkStart w:id="293" w:name="comparison-with-existing-literature-1"/>
    <w:p>
      <w:pPr>
        <w:pStyle w:val="Heading4"/>
      </w:pPr>
      <w:r>
        <w:t xml:space="preserve">Comparison with existing literature</w:t>
      </w:r>
    </w:p>
    <w:bookmarkEnd w:id="293"/>
    <w:bookmarkStart w:id="294" w:name="strenghts-and-limitations-1"/>
    <w:p>
      <w:pPr>
        <w:pStyle w:val="Heading4"/>
      </w:pPr>
      <w:r>
        <w:t xml:space="preserve">Strenghts and limitations</w:t>
      </w:r>
    </w:p>
    <w:bookmarkEnd w:id="294"/>
    <w:bookmarkStart w:id="295" w:name="implications-of-this-research-1"/>
    <w:p>
      <w:pPr>
        <w:pStyle w:val="Heading4"/>
      </w:pPr>
      <w:r>
        <w:t xml:space="preserve">Implications of this research</w:t>
      </w:r>
    </w:p>
    <w:bookmarkEnd w:id="295"/>
    <w:bookmarkEnd w:id="296"/>
    <w:bookmarkStart w:id="301" w:name="X5fe8fd9daa9214f38c9e7971b3862db7495db5d"/>
    <w:p>
      <w:pPr>
        <w:pStyle w:val="Heading3"/>
      </w:pPr>
      <w:r>
        <w:t xml:space="preserve">Individual participant data meta-analysis</w:t>
      </w:r>
    </w:p>
    <w:bookmarkStart w:id="297" w:name="principal-findings-2"/>
    <w:p>
      <w:pPr>
        <w:pStyle w:val="Heading4"/>
      </w:pPr>
      <w:r>
        <w:t xml:space="preserve">Principal findings</w:t>
      </w:r>
    </w:p>
    <w:bookmarkEnd w:id="297"/>
    <w:bookmarkStart w:id="298" w:name="comparison-with-existing-literature-2"/>
    <w:p>
      <w:pPr>
        <w:pStyle w:val="Heading4"/>
      </w:pPr>
      <w:r>
        <w:t xml:space="preserve">Comparison with existing literature</w:t>
      </w:r>
    </w:p>
    <w:bookmarkEnd w:id="298"/>
    <w:bookmarkStart w:id="299" w:name="strenghts-and-limitations-2"/>
    <w:p>
      <w:pPr>
        <w:pStyle w:val="Heading4"/>
      </w:pPr>
      <w:r>
        <w:t xml:space="preserve">Strenghts and limitations</w:t>
      </w:r>
    </w:p>
    <w:bookmarkEnd w:id="299"/>
    <w:bookmarkStart w:id="300" w:name="implications-of-this-research-2"/>
    <w:p>
      <w:pPr>
        <w:pStyle w:val="Heading4"/>
      </w:pPr>
      <w:r>
        <w:t xml:space="preserve">Implications of this research</w:t>
      </w:r>
    </w:p>
    <w:bookmarkEnd w:id="300"/>
    <w:bookmarkEnd w:id="301"/>
    <w:bookmarkStart w:id="306" w:name="triangulation"/>
    <w:p>
      <w:pPr>
        <w:pStyle w:val="Heading3"/>
      </w:pPr>
      <w:r>
        <w:t xml:space="preserve">Triangulation</w:t>
      </w:r>
    </w:p>
    <w:bookmarkStart w:id="302" w:name="principal-findings-3"/>
    <w:p>
      <w:pPr>
        <w:pStyle w:val="Heading4"/>
      </w:pPr>
      <w:r>
        <w:t xml:space="preserve">Principal findings</w:t>
      </w:r>
    </w:p>
    <w:bookmarkEnd w:id="302"/>
    <w:bookmarkStart w:id="303" w:name="comparison-with-existing-literature-3"/>
    <w:p>
      <w:pPr>
        <w:pStyle w:val="Heading4"/>
      </w:pPr>
      <w:r>
        <w:t xml:space="preserve">Comparison with existing literature</w:t>
      </w:r>
    </w:p>
    <w:bookmarkEnd w:id="303"/>
    <w:bookmarkStart w:id="304" w:name="strenghts-and-limitations-3"/>
    <w:p>
      <w:pPr>
        <w:pStyle w:val="Heading4"/>
      </w:pPr>
      <w:r>
        <w:t xml:space="preserve">Strenghts and limitations</w:t>
      </w:r>
    </w:p>
    <w:bookmarkEnd w:id="304"/>
    <w:bookmarkStart w:id="305" w:name="implications-of-this-research-3"/>
    <w:p>
      <w:pPr>
        <w:pStyle w:val="Heading4"/>
      </w:pPr>
      <w:r>
        <w:t xml:space="preserve">Implications of this research</w:t>
      </w:r>
    </w:p>
    <w:bookmarkEnd w:id="305"/>
    <w:bookmarkEnd w:id="306"/>
    <w:bookmarkEnd w:id="307"/>
    <w:bookmarkStart w:id="308" w:name="overall-strengths-and-limitations"/>
    <w:p>
      <w:pPr>
        <w:pStyle w:val="Heading2"/>
      </w:pPr>
      <w:r>
        <w:t xml:space="preserve">Overall strengths and limitations</w:t>
      </w:r>
    </w:p>
    <w:bookmarkEnd w:id="308"/>
    <w:bookmarkStart w:id="311" w:name="implications"/>
    <w:p>
      <w:pPr>
        <w:pStyle w:val="Heading2"/>
      </w:pPr>
      <w:r>
        <w:t xml:space="preserve">Implications</w:t>
      </w:r>
    </w:p>
    <w:bookmarkStart w:id="309" w:name="clinical-practice"/>
    <w:p>
      <w:pPr>
        <w:pStyle w:val="Heading3"/>
      </w:pPr>
      <w:r>
        <w:t xml:space="preserve">Clinical practice</w:t>
      </w:r>
    </w:p>
    <w:bookmarkEnd w:id="309"/>
    <w:bookmarkStart w:id="310" w:name="future-research"/>
    <w:p>
      <w:pPr>
        <w:pStyle w:val="Heading3"/>
      </w:pPr>
      <w:r>
        <w:t xml:space="preserve">Future research</w:t>
      </w:r>
    </w:p>
    <w:bookmarkEnd w:id="310"/>
    <w:bookmarkEnd w:id="311"/>
    <w:bookmarkStart w:id="313" w:name="conclusions-2"/>
    <w:p>
      <w:pPr>
        <w:pStyle w:val="Heading2"/>
      </w:pPr>
      <w:r>
        <w:t xml:space="preserve">Conclusions</w:t>
      </w:r>
    </w:p>
    <w:p>
      <w:pPr>
        <w:pStyle w:val="FirstParagraph"/>
      </w:pPr>
      <w:r>
        <w:t xml:space="preserve"> </w:t>
      </w:r>
    </w:p>
    <w:bookmarkStart w:id="312" w:name="strengths-and-limitations-2"/>
    <w:p>
      <w:pPr>
        <w:pStyle w:val="Heading3"/>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301</w:t>
        </w:r>
      </w:hyperlink>
    </w:p>
    <w:p>
      <w:pPr>
        <w:pStyle w:val="BodyText"/>
      </w:pPr>
      <w:r>
        <w:t xml:space="preserve"> </w:t>
      </w:r>
      <w:r>
        <w:t xml:space="preserve"> </w:t>
      </w:r>
    </w:p>
    <w:bookmarkEnd w:id="312"/>
    <w:bookmarkEnd w:id="313"/>
    <w:bookmarkStart w:id="314"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bookmarkEnd w:id="314"/>
    <w:bookmarkStart w:id="315"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p>
      <w:pPr>
        <w:pStyle w:val="BodyText"/>
      </w:pPr>
      <w:r>
        <w:t xml:space="preserve"> </w:t>
      </w:r>
      <w:r>
        <w:t xml:space="preserve"> </w:t>
      </w:r>
    </w:p>
    <w:bookmarkEnd w:id="315"/>
    <w:bookmarkStart w:id="316" w:name="future-work"/>
    <w:p>
      <w:pPr>
        <w:pStyle w:val="Heading2"/>
      </w:pPr>
      <w:r>
        <w:t xml:space="preserve">Future work</w:t>
      </w:r>
    </w:p>
    <w:p>
      <w:pPr>
        <w:pStyle w:val="FirstParagraph"/>
      </w:pPr>
      <w:r>
        <w:t xml:space="preserve">Recommend future large scale GWAS of other dementia outcomes, notably vascular dementia, or the use of existing GWAS to</w:t>
      </w:r>
      <w:r>
        <w:t xml:space="preserve"> </w:t>
      </w:r>
    </w:p>
    <w:p>
      <w:pPr>
        <w:pStyle w:val="BodyText"/>
      </w:pPr>
      <w:r>
        <w:t xml:space="preserve"> </w:t>
      </w:r>
      <w:r>
        <w:t xml:space="preserve"> </w:t>
      </w:r>
    </w:p>
    <w:bookmarkEnd w:id="316"/>
    <w:bookmarkStart w:id="317" w:name="overall-conclusions"/>
    <w:p>
      <w:pPr>
        <w:pStyle w:val="Heading2"/>
      </w:pPr>
      <w:r>
        <w:t xml:space="preserve">Overall conclusions</w:t>
      </w:r>
    </w:p>
    <w:bookmarkEnd w:id="317"/>
    <w:bookmarkEnd w:id="318"/>
    <w:bookmarkStart w:id="319" w:name="bibliography"/>
    <w:p>
      <w:pPr>
        <w:pStyle w:val="Heading1"/>
      </w:pPr>
      <w:r>
        <w:t xml:space="preserve">Bibliography</w:t>
      </w:r>
    </w:p>
    <w:bookmarkEnd w:id="319"/>
    <w:bookmarkStart w:id="644" w:name="bibliography-1"/>
    <w:p>
      <w:pPr>
        <w:pStyle w:val="Heading1"/>
      </w:pPr>
      <w:r>
        <w:t xml:space="preserve">Bibliography</w:t>
      </w:r>
    </w:p>
    <w:bookmarkStart w:id="643" w:name="refs"/>
    <w:bookmarkStart w:id="320"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320"/>
    <w:bookmarkStart w:id="321"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321"/>
    <w:bookmarkStart w:id="322"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322"/>
    <w:bookmarkStart w:id="323"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323"/>
    <w:bookmarkStart w:id="324"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324"/>
    <w:bookmarkStart w:id="325"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325"/>
    <w:bookmarkStart w:id="326"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326"/>
    <w:bookmarkStart w:id="327"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327"/>
    <w:bookmarkStart w:id="328"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328"/>
    <w:bookmarkStart w:id="329"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329"/>
    <w:bookmarkStart w:id="330"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330"/>
    <w:bookmarkStart w:id="331"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331"/>
    <w:bookmarkStart w:id="332"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332"/>
    <w:bookmarkStart w:id="333"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333"/>
    <w:bookmarkStart w:id="334"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334"/>
    <w:bookmarkStart w:id="335"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335"/>
    <w:bookmarkStart w:id="337"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336">
        <w:r>
          <w:rPr>
            <w:rStyle w:val="Hyperlink"/>
          </w:rPr>
          <w:t xml:space="preserve">10.1016/j.neuropharm.2020.108352</w:t>
        </w:r>
      </w:hyperlink>
    </w:p>
    <w:bookmarkEnd w:id="337"/>
    <w:bookmarkStart w:id="338"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338"/>
    <w:bookmarkStart w:id="339"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339"/>
    <w:bookmarkStart w:id="340"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340"/>
    <w:bookmarkStart w:id="341" w:name="ref-anstey2019"/>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341"/>
    <w:bookmarkStart w:id="342"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342"/>
    <w:bookmarkStart w:id="343"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343"/>
    <w:bookmarkStart w:id="344"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344"/>
    <w:bookmarkStart w:id="345"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345"/>
    <w:bookmarkStart w:id="346"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346"/>
    <w:bookmarkStart w:id="347"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347"/>
    <w:bookmarkStart w:id="348"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348"/>
    <w:bookmarkStart w:id="349"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49"/>
    <w:bookmarkStart w:id="350"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50"/>
    <w:bookmarkStart w:id="351"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351"/>
    <w:bookmarkStart w:id="352"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352"/>
    <w:bookmarkStart w:id="353"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353"/>
    <w:bookmarkStart w:id="354"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354"/>
    <w:bookmarkStart w:id="355"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355"/>
    <w:bookmarkStart w:id="356"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356"/>
    <w:bookmarkStart w:id="357"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357"/>
    <w:bookmarkStart w:id="358"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358"/>
    <w:bookmarkStart w:id="359"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359"/>
    <w:bookmarkStart w:id="360"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360"/>
    <w:bookmarkStart w:id="361"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361"/>
    <w:bookmarkStart w:id="362"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362"/>
    <w:bookmarkStart w:id="363"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63"/>
    <w:bookmarkStart w:id="364"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64"/>
    <w:bookmarkStart w:id="365"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65"/>
    <w:bookmarkStart w:id="366"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66"/>
    <w:bookmarkStart w:id="367"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67"/>
    <w:bookmarkStart w:id="368"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68"/>
    <w:bookmarkStart w:id="369" w:name="ref-li2005a"/>
    <w:p>
      <w:pPr>
        <w:pStyle w:val="Bibliography"/>
      </w:pPr>
      <w:r>
        <w:t xml:space="preserve">49.</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369"/>
    <w:bookmarkStart w:id="370" w:name="ref-mainous2005"/>
    <w:p>
      <w:pPr>
        <w:pStyle w:val="Bibliography"/>
      </w:pPr>
      <w:r>
        <w:t xml:space="preserve">50.</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70"/>
    <w:bookmarkStart w:id="371" w:name="ref-mielke2010"/>
    <w:p>
      <w:pPr>
        <w:pStyle w:val="Bibliography"/>
      </w:pPr>
      <w:r>
        <w:t xml:space="preserve">51.</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71"/>
    <w:bookmarkStart w:id="372" w:name="ref-tan2003a"/>
    <w:p>
      <w:pPr>
        <w:pStyle w:val="Bibliography"/>
      </w:pPr>
      <w:r>
        <w:t xml:space="preserve">52.</w:t>
      </w:r>
      <w:r>
        <w:t xml:space="preserve"> </w:t>
      </w:r>
      <w:r>
        <w:t xml:space="preserve">	</w:t>
      </w:r>
      <w:r>
        <w:t xml:space="preserve">Tan, Z. S.</w:t>
      </w:r>
      <w:r>
        <w:t xml:space="preserve"> </w:t>
      </w:r>
      <w:r>
        <w:rPr>
          <w:iCs/>
          <w:i/>
        </w:rPr>
        <w:t xml:space="preserve">et al.</w:t>
      </w:r>
      <w:r>
        <w:t xml:space="preserve"> Plasma total cholesterol level as a risk factor for</w:t>
      </w:r>
      <w:r>
        <w:t xml:space="preserve"> </w:t>
      </w:r>
      <w:r>
        <w:t xml:space="preserve">Alzheimer</w:t>
      </w:r>
      <w:r>
        <w:t xml:space="preserve"> </w:t>
      </w:r>
      <w:r>
        <w:t xml:space="preserve">disease -</w:t>
      </w:r>
      <w:r>
        <w:t xml:space="preserve"> </w:t>
      </w:r>
      <w:r>
        <w:t xml:space="preserve">The Framingham</w:t>
      </w:r>
      <w:r>
        <w:t xml:space="preserve"> </w:t>
      </w:r>
      <w:r>
        <w:t xml:space="preserve">study.</w:t>
      </w:r>
      <w:r>
        <w:t xml:space="preserve"> </w:t>
      </w:r>
      <w:r>
        <w:rPr>
          <w:iCs/>
          <w:i/>
        </w:rPr>
        <w:t xml:space="preserve">Archives of Internal Medicine</w:t>
      </w:r>
      <w:r>
        <w:t xml:space="preserve"> </w:t>
      </w:r>
      <w:r>
        <w:rPr>
          <w:bCs/>
          <w:b/>
        </w:rPr>
        <w:t xml:space="preserve">163</w:t>
      </w:r>
      <w:r>
        <w:t xml:space="preserve">, 1053–+ (2003).</w:t>
      </w:r>
    </w:p>
    <w:bookmarkEnd w:id="372"/>
    <w:bookmarkStart w:id="373" w:name="ref-mielke2005"/>
    <w:p>
      <w:pPr>
        <w:pStyle w:val="Bibliography"/>
      </w:pPr>
      <w:r>
        <w:t xml:space="preserve">53.</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373"/>
    <w:bookmarkStart w:id="374" w:name="ref-reitz2004a"/>
    <w:p>
      <w:pPr>
        <w:pStyle w:val="Bibliography"/>
      </w:pPr>
      <w:r>
        <w:t xml:space="preserve">54.</w:t>
      </w:r>
      <w:r>
        <w:t xml:space="preserve"> </w:t>
      </w:r>
      <w:r>
        <w:t xml:space="preserve">	</w:t>
      </w:r>
      <w:r>
        <w:t xml:space="preserve">Reitz, C., Tang, M. 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374"/>
    <w:bookmarkStart w:id="375" w:name="ref-moroney1999"/>
    <w:p>
      <w:pPr>
        <w:pStyle w:val="Bibliography"/>
      </w:pPr>
      <w:r>
        <w:t xml:space="preserve">55.</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375"/>
    <w:bookmarkStart w:id="376" w:name="ref-anstey2015"/>
    <w:p>
      <w:pPr>
        <w:pStyle w:val="Bibliography"/>
      </w:pPr>
      <w:r>
        <w:t xml:space="preserve">56.</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 (2015).</w:t>
      </w:r>
    </w:p>
    <w:bookmarkEnd w:id="376"/>
    <w:bookmarkStart w:id="377" w:name="ref-chu2018"/>
    <w:p>
      <w:pPr>
        <w:pStyle w:val="Bibliography"/>
      </w:pPr>
      <w:r>
        <w:t xml:space="preserve">57.</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77"/>
    <w:bookmarkStart w:id="378" w:name="ref-ritchie2015"/>
    <w:p>
      <w:pPr>
        <w:pStyle w:val="Bibliography"/>
      </w:pPr>
      <w:r>
        <w:t xml:space="preserve">58.</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378"/>
    <w:bookmarkStart w:id="379" w:name="ref-trompet2010"/>
    <w:p>
      <w:pPr>
        <w:pStyle w:val="Bibliography"/>
      </w:pPr>
      <w:r>
        <w:t xml:space="preserve">59.</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79"/>
    <w:bookmarkStart w:id="380" w:name="ref-daveysmith2014"/>
    <w:p>
      <w:pPr>
        <w:pStyle w:val="Bibliography"/>
      </w:pPr>
      <w:r>
        <w:t xml:space="preserve">60.</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380"/>
    <w:bookmarkStart w:id="381" w:name="ref-greenland2000"/>
    <w:p>
      <w:pPr>
        <w:pStyle w:val="Bibliography"/>
      </w:pPr>
      <w:r>
        <w:t xml:space="preserve">61.</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381"/>
    <w:bookmarkStart w:id="382" w:name="ref-davies2018"/>
    <w:p>
      <w:pPr>
        <w:pStyle w:val="Bibliography"/>
      </w:pPr>
      <w:r>
        <w:t xml:space="preserve">62.</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382"/>
    <w:bookmarkStart w:id="383" w:name="ref-larsson2017c"/>
    <w:p>
      <w:pPr>
        <w:pStyle w:val="Bibliography"/>
      </w:pPr>
      <w:r>
        <w:t xml:space="preserve">63.</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83"/>
    <w:bookmarkStart w:id="384" w:name="ref-ostergaard2015"/>
    <w:p>
      <w:pPr>
        <w:pStyle w:val="Bibliography"/>
      </w:pPr>
      <w:r>
        <w:t xml:space="preserve">64.</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384"/>
    <w:bookmarkStart w:id="385" w:name="ref-kim2009"/>
    <w:p>
      <w:pPr>
        <w:pStyle w:val="Bibliography"/>
      </w:pPr>
      <w:r>
        <w:t xml:space="preserve">65.</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385"/>
    <w:bookmarkStart w:id="386" w:name="ref-benn2017"/>
    <w:p>
      <w:pPr>
        <w:pStyle w:val="Bibliography"/>
      </w:pPr>
      <w:r>
        <w:t xml:space="preserve">66.</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386"/>
    <w:bookmarkStart w:id="387" w:name="ref-donnelly2018a"/>
    <w:p>
      <w:pPr>
        <w:pStyle w:val="Bibliography"/>
      </w:pPr>
      <w:r>
        <w:t xml:space="preserve">67.</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387"/>
    <w:bookmarkStart w:id="388" w:name="ref-chandler2019chapter"/>
    <w:p>
      <w:pPr>
        <w:pStyle w:val="Bibliography"/>
      </w:pPr>
      <w:r>
        <w:t xml:space="preserve">68.</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388"/>
    <w:bookmarkStart w:id="389" w:name="ref-conn2003"/>
    <w:p>
      <w:pPr>
        <w:pStyle w:val="Bibliography"/>
      </w:pPr>
      <w:r>
        <w:t xml:space="preserve">69.</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389"/>
    <w:bookmarkStart w:id="390" w:name="ref-mcauley2000"/>
    <w:p>
      <w:pPr>
        <w:pStyle w:val="Bibliography"/>
      </w:pPr>
      <w:r>
        <w:t xml:space="preserve">70.</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390"/>
    <w:bookmarkStart w:id="392" w:name="ref-hopewell2007"/>
    <w:p>
      <w:pPr>
        <w:pStyle w:val="Bibliography"/>
      </w:pPr>
      <w:r>
        <w:t xml:space="preserve">71.</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391">
        <w:r>
          <w:rPr>
            <w:rStyle w:val="Hyperlink"/>
          </w:rPr>
          <w:t xml:space="preserve">10.1002/14651858.MR000010.pub3</w:t>
        </w:r>
      </w:hyperlink>
    </w:p>
    <w:bookmarkEnd w:id="392"/>
    <w:bookmarkStart w:id="393" w:name="ref-lefebvre2019searching"/>
    <w:p>
      <w:pPr>
        <w:pStyle w:val="Bibliography"/>
      </w:pPr>
      <w:r>
        <w:t xml:space="preserve">72.</w:t>
      </w:r>
      <w:r>
        <w:t xml:space="preserve"> </w:t>
      </w:r>
      <w:r>
        <w:t xml:space="preserve">	</w:t>
      </w:r>
      <w:r>
        <w:t xml:space="preserve">Lefebvre, C.</w:t>
      </w:r>
      <w:r>
        <w:t xml:space="preserve"> </w:t>
      </w:r>
      <w:r>
        <w:rPr>
          <w:iCs/>
          <w:i/>
        </w:rPr>
        <w:t xml:space="preserve">et al.</w:t>
      </w:r>
      <w:r>
        <w:t xml:space="preserve"> Chapter 4:</w:t>
      </w:r>
      <w:r>
        <w:t xml:space="preserve"> </w:t>
      </w:r>
      <w:r>
        <w:t xml:space="preserve">Searching</w:t>
      </w:r>
      <w:r>
        <w:t xml:space="preserve"> </w:t>
      </w:r>
      <w:r>
        <w:t xml:space="preserve">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393"/>
    <w:bookmarkStart w:id="394" w:name="ref-committeeonpublicationethicscope2018"/>
    <w:p>
      <w:pPr>
        <w:pStyle w:val="Bibliography"/>
      </w:pPr>
      <w:r>
        <w:t xml:space="preserve">73.</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394"/>
    <w:bookmarkStart w:id="395" w:name="ref-vale2016"/>
    <w:p>
      <w:pPr>
        <w:pStyle w:val="Bibliography"/>
      </w:pPr>
      <w:r>
        <w:t xml:space="preserve">74.</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395"/>
    <w:bookmarkStart w:id="397" w:name="ref-fraser2020preprinting"/>
    <w:p>
      <w:pPr>
        <w:pStyle w:val="Bibliography"/>
      </w:pPr>
      <w:r>
        <w:t xml:space="preserve">75.</w:t>
      </w:r>
      <w:r>
        <w:t xml:space="preserve"> </w:t>
      </w:r>
      <w:r>
        <w:t xml:space="preserve">	</w:t>
      </w:r>
      <w:r>
        <w:t xml:space="preserve">Fraser, N.</w:t>
      </w:r>
      <w:r>
        <w:t xml:space="preserve"> </w:t>
      </w:r>
      <w:r>
        <w:rPr>
          <w:iCs/>
          <w:i/>
        </w:rPr>
        <w:t xml:space="preserve">et al.</w:t>
      </w:r>
      <w:r>
        <w:t xml:space="preserve"> Preprinting a pandemic: The role of preprints in the</w:t>
      </w:r>
      <w:r>
        <w:t xml:space="preserve"> </w:t>
      </w:r>
      <w:r>
        <w:t xml:space="preserve">COVID</w:t>
      </w:r>
      <w:r>
        <w:t xml:space="preserve">-19 pandemic.</w:t>
      </w:r>
      <w:r>
        <w:t xml:space="preserve"> </w:t>
      </w:r>
      <w:r>
        <w:rPr>
          <w:iCs/>
          <w:i/>
        </w:rPr>
        <w:t xml:space="preserve">bioRxiv</w:t>
      </w:r>
      <w:r>
        <w:t xml:space="preserve"> </w:t>
      </w:r>
      <w:r>
        <w:t xml:space="preserve">2020.05.22.111294 (2020). doi:</w:t>
      </w:r>
      <w:hyperlink r:id="rId396">
        <w:r>
          <w:rPr>
            <w:rStyle w:val="Hyperlink"/>
          </w:rPr>
          <w:t xml:space="preserve">10.1101/2020.05.22.111294</w:t>
        </w:r>
      </w:hyperlink>
    </w:p>
    <w:bookmarkEnd w:id="397"/>
    <w:bookmarkStart w:id="398" w:name="ref-rosenthal1979"/>
    <w:p>
      <w:pPr>
        <w:pStyle w:val="Bibliography"/>
      </w:pPr>
      <w:r>
        <w:t xml:space="preserve">76.</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398"/>
    <w:bookmarkStart w:id="399" w:name="ref-maslove2018"/>
    <w:p>
      <w:pPr>
        <w:pStyle w:val="Bibliography"/>
      </w:pPr>
      <w:r>
        <w:t xml:space="preserve">77.</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399"/>
    <w:bookmarkStart w:id="400" w:name="ref-schalkwyk2020"/>
    <w:p>
      <w:pPr>
        <w:pStyle w:val="Bibliography"/>
      </w:pPr>
      <w:r>
        <w:t xml:space="preserve">78.</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400"/>
    <w:bookmarkStart w:id="401" w:name="ref-mahood2014"/>
    <w:p>
      <w:pPr>
        <w:pStyle w:val="Bibliography"/>
      </w:pPr>
      <w:r>
        <w:t xml:space="preserve">79.</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401"/>
    <w:bookmarkStart w:id="402" w:name="ref-klein2019"/>
    <w:p>
      <w:pPr>
        <w:pStyle w:val="Bibliography"/>
      </w:pPr>
      <w:r>
        <w:t xml:space="preserve">80.</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402"/>
    <w:bookmarkStart w:id="404" w:name="ref-nicholson2021"/>
    <w:p>
      <w:pPr>
        <w:pStyle w:val="Bibliography"/>
      </w:pPr>
      <w:r>
        <w:t xml:space="preserve">81.</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403">
        <w:r>
          <w:rPr>
            <w:rStyle w:val="Hyperlink"/>
          </w:rPr>
          <w:t xml:space="preserve">10.1101/2021.03.04.433874</w:t>
        </w:r>
      </w:hyperlink>
    </w:p>
    <w:bookmarkEnd w:id="404"/>
    <w:bookmarkStart w:id="405" w:name="ref-munafo2018"/>
    <w:p>
      <w:pPr>
        <w:pStyle w:val="Bibliography"/>
      </w:pPr>
      <w:r>
        <w:t xml:space="preserve">82.</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405"/>
    <w:bookmarkStart w:id="406" w:name="ref-page2021"/>
    <w:p>
      <w:pPr>
        <w:pStyle w:val="Bibliography"/>
      </w:pPr>
      <w:r>
        <w:t xml:space="preserve">83.</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406"/>
    <w:bookmarkStart w:id="407" w:name="ref-mcguinness2018"/>
    <w:p>
      <w:pPr>
        <w:pStyle w:val="Bibliography"/>
      </w:pPr>
      <w:r>
        <w:t xml:space="preserve">84.</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407"/>
    <w:bookmarkStart w:id="408" w:name="ref-riley2010"/>
    <w:p>
      <w:pPr>
        <w:pStyle w:val="Bibliography"/>
      </w:pPr>
      <w:r>
        <w:t xml:space="preserve">85.</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408"/>
    <w:bookmarkStart w:id="409" w:name="ref-stewart1993"/>
    <w:p>
      <w:pPr>
        <w:pStyle w:val="Bibliography"/>
      </w:pPr>
      <w:r>
        <w:t xml:space="preserve">86.</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409"/>
    <w:bookmarkStart w:id="410" w:name="ref-arain2009"/>
    <w:p>
      <w:pPr>
        <w:pStyle w:val="Bibliography"/>
      </w:pPr>
      <w:r>
        <w:t xml:space="preserve">87.</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410"/>
    <w:bookmarkStart w:id="411" w:name="ref-clayton2018"/>
    <w:p>
      <w:pPr>
        <w:pStyle w:val="Bibliography"/>
      </w:pPr>
      <w:r>
        <w:t xml:space="preserve">88.</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411"/>
    <w:bookmarkStart w:id="412" w:name="ref-mccartney2016"/>
    <w:p>
      <w:pPr>
        <w:pStyle w:val="Bibliography"/>
      </w:pPr>
      <w:r>
        <w:t xml:space="preserve">89.</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412"/>
    <w:bookmarkStart w:id="413" w:name="ref-letenneur1999"/>
    <w:p>
      <w:pPr>
        <w:pStyle w:val="Bibliography"/>
      </w:pPr>
      <w:r>
        <w:t xml:space="preserve">90.</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413"/>
    <w:bookmarkStart w:id="414" w:name="ref-riley2020"/>
    <w:p>
      <w:pPr>
        <w:pStyle w:val="Bibliography"/>
      </w:pPr>
      <w:r>
        <w:t xml:space="preserve">91.</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w:t>
      </w:r>
      <w:r>
        <w:t xml:space="preserve"> </w:t>
      </w:r>
      <w:r>
        <w:t xml:space="preserve">Statistical</w:t>
      </w:r>
      <w:r>
        <w:t xml:space="preserve"> </w:t>
      </w:r>
      <w:r>
        <w:t xml:space="preserve">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414"/>
    <w:bookmarkStart w:id="415" w:name="ref-stewart2002"/>
    <w:p>
      <w:pPr>
        <w:pStyle w:val="Bibliography"/>
      </w:pPr>
      <w:r>
        <w:t xml:space="preserve">92.</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415"/>
    <w:bookmarkStart w:id="416" w:name="ref-tugwell2010"/>
    <w:p>
      <w:pPr>
        <w:pStyle w:val="Bibliography"/>
      </w:pPr>
      <w:r>
        <w:t xml:space="preserve">93.</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416"/>
    <w:bookmarkStart w:id="417" w:name="ref-nevitt2017a"/>
    <w:p>
      <w:pPr>
        <w:pStyle w:val="Bibliography"/>
      </w:pPr>
      <w:r>
        <w:t xml:space="preserve">94.</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j1390 (2017).</w:t>
      </w:r>
    </w:p>
    <w:bookmarkEnd w:id="417"/>
    <w:bookmarkStart w:id="418" w:name="ref-ventresca2020"/>
    <w:p>
      <w:pPr>
        <w:pStyle w:val="Bibliography"/>
      </w:pPr>
      <w:r>
        <w:t xml:space="preserve">95.</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418"/>
    <w:bookmarkStart w:id="419" w:name="ref-alsheikh-ali2011"/>
    <w:p>
      <w:pPr>
        <w:pStyle w:val="Bibliography"/>
      </w:pPr>
      <w:r>
        <w:t xml:space="preserve">96.</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419"/>
    <w:bookmarkStart w:id="420" w:name="ref-vines2014"/>
    <w:p>
      <w:pPr>
        <w:pStyle w:val="Bibliography"/>
      </w:pPr>
      <w:r>
        <w:t xml:space="preserve">97.</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420"/>
    <w:bookmarkStart w:id="421" w:name="ref-wartenberg2010"/>
    <w:p>
      <w:pPr>
        <w:pStyle w:val="Bibliography"/>
      </w:pPr>
      <w:r>
        <w:t xml:space="preserve">98.</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421"/>
    <w:bookmarkStart w:id="422" w:name="ref-bauermeister2020"/>
    <w:p>
      <w:pPr>
        <w:pStyle w:val="Bibliography"/>
      </w:pPr>
      <w:r>
        <w:t xml:space="preserve">99.</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422"/>
    <w:bookmarkStart w:id="423" w:name="ref-rawlinson2019"/>
    <w:p>
      <w:pPr>
        <w:pStyle w:val="Bibliography"/>
      </w:pPr>
      <w:r>
        <w:t xml:space="preserve">100.</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423"/>
    <w:bookmarkStart w:id="425" w:name="ref-sever2019"/>
    <w:p>
      <w:pPr>
        <w:pStyle w:val="Bibliography"/>
      </w:pPr>
      <w:r>
        <w:t xml:space="preserve">101.</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424">
        <w:r>
          <w:rPr>
            <w:rStyle w:val="Hyperlink"/>
          </w:rPr>
          <w:t xml:space="preserve">10.1101/833400</w:t>
        </w:r>
      </w:hyperlink>
    </w:p>
    <w:bookmarkEnd w:id="425"/>
    <w:bookmarkStart w:id="426" w:name="ref-bramer2018a"/>
    <w:p>
      <w:pPr>
        <w:pStyle w:val="Bibliography"/>
      </w:pPr>
      <w:r>
        <w:t xml:space="preserve">102.</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426"/>
    <w:bookmarkStart w:id="427" w:name="ref-gusenbauer2020"/>
    <w:p>
      <w:pPr>
        <w:pStyle w:val="Bibliography"/>
      </w:pPr>
      <w:r>
        <w:t xml:space="preserve">103.</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27"/>
    <w:bookmarkStart w:id="428" w:name="ref-zotero-15029"/>
    <w:p>
      <w:pPr>
        <w:pStyle w:val="Bibliography"/>
      </w:pPr>
      <w:r>
        <w:t xml:space="preserve">104.</w:t>
      </w:r>
      <w:r>
        <w:t xml:space="preserve"> </w:t>
      </w:r>
      <w:r>
        <w:t xml:space="preserve">	</w:t>
      </w:r>
      <w:r>
        <w:t xml:space="preserve">Ropensci/medrxivr:</w:t>
      </w:r>
      <w:r>
        <w:t xml:space="preserve"> </w:t>
      </w:r>
      <w:r>
        <w:t xml:space="preserve">Access</w:t>
      </w:r>
      <w:r>
        <w:t xml:space="preserve"> </w:t>
      </w:r>
      <w:r>
        <w:t xml:space="preserve">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428"/>
    <w:bookmarkStart w:id="429" w:name="ref-wateridge1995"/>
    <w:p>
      <w:pPr>
        <w:pStyle w:val="Bibliography"/>
      </w:pPr>
      <w:r>
        <w:t xml:space="preserve">105.</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429"/>
    <w:bookmarkStart w:id="430" w:name="ref-abdill2019"/>
    <w:p>
      <w:pPr>
        <w:pStyle w:val="Bibliography"/>
      </w:pPr>
      <w:r>
        <w:t xml:space="preserve">106.</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430"/>
    <w:bookmarkStart w:id="431" w:name="ref-zotero-15027"/>
    <w:p>
      <w:pPr>
        <w:pStyle w:val="Bibliography"/>
      </w:pPr>
      <w:r>
        <w:t xml:space="preserve">107.</w:t>
      </w:r>
      <w:r>
        <w:t xml:space="preserve"> </w:t>
      </w:r>
      <w:r>
        <w:t xml:space="preserve">	</w:t>
      </w:r>
      <w:r>
        <w:t xml:space="preserve">Rxivist:</w:t>
      </w:r>
      <w:r>
        <w:t xml:space="preserve"> </w:t>
      </w:r>
      <w:r>
        <w:t xml:space="preserve">Explore</w:t>
      </w:r>
      <w:r>
        <w:t xml:space="preserve"> </w:t>
      </w:r>
      <w:r>
        <w:t xml:space="preserve">popular biology preprints.</w:t>
      </w:r>
    </w:p>
    <w:bookmarkEnd w:id="431"/>
    <w:bookmarkStart w:id="432" w:name="ref-iwema2016"/>
    <w:p>
      <w:pPr>
        <w:pStyle w:val="Bibliography"/>
      </w:pPr>
      <w:r>
        <w:t xml:space="preserve">108.</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432"/>
    <w:bookmarkStart w:id="434" w:name="ref-shaw2002"/>
    <w:p>
      <w:pPr>
        <w:pStyle w:val="Bibliography"/>
      </w:pPr>
      <w:r>
        <w:t xml:space="preserve">109.</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433">
        <w:r>
          <w:rPr>
            <w:rStyle w:val="Hyperlink"/>
          </w:rPr>
          <w:t xml:space="preserve">10.1145/582128.582152</w:t>
        </w:r>
      </w:hyperlink>
    </w:p>
    <w:bookmarkEnd w:id="434"/>
    <w:bookmarkStart w:id="435" w:name="ref-laprie1992"/>
    <w:p>
      <w:pPr>
        <w:pStyle w:val="Bibliography"/>
      </w:pPr>
      <w:r>
        <w:t xml:space="preserve">110.</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435"/>
    <w:bookmarkStart w:id="436" w:name="ref-rcoreteam2019"/>
    <w:p>
      <w:pPr>
        <w:pStyle w:val="Bibliography"/>
      </w:pPr>
      <w:r>
        <w:t xml:space="preserve">111.</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436"/>
    <w:bookmarkStart w:id="437" w:name="ref-zotero-15031"/>
    <w:p>
      <w:pPr>
        <w:pStyle w:val="Bibliography"/>
      </w:pPr>
      <w:r>
        <w:t xml:space="preserve">112.</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437"/>
    <w:bookmarkStart w:id="438" w:name="ref-rethlefsen2021prisma"/>
    <w:p>
      <w:pPr>
        <w:pStyle w:val="Bibliography"/>
      </w:pPr>
      <w:r>
        <w:t xml:space="preserve">113.</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438"/>
    <w:bookmarkStart w:id="439" w:name="ref-bramer2018"/>
    <w:p>
      <w:pPr>
        <w:pStyle w:val="Bibliography"/>
      </w:pPr>
      <w:r>
        <w:t xml:space="preserve">114.</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439"/>
    <w:bookmarkStart w:id="441" w:name="ref-kodvanj2020"/>
    <w:p>
      <w:pPr>
        <w:pStyle w:val="Bibliography"/>
      </w:pPr>
      <w:r>
        <w:t xml:space="preserve">115.</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440">
        <w:r>
          <w:rPr>
            <w:rStyle w:val="Hyperlink"/>
          </w:rPr>
          <w:t xml:space="preserve">10.1101/2020.11.23.394577</w:t>
        </w:r>
      </w:hyperlink>
    </w:p>
    <w:bookmarkEnd w:id="441"/>
    <w:bookmarkStart w:id="442" w:name="ref-noone2020"/>
    <w:p>
      <w:pPr>
        <w:pStyle w:val="Bibliography"/>
      </w:pPr>
      <w:r>
        <w:t xml:space="preserve">116.</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442"/>
    <w:bookmarkStart w:id="443" w:name="ref-grassly2020"/>
    <w:p>
      <w:pPr>
        <w:pStyle w:val="Bibliography"/>
      </w:pPr>
      <w:r>
        <w:t xml:space="preserve">117.</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443"/>
    <w:bookmarkStart w:id="444" w:name="ref-boettiger2015"/>
    <w:p>
      <w:pPr>
        <w:pStyle w:val="Bibliography"/>
      </w:pPr>
      <w:r>
        <w:t xml:space="preserve">118.</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444"/>
    <w:bookmarkStart w:id="445" w:name="ref-zotero-15016"/>
    <w:p>
      <w:pPr>
        <w:pStyle w:val="Bibliography"/>
      </w:pPr>
      <w:r>
        <w:t xml:space="preserve">119.</w:t>
      </w:r>
      <w:r>
        <w:t xml:space="preserve"> </w:t>
      </w:r>
      <w:r>
        <w:t xml:space="preserve">	</w:t>
      </w:r>
      <w:r>
        <w:t xml:space="preserve">Issue #380 - medrxivr:</w:t>
      </w:r>
      <w:r>
        <w:t xml:space="preserve"> </w:t>
      </w:r>
      <w:r>
        <w:t xml:space="preserve">Accessing</w:t>
      </w:r>
      <w:r>
        <w:t xml:space="preserve"> </w:t>
      </w:r>
      <w:r>
        <w:t xml:space="preserve">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445"/>
    <w:bookmarkStart w:id="447" w:name="ref-bong2019"/>
    <w:p>
      <w:pPr>
        <w:pStyle w:val="Bibliography"/>
      </w:pPr>
      <w:r>
        <w:t xml:space="preserve">120.</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446">
        <w:r>
          <w:rPr>
            <w:rStyle w:val="Hyperlink"/>
          </w:rPr>
          <w:t xml:space="preserve">10.1101/19000265</w:t>
        </w:r>
      </w:hyperlink>
    </w:p>
    <w:bookmarkEnd w:id="447"/>
    <w:bookmarkStart w:id="448" w:name="ref-song2010"/>
    <w:p>
      <w:pPr>
        <w:pStyle w:val="Bibliography"/>
      </w:pPr>
      <w:r>
        <w:t xml:space="preserve">121.</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448"/>
    <w:bookmarkStart w:id="449" w:name="ref-abdill2019b"/>
    <w:p>
      <w:pPr>
        <w:pStyle w:val="Bibliography"/>
      </w:pPr>
      <w:r>
        <w:t xml:space="preserve">122.</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449"/>
    <w:bookmarkStart w:id="451" w:name="ref-vuorre2020"/>
    <w:p>
      <w:pPr>
        <w:pStyle w:val="Bibliography"/>
      </w:pPr>
      <w:r>
        <w:t xml:space="preserve">123.</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450">
        <w:r>
          <w:rPr>
            <w:rStyle w:val="Hyperlink"/>
          </w:rPr>
          <w:t xml:space="preserve">10.3758/s13428-020-01436-x</w:t>
        </w:r>
      </w:hyperlink>
    </w:p>
    <w:bookmarkEnd w:id="451"/>
    <w:bookmarkStart w:id="453" w:name="ref-mcguinnessluke2020"/>
    <w:p>
      <w:pPr>
        <w:pStyle w:val="Bibliography"/>
      </w:pPr>
      <w:r>
        <w:t xml:space="preserve">124.</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452">
        <w:r>
          <w:rPr>
            <w:rStyle w:val="Hyperlink"/>
          </w:rPr>
          <w:t xml:space="preserve">10.17605/OSF.IO/VTW5Y</w:t>
        </w:r>
      </w:hyperlink>
    </w:p>
    <w:bookmarkEnd w:id="453"/>
    <w:bookmarkStart w:id="454" w:name="ref-gusenbauer2020a"/>
    <w:p>
      <w:pPr>
        <w:pStyle w:val="Bibliography"/>
      </w:pPr>
      <w:r>
        <w:t xml:space="preserve">125.</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54"/>
    <w:bookmarkStart w:id="455" w:name="ref-bramer2016"/>
    <w:p>
      <w:pPr>
        <w:pStyle w:val="Bibliography"/>
      </w:pPr>
      <w:r>
        <w:t xml:space="preserve">126.</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455"/>
    <w:bookmarkStart w:id="456" w:name="ref-hupe2019"/>
    <w:p>
      <w:pPr>
        <w:pStyle w:val="Bibliography"/>
      </w:pPr>
      <w:r>
        <w:t xml:space="preserve">127.</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456"/>
    <w:bookmarkStart w:id="457" w:name="ref-ouzzani2016"/>
    <w:p>
      <w:pPr>
        <w:pStyle w:val="Bibliography"/>
      </w:pPr>
      <w:r>
        <w:t xml:space="preserve">128.</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457"/>
    <w:bookmarkStart w:id="458" w:name="ref-organizationwho1993"/>
    <w:p>
      <w:pPr>
        <w:pStyle w:val="Bibliography"/>
      </w:pPr>
      <w:r>
        <w:t xml:space="preserve">129.</w:t>
      </w:r>
      <w:r>
        <w:t xml:space="preserve"> </w:t>
      </w:r>
      <w:r>
        <w:t xml:space="preserve">	</w:t>
      </w:r>
      <w:r>
        <w:t xml:space="preserve">Organization(WHO), W. H.</w:t>
      </w:r>
      <w:r>
        <w:t xml:space="preserve"> </w:t>
      </w:r>
      <w:r>
        <w:rPr>
          <w:iCs/>
          <w:i/>
        </w:rPr>
        <w:t xml:space="preserve">The</w:t>
      </w:r>
      <w:r>
        <w:rPr>
          <w:iCs/>
          <w:i/>
        </w:rPr>
        <w:t xml:space="preserve"> </w:t>
      </w:r>
      <w:r>
        <w:rPr>
          <w:iCs/>
          <w:i/>
        </w:rPr>
        <w:t xml:space="preserve">ICD</w:t>
      </w:r>
      <w:r>
        <w:rPr>
          <w:iCs/>
          <w:i/>
        </w:rPr>
        <w:t xml:space="preserve">-10 classification of mental and behavioural disorders:</w:t>
      </w:r>
      <w:r>
        <w:rPr>
          <w:iCs/>
          <w:i/>
        </w:rPr>
        <w:t xml:space="preserve"> </w:t>
      </w:r>
      <w:r>
        <w:rPr>
          <w:iCs/>
          <w:i/>
        </w:rPr>
        <w:t xml:space="preserve">Diagnostic</w:t>
      </w:r>
      <w:r>
        <w:rPr>
          <w:iCs/>
          <w:i/>
        </w:rPr>
        <w:t xml:space="preserve"> </w:t>
      </w:r>
      <w:r>
        <w:rPr>
          <w:iCs/>
          <w:i/>
        </w:rPr>
        <w:t xml:space="preserve">criteria for research</w:t>
      </w:r>
      <w:r>
        <w:t xml:space="preserve">. (</w:t>
      </w:r>
      <w:r>
        <w:t xml:space="preserve">World Health Organization</w:t>
      </w:r>
      <w:r>
        <w:t xml:space="preserve">, 1993).</w:t>
      </w:r>
    </w:p>
    <w:bookmarkEnd w:id="458"/>
    <w:bookmarkStart w:id="459" w:name="ref-roman1993"/>
    <w:p>
      <w:pPr>
        <w:pStyle w:val="Bibliography"/>
      </w:pPr>
      <w:r>
        <w:t xml:space="preserve">130.</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459"/>
    <w:bookmarkStart w:id="460" w:name="ref-edition2013"/>
    <w:p>
      <w:pPr>
        <w:pStyle w:val="Bibliography"/>
      </w:pPr>
      <w:r>
        <w:t xml:space="preserve">131.</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460"/>
    <w:bookmarkStart w:id="461" w:name="ref-gwet2008"/>
    <w:p>
      <w:pPr>
        <w:pStyle w:val="Bibliography"/>
      </w:pPr>
      <w:r>
        <w:t xml:space="preserve">132.</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461"/>
    <w:bookmarkStart w:id="462" w:name="ref-cohen1960"/>
    <w:p>
      <w:pPr>
        <w:pStyle w:val="Bibliography"/>
      </w:pPr>
      <w:r>
        <w:t xml:space="preserve">133.</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462"/>
    <w:bookmarkStart w:id="463" w:name="ref-wongpakaran2013"/>
    <w:p>
      <w:pPr>
        <w:pStyle w:val="Bibliography"/>
      </w:pPr>
      <w:r>
        <w:t xml:space="preserve">134.</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463"/>
    <w:bookmarkStart w:id="464" w:name="ref-brennan1992"/>
    <w:p>
      <w:pPr>
        <w:pStyle w:val="Bibliography"/>
      </w:pPr>
      <w:r>
        <w:t xml:space="preserve">135.</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464"/>
    <w:bookmarkStart w:id="465" w:name="ref-mchugh2012"/>
    <w:p>
      <w:pPr>
        <w:pStyle w:val="Bibliography"/>
      </w:pPr>
      <w:r>
        <w:t xml:space="preserve">136.</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465"/>
    <w:bookmarkStart w:id="466" w:name="ref-higgins2019"/>
    <w:p>
      <w:pPr>
        <w:pStyle w:val="Bibliography"/>
      </w:pPr>
      <w:r>
        <w:t xml:space="preserve">137.</w:t>
      </w:r>
      <w:r>
        <w:t xml:space="preserve"> </w:t>
      </w:r>
      <w:r>
        <w:t xml:space="preserve">	</w:t>
      </w:r>
      <w:r>
        <w:t xml:space="preserve">Higgins, J. P., Li, T. &amp; Deeks, J. J. Section 6.5.2.10 :</w:t>
      </w:r>
      <w:r>
        <w:t xml:space="preserve"> </w:t>
      </w:r>
      <w:r>
        <w:t xml:space="preserve">Combining</w:t>
      </w:r>
      <w:r>
        <w:t xml:space="preserve"> </w:t>
      </w:r>
      <w:r>
        <w:t xml:space="preserve">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66"/>
    <w:bookmarkStart w:id="467" w:name="ref-reynders2019"/>
    <w:p>
      <w:pPr>
        <w:pStyle w:val="Bibliography"/>
      </w:pPr>
      <w:r>
        <w:t xml:space="preserve">138.</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467"/>
    <w:bookmarkStart w:id="468" w:name="ref-mckenzie2019"/>
    <w:p>
      <w:pPr>
        <w:pStyle w:val="Bibliography"/>
      </w:pPr>
      <w:r>
        <w:t xml:space="preserve">139.</w:t>
      </w:r>
      <w:r>
        <w:t xml:space="preserve"> </w:t>
      </w:r>
      <w:r>
        <w:t xml:space="preserve">	</w:t>
      </w:r>
      <w:r>
        <w:t xml:space="preserve">McKenzie, J. E. &amp; Brennan, S. E. Section 12.1:</w:t>
      </w:r>
      <w:r>
        <w:t xml:space="preserve"> </w:t>
      </w:r>
      <w:r>
        <w:t xml:space="preserve">Why</w:t>
      </w:r>
      <w:r>
        <w:t xml:space="preserve"> </w:t>
      </w:r>
      <w:r>
        <w:t xml:space="preserve">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68"/>
    <w:bookmarkStart w:id="469" w:name="ref-sterne2016"/>
    <w:p>
      <w:pPr>
        <w:pStyle w:val="Bibliography"/>
      </w:pPr>
      <w:r>
        <w:t xml:space="preserve">140.</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469"/>
    <w:bookmarkStart w:id="470" w:name="ref-campbell1957"/>
    <w:p>
      <w:pPr>
        <w:pStyle w:val="Bibliography"/>
      </w:pPr>
      <w:r>
        <w:t xml:space="preserve">141.</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470"/>
    <w:bookmarkStart w:id="471" w:name="ref-juni2001"/>
    <w:p>
      <w:pPr>
        <w:pStyle w:val="Bibliography"/>
      </w:pPr>
      <w:r>
        <w:t xml:space="preserve">142.</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471"/>
    <w:bookmarkStart w:id="472" w:name="ref-sterne2019"/>
    <w:p>
      <w:pPr>
        <w:pStyle w:val="Bibliography"/>
      </w:pPr>
      <w:r>
        <w:t xml:space="preserve">143.</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472"/>
    <w:bookmarkStart w:id="473" w:name="ref-morganr2020"/>
    <w:p>
      <w:pPr>
        <w:pStyle w:val="Bibliography"/>
      </w:pPr>
      <w:r>
        <w:t xml:space="preserve">144.</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473"/>
    <w:bookmarkStart w:id="474" w:name="ref-french2019"/>
    <w:p>
      <w:pPr>
        <w:pStyle w:val="Bibliography"/>
      </w:pPr>
      <w:r>
        <w:t xml:space="preserve">145.</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474"/>
    <w:bookmarkStart w:id="475" w:name="ref-wells2000"/>
    <w:p>
      <w:pPr>
        <w:pStyle w:val="Bibliography"/>
      </w:pPr>
      <w:r>
        <w:t xml:space="preserve">146.</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475"/>
    <w:bookmarkStart w:id="476" w:name="ref-mamluk2020"/>
    <w:p>
      <w:pPr>
        <w:pStyle w:val="Bibliography"/>
      </w:pPr>
      <w:r>
        <w:t xml:space="preserve">147.</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476"/>
    <w:bookmarkStart w:id="477" w:name="ref-zotero-15123"/>
    <w:p>
      <w:pPr>
        <w:pStyle w:val="Bibliography"/>
      </w:pPr>
      <w:r>
        <w:t xml:space="preserve">148.</w:t>
      </w:r>
      <w:r>
        <w:t xml:space="preserve"> </w:t>
      </w:r>
      <w:r>
        <w:t xml:space="preserve">	</w:t>
      </w:r>
      <w:r>
        <w:t xml:space="preserve">Risk</w:t>
      </w:r>
      <w:r>
        <w:t xml:space="preserve"> </w:t>
      </w:r>
      <w:r>
        <w:t xml:space="preserve">Of Bias</w:t>
      </w:r>
      <w:r>
        <w:t xml:space="preserve"> </w:t>
      </w:r>
      <w:r>
        <w:t xml:space="preserve">due to</w:t>
      </w:r>
      <w:r>
        <w:t xml:space="preserve"> </w:t>
      </w:r>
      <w:r>
        <w:t xml:space="preserve">Missing Evidence</w:t>
      </w:r>
      <w:r>
        <w:t xml:space="preserve"> </w:t>
      </w:r>
      <w:r>
        <w:t xml:space="preserve">(</w:t>
      </w:r>
      <w:r>
        <w:t xml:space="preserve">ROB</w:t>
      </w:r>
      <w:r>
        <w:t xml:space="preserve">-</w:t>
      </w:r>
      <w:r>
        <w:t xml:space="preserve">ME</w:t>
      </w:r>
      <w:r>
        <w:t xml:space="preserve">).</w:t>
      </w:r>
    </w:p>
    <w:bookmarkEnd w:id="477"/>
    <w:bookmarkStart w:id="478" w:name="ref-saran2018"/>
    <w:p>
      <w:pPr>
        <w:pStyle w:val="Bibliography"/>
      </w:pPr>
      <w:r>
        <w:t xml:space="preserve">149.</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478"/>
    <w:bookmarkStart w:id="479" w:name="ref-mcguinness2020robvisPaper"/>
    <w:p>
      <w:pPr>
        <w:pStyle w:val="Bibliography"/>
      </w:pPr>
      <w:r>
        <w:t xml:space="preserve">150.</w:t>
      </w:r>
      <w:r>
        <w:t xml:space="preserve"> </w:t>
      </w:r>
      <w:r>
        <w:t xml:space="preserve">	</w:t>
      </w:r>
      <w:r>
        <w:t xml:space="preserve">McGuinness, L. A. &amp; Higgins, J. P. T.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479"/>
    <w:bookmarkStart w:id="480" w:name="ref-zotero-14999"/>
    <w:p>
      <w:pPr>
        <w:pStyle w:val="Bibliography"/>
      </w:pPr>
      <w:r>
        <w:t xml:space="preserve">151.</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480"/>
    <w:bookmarkStart w:id="481" w:name="ref-feinstein1990"/>
    <w:p>
      <w:pPr>
        <w:pStyle w:val="Bibliography"/>
      </w:pPr>
      <w:r>
        <w:t xml:space="preserve">152.</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481"/>
    <w:bookmarkStart w:id="482" w:name="ref-ancelin2012"/>
    <w:p>
      <w:pPr>
        <w:pStyle w:val="Bibliography"/>
      </w:pPr>
      <w:r>
        <w:t xml:space="preserve">153.</w:t>
      </w:r>
      <w:r>
        <w:t xml:space="preserve"> </w:t>
      </w:r>
      <w:r>
        <w:t xml:space="preserve">	</w:t>
      </w:r>
      <w:r>
        <w:t xml:space="preserve">Ancelin, M.-L.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482"/>
    <w:bookmarkStart w:id="483" w:name="ref-ancelin2013"/>
    <w:p>
      <w:pPr>
        <w:pStyle w:val="Bibliography"/>
      </w:pPr>
      <w:r>
        <w:t xml:space="preserve">154.</w:t>
      </w:r>
      <w:r>
        <w:t xml:space="preserve"> </w:t>
      </w:r>
      <w:r>
        <w:t xml:space="preserve">	</w:t>
      </w:r>
      <w:r>
        <w:t xml:space="preserve">Ancelin, M. L.</w:t>
      </w:r>
      <w:r>
        <w:t xml:space="preserve"> </w:t>
      </w:r>
      <w:r>
        <w:rPr>
          <w:iCs/>
          <w:i/>
        </w:rPr>
        <w:t xml:space="preserve">et al.</w:t>
      </w:r>
      <w:r>
        <w:t xml:space="preserve"> Sex differences in the associations between lipid levels and incident dementia.</w:t>
      </w:r>
      <w:r>
        <w:t xml:space="preserve"> </w:t>
      </w:r>
      <w:r>
        <w:rPr>
          <w:iCs/>
          <w:i/>
        </w:rPr>
        <w:t xml:space="preserve">Journal of Alzheimer’s Disease</w:t>
      </w:r>
      <w:r>
        <w:t xml:space="preserve"> </w:t>
      </w:r>
      <w:r>
        <w:rPr>
          <w:bCs/>
          <w:b/>
        </w:rPr>
        <w:t xml:space="preserve">34</w:t>
      </w:r>
      <w:r>
        <w:t xml:space="preserve">, 519–528 (2013).</w:t>
      </w:r>
    </w:p>
    <w:bookmarkEnd w:id="483"/>
    <w:bookmarkStart w:id="484" w:name="ref-andrews2021"/>
    <w:p>
      <w:pPr>
        <w:pStyle w:val="Bibliography"/>
      </w:pPr>
      <w:r>
        <w:t xml:space="preserve">155.</w:t>
      </w:r>
      <w:r>
        <w:t xml:space="preserve"> </w:t>
      </w:r>
      <w:r>
        <w:t xml:space="preserve">	</w:t>
      </w:r>
      <w:r>
        <w:t xml:space="preserve">Andrews, S. J.</w:t>
      </w:r>
      <w:r>
        <w:t xml:space="preserve"> </w:t>
      </w:r>
      <w:r>
        <w:rPr>
          <w:iCs/>
          <w:i/>
        </w:rPr>
        <w:t xml:space="preserve">et al.</w:t>
      </w:r>
      <w:r>
        <w:t xml:space="preserve"> Causal</w:t>
      </w:r>
      <w:r>
        <w:t xml:space="preserve"> </w:t>
      </w:r>
      <w:r>
        <w:t xml:space="preserve">Associations Between Modifiable Risk Factors</w:t>
      </w:r>
      <w:r>
        <w:t xml:space="preserve"> </w:t>
      </w:r>
      <w:r>
        <w:t xml:space="preserve">and the</w:t>
      </w:r>
      <w:r>
        <w:t xml:space="preserve"> </w:t>
      </w:r>
      <w:r>
        <w:t xml:space="preserve">Alzheimer</w:t>
      </w:r>
      <w:r>
        <w:t xml:space="preserve">’s</w:t>
      </w:r>
      <w:r>
        <w:t xml:space="preserve"> </w:t>
      </w:r>
      <w:r>
        <w:t xml:space="preserve">Phenome</w:t>
      </w:r>
      <w:r>
        <w:t xml:space="preserve">.</w:t>
      </w:r>
      <w:r>
        <w:t xml:space="preserve"> </w:t>
      </w:r>
      <w:r>
        <w:rPr>
          <w:iCs/>
          <w:i/>
        </w:rPr>
        <w:t xml:space="preserve">Annals of Neurology</w:t>
      </w:r>
      <w:r>
        <w:t xml:space="preserve"> </w:t>
      </w:r>
      <w:r>
        <w:rPr>
          <w:bCs/>
          <w:b/>
        </w:rPr>
        <w:t xml:space="preserve">89</w:t>
      </w:r>
      <w:r>
        <w:t xml:space="preserve">, 54–65 (2021).</w:t>
      </w:r>
    </w:p>
    <w:bookmarkEnd w:id="484"/>
    <w:bookmarkStart w:id="485" w:name="ref-arvanitakis2008"/>
    <w:p>
      <w:pPr>
        <w:pStyle w:val="Bibliography"/>
      </w:pPr>
      <w:r>
        <w:t xml:space="preserve">156.</w:t>
      </w:r>
      <w:r>
        <w:t xml:space="preserve"> </w:t>
      </w:r>
      <w:r>
        <w:t xml:space="preserve">	</w:t>
      </w:r>
      <w:r>
        <w:t xml:space="preserve">Arvanitakis, Z.</w:t>
      </w:r>
      <w:r>
        <w:t xml:space="preserve"> </w:t>
      </w:r>
      <w:r>
        <w:rPr>
          <w:iCs/>
          <w:i/>
        </w:rPr>
        <w:t xml:space="preserve">et al.</w:t>
      </w:r>
      <w:r>
        <w:t xml:space="preserve"> Statins, incident</w:t>
      </w:r>
      <w:r>
        <w:t xml:space="preserve"> </w:t>
      </w:r>
      <w:r>
        <w:t xml:space="preserve">Alzheimer</w:t>
      </w:r>
      <w:r>
        <w:t xml:space="preserve"> </w:t>
      </w:r>
      <w:r>
        <w:t xml:space="preserve">disease, change in cognitive function, and neuropathology.</w:t>
      </w:r>
      <w:r>
        <w:t xml:space="preserve"> </w:t>
      </w:r>
      <w:r>
        <w:rPr>
          <w:iCs/>
          <w:i/>
        </w:rPr>
        <w:t xml:space="preserve">Neurology</w:t>
      </w:r>
      <w:r>
        <w:t xml:space="preserve"> </w:t>
      </w:r>
      <w:r>
        <w:rPr>
          <w:bCs/>
          <w:b/>
        </w:rPr>
        <w:t xml:space="preserve">70</w:t>
      </w:r>
      <w:r>
        <w:t xml:space="preserve">, 1795–1802 (2008).</w:t>
      </w:r>
    </w:p>
    <w:bookmarkEnd w:id="485"/>
    <w:bookmarkStart w:id="486" w:name="ref-batty2014"/>
    <w:p>
      <w:pPr>
        <w:pStyle w:val="Bibliography"/>
      </w:pPr>
      <w:r>
        <w:t xml:space="preserve">157.</w:t>
      </w:r>
      <w:r>
        <w:t xml:space="preserve"> </w:t>
      </w:r>
      <w:r>
        <w:t xml:space="preserve">	</w:t>
      </w:r>
      <w:r>
        <w:t xml:space="preserve">Batty, G. D., Russ, T. C., Starr, J. M., Stamatakis, E. &amp; Kivimaki, M. Modifiable cardiovascular disease risk factors as predictors of dementia death: Pooling of ten general population-based cohort studies.</w:t>
      </w:r>
      <w:r>
        <w:t xml:space="preserve"> </w:t>
      </w:r>
      <w:r>
        <w:rPr>
          <w:iCs/>
          <w:i/>
        </w:rPr>
        <w:t xml:space="preserve">Journal of Negative Results in Biomedicine</w:t>
      </w:r>
      <w:r>
        <w:t xml:space="preserve"> </w:t>
      </w:r>
      <w:r>
        <w:rPr>
          <w:bCs/>
          <w:b/>
        </w:rPr>
        <w:t xml:space="preserve">13</w:t>
      </w:r>
      <w:r>
        <w:t xml:space="preserve">, 8 (2014).</w:t>
      </w:r>
    </w:p>
    <w:bookmarkEnd w:id="486"/>
    <w:bookmarkStart w:id="487" w:name="ref-benn2017b"/>
    <w:p>
      <w:pPr>
        <w:pStyle w:val="Bibliography"/>
      </w:pPr>
      <w:r>
        <w:t xml:space="preserve">158.</w:t>
      </w:r>
      <w:r>
        <w:t xml:space="preserve"> </w:t>
      </w:r>
      <w:r>
        <w:t xml:space="preserve">	</w:t>
      </w:r>
      <w:r>
        <w:t xml:space="preserve">Benn, M., Nordestgaard, B. G., Frikke-Schmidt, R. &amp; Tybjaerg-Hansen,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 (Clinical research ed.)</w:t>
      </w:r>
      <w:r>
        <w:t xml:space="preserve"> </w:t>
      </w:r>
      <w:r>
        <w:rPr>
          <w:bCs/>
          <w:b/>
        </w:rPr>
        <w:t xml:space="preserve">357</w:t>
      </w:r>
      <w:r>
        <w:t xml:space="preserve">, j1648 (2017).</w:t>
      </w:r>
    </w:p>
    <w:bookmarkEnd w:id="487"/>
    <w:bookmarkStart w:id="488" w:name="ref-bettermann2012"/>
    <w:p>
      <w:pPr>
        <w:pStyle w:val="Bibliography"/>
      </w:pPr>
      <w:r>
        <w:t xml:space="preserve">159.</w:t>
      </w:r>
      <w:r>
        <w:t xml:space="preserve"> </w:t>
      </w:r>
      <w:r>
        <w:t xml:space="preserve">	</w:t>
      </w:r>
      <w:r>
        <w:t xml:space="preserve">Bettermann, K.</w:t>
      </w:r>
      <w:r>
        <w:t xml:space="preserve"> </w:t>
      </w:r>
      <w:r>
        <w:rPr>
          <w:iCs/>
          <w:i/>
        </w:rPr>
        <w:t xml:space="preserve">et al.</w:t>
      </w:r>
      <w:r>
        <w:t xml:space="preserve"> Statins,</w:t>
      </w:r>
      <w:r>
        <w:t xml:space="preserve"> </w:t>
      </w:r>
      <w:r>
        <w:t xml:space="preserve">Risk</w:t>
      </w:r>
      <w:r>
        <w:t xml:space="preserve"> </w:t>
      </w:r>
      <w:r>
        <w:t xml:space="preserve">of</w:t>
      </w:r>
      <w:r>
        <w:t xml:space="preserve"> </w:t>
      </w:r>
      <w:r>
        <w:t xml:space="preserve">Dementia</w:t>
      </w:r>
      <w:r>
        <w:t xml:space="preserve">, and</w:t>
      </w:r>
      <w:r>
        <w:t xml:space="preserve"> </w:t>
      </w:r>
      <w:r>
        <w:t xml:space="preserve">Cognitive Function</w:t>
      </w:r>
      <w:r>
        <w:t xml:space="preserve">:</w:t>
      </w:r>
      <w:r>
        <w:t xml:space="preserve"> </w:t>
      </w:r>
      <w:r>
        <w:t xml:space="preserve">Secondary Analysis</w:t>
      </w:r>
      <w:r>
        <w:t xml:space="preserve"> </w:t>
      </w:r>
      <w:r>
        <w:t xml:space="preserve">of the</w:t>
      </w:r>
      <w:r>
        <w:t xml:space="preserve"> </w:t>
      </w:r>
      <w:r>
        <w:t xml:space="preserve">Ginkgo Evaluation</w:t>
      </w:r>
      <w:r>
        <w:t xml:space="preserve"> </w:t>
      </w:r>
      <w:r>
        <w:t xml:space="preserve">of</w:t>
      </w:r>
      <w:r>
        <w:t xml:space="preserve"> </w:t>
      </w:r>
      <w:r>
        <w:t xml:space="preserve">Memory Study</w:t>
      </w:r>
      <w:r>
        <w:t xml:space="preserve">.</w:t>
      </w:r>
      <w:r>
        <w:t xml:space="preserve"> </w:t>
      </w:r>
      <w:r>
        <w:rPr>
          <w:iCs/>
          <w:i/>
        </w:rPr>
        <w:t xml:space="preserve">Journal of Stroke and Cerebrovascular Diseases</w:t>
      </w:r>
      <w:r>
        <w:t xml:space="preserve"> </w:t>
      </w:r>
      <w:r>
        <w:rPr>
          <w:bCs/>
          <w:b/>
        </w:rPr>
        <w:t xml:space="preserve">21</w:t>
      </w:r>
      <w:r>
        <w:t xml:space="preserve">, 436–444 (2012).</w:t>
      </w:r>
    </w:p>
    <w:bookmarkEnd w:id="488"/>
    <w:bookmarkStart w:id="489" w:name="ref-beydoun2011"/>
    <w:p>
      <w:pPr>
        <w:pStyle w:val="Bibliography"/>
      </w:pPr>
      <w:r>
        <w:t xml:space="preserve">160.</w:t>
      </w:r>
      <w:r>
        <w:t xml:space="preserve"> </w:t>
      </w:r>
      <w:r>
        <w:t xml:space="preserve">	</w:t>
      </w:r>
      <w:r>
        <w:t xml:space="preserve">Beydoun, M. A.</w:t>
      </w:r>
      <w:r>
        <w:t xml:space="preserve"> </w:t>
      </w:r>
      <w:r>
        <w:rPr>
          <w:iCs/>
          <w:i/>
        </w:rPr>
        <w:t xml:space="preserve">et al.</w:t>
      </w:r>
      <w:r>
        <w:t xml:space="preserve"> Statins and serum cholesterol’s associations with incident dementia and mild cognitive impairment.</w:t>
      </w:r>
      <w:r>
        <w:t xml:space="preserve"> </w:t>
      </w:r>
      <w:r>
        <w:rPr>
          <w:iCs/>
          <w:i/>
        </w:rPr>
        <w:t xml:space="preserve">Journal of Epidemiology &amp; Community Health</w:t>
      </w:r>
      <w:r>
        <w:t xml:space="preserve"> </w:t>
      </w:r>
      <w:r>
        <w:rPr>
          <w:bCs/>
          <w:b/>
        </w:rPr>
        <w:t xml:space="preserve">65</w:t>
      </w:r>
      <w:r>
        <w:t xml:space="preserve">, 949–957 (2011).</w:t>
      </w:r>
    </w:p>
    <w:bookmarkEnd w:id="489"/>
    <w:bookmarkStart w:id="490" w:name="ref-bruce2017"/>
    <w:p>
      <w:pPr>
        <w:pStyle w:val="Bibliography"/>
      </w:pPr>
      <w:r>
        <w:t xml:space="preserve">161.</w:t>
      </w:r>
      <w:r>
        <w:t xml:space="preserve"> </w:t>
      </w:r>
      <w:r>
        <w:t xml:space="preserve">	</w:t>
      </w:r>
      <w:r>
        <w:t xml:space="preserve">Bruce, D. G., Davis, W. A. &amp; Davis, T. M. E. Low serum</w:t>
      </w:r>
      <w:r>
        <w:t xml:space="preserve"> </w:t>
      </w:r>
      <w:r>
        <w:t xml:space="preserve">HDL</w:t>
      </w:r>
      <w:r>
        <w:t xml:space="preserve">-cholesterol concentrations in mid-life predict late-life cognitive impairment in type 2 diabetes:</w:t>
      </w:r>
      <w:r>
        <w:t xml:space="preserve"> </w:t>
      </w:r>
      <w:r>
        <w:t xml:space="preserve">The Fremantle</w:t>
      </w:r>
      <w:r>
        <w:t xml:space="preserve"> </w:t>
      </w:r>
      <w:r>
        <w:t xml:space="preserve">diabetes study.</w:t>
      </w:r>
      <w:r>
        <w:t xml:space="preserve"> </w:t>
      </w:r>
      <w:r>
        <w:rPr>
          <w:iCs/>
          <w:i/>
        </w:rPr>
        <w:t xml:space="preserve">Journal of Diabetes &amp; its Complications</w:t>
      </w:r>
      <w:r>
        <w:t xml:space="preserve"> </w:t>
      </w:r>
      <w:r>
        <w:rPr>
          <w:bCs/>
          <w:b/>
        </w:rPr>
        <w:t xml:space="preserve">31</w:t>
      </w:r>
      <w:r>
        <w:t xml:space="preserve">, 945–947 (2017).</w:t>
      </w:r>
    </w:p>
    <w:bookmarkEnd w:id="490"/>
    <w:bookmarkStart w:id="491" w:name="ref-burgess2017"/>
    <w:p>
      <w:pPr>
        <w:pStyle w:val="Bibliography"/>
      </w:pPr>
      <w:r>
        <w:t xml:space="preserve">162.</w:t>
      </w:r>
      <w:r>
        <w:t xml:space="preserve"> </w:t>
      </w:r>
      <w:r>
        <w:t xml:space="preserve">	</w:t>
      </w:r>
      <w:r>
        <w:t xml:space="preserve">Burgess, S. &amp; Davey Smith, G. Mendelian randomization implicates high-density lipoprotein cholesterol-associated mechanisms in etiology of age-related macular degeneration.</w:t>
      </w:r>
      <w:r>
        <w:t xml:space="preserve"> </w:t>
      </w:r>
      <w:r>
        <w:rPr>
          <w:iCs/>
          <w:i/>
        </w:rPr>
        <w:t xml:space="preserve">Ophthalmology</w:t>
      </w:r>
      <w:r>
        <w:t xml:space="preserve"> </w:t>
      </w:r>
      <w:r>
        <w:rPr>
          <w:bCs/>
          <w:b/>
        </w:rPr>
        <w:t xml:space="preserve">124</w:t>
      </w:r>
      <w:r>
        <w:t xml:space="preserve">, 1165–1174 (2017).</w:t>
      </w:r>
    </w:p>
    <w:bookmarkEnd w:id="491"/>
    <w:bookmarkStart w:id="492" w:name="ref-chao2015a"/>
    <w:p>
      <w:pPr>
        <w:pStyle w:val="Bibliography"/>
      </w:pPr>
      <w:r>
        <w:t xml:space="preserve">163.</w:t>
      </w:r>
      <w:r>
        <w:t xml:space="preserve"> </w:t>
      </w:r>
      <w:r>
        <w:t xml:space="preserve">	</w:t>
      </w:r>
      <w:r>
        <w:t xml:space="preserve">Chao, T. F.</w:t>
      </w:r>
      <w:r>
        <w:t xml:space="preserve"> </w:t>
      </w:r>
      <w:r>
        <w:rPr>
          <w:iCs/>
          <w:i/>
        </w:rPr>
        <w:t xml:space="preserve">et al.</w:t>
      </w:r>
      <w:r>
        <w:t xml:space="preserve"> Statins and the risk of dementia in patients with atrial fibrillation:</w:t>
      </w:r>
      <w:r>
        <w:t xml:space="preserve"> </w:t>
      </w:r>
      <w:r>
        <w:t xml:space="preserve">A</w:t>
      </w:r>
      <w:r>
        <w:t xml:space="preserve"> </w:t>
      </w:r>
      <w:r>
        <w:t xml:space="preserve">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492"/>
    <w:bookmarkStart w:id="493" w:name="ref-chen2014"/>
    <w:p>
      <w:pPr>
        <w:pStyle w:val="Bibliography"/>
      </w:pPr>
      <w:r>
        <w:t xml:space="preserve">164.</w:t>
      </w:r>
      <w:r>
        <w:t xml:space="preserve"> </w:t>
      </w:r>
      <w:r>
        <w:t xml:space="preserve">	</w:t>
      </w:r>
      <w:r>
        <w:t xml:space="preserve">Chen, J. M.</w:t>
      </w:r>
      <w:r>
        <w:t xml:space="preserve"> </w:t>
      </w:r>
      <w:r>
        <w:rPr>
          <w:iCs/>
          <w:i/>
        </w:rPr>
        <w:t xml:space="preserve">et al.</w:t>
      </w:r>
      <w:r>
        <w:t xml:space="preserve"> Effects of statins on incident dementia in patients with type 2</w:t>
      </w:r>
      <w:r>
        <w:t xml:space="preserve"> </w:t>
      </w:r>
      <w:r>
        <w:t xml:space="preserve">DM</w:t>
      </w:r>
      <w:r>
        <w:t xml:space="preserve">: A population-based retrospective cohort study in</w:t>
      </w:r>
      <w:r>
        <w:t xml:space="preserve"> </w:t>
      </w:r>
      <w:r>
        <w:t xml:space="preserve">Taiwan</w:t>
      </w:r>
      <w:r>
        <w:t xml:space="preserve">.</w:t>
      </w:r>
      <w:r>
        <w:t xml:space="preserve"> </w:t>
      </w:r>
      <w:r>
        <w:rPr>
          <w:iCs/>
          <w:i/>
        </w:rPr>
        <w:t xml:space="preserve">PLoS ONE [Electronic Resource]</w:t>
      </w:r>
      <w:r>
        <w:t xml:space="preserve"> </w:t>
      </w:r>
      <w:r>
        <w:rPr>
          <w:bCs/>
          <w:b/>
        </w:rPr>
        <w:t xml:space="preserve">9</w:t>
      </w:r>
      <w:r>
        <w:t xml:space="preserve">, e88434 (2014).</w:t>
      </w:r>
    </w:p>
    <w:bookmarkEnd w:id="493"/>
    <w:bookmarkStart w:id="494" w:name="ref-chiang2007"/>
    <w:p>
      <w:pPr>
        <w:pStyle w:val="Bibliography"/>
      </w:pPr>
      <w:r>
        <w:t xml:space="preserve">165.</w:t>
      </w:r>
      <w:r>
        <w:t xml:space="preserve"> </w:t>
      </w:r>
      <w:r>
        <w:t xml:space="preserve">	</w:t>
      </w:r>
      <w:r>
        <w:t xml:space="preserve">Chiang, C. J.</w:t>
      </w:r>
      <w:r>
        <w:t xml:space="preserve"> </w:t>
      </w:r>
      <w:r>
        <w:rPr>
          <w:iCs/>
          <w:i/>
        </w:rPr>
        <w:t xml:space="preserve">et al.</w:t>
      </w:r>
      <w:r>
        <w:t xml:space="preserve"> Midlife risk factors for subtypes of dementia: A nested case-control study in</w:t>
      </w:r>
      <w:r>
        <w:t xml:space="preserve"> </w:t>
      </w:r>
      <w:r>
        <w:t xml:space="preserve">Taiwan</w:t>
      </w:r>
      <w:r>
        <w:t xml:space="preserve">.</w:t>
      </w:r>
      <w:r>
        <w:t xml:space="preserve"> </w:t>
      </w:r>
      <w:r>
        <w:rPr>
          <w:iCs/>
          <w:i/>
        </w:rPr>
        <w:t xml:space="preserve">American Journal of Geriatric Psychiatry</w:t>
      </w:r>
      <w:r>
        <w:t xml:space="preserve"> </w:t>
      </w:r>
      <w:r>
        <w:rPr>
          <w:bCs/>
          <w:b/>
        </w:rPr>
        <w:t xml:space="preserve">15</w:t>
      </w:r>
      <w:r>
        <w:t xml:space="preserve">, 762–771 (2007).</w:t>
      </w:r>
    </w:p>
    <w:bookmarkEnd w:id="494"/>
    <w:bookmarkStart w:id="495" w:name="ref-chitnis2015"/>
    <w:p>
      <w:pPr>
        <w:pStyle w:val="Bibliography"/>
      </w:pPr>
      <w:r>
        <w:t xml:space="preserve">166.</w:t>
      </w:r>
      <w:r>
        <w:t xml:space="preserve"> </w:t>
      </w:r>
      <w:r>
        <w:t xml:space="preserve">	</w:t>
      </w:r>
      <w:r>
        <w:t xml:space="preserve">Chitnis, A. S.</w:t>
      </w:r>
      <w:r>
        <w:t xml:space="preserve"> </w:t>
      </w:r>
      <w:r>
        <w:rPr>
          <w:iCs/>
          <w:i/>
        </w:rPr>
        <w:t xml:space="preserve">et al.</w:t>
      </w:r>
      <w:r>
        <w:t xml:space="preserve"> Use of statins and risk of dementia in heart failure:</w:t>
      </w:r>
      <w:r>
        <w:t xml:space="preserve"> </w:t>
      </w:r>
      <w:r>
        <w:t xml:space="preserve">A</w:t>
      </w:r>
      <w:r>
        <w:t xml:space="preserve"> </w:t>
      </w:r>
      <w:r>
        <w:t xml:space="preserve">retrospective cohort study.</w:t>
      </w:r>
      <w:r>
        <w:t xml:space="preserve"> </w:t>
      </w:r>
      <w:r>
        <w:rPr>
          <w:iCs/>
          <w:i/>
        </w:rPr>
        <w:t xml:space="preserve">Drugs &amp; Aging</w:t>
      </w:r>
      <w:r>
        <w:t xml:space="preserve"> </w:t>
      </w:r>
      <w:r>
        <w:rPr>
          <w:bCs/>
          <w:b/>
        </w:rPr>
        <w:t xml:space="preserve">32</w:t>
      </w:r>
      <w:r>
        <w:t xml:space="preserve">, 743–754 (2015).</w:t>
      </w:r>
    </w:p>
    <w:bookmarkEnd w:id="495"/>
    <w:bookmarkStart w:id="496" w:name="ref-chou2014a"/>
    <w:p>
      <w:pPr>
        <w:pStyle w:val="Bibliography"/>
      </w:pPr>
      <w:r>
        <w:t xml:space="preserve">167.</w:t>
      </w:r>
      <w:r>
        <w:t xml:space="preserve"> </w:t>
      </w:r>
      <w:r>
        <w:t xml:space="preserve">	</w:t>
      </w:r>
      <w:r>
        <w:t xml:space="preserve">Chou, C. Y., Chou, Y. C., Chou, Y. J., Yang, Y. F. &amp; Huang, N. Statin use and incident dementia: A nationwide cohort study of</w:t>
      </w:r>
      <w:r>
        <w:t xml:space="preserve"> </w:t>
      </w:r>
      <w:r>
        <w:t xml:space="preserve">Taiwan</w:t>
      </w:r>
      <w:r>
        <w:t xml:space="preserve">.</w:t>
      </w:r>
      <w:r>
        <w:t xml:space="preserve"> </w:t>
      </w:r>
      <w:r>
        <w:rPr>
          <w:iCs/>
          <w:i/>
        </w:rPr>
        <w:t xml:space="preserve">International Journal of Cardiology</w:t>
      </w:r>
      <w:r>
        <w:t xml:space="preserve"> </w:t>
      </w:r>
      <w:r>
        <w:rPr>
          <w:bCs/>
          <w:b/>
        </w:rPr>
        <w:t xml:space="preserve">173</w:t>
      </w:r>
      <w:r>
        <w:t xml:space="preserve">, 305–310 (2014).</w:t>
      </w:r>
    </w:p>
    <w:bookmarkEnd w:id="496"/>
    <w:bookmarkStart w:id="497" w:name="ref-chuang2015"/>
    <w:p>
      <w:pPr>
        <w:pStyle w:val="Bibliography"/>
      </w:pPr>
      <w:r>
        <w:t xml:space="preserve">168.</w:t>
      </w:r>
      <w:r>
        <w:t xml:space="preserve"> </w:t>
      </w:r>
      <w:r>
        <w:t xml:space="preserve">	</w:t>
      </w:r>
      <w:r>
        <w:t xml:space="preserve">Chuang, C. S., Lin, C. L., Lin, M. C., Sung, F. C. &amp; Kao, C. H. Decreased prevalence of dementia associated with statins: A national population-based study.</w:t>
      </w:r>
      <w:r>
        <w:t xml:space="preserve"> </w:t>
      </w:r>
      <w:r>
        <w:rPr>
          <w:iCs/>
          <w:i/>
        </w:rPr>
        <w:t xml:space="preserve">European Journal of Neurology</w:t>
      </w:r>
      <w:r>
        <w:t xml:space="preserve"> </w:t>
      </w:r>
      <w:r>
        <w:rPr>
          <w:bCs/>
          <w:b/>
        </w:rPr>
        <w:t xml:space="preserve">22</w:t>
      </w:r>
      <w:r>
        <w:t xml:space="preserve">, 912–918 (2015).</w:t>
      </w:r>
    </w:p>
    <w:bookmarkEnd w:id="497"/>
    <w:bookmarkStart w:id="498" w:name="ref-cramer2008"/>
    <w:p>
      <w:pPr>
        <w:pStyle w:val="Bibliography"/>
      </w:pPr>
      <w:r>
        <w:t xml:space="preserve">169.</w:t>
      </w:r>
      <w:r>
        <w:t xml:space="preserve"> </w:t>
      </w:r>
      <w:r>
        <w:t xml:space="preserve">	</w:t>
      </w:r>
      <w:r>
        <w:t xml:space="preserve">Cramer, C., Haan, M. N., Galea, S., Langa, K. M. &amp; Kalbfleisch, J. D. Use of statins and incidence of dementia and cognitive impairment without dementia in a cohort study.</w:t>
      </w:r>
      <w:r>
        <w:t xml:space="preserve"> </w:t>
      </w:r>
      <w:r>
        <w:rPr>
          <w:iCs/>
          <w:i/>
        </w:rPr>
        <w:t xml:space="preserve">Neurology</w:t>
      </w:r>
      <w:r>
        <w:t xml:space="preserve"> </w:t>
      </w:r>
      <w:r>
        <w:rPr>
          <w:bCs/>
          <w:b/>
        </w:rPr>
        <w:t xml:space="preserve">71</w:t>
      </w:r>
      <w:r>
        <w:t xml:space="preserve">, 344–350 (2008).</w:t>
      </w:r>
    </w:p>
    <w:bookmarkEnd w:id="498"/>
    <w:bookmarkStart w:id="499" w:name="ref-dodge2011"/>
    <w:p>
      <w:pPr>
        <w:pStyle w:val="Bibliography"/>
      </w:pPr>
      <w:r>
        <w:t xml:space="preserve">170.</w:t>
      </w:r>
      <w:r>
        <w:t xml:space="preserve"> </w:t>
      </w:r>
      <w:r>
        <w:t xml:space="preserve">	</w:t>
      </w:r>
      <w:r>
        <w:t xml:space="preserve">Dodge, H. H., Chang, C. C. H., Kamboh, I. M. &amp; Ganguli, M. Risk of</w:t>
      </w:r>
      <w:r>
        <w:t xml:space="preserve"> </w:t>
      </w:r>
      <w:r>
        <w:t xml:space="preserve">Alzheimer</w:t>
      </w:r>
      <w:r>
        <w:t xml:space="preserve">’s disease incidence attributable to vascular disease in the population.</w:t>
      </w:r>
      <w:r>
        <w:t xml:space="preserve"> </w:t>
      </w:r>
      <w:r>
        <w:rPr>
          <w:iCs/>
          <w:i/>
        </w:rPr>
        <w:t xml:space="preserve">Alzheimer’s and Dementia</w:t>
      </w:r>
      <w:r>
        <w:t xml:space="preserve"> </w:t>
      </w:r>
      <w:r>
        <w:rPr>
          <w:bCs/>
          <w:b/>
        </w:rPr>
        <w:t xml:space="preserve">7</w:t>
      </w:r>
      <w:r>
        <w:t xml:space="preserve">, 356–360 (2011).</w:t>
      </w:r>
    </w:p>
    <w:bookmarkEnd w:id="499"/>
    <w:bookmarkStart w:id="500" w:name="ref-forti2010"/>
    <w:p>
      <w:pPr>
        <w:pStyle w:val="Bibliography"/>
      </w:pPr>
      <w:r>
        <w:t xml:space="preserve">171.</w:t>
      </w:r>
      <w:r>
        <w:t xml:space="preserve"> </w:t>
      </w:r>
      <w:r>
        <w:t xml:space="preserve">	</w:t>
      </w:r>
      <w:r>
        <w:t xml:space="preserve">Forti, P.</w:t>
      </w:r>
      <w:r>
        <w:t xml:space="preserve"> </w:t>
      </w:r>
      <w:r>
        <w:rPr>
          <w:iCs/>
          <w:i/>
        </w:rPr>
        <w:t xml:space="preserve">et al.</w:t>
      </w:r>
      <w:r>
        <w:t xml:space="preserve"> Metabolic syndrome and risk of dementia in older adults.</w:t>
      </w:r>
      <w:r>
        <w:t xml:space="preserve"> </w:t>
      </w:r>
      <w:r>
        <w:rPr>
          <w:iCs/>
          <w:i/>
        </w:rPr>
        <w:t xml:space="preserve">Journal of the American Geriatrics Society</w:t>
      </w:r>
      <w:r>
        <w:t xml:space="preserve"> </w:t>
      </w:r>
      <w:r>
        <w:rPr>
          <w:bCs/>
          <w:b/>
        </w:rPr>
        <w:t xml:space="preserve">58</w:t>
      </w:r>
      <w:r>
        <w:t xml:space="preserve">, 487–492 (2010).</w:t>
      </w:r>
    </w:p>
    <w:bookmarkEnd w:id="500"/>
    <w:bookmarkStart w:id="501" w:name="ref-gnjidic2016"/>
    <w:p>
      <w:pPr>
        <w:pStyle w:val="Bibliography"/>
      </w:pPr>
      <w:r>
        <w:t xml:space="preserve">172.</w:t>
      </w:r>
      <w:r>
        <w:t xml:space="preserve"> </w:t>
      </w:r>
      <w:r>
        <w:t xml:space="preserve">	</w:t>
      </w:r>
      <w:r>
        <w:t xml:space="preserve">Gnjidic, D.</w:t>
      </w:r>
      <w:r>
        <w:t xml:space="preserve"> </w:t>
      </w:r>
      <w:r>
        <w:rPr>
          <w:iCs/>
          <w:i/>
        </w:rPr>
        <w:t xml:space="preserve">et al.</w:t>
      </w:r>
      <w:r>
        <w:t xml:space="preserve"> </w:t>
      </w:r>
      <w:r>
        <w:t xml:space="preserve">STATIN THERAPY AND DEMENTIA IN OLDER ADULTS</w:t>
      </w:r>
      <w:r>
        <w:t xml:space="preserve">:</w:t>
      </w:r>
      <w:r>
        <w:t xml:space="preserve"> </w:t>
      </w:r>
      <w:r>
        <w:t xml:space="preserve">ROLE OF DISEASE SEVERITY AND MULTIMORBIDITY</w:t>
      </w:r>
      <w:r>
        <w:t xml:space="preserve">.</w:t>
      </w:r>
      <w:r>
        <w:t xml:space="preserve"> </w:t>
      </w:r>
      <w:r>
        <w:rPr>
          <w:iCs/>
          <w:i/>
        </w:rPr>
        <w:t xml:space="preserve">Journal of the American Geriatrics Society</w:t>
      </w:r>
      <w:r>
        <w:t xml:space="preserve"> </w:t>
      </w:r>
      <w:r>
        <w:rPr>
          <w:bCs/>
          <w:b/>
        </w:rPr>
        <w:t xml:space="preserve">64</w:t>
      </w:r>
      <w:r>
        <w:t xml:space="preserve">, 223–224 (2016).</w:t>
      </w:r>
    </w:p>
    <w:bookmarkEnd w:id="501"/>
    <w:bookmarkStart w:id="502" w:name="ref-gottesman2017"/>
    <w:p>
      <w:pPr>
        <w:pStyle w:val="Bibliography"/>
      </w:pPr>
      <w:r>
        <w:t xml:space="preserve">173.</w:t>
      </w:r>
      <w:r>
        <w:t xml:space="preserve"> </w:t>
      </w:r>
      <w:r>
        <w:t xml:space="preserve">	</w:t>
      </w:r>
      <w:r>
        <w:t xml:space="preserve">Gottesman, R. F.</w:t>
      </w:r>
      <w:r>
        <w:t xml:space="preserve"> </w:t>
      </w:r>
      <w:r>
        <w:rPr>
          <w:iCs/>
          <w:i/>
        </w:rPr>
        <w:t xml:space="preserve">et al.</w:t>
      </w:r>
      <w:r>
        <w:t xml:space="preserve"> Associations between midlife vascular risk factors and 25-</w:t>
      </w:r>
      <w:r>
        <w:t xml:space="preserve">Year</w:t>
      </w:r>
      <w:r>
        <w:t xml:space="preserve"> </w:t>
      </w:r>
      <w:r>
        <w:t xml:space="preserve">incident dementia in the atherosclerosis risk in communities (</w:t>
      </w:r>
      <w:r>
        <w:t xml:space="preserve">ARIC</w:t>
      </w:r>
      <w:r>
        <w:t xml:space="preserve">) cohort.</w:t>
      </w:r>
      <w:r>
        <w:t xml:space="preserve"> </w:t>
      </w:r>
      <w:r>
        <w:rPr>
          <w:iCs/>
          <w:i/>
        </w:rPr>
        <w:t xml:space="preserve">JAMA Neurology</w:t>
      </w:r>
      <w:r>
        <w:t xml:space="preserve"> </w:t>
      </w:r>
      <w:r>
        <w:rPr>
          <w:bCs/>
          <w:b/>
        </w:rPr>
        <w:t xml:space="preserve">74</w:t>
      </w:r>
      <w:r>
        <w:t xml:space="preserve">, 1246–1254 (2017).</w:t>
      </w:r>
    </w:p>
    <w:bookmarkEnd w:id="502"/>
    <w:bookmarkStart w:id="503" w:name="ref-gustafson2012"/>
    <w:p>
      <w:pPr>
        <w:pStyle w:val="Bibliography"/>
      </w:pPr>
      <w:r>
        <w:t xml:space="preserve">174.</w:t>
      </w:r>
      <w:r>
        <w:t xml:space="preserve"> </w:t>
      </w:r>
      <w:r>
        <w:t xml:space="preserve">	</w:t>
      </w:r>
      <w:r>
        <w:t xml:space="preserve">Gustafson, D. R.</w:t>
      </w:r>
      <w:r>
        <w:t xml:space="preserve"> </w:t>
      </w:r>
      <w:r>
        <w:rPr>
          <w:iCs/>
          <w:i/>
        </w:rPr>
        <w:t xml:space="preserve">et al.</w:t>
      </w:r>
      <w:r>
        <w:t xml:space="preserve"> Epidemiological evidence for lipid-based dementia prevention:</w:t>
      </w:r>
      <w:r>
        <w:t xml:space="preserve"> </w:t>
      </w:r>
      <w:r>
        <w:t xml:space="preserve">The Lipididiet</w:t>
      </w:r>
      <w:r>
        <w:t xml:space="preserve"> </w:t>
      </w:r>
      <w:r>
        <w:t xml:space="preserve">approach.</w:t>
      </w:r>
      <w:r>
        <w:t xml:space="preserve"> </w:t>
      </w:r>
      <w:r>
        <w:rPr>
          <w:iCs/>
          <w:i/>
        </w:rPr>
        <w:t xml:space="preserve">Journal of Molecular Neuroscience</w:t>
      </w:r>
      <w:r>
        <w:t xml:space="preserve"> </w:t>
      </w:r>
      <w:r>
        <w:rPr>
          <w:bCs/>
          <w:b/>
        </w:rPr>
        <w:t xml:space="preserve">1)</w:t>
      </w:r>
      <w:r>
        <w:t xml:space="preserve">, S45 (2012).</w:t>
      </w:r>
    </w:p>
    <w:bookmarkEnd w:id="503"/>
    <w:bookmarkStart w:id="504" w:name="ref-haag2009"/>
    <w:p>
      <w:pPr>
        <w:pStyle w:val="Bibliography"/>
      </w:pPr>
      <w:r>
        <w:t xml:space="preserve">175.</w:t>
      </w:r>
      <w:r>
        <w:t xml:space="preserve"> </w:t>
      </w:r>
      <w:r>
        <w:t xml:space="preserve">	</w:t>
      </w:r>
      <w:r>
        <w:t xml:space="preserve">Haag, M. D., Hofman, A., Koudstaal, P. J., Stricker, B. H. &amp; Breteler, M. M. Statins are associated with a reduced risk of</w:t>
      </w:r>
      <w:r>
        <w:t xml:space="preserve"> </w:t>
      </w:r>
      <w:r>
        <w:t xml:space="preserve">Alzheimer</w:t>
      </w:r>
      <w:r>
        <w:t xml:space="preserve"> </w:t>
      </w:r>
      <w:r>
        <w:t xml:space="preserve">disease regardless of lipophilicity.</w:t>
      </w:r>
      <w:r>
        <w:t xml:space="preserve"> </w:t>
      </w:r>
      <w:r>
        <w:t xml:space="preserve">The Rotterdam Study</w:t>
      </w:r>
      <w:r>
        <w:t xml:space="preserve">.</w:t>
      </w:r>
      <w:r>
        <w:t xml:space="preserve"> </w:t>
      </w:r>
      <w:r>
        <w:rPr>
          <w:iCs/>
          <w:i/>
        </w:rPr>
        <w:t xml:space="preserve">Journal of Neurology, Neurosurgery &amp; Psychiatry</w:t>
      </w:r>
      <w:r>
        <w:t xml:space="preserve"> </w:t>
      </w:r>
      <w:r>
        <w:rPr>
          <w:bCs/>
          <w:b/>
        </w:rPr>
        <w:t xml:space="preserve">80</w:t>
      </w:r>
      <w:r>
        <w:t xml:space="preserve">, 13–17 (2009).</w:t>
      </w:r>
    </w:p>
    <w:bookmarkEnd w:id="504"/>
    <w:bookmarkStart w:id="505" w:name="ref-hayden2006"/>
    <w:p>
      <w:pPr>
        <w:pStyle w:val="Bibliography"/>
      </w:pPr>
      <w:r>
        <w:t xml:space="preserve">176.</w:t>
      </w:r>
      <w:r>
        <w:t xml:space="preserve"> </w:t>
      </w:r>
      <w:r>
        <w:t xml:space="preserve">	</w:t>
      </w:r>
      <w:r>
        <w:t xml:space="preserve">Hayden, K. M.</w:t>
      </w:r>
      <w:r>
        <w:t xml:space="preserve"> </w:t>
      </w:r>
      <w:r>
        <w:rPr>
          <w:iCs/>
          <w:i/>
        </w:rPr>
        <w:t xml:space="preserve">et al.</w:t>
      </w:r>
      <w:r>
        <w:t xml:space="preserve"> Vascular risk factors for incident</w:t>
      </w:r>
      <w:r>
        <w:t xml:space="preserve"> </w:t>
      </w:r>
      <w:r>
        <w:t xml:space="preserve">Alzheimer</w:t>
      </w:r>
      <w:r>
        <w:t xml:space="preserve"> </w:t>
      </w:r>
      <w:r>
        <w:t xml:space="preserve">disease and vascular dementia -</w:t>
      </w:r>
      <w:r>
        <w:t xml:space="preserve"> </w:t>
      </w:r>
      <w:r>
        <w:t xml:space="preserve">The Cache County</w:t>
      </w:r>
      <w:r>
        <w:t xml:space="preserve"> </w:t>
      </w:r>
      <w:r>
        <w:t xml:space="preserve">study.</w:t>
      </w:r>
      <w:r>
        <w:t xml:space="preserve"> </w:t>
      </w:r>
      <w:r>
        <w:rPr>
          <w:iCs/>
          <w:i/>
        </w:rPr>
        <w:t xml:space="preserve">Alzheimer Disease &amp; Associated Disorders</w:t>
      </w:r>
      <w:r>
        <w:t xml:space="preserve"> </w:t>
      </w:r>
      <w:r>
        <w:rPr>
          <w:bCs/>
          <w:b/>
        </w:rPr>
        <w:t xml:space="preserve">20</w:t>
      </w:r>
      <w:r>
        <w:t xml:space="preserve">, 93–100 (2006).</w:t>
      </w:r>
    </w:p>
    <w:bookmarkEnd w:id="505"/>
    <w:bookmarkStart w:id="506" w:name="X49f9892f062f4edfe92b37e5c1639cb4f6c013f"/>
    <w:p>
      <w:pPr>
        <w:pStyle w:val="Bibliography"/>
      </w:pPr>
      <w:r>
        <w:t xml:space="preserve">177.</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506"/>
    <w:bookmarkStart w:id="507" w:name="ref-hendrie2015"/>
    <w:p>
      <w:pPr>
        <w:pStyle w:val="Bibliography"/>
      </w:pPr>
      <w:r>
        <w:t xml:space="preserve">178.</w:t>
      </w:r>
      <w:r>
        <w:t xml:space="preserve"> </w:t>
      </w:r>
      <w:r>
        <w:t xml:space="preserve">	</w:t>
      </w:r>
      <w:r>
        <w:t xml:space="preserve">Hendrie, H. C.</w:t>
      </w:r>
      <w:r>
        <w:t xml:space="preserve"> </w:t>
      </w:r>
      <w:r>
        <w:rPr>
          <w:iCs/>
          <w:i/>
        </w:rPr>
        <w:t xml:space="preserve">et al.</w:t>
      </w:r>
      <w:r>
        <w:t xml:space="preserve"> Statin use, incident dementia and alzheimer disease in elderly african americans.</w:t>
      </w:r>
      <w:r>
        <w:t xml:space="preserve"> </w:t>
      </w:r>
      <w:r>
        <w:rPr>
          <w:iCs/>
          <w:i/>
        </w:rPr>
        <w:t xml:space="preserve">Ethnicity &amp; Disease</w:t>
      </w:r>
      <w:r>
        <w:t xml:space="preserve"> </w:t>
      </w:r>
      <w:r>
        <w:rPr>
          <w:bCs/>
          <w:b/>
        </w:rPr>
        <w:t xml:space="preserve">25</w:t>
      </w:r>
      <w:r>
        <w:t xml:space="preserve">, 345–354 (2015).</w:t>
      </w:r>
    </w:p>
    <w:bookmarkEnd w:id="507"/>
    <w:bookmarkStart w:id="508" w:name="ref-hippisley-cox2010a"/>
    <w:p>
      <w:pPr>
        <w:pStyle w:val="Bibliography"/>
      </w:pPr>
      <w:r>
        <w:t xml:space="preserve">179.</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 (Clinical research ed.)</w:t>
      </w:r>
      <w:r>
        <w:t xml:space="preserve"> </w:t>
      </w:r>
      <w:r>
        <w:rPr>
          <w:bCs/>
          <w:b/>
        </w:rPr>
        <w:t xml:space="preserve">340</w:t>
      </w:r>
      <w:r>
        <w:t xml:space="preserve">, c2197 (2010).</w:t>
      </w:r>
    </w:p>
    <w:bookmarkEnd w:id="508"/>
    <w:bookmarkStart w:id="509" w:name="ref-jick2000"/>
    <w:p>
      <w:pPr>
        <w:pStyle w:val="Bibliography"/>
      </w:pPr>
      <w:r>
        <w:t xml:space="preserve">180.</w:t>
      </w:r>
      <w:r>
        <w:t xml:space="preserve"> </w:t>
      </w:r>
      <w:r>
        <w:t xml:space="preserve">	</w:t>
      </w:r>
      <w:r>
        <w:t xml:space="preserve">Jick, H., Zornberg, G. L., Jick, S. S., Seshadri, S. &amp; Drachman, D. A. Statins and the risk of dementia.</w:t>
      </w:r>
      <w:r>
        <w:t xml:space="preserve"> </w:t>
      </w:r>
      <w:r>
        <w:rPr>
          <w:iCs/>
          <w:i/>
        </w:rPr>
        <w:t xml:space="preserve">Lancet (London, England)</w:t>
      </w:r>
      <w:r>
        <w:t xml:space="preserve"> </w:t>
      </w:r>
      <w:r>
        <w:rPr>
          <w:bCs/>
          <w:b/>
        </w:rPr>
        <w:t xml:space="preserve">356</w:t>
      </w:r>
      <w:r>
        <w:t xml:space="preserve">, 1627–1631 (2000).</w:t>
      </w:r>
    </w:p>
    <w:bookmarkEnd w:id="509"/>
    <w:bookmarkStart w:id="510" w:name="ref-kimm2011"/>
    <w:p>
      <w:pPr>
        <w:pStyle w:val="Bibliography"/>
      </w:pPr>
      <w:r>
        <w:t xml:space="preserve">181.</w:t>
      </w:r>
      <w:r>
        <w:t xml:space="preserve"> </w:t>
      </w:r>
      <w:r>
        <w:t xml:space="preserve">	</w:t>
      </w:r>
      <w:r>
        <w:t xml:space="preserve">Kimm, H.</w:t>
      </w:r>
      <w:r>
        <w:t xml:space="preserve"> </w:t>
      </w:r>
      <w:r>
        <w:rPr>
          <w:iCs/>
          <w:i/>
        </w:rPr>
        <w:t xml:space="preserve">et al.</w:t>
      </w:r>
      <w:r>
        <w:t xml:space="preserve"> Mid-life and late-life vascular risk factors and dementia in</w:t>
      </w:r>
      <w:r>
        <w:t xml:space="preserve"> </w:t>
      </w:r>
      <w:r>
        <w:t xml:space="preserve">Korean</w:t>
      </w:r>
      <w:r>
        <w:t xml:space="preserve"> </w:t>
      </w:r>
      <w:r>
        <w:t xml:space="preserve">men and women.</w:t>
      </w:r>
      <w:r>
        <w:t xml:space="preserve"> </w:t>
      </w:r>
      <w:r>
        <w:rPr>
          <w:iCs/>
          <w:i/>
        </w:rPr>
        <w:t xml:space="preserve">Archives of Gerontology &amp; Geriatrics</w:t>
      </w:r>
      <w:r>
        <w:t xml:space="preserve"> </w:t>
      </w:r>
      <w:r>
        <w:rPr>
          <w:bCs/>
          <w:b/>
        </w:rPr>
        <w:t xml:space="preserve">52</w:t>
      </w:r>
      <w:r>
        <w:t xml:space="preserve">, e117–122 (2011).</w:t>
      </w:r>
    </w:p>
    <w:bookmarkEnd w:id="510"/>
    <w:bookmarkStart w:id="511" w:name="ref-kivipelto2001"/>
    <w:p>
      <w:pPr>
        <w:pStyle w:val="Bibliography"/>
      </w:pPr>
      <w:r>
        <w:t xml:space="preserve">182.</w:t>
      </w:r>
      <w:r>
        <w:t xml:space="preserve"> </w:t>
      </w:r>
      <w:r>
        <w:t xml:space="preserve">	</w:t>
      </w:r>
      <w:r>
        <w:t xml:space="preserve">Kivipelto, M.</w:t>
      </w:r>
      <w:r>
        <w:t xml:space="preserve"> </w:t>
      </w:r>
      <w:r>
        <w:rPr>
          <w:iCs/>
          <w:i/>
        </w:rPr>
        <w:t xml:space="preserve">et al.</w:t>
      </w:r>
      <w:r>
        <w:t xml:space="preserve"> Midlife vascular risk factors and</w:t>
      </w:r>
      <w:r>
        <w:t xml:space="preserve"> </w:t>
      </w:r>
      <w:r>
        <w:t xml:space="preserve">Alzheimer</w:t>
      </w:r>
      <w:r>
        <w:t xml:space="preserve">’s disease in later life: Longitudinal, population based study.</w:t>
      </w:r>
      <w:r>
        <w:t xml:space="preserve"> </w:t>
      </w:r>
      <w:r>
        <w:rPr>
          <w:iCs/>
          <w:i/>
        </w:rPr>
        <w:t xml:space="preserve">BMJ (Clinical research ed.)</w:t>
      </w:r>
      <w:r>
        <w:t xml:space="preserve"> </w:t>
      </w:r>
      <w:r>
        <w:rPr>
          <w:bCs/>
          <w:b/>
        </w:rPr>
        <w:t xml:space="preserve">322</w:t>
      </w:r>
      <w:r>
        <w:t xml:space="preserve">, 1447–1451 (2001).</w:t>
      </w:r>
    </w:p>
    <w:bookmarkEnd w:id="511"/>
    <w:bookmarkStart w:id="512" w:name="ref-kivipelto2005a"/>
    <w:p>
      <w:pPr>
        <w:pStyle w:val="Bibliography"/>
      </w:pPr>
      <w:r>
        <w:t xml:space="preserve">183.</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512"/>
    <w:bookmarkStart w:id="513" w:name="ref-kuo2015"/>
    <w:p>
      <w:pPr>
        <w:pStyle w:val="Bibliography"/>
      </w:pPr>
      <w:r>
        <w:t xml:space="preserve">184.</w:t>
      </w:r>
      <w:r>
        <w:t xml:space="preserve"> </w:t>
      </w:r>
      <w:r>
        <w:t xml:space="preserve">	</w:t>
      </w:r>
      <w:r>
        <w:t xml:space="preserve">Kuo, S. C.</w:t>
      </w:r>
      <w:r>
        <w:t xml:space="preserve"> </w:t>
      </w:r>
      <w:r>
        <w:rPr>
          <w:iCs/>
          <w:i/>
        </w:rPr>
        <w:t xml:space="preserve">et al.</w:t>
      </w:r>
      <w:r>
        <w:t xml:space="preserve"> Association between comorbidities and dementia in diabetes mellitus patients: Population-based retrospective cohort study.</w:t>
      </w:r>
      <w:r>
        <w:t xml:space="preserve"> </w:t>
      </w:r>
      <w:r>
        <w:rPr>
          <w:iCs/>
          <w:i/>
        </w:rPr>
        <w:t xml:space="preserve">Journal of Diabetes &amp; its Complications</w:t>
      </w:r>
      <w:r>
        <w:t xml:space="preserve"> </w:t>
      </w:r>
      <w:r>
        <w:rPr>
          <w:bCs/>
          <w:b/>
        </w:rPr>
        <w:t xml:space="preserve">29</w:t>
      </w:r>
      <w:r>
        <w:t xml:space="preserve">, 1071–1076 (2015).</w:t>
      </w:r>
    </w:p>
    <w:bookmarkEnd w:id="513"/>
    <w:bookmarkStart w:id="514" w:name="ref-larsson2017a"/>
    <w:p>
      <w:pPr>
        <w:pStyle w:val="Bibliography"/>
      </w:pPr>
      <w:r>
        <w:t xml:space="preserve">185.</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514"/>
    <w:bookmarkStart w:id="515" w:name="ref-li2004"/>
    <w:p>
      <w:pPr>
        <w:pStyle w:val="Bibliography"/>
      </w:pPr>
      <w:r>
        <w:t xml:space="preserve">186.</w:t>
      </w:r>
      <w:r>
        <w:t xml:space="preserve"> </w:t>
      </w:r>
      <w:r>
        <w:t xml:space="preserve">	</w:t>
      </w:r>
      <w:r>
        <w:t xml:space="preserve">Li, G.</w:t>
      </w:r>
      <w:r>
        <w:t xml:space="preserve"> </w:t>
      </w:r>
      <w:r>
        <w:rPr>
          <w:iCs/>
          <w:i/>
        </w:rPr>
        <w:t xml:space="preserve">et al.</w:t>
      </w:r>
      <w:r>
        <w:t xml:space="preserve"> Statin therapy and risk of dementia in the elderly: A community-based prospective cohort study.</w:t>
      </w:r>
      <w:r>
        <w:t xml:space="preserve"> </w:t>
      </w:r>
      <w:r>
        <w:rPr>
          <w:iCs/>
          <w:i/>
        </w:rPr>
        <w:t xml:space="preserve">Neurology</w:t>
      </w:r>
      <w:r>
        <w:t xml:space="preserve"> </w:t>
      </w:r>
      <w:r>
        <w:rPr>
          <w:bCs/>
          <w:b/>
        </w:rPr>
        <w:t xml:space="preserve">63</w:t>
      </w:r>
      <w:r>
        <w:t xml:space="preserve">, 1624–1628 (2004).</w:t>
      </w:r>
    </w:p>
    <w:bookmarkEnd w:id="515"/>
    <w:bookmarkStart w:id="516" w:name="ref-li2010"/>
    <w:p>
      <w:pPr>
        <w:pStyle w:val="Bibliography"/>
      </w:pPr>
      <w:r>
        <w:t xml:space="preserve">187.</w:t>
      </w:r>
      <w:r>
        <w:t xml:space="preserve"> </w:t>
      </w:r>
      <w:r>
        <w:t xml:space="preserve">	</w:t>
      </w:r>
      <w:r>
        <w:t xml:space="preserve">Li, G.</w:t>
      </w:r>
      <w:r>
        <w:t xml:space="preserve"> </w:t>
      </w:r>
      <w:r>
        <w:rPr>
          <w:iCs/>
          <w:i/>
        </w:rPr>
        <w:t xml:space="preserve">et al.</w:t>
      </w:r>
      <w:r>
        <w:t xml:space="preserve"> Age-varying association between statin use and incident</w:t>
      </w:r>
      <w:r>
        <w:t xml:space="preserve"> </w:t>
      </w:r>
      <w:r>
        <w:t xml:space="preserve">Alzheimer</w:t>
      </w:r>
      <w:r>
        <w:t xml:space="preserve">’s disease.</w:t>
      </w:r>
      <w:r>
        <w:t xml:space="preserve"> </w:t>
      </w:r>
      <w:r>
        <w:rPr>
          <w:iCs/>
          <w:i/>
        </w:rPr>
        <w:t xml:space="preserve">Journal of the American Geriatrics Society</w:t>
      </w:r>
      <w:r>
        <w:t xml:space="preserve"> </w:t>
      </w:r>
      <w:r>
        <w:rPr>
          <w:bCs/>
          <w:b/>
        </w:rPr>
        <w:t xml:space="preserve">58</w:t>
      </w:r>
      <w:r>
        <w:t xml:space="preserve">, 1311–1317 (2010).</w:t>
      </w:r>
    </w:p>
    <w:bookmarkEnd w:id="516"/>
    <w:bookmarkStart w:id="517" w:name="ref-liao2013"/>
    <w:p>
      <w:pPr>
        <w:pStyle w:val="Bibliography"/>
      </w:pPr>
      <w:r>
        <w:t xml:space="preserve">188.</w:t>
      </w:r>
      <w:r>
        <w:t xml:space="preserve"> </w:t>
      </w:r>
      <w:r>
        <w:t xml:space="preserve">	</w:t>
      </w:r>
      <w:r>
        <w:t xml:space="preserve">Liao, M. T., Tsai, C. T. &amp; Lin, J. L. Statins reduce the incidence of dementia in patients with atrial fibrillation: A nationwide cohort study.</w:t>
      </w:r>
      <w:r>
        <w:t xml:space="preserve"> </w:t>
      </w:r>
      <w:r>
        <w:rPr>
          <w:iCs/>
          <w:i/>
        </w:rPr>
        <w:t xml:space="preserve">European Heart Journal</w:t>
      </w:r>
      <w:r>
        <w:t xml:space="preserve"> </w:t>
      </w:r>
      <w:r>
        <w:rPr>
          <w:bCs/>
          <w:b/>
        </w:rPr>
        <w:t xml:space="preserve">34</w:t>
      </w:r>
      <w:r>
        <w:t xml:space="preserve">, 740–741 (2013).</w:t>
      </w:r>
    </w:p>
    <w:bookmarkEnd w:id="517"/>
    <w:bookmarkStart w:id="518" w:name="ref-liu2019a"/>
    <w:p>
      <w:pPr>
        <w:pStyle w:val="Bibliography"/>
      </w:pPr>
      <w:r>
        <w:t xml:space="preserve">189.</w:t>
      </w:r>
      <w:r>
        <w:t xml:space="preserve"> </w:t>
      </w:r>
      <w:r>
        <w:t xml:space="preserve">	</w:t>
      </w:r>
      <w:r>
        <w:t xml:space="preserve">Liu, J. M., Chen, T. H., Chuang, H. C., Wu, C. T. &amp; Hsu, R. J. Statin reduces the risk of dementia in diabetic patients receiving androgen deprivation therapy for prostate cancer.</w:t>
      </w:r>
      <w:r>
        <w:t xml:space="preserve"> </w:t>
      </w:r>
      <w:r>
        <w:rPr>
          <w:iCs/>
          <w:i/>
        </w:rPr>
        <w:t xml:space="preserve">Prostate Cancer &amp; Prostatic Diseases</w:t>
      </w:r>
      <w:r>
        <w:t xml:space="preserve"> </w:t>
      </w:r>
      <w:r>
        <w:rPr>
          <w:bCs/>
          <w:b/>
        </w:rPr>
        <w:t xml:space="preserve">22</w:t>
      </w:r>
      <w:r>
        <w:t xml:space="preserve">, 276–283 (2019).</w:t>
      </w:r>
    </w:p>
    <w:bookmarkEnd w:id="518"/>
    <w:bookmarkStart w:id="519" w:name="ref-mainousa.g.2005"/>
    <w:p>
      <w:pPr>
        <w:pStyle w:val="Bibliography"/>
      </w:pPr>
      <w:r>
        <w:t xml:space="preserve">190.</w:t>
      </w:r>
      <w:r>
        <w:t xml:space="preserve"> </w:t>
      </w:r>
      <w:r>
        <w:t xml:space="preserve">	</w:t>
      </w:r>
      <w:r>
        <w:t xml:space="preserve">Mainous, 3rd.,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519"/>
    <w:bookmarkStart w:id="520" w:name="ref-mielke2005a"/>
    <w:p>
      <w:pPr>
        <w:pStyle w:val="Bibliography"/>
      </w:pPr>
      <w:r>
        <w:t xml:space="preserve">191.</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520"/>
    <w:bookmarkStart w:id="521" w:name="ref-mielke2010a"/>
    <w:p>
      <w:pPr>
        <w:pStyle w:val="Bibliography"/>
      </w:pPr>
      <w:r>
        <w:t xml:space="preserve">192.</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521"/>
    <w:bookmarkStart w:id="522" w:name="ref-mielke2011"/>
    <w:p>
      <w:pPr>
        <w:pStyle w:val="Bibliography"/>
      </w:pPr>
      <w:r>
        <w:t xml:space="preserve">193.</w:t>
      </w:r>
      <w:r>
        <w:t xml:space="preserve"> </w:t>
      </w:r>
      <w:r>
        <w:t xml:space="preserve">	</w:t>
      </w:r>
      <w:r>
        <w:t xml:space="preserve">Mielke, M.</w:t>
      </w:r>
      <w:r>
        <w:t xml:space="preserve"> </w:t>
      </w:r>
      <w:r>
        <w:rPr>
          <w:iCs/>
          <w:i/>
        </w:rPr>
        <w:t xml:space="preserve">et al.</w:t>
      </w:r>
      <w:r>
        <w:t xml:space="preserve"> Serum ceramides predict incident alzheimer’s disease:</w:t>
      </w:r>
      <w:r>
        <w:t xml:space="preserve"> </w:t>
      </w:r>
      <w:r>
        <w:t xml:space="preserve">The</w:t>
      </w:r>
      <w:r>
        <w:t xml:space="preserve"> </w:t>
      </w:r>
      <w:r>
        <w:t xml:space="preserve">women’s health and aging study (whas)</w:t>
      </w:r>
      <w:r>
        <w:t xml:space="preserve"> </w:t>
      </w:r>
      <w:r>
        <w:t xml:space="preserve">II</w:t>
      </w:r>
      <w:r>
        <w:t xml:space="preserve">.</w:t>
      </w:r>
      <w:r>
        <w:t xml:space="preserve"> </w:t>
      </w:r>
      <w:r>
        <w:rPr>
          <w:iCs/>
          <w:i/>
        </w:rPr>
        <w:t xml:space="preserve">Alzheimer’s and Dementia</w:t>
      </w:r>
      <w:r>
        <w:t xml:space="preserve"> </w:t>
      </w:r>
      <w:r>
        <w:rPr>
          <w:bCs/>
          <w:b/>
        </w:rPr>
        <w:t xml:space="preserve">1)</w:t>
      </w:r>
      <w:r>
        <w:t xml:space="preserve">, S607 (2011).</w:t>
      </w:r>
    </w:p>
    <w:bookmarkEnd w:id="522"/>
    <w:bookmarkStart w:id="523" w:name="ref-mukherjee2013"/>
    <w:p>
      <w:pPr>
        <w:pStyle w:val="Bibliography"/>
      </w:pPr>
      <w:r>
        <w:t xml:space="preserve">194.</w:t>
      </w:r>
      <w:r>
        <w:t xml:space="preserve"> </w:t>
      </w:r>
      <w:r>
        <w:t xml:space="preserve">	</w:t>
      </w:r>
      <w:r>
        <w:t xml:space="preserve">Mukherjee, S.</w:t>
      </w:r>
      <w:r>
        <w:t xml:space="preserve"> </w:t>
      </w:r>
      <w:r>
        <w:rPr>
          <w:iCs/>
          <w:i/>
        </w:rPr>
        <w:t xml:space="preserve">et al.</w:t>
      </w:r>
      <w:r>
        <w:t xml:space="preserve"> Vascular disease, vascular risk factors and risk of late-onset</w:t>
      </w:r>
      <w:r>
        <w:t xml:space="preserve"> </w:t>
      </w:r>
      <w:r>
        <w:t xml:space="preserve">Alzheimer</w:t>
      </w:r>
      <w:r>
        <w:t xml:space="preserve">’s disease:</w:t>
      </w:r>
      <w:r>
        <w:t xml:space="preserve"> </w:t>
      </w:r>
      <w:r>
        <w:t xml:space="preserve">Mendelian</w:t>
      </w:r>
      <w:r>
        <w:t xml:space="preserve"> </w:t>
      </w:r>
      <w:r>
        <w:t xml:space="preserve">randomization analyses in the combined adgc dataset.</w:t>
      </w:r>
      <w:r>
        <w:t xml:space="preserve"> </w:t>
      </w:r>
      <w:r>
        <w:rPr>
          <w:iCs/>
          <w:i/>
        </w:rPr>
        <w:t xml:space="preserve">Alzheimer’s and Dementia</w:t>
      </w:r>
      <w:r>
        <w:t xml:space="preserve"> </w:t>
      </w:r>
      <w:r>
        <w:rPr>
          <w:bCs/>
          <w:b/>
        </w:rPr>
        <w:t xml:space="preserve">1)</w:t>
      </w:r>
      <w:r>
        <w:t xml:space="preserve">, P694 (2013).</w:t>
      </w:r>
    </w:p>
    <w:bookmarkEnd w:id="523"/>
    <w:bookmarkStart w:id="524" w:name="ref-muller2007"/>
    <w:p>
      <w:pPr>
        <w:pStyle w:val="Bibliography"/>
      </w:pPr>
      <w:r>
        <w:t xml:space="preserve">195.</w:t>
      </w:r>
      <w:r>
        <w:t xml:space="preserve"> </w:t>
      </w:r>
      <w:r>
        <w:t xml:space="preserve">	</w:t>
      </w:r>
      <w:r>
        <w:t xml:space="preserve">Muller, M.</w:t>
      </w:r>
      <w:r>
        <w:t xml:space="preserve"> </w:t>
      </w:r>
      <w:r>
        <w:rPr>
          <w:iCs/>
          <w:i/>
        </w:rPr>
        <w:t xml:space="preserve">et al.</w:t>
      </w:r>
      <w:r>
        <w:t xml:space="preserve"> Metabolic syndrome and dementia risk in a multiethnic elderly cohort.</w:t>
      </w:r>
      <w:r>
        <w:t xml:space="preserve"> </w:t>
      </w:r>
      <w:r>
        <w:rPr>
          <w:iCs/>
          <w:i/>
        </w:rPr>
        <w:t xml:space="preserve">Dementia &amp; Geriatric Cognitive Disorders</w:t>
      </w:r>
      <w:r>
        <w:t xml:space="preserve"> </w:t>
      </w:r>
      <w:r>
        <w:rPr>
          <w:bCs/>
          <w:b/>
        </w:rPr>
        <w:t xml:space="preserve">24</w:t>
      </w:r>
      <w:r>
        <w:t xml:space="preserve">, 185–192 (2007).</w:t>
      </w:r>
    </w:p>
    <w:bookmarkEnd w:id="524"/>
    <w:bookmarkStart w:id="525" w:name="ref-noale2013"/>
    <w:p>
      <w:pPr>
        <w:pStyle w:val="Bibliography"/>
      </w:pPr>
      <w:r>
        <w:t xml:space="preserve">196.</w:t>
      </w:r>
      <w:r>
        <w:t xml:space="preserve"> </w:t>
      </w:r>
      <w:r>
        <w:t xml:space="preserve">	</w:t>
      </w:r>
      <w:r>
        <w:t xml:space="preserve">Noale, M.</w:t>
      </w:r>
      <w:r>
        <w:t xml:space="preserve"> </w:t>
      </w:r>
      <w:r>
        <w:rPr>
          <w:iCs/>
          <w:i/>
        </w:rPr>
        <w:t xml:space="preserve">et al.</w:t>
      </w:r>
      <w:r>
        <w:t xml:space="preserve"> Incidence of dementia: Evidence for an effect modification by gender.</w:t>
      </w:r>
      <w:r>
        <w:t xml:space="preserve"> </w:t>
      </w:r>
      <w:r>
        <w:t xml:space="preserve">The ILSA Study</w:t>
      </w:r>
      <w:r>
        <w:t xml:space="preserve">.</w:t>
      </w:r>
      <w:r>
        <w:t xml:space="preserve"> </w:t>
      </w:r>
      <w:r>
        <w:rPr>
          <w:iCs/>
          <w:i/>
        </w:rPr>
        <w:t xml:space="preserve">International Psychogeriatrics</w:t>
      </w:r>
      <w:r>
        <w:t xml:space="preserve"> </w:t>
      </w:r>
      <w:r>
        <w:rPr>
          <w:bCs/>
          <w:b/>
        </w:rPr>
        <w:t xml:space="preserve">25</w:t>
      </w:r>
      <w:r>
        <w:t xml:space="preserve">, 1867–1876 (2013).</w:t>
      </w:r>
    </w:p>
    <w:bookmarkEnd w:id="525"/>
    <w:bookmarkStart w:id="526" w:name="ref-notkola1998"/>
    <w:p>
      <w:pPr>
        <w:pStyle w:val="Bibliography"/>
      </w:pPr>
      <w:r>
        <w:t xml:space="preserve">197.</w:t>
      </w:r>
      <w:r>
        <w:t xml:space="preserve"> </w:t>
      </w:r>
      <w:r>
        <w:t xml:space="preserve">	</w:t>
      </w:r>
      <w:r>
        <w:t xml:space="preserve">Notkola, I. L.</w:t>
      </w:r>
      <w:r>
        <w:t xml:space="preserve"> </w:t>
      </w:r>
      <w:r>
        <w:rPr>
          <w:iCs/>
          <w:i/>
        </w:rPr>
        <w:t xml:space="preserve">et al.</w:t>
      </w:r>
      <w:r>
        <w:t xml:space="preserve"> Serum total cholesterol, apolipoprotein</w:t>
      </w:r>
      <w:r>
        <w:t xml:space="preserve"> </w:t>
      </w:r>
      <w:r>
        <w:t xml:space="preserve">E</w:t>
      </w:r>
      <w:r>
        <w:t xml:space="preserve"> </w:t>
      </w:r>
      <w:r>
        <w:t xml:space="preserve">epsilon 4 allele, and</w:t>
      </w:r>
      <w:r>
        <w:t xml:space="preserve"> </w:t>
      </w:r>
      <w:r>
        <w:t xml:space="preserve">Alzheimer</w:t>
      </w:r>
      <w:r>
        <w:t xml:space="preserve">’s disease.</w:t>
      </w:r>
      <w:r>
        <w:t xml:space="preserve"> </w:t>
      </w:r>
      <w:r>
        <w:rPr>
          <w:iCs/>
          <w:i/>
        </w:rPr>
        <w:t xml:space="preserve">Neuroepidemiology</w:t>
      </w:r>
      <w:r>
        <w:t xml:space="preserve"> </w:t>
      </w:r>
      <w:r>
        <w:rPr>
          <w:bCs/>
          <w:b/>
        </w:rPr>
        <w:t xml:space="preserve">17</w:t>
      </w:r>
      <w:r>
        <w:t xml:space="preserve">, 14–20 (1998).</w:t>
      </w:r>
    </w:p>
    <w:bookmarkEnd w:id="526"/>
    <w:bookmarkStart w:id="527" w:name="ref-ostergaard2017"/>
    <w:p>
      <w:pPr>
        <w:pStyle w:val="Bibliography"/>
      </w:pPr>
      <w:r>
        <w:t xml:space="preserve">198.</w:t>
      </w:r>
      <w:r>
        <w:t xml:space="preserve"> </w:t>
      </w:r>
      <w:r>
        <w:t xml:space="preserve">	</w:t>
      </w:r>
      <w:r>
        <w:t xml:space="preserve">Ostergaard, S. D.</w:t>
      </w:r>
      <w:r>
        <w:t xml:space="preserve"> </w:t>
      </w:r>
      <w:r>
        <w:rPr>
          <w:iCs/>
          <w:i/>
        </w:rPr>
        <w:t xml:space="preserve">et al.</w:t>
      </w:r>
      <w:r>
        <w:t xml:space="preserve"> Associations between potentially modifiable risk factors and</w:t>
      </w:r>
      <w:r>
        <w:t xml:space="preserve"> </w:t>
      </w:r>
      <w:r>
        <w:t xml:space="preserve">Alzheimer</w:t>
      </w:r>
      <w:r>
        <w:t xml:space="preserve"> </w:t>
      </w:r>
      <w:r>
        <w:t xml:space="preserve">disease:</w:t>
      </w:r>
      <w:r>
        <w:t xml:space="preserve"> </w:t>
      </w:r>
      <w:r>
        <w:t xml:space="preserve">A Mendelian</w:t>
      </w:r>
      <w:r>
        <w:t xml:space="preserve"> </w:t>
      </w:r>
      <w:r>
        <w:t xml:space="preserve">randomization study.</w:t>
      </w:r>
      <w:r>
        <w:t xml:space="preserve"> </w:t>
      </w:r>
      <w:r>
        <w:rPr>
          <w:iCs/>
          <w:i/>
        </w:rPr>
        <w:t xml:space="preserve">European Neuropsychopharmacology</w:t>
      </w:r>
      <w:r>
        <w:t xml:space="preserve"> </w:t>
      </w:r>
      <w:r>
        <w:rPr>
          <w:bCs/>
          <w:b/>
        </w:rPr>
        <w:t xml:space="preserve">27 (Supplement 2)</w:t>
      </w:r>
      <w:r>
        <w:t xml:space="preserve">, S166–S167 (2017).</w:t>
      </w:r>
    </w:p>
    <w:bookmarkEnd w:id="527"/>
    <w:bookmarkStart w:id="528" w:name="ref-pan2018"/>
    <w:p>
      <w:pPr>
        <w:pStyle w:val="Bibliography"/>
      </w:pPr>
      <w:r>
        <w:t xml:space="preserve">199.</w:t>
      </w:r>
      <w:r>
        <w:t xml:space="preserve"> </w:t>
      </w:r>
      <w:r>
        <w:t xml:space="preserve">	</w:t>
      </w:r>
      <w:r>
        <w:t xml:space="preserve">Pan, M. L., Hsu, C. C., Chen, Y. M., Yu, H. K. &amp; Hu, G. C. Statin use and the risk of dementia in patients with stroke:</w:t>
      </w:r>
      <w:r>
        <w:t xml:space="preserve"> </w:t>
      </w:r>
      <w:r>
        <w:t xml:space="preserve">A</w:t>
      </w:r>
      <w:r>
        <w:t xml:space="preserve"> </w:t>
      </w:r>
      <w:r>
        <w:t xml:space="preserve">nationwide population-based cohort study.</w:t>
      </w:r>
      <w:r>
        <w:t xml:space="preserve"> </w:t>
      </w:r>
      <w:r>
        <w:rPr>
          <w:iCs/>
          <w:i/>
        </w:rPr>
        <w:t xml:space="preserve">Journal of Stroke &amp; Cerebrovascular Diseases</w:t>
      </w:r>
      <w:r>
        <w:t xml:space="preserve"> </w:t>
      </w:r>
      <w:r>
        <w:rPr>
          <w:bCs/>
          <w:b/>
        </w:rPr>
        <w:t xml:space="preserve">27</w:t>
      </w:r>
      <w:r>
        <w:t xml:space="preserve">, 3001–3007 (2018).</w:t>
      </w:r>
    </w:p>
    <w:bookmarkEnd w:id="528"/>
    <w:bookmarkStart w:id="529" w:name="ref-parikh2011"/>
    <w:p>
      <w:pPr>
        <w:pStyle w:val="Bibliography"/>
      </w:pPr>
      <w:r>
        <w:t xml:space="preserve">200.</w:t>
      </w:r>
      <w:r>
        <w:t xml:space="preserve"> </w:t>
      </w:r>
      <w:r>
        <w:t xml:space="preserve">	</w:t>
      </w:r>
      <w:r>
        <w:t xml:space="preserve">Parikh, N. M.</w:t>
      </w:r>
      <w:r>
        <w:t xml:space="preserve"> </w:t>
      </w:r>
      <w:r>
        <w:rPr>
          <w:iCs/>
          <w:i/>
        </w:rPr>
        <w:t xml:space="preserve">et al.</w:t>
      </w:r>
      <w:r>
        <w:t xml:space="preserve"> Risk factors for dementia in patients over 65 with diabetes.</w:t>
      </w:r>
      <w:r>
        <w:t xml:space="preserve"> </w:t>
      </w:r>
      <w:r>
        <w:rPr>
          <w:iCs/>
          <w:i/>
        </w:rPr>
        <w:t xml:space="preserve">International Journal of Geriatric Psychiatry</w:t>
      </w:r>
      <w:r>
        <w:t xml:space="preserve"> </w:t>
      </w:r>
      <w:r>
        <w:rPr>
          <w:bCs/>
          <w:b/>
        </w:rPr>
        <w:t xml:space="preserve">26</w:t>
      </w:r>
      <w:r>
        <w:t xml:space="preserve">, 749–757 (2011).</w:t>
      </w:r>
    </w:p>
    <w:bookmarkEnd w:id="529"/>
    <w:bookmarkStart w:id="530" w:name="ref-peters2009"/>
    <w:p>
      <w:pPr>
        <w:pStyle w:val="Bibliography"/>
      </w:pPr>
      <w:r>
        <w:t xml:space="preserve">201.</w:t>
      </w:r>
      <w:r>
        <w:t xml:space="preserve"> </w:t>
      </w:r>
      <w:r>
        <w:t xml:space="preserve">	</w:t>
      </w:r>
      <w:r>
        <w:t xml:space="preserve">Peters, R.</w:t>
      </w:r>
      <w:r>
        <w:t xml:space="preserve"> </w:t>
      </w:r>
      <w:r>
        <w:rPr>
          <w:iCs/>
          <w:i/>
        </w:rPr>
        <w:t xml:space="preserve">et al.</w:t>
      </w:r>
      <w:r>
        <w:t xml:space="preserve"> Cardiovascular and biochemical risk factors for incident dementia in the</w:t>
      </w:r>
      <w:r>
        <w:t xml:space="preserve"> </w:t>
      </w:r>
      <w:r>
        <w:t xml:space="preserve">Hypertension</w:t>
      </w:r>
      <w:r>
        <w:t xml:space="preserve"> </w:t>
      </w:r>
      <w:r>
        <w:t xml:space="preserve">in the</w:t>
      </w:r>
      <w:r>
        <w:t xml:space="preserve"> </w:t>
      </w:r>
      <w:r>
        <w:t xml:space="preserve">Very Elderly Trial</w:t>
      </w:r>
      <w:r>
        <w:t xml:space="preserve">.</w:t>
      </w:r>
      <w:r>
        <w:t xml:space="preserve"> </w:t>
      </w:r>
      <w:r>
        <w:rPr>
          <w:iCs/>
          <w:i/>
        </w:rPr>
        <w:t xml:space="preserve">Journal of Hypertension</w:t>
      </w:r>
      <w:r>
        <w:t xml:space="preserve"> </w:t>
      </w:r>
      <w:r>
        <w:rPr>
          <w:bCs/>
          <w:b/>
        </w:rPr>
        <w:t xml:space="preserve">27</w:t>
      </w:r>
      <w:r>
        <w:t xml:space="preserve">, 2055–2062 (2009).</w:t>
      </w:r>
    </w:p>
    <w:bookmarkEnd w:id="530"/>
    <w:bookmarkStart w:id="531" w:name="ref-raffaitin2009"/>
    <w:p>
      <w:pPr>
        <w:pStyle w:val="Bibliography"/>
      </w:pPr>
      <w:r>
        <w:t xml:space="preserve">202.</w:t>
      </w:r>
      <w:r>
        <w:t xml:space="preserve"> </w:t>
      </w:r>
      <w:r>
        <w:t xml:space="preserve">	</w:t>
      </w:r>
      <w:r>
        <w:t xml:space="preserve">Raffaitin, C.</w:t>
      </w:r>
      <w:r>
        <w:t xml:space="preserve"> </w:t>
      </w:r>
      <w:r>
        <w:rPr>
          <w:iCs/>
          <w:i/>
        </w:rPr>
        <w:t xml:space="preserve">et al.</w:t>
      </w:r>
      <w:r>
        <w:t xml:space="preserve"> Metabolic syndrome and risk for incident</w:t>
      </w:r>
      <w:r>
        <w:t xml:space="preserve"> </w:t>
      </w:r>
      <w:r>
        <w:t xml:space="preserve">Alzheimer</w:t>
      </w:r>
      <w:r>
        <w:t xml:space="preserve">’s disease or vascular dementia: The</w:t>
      </w:r>
      <w:r>
        <w:t xml:space="preserve"> </w:t>
      </w:r>
      <w:r>
        <w:t xml:space="preserve">Three</w:t>
      </w:r>
      <w:r>
        <w:t xml:space="preserve">-</w:t>
      </w:r>
      <w:r>
        <w:t xml:space="preserve">City Study</w:t>
      </w:r>
      <w:r>
        <w:t xml:space="preserve">.</w:t>
      </w:r>
      <w:r>
        <w:t xml:space="preserve"> </w:t>
      </w:r>
      <w:r>
        <w:rPr>
          <w:iCs/>
          <w:i/>
        </w:rPr>
        <w:t xml:space="preserve">Diabetes Care</w:t>
      </w:r>
      <w:r>
        <w:t xml:space="preserve"> </w:t>
      </w:r>
      <w:r>
        <w:rPr>
          <w:bCs/>
          <w:b/>
        </w:rPr>
        <w:t xml:space="preserve">32</w:t>
      </w:r>
      <w:r>
        <w:t xml:space="preserve">, 169–174 (2009).</w:t>
      </w:r>
    </w:p>
    <w:bookmarkEnd w:id="531"/>
    <w:bookmarkStart w:id="532" w:name="ref-rantanen2017"/>
    <w:p>
      <w:pPr>
        <w:pStyle w:val="Bibliography"/>
      </w:pPr>
      <w:r>
        <w:t xml:space="preserve">203.</w:t>
      </w:r>
      <w:r>
        <w:t xml:space="preserve"> </w:t>
      </w:r>
      <w:r>
        <w:t xml:space="preserve">	</w:t>
      </w:r>
      <w:r>
        <w:t xml:space="preserve">Rantanen, K.</w:t>
      </w:r>
      <w:r>
        <w:t xml:space="preserve"> </w:t>
      </w:r>
      <w:r>
        <w:rPr>
          <w:iCs/>
          <w:i/>
        </w:rPr>
        <w:t xml:space="preserve">et al.</w:t>
      </w:r>
      <w:r>
        <w:t xml:space="preserve"> Cardiovascular risk factors and glucose tolerance in midlife and risk of cognitive disorders in old age up to a 49-year follow-up of the</w:t>
      </w:r>
      <w:r>
        <w:t xml:space="preserve"> </w:t>
      </w:r>
      <w:r>
        <w:t xml:space="preserve">Helsinki</w:t>
      </w:r>
      <w:r>
        <w:t xml:space="preserve"> </w:t>
      </w:r>
      <w:r>
        <w:t xml:space="preserve">businessmen study.</w:t>
      </w:r>
      <w:r>
        <w:t xml:space="preserve"> </w:t>
      </w:r>
      <w:r>
        <w:rPr>
          <w:iCs/>
          <w:i/>
        </w:rPr>
        <w:t xml:space="preserve">Annals of Medicine</w:t>
      </w:r>
      <w:r>
        <w:t xml:space="preserve"> </w:t>
      </w:r>
      <w:r>
        <w:rPr>
          <w:bCs/>
          <w:b/>
        </w:rPr>
        <w:t xml:space="preserve">49</w:t>
      </w:r>
      <w:r>
        <w:t xml:space="preserve">, 462–469 (2017).</w:t>
      </w:r>
    </w:p>
    <w:bookmarkEnd w:id="532"/>
    <w:bookmarkStart w:id="533" w:name="ref-rea2005a"/>
    <w:p>
      <w:pPr>
        <w:pStyle w:val="Bibliography"/>
      </w:pPr>
      <w:r>
        <w:t xml:space="preserve">204.</w:t>
      </w:r>
      <w:r>
        <w:t xml:space="preserve"> </w:t>
      </w:r>
      <w:r>
        <w:t xml:space="preserve">	</w:t>
      </w:r>
      <w:r>
        <w:t xml:space="preserve">Rea, T. D.</w:t>
      </w:r>
      <w:r>
        <w:t xml:space="preserve"> </w:t>
      </w:r>
      <w:r>
        <w:rPr>
          <w:iCs/>
          <w:i/>
        </w:rPr>
        <w:t xml:space="preserve">et al.</w:t>
      </w:r>
      <w:r>
        <w:t xml:space="preserve"> Statin use and the risk of incident dementia: The</w:t>
      </w:r>
      <w:r>
        <w:t xml:space="preserve"> </w:t>
      </w:r>
      <w:r>
        <w:t xml:space="preserve">Cardiovascular Health Study</w:t>
      </w:r>
      <w:r>
        <w:t xml:space="preserve">.</w:t>
      </w:r>
      <w:r>
        <w:t xml:space="preserve"> </w:t>
      </w:r>
      <w:r>
        <w:rPr>
          <w:iCs/>
          <w:i/>
        </w:rPr>
        <w:t xml:space="preserve">Archives of Neurology</w:t>
      </w:r>
      <w:r>
        <w:t xml:space="preserve"> </w:t>
      </w:r>
      <w:r>
        <w:rPr>
          <w:bCs/>
          <w:b/>
        </w:rPr>
        <w:t xml:space="preserve">62</w:t>
      </w:r>
      <w:r>
        <w:t xml:space="preserve">, 1047–1051 (2005).</w:t>
      </w:r>
    </w:p>
    <w:bookmarkEnd w:id="533"/>
    <w:bookmarkStart w:id="534" w:name="ref-redelmeier2019"/>
    <w:p>
      <w:pPr>
        <w:pStyle w:val="Bibliography"/>
      </w:pPr>
      <w:r>
        <w:t xml:space="preserve">205.</w:t>
      </w:r>
      <w:r>
        <w:t xml:space="preserve"> </w:t>
      </w:r>
      <w:r>
        <w:t xml:space="preserve">	</w:t>
      </w:r>
      <w:r>
        <w:t xml:space="preserve">Redelmeier, D. A., Manzoor, F. &amp; Thiruchelvam, D. Association between statin use and risk of dementia after a concussion.</w:t>
      </w:r>
      <w:r>
        <w:t xml:space="preserve"> </w:t>
      </w:r>
      <w:r>
        <w:rPr>
          <w:iCs/>
          <w:i/>
        </w:rPr>
        <w:t xml:space="preserve">JAMA Neurology</w:t>
      </w:r>
      <w:r>
        <w:t xml:space="preserve"> </w:t>
      </w:r>
      <w:r>
        <w:rPr>
          <w:bCs/>
          <w:b/>
        </w:rPr>
        <w:t xml:space="preserve">20</w:t>
      </w:r>
      <w:r>
        <w:t xml:space="preserve">, 20 (2019).</w:t>
      </w:r>
    </w:p>
    <w:bookmarkEnd w:id="534"/>
    <w:bookmarkStart w:id="535" w:name="ref-reitz2010"/>
    <w:p>
      <w:pPr>
        <w:pStyle w:val="Bibliography"/>
      </w:pPr>
      <w:r>
        <w:t xml:space="preserve">206.</w:t>
      </w:r>
      <w:r>
        <w:t xml:space="preserve"> </w:t>
      </w:r>
      <w:r>
        <w:t xml:space="preserve">	</w:t>
      </w:r>
      <w:r>
        <w:t xml:space="preserve">Reitz, C.</w:t>
      </w:r>
      <w:r>
        <w:t xml:space="preserve"> </w:t>
      </w:r>
      <w:r>
        <w:rPr>
          <w:iCs/>
          <w:i/>
        </w:rPr>
        <w:t xml:space="preserve">et al.</w:t>
      </w:r>
      <w:r>
        <w:t xml:space="preserve"> Association of higher levels of high-density lipoprotein cholesterol in elderly individuals and lower risk of late-onset</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67</w:t>
      </w:r>
      <w:r>
        <w:t xml:space="preserve">, 1491–1497 (2010).</w:t>
      </w:r>
    </w:p>
    <w:bookmarkEnd w:id="535"/>
    <w:bookmarkStart w:id="536" w:name="ref-ridker2008"/>
    <w:p>
      <w:pPr>
        <w:pStyle w:val="Bibliography"/>
      </w:pPr>
      <w:r>
        <w:t xml:space="preserve">207.</w:t>
      </w:r>
      <w:r>
        <w:t xml:space="preserve"> </w:t>
      </w:r>
      <w:r>
        <w:t xml:space="preserve">	</w:t>
      </w:r>
      <w:r>
        <w:t xml:space="preserve">Ridker, P. M.</w:t>
      </w:r>
      <w:r>
        <w:t xml:space="preserve"> </w:t>
      </w:r>
      <w:r>
        <w:rPr>
          <w:iCs/>
          <w:i/>
        </w:rPr>
        <w:t xml:space="preserve">et al.</w:t>
      </w:r>
      <w:r>
        <w:t xml:space="preserve"> Rosuvastatin to</w:t>
      </w:r>
      <w:r>
        <w:t xml:space="preserve"> </w:t>
      </w:r>
      <w:r>
        <w:t xml:space="preserve">Prevent Vascular Events</w:t>
      </w:r>
      <w:r>
        <w:t xml:space="preserve"> </w:t>
      </w:r>
      <w:r>
        <w:t xml:space="preserve">in</w:t>
      </w:r>
      <w:r>
        <w:t xml:space="preserve"> </w:t>
      </w:r>
      <w:r>
        <w:t xml:space="preserve">Men</w:t>
      </w:r>
      <w:r>
        <w:t xml:space="preserve"> </w:t>
      </w:r>
      <w:r>
        <w:t xml:space="preserve">and</w:t>
      </w:r>
      <w:r>
        <w:t xml:space="preserve"> </w:t>
      </w:r>
      <w:r>
        <w:t xml:space="preserve">Women</w:t>
      </w:r>
      <w:r>
        <w:t xml:space="preserve"> </w:t>
      </w:r>
      <w:r>
        <w:t xml:space="preserve">with</w:t>
      </w:r>
      <w:r>
        <w:t xml:space="preserve"> </w:t>
      </w:r>
      <w:r>
        <w:t xml:space="preserve">Elevated C</w:t>
      </w:r>
      <w:r>
        <w:t xml:space="preserve">-</w:t>
      </w:r>
      <w:r>
        <w:t xml:space="preserve">Reactive Protein</w:t>
      </w:r>
      <w:r>
        <w:t xml:space="preserve">.</w:t>
      </w:r>
      <w:r>
        <w:t xml:space="preserve"> </w:t>
      </w:r>
      <w:r>
        <w:rPr>
          <w:iCs/>
          <w:i/>
        </w:rPr>
        <w:t xml:space="preserve">New England Journal of Medicine</w:t>
      </w:r>
      <w:r>
        <w:t xml:space="preserve"> </w:t>
      </w:r>
      <w:r>
        <w:rPr>
          <w:bCs/>
          <w:b/>
        </w:rPr>
        <w:t xml:space="preserve">359</w:t>
      </w:r>
      <w:r>
        <w:t xml:space="preserve">, 2195–2207 (2008).</w:t>
      </w:r>
    </w:p>
    <w:bookmarkEnd w:id="536"/>
    <w:bookmarkStart w:id="537" w:name="ref-ronnemaa2011"/>
    <w:p>
      <w:pPr>
        <w:pStyle w:val="Bibliography"/>
      </w:pPr>
      <w:r>
        <w:t xml:space="preserve">208.</w:t>
      </w:r>
      <w:r>
        <w:t xml:space="preserve"> </w:t>
      </w:r>
      <w:r>
        <w:t xml:space="preserve">	</w:t>
      </w:r>
      <w:r>
        <w:t xml:space="preserve">Ronnemaa, E., Zethelius, B., Lannfelt, L. &amp; Kilander, L. Vascular risk factors and dementia: 40-year follow-up of a population-based cohort.</w:t>
      </w:r>
      <w:r>
        <w:t xml:space="preserve"> </w:t>
      </w:r>
      <w:r>
        <w:rPr>
          <w:iCs/>
          <w:i/>
        </w:rPr>
        <w:t xml:space="preserve">Dementia &amp; Geriatric Cognitive Disorders</w:t>
      </w:r>
      <w:r>
        <w:t xml:space="preserve"> </w:t>
      </w:r>
      <w:r>
        <w:rPr>
          <w:bCs/>
          <w:b/>
        </w:rPr>
        <w:t xml:space="preserve">31</w:t>
      </w:r>
      <w:r>
        <w:t xml:space="preserve">, 460–466 (2011).</w:t>
      </w:r>
    </w:p>
    <w:bookmarkEnd w:id="537"/>
    <w:bookmarkStart w:id="538" w:name="ref-schilling2017a"/>
    <w:p>
      <w:pPr>
        <w:pStyle w:val="Bibliography"/>
      </w:pPr>
      <w:r>
        <w:t xml:space="preserve">209.</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 / Public Library of Science</w:t>
      </w:r>
      <w:r>
        <w:t xml:space="preserve"> </w:t>
      </w:r>
      <w:r>
        <w:rPr>
          <w:bCs/>
          <w:b/>
        </w:rPr>
        <w:t xml:space="preserve">14</w:t>
      </w:r>
      <w:r>
        <w:t xml:space="preserve">, e1002265 (2017).</w:t>
      </w:r>
    </w:p>
    <w:bookmarkEnd w:id="538"/>
    <w:bookmarkStart w:id="539" w:name="ref-smeeth2009a"/>
    <w:p>
      <w:pPr>
        <w:pStyle w:val="Bibliography"/>
      </w:pPr>
      <w:r>
        <w:t xml:space="preserve">210.</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39"/>
    <w:bookmarkStart w:id="541" w:name="ref-so2017"/>
    <w:p>
      <w:pPr>
        <w:pStyle w:val="Bibliography"/>
      </w:pPr>
      <w:r>
        <w:t xml:space="preserve">211.</w:t>
      </w:r>
      <w:r>
        <w:t xml:space="preserve"> </w:t>
      </w:r>
      <w:r>
        <w:t xml:space="preserve">	</w:t>
      </w:r>
      <w:r>
        <w:t xml:space="preserve">So, H.-C., Chau, C. K. &amp; Zhao, K. Exploring repositioning opportunities and side-effects of statins: A</w:t>
      </w:r>
      <w:r>
        <w:t xml:space="preserve"> </w:t>
      </w:r>
      <w:r>
        <w:t xml:space="preserve">Mendelian</w:t>
      </w:r>
      <w:r>
        <w:t xml:space="preserve"> </w:t>
      </w:r>
      <w:r>
        <w:t xml:space="preserve">randomization study of</w:t>
      </w:r>
      <w:r>
        <w:t xml:space="preserve"> </w:t>
      </w:r>
      <w:r>
        <w:t xml:space="preserve">HMG</w:t>
      </w:r>
      <w:r>
        <w:t xml:space="preserve">-</w:t>
      </w:r>
      <w:r>
        <w:t xml:space="preserve">CoA</w:t>
      </w:r>
      <w:r>
        <w:t xml:space="preserve"> </w:t>
      </w:r>
      <w:r>
        <w:t xml:space="preserve">reductase inhibition with 55 complex traits. 170241 (2017). doi:</w:t>
      </w:r>
      <w:hyperlink r:id="rId540">
        <w:r>
          <w:rPr>
            <w:rStyle w:val="Hyperlink"/>
          </w:rPr>
          <w:t xml:space="preserve">10.1101/170241</w:t>
        </w:r>
      </w:hyperlink>
    </w:p>
    <w:bookmarkEnd w:id="541"/>
    <w:bookmarkStart w:id="542" w:name="ref-solomon2007"/>
    <w:p>
      <w:pPr>
        <w:pStyle w:val="Bibliography"/>
      </w:pPr>
      <w:r>
        <w:t xml:space="preserve">212.</w:t>
      </w:r>
      <w:r>
        <w:t xml:space="preserve"> </w:t>
      </w:r>
      <w:r>
        <w:t xml:space="preserve">	</w:t>
      </w:r>
      <w:r>
        <w:t xml:space="preserve">Solomon, A.</w:t>
      </w:r>
      <w:r>
        <w:t xml:space="preserve"> </w:t>
      </w:r>
      <w:r>
        <w:rPr>
          <w:iCs/>
          <w:i/>
        </w:rPr>
        <w:t xml:space="preserve">et al.</w:t>
      </w:r>
      <w:r>
        <w:t xml:space="preserve"> Serum cholesterol changes after midlife and late-life cognition: Twenty-one-year follow-up study.</w:t>
      </w:r>
      <w:r>
        <w:t xml:space="preserve"> </w:t>
      </w:r>
      <w:r>
        <w:rPr>
          <w:iCs/>
          <w:i/>
        </w:rPr>
        <w:t xml:space="preserve">Neurology</w:t>
      </w:r>
      <w:r>
        <w:t xml:space="preserve"> </w:t>
      </w:r>
      <w:r>
        <w:rPr>
          <w:bCs/>
          <w:b/>
        </w:rPr>
        <w:t xml:space="preserve">68</w:t>
      </w:r>
      <w:r>
        <w:t xml:space="preserve">, 751–756 (2007).</w:t>
      </w:r>
    </w:p>
    <w:bookmarkEnd w:id="542"/>
    <w:bookmarkStart w:id="543" w:name="ref-solomon2009a"/>
    <w:p>
      <w:pPr>
        <w:pStyle w:val="Bibliography"/>
      </w:pPr>
      <w:r>
        <w:t xml:space="preserve">213.</w:t>
      </w:r>
      <w:r>
        <w:t xml:space="preserve"> </w:t>
      </w:r>
      <w:r>
        <w:t xml:space="preserve">	</w:t>
      </w:r>
      <w:r>
        <w:t xml:space="preserve">Solomon, A., Kivipelto, M., Wolozin, B., Zhou, J. &amp; Whitmer, R. A. Midlife serum cholesterol and increased risk of</w:t>
      </w:r>
      <w:r>
        <w:t xml:space="preserve"> </w:t>
      </w:r>
      <w:r>
        <w:t xml:space="preserve">Alzheimer</w:t>
      </w:r>
      <w:r>
        <w:t xml:space="preserve">’s and vascular dementia three decades later.</w:t>
      </w:r>
      <w:r>
        <w:t xml:space="preserve"> </w:t>
      </w:r>
      <w:r>
        <w:rPr>
          <w:iCs/>
          <w:i/>
        </w:rPr>
        <w:t xml:space="preserve">Dementia &amp; Geriatric Cognitive Disorders</w:t>
      </w:r>
      <w:r>
        <w:t xml:space="preserve"> </w:t>
      </w:r>
      <w:r>
        <w:rPr>
          <w:bCs/>
          <w:b/>
        </w:rPr>
        <w:t xml:space="preserve">28</w:t>
      </w:r>
      <w:r>
        <w:t xml:space="preserve">, 75–80 (2009).</w:t>
      </w:r>
    </w:p>
    <w:bookmarkEnd w:id="543"/>
    <w:bookmarkStart w:id="544" w:name="ref-solomon2010"/>
    <w:p>
      <w:pPr>
        <w:pStyle w:val="Bibliography"/>
      </w:pPr>
      <w:r>
        <w:t xml:space="preserve">214.</w:t>
      </w:r>
      <w:r>
        <w:t xml:space="preserve"> </w:t>
      </w:r>
      <w:r>
        <w:t xml:space="preserve">	</w:t>
      </w:r>
      <w:r>
        <w:t xml:space="preserve">Solomon, A.</w:t>
      </w:r>
      <w:r>
        <w:t xml:space="preserve"> </w:t>
      </w:r>
      <w:r>
        <w:rPr>
          <w:iCs/>
          <w:i/>
        </w:rPr>
        <w:t xml:space="preserve">et al.</w:t>
      </w:r>
      <w:r>
        <w:t xml:space="preserve"> Lipid-lowering treatment is related to decreased risk of dementia: A population-based study (</w:t>
      </w:r>
      <w:r>
        <w:t xml:space="preserve">FINRISK</w:t>
      </w:r>
      <w:r>
        <w:t xml:space="preserve">).</w:t>
      </w:r>
      <w:r>
        <w:t xml:space="preserve"> </w:t>
      </w:r>
      <w:r>
        <w:rPr>
          <w:iCs/>
          <w:i/>
        </w:rPr>
        <w:t xml:space="preserve">Neurodegenerative Diseases</w:t>
      </w:r>
      <w:r>
        <w:t xml:space="preserve"> </w:t>
      </w:r>
      <w:r>
        <w:rPr>
          <w:bCs/>
          <w:b/>
        </w:rPr>
        <w:t xml:space="preserve">7</w:t>
      </w:r>
      <w:r>
        <w:t xml:space="preserve">, 180–182 (2010).</w:t>
      </w:r>
    </w:p>
    <w:bookmarkEnd w:id="544"/>
    <w:bookmarkStart w:id="545" w:name="ref-sparks2008"/>
    <w:p>
      <w:pPr>
        <w:pStyle w:val="Bibliography"/>
      </w:pPr>
      <w:r>
        <w:t xml:space="preserve">215.</w:t>
      </w:r>
      <w:r>
        <w:t xml:space="preserve"> </w:t>
      </w:r>
      <w:r>
        <w:t xml:space="preserve">	</w:t>
      </w:r>
      <w:r>
        <w:t xml:space="preserve">Sparks, D. L.</w:t>
      </w:r>
      <w:r>
        <w:t xml:space="preserve"> </w:t>
      </w:r>
      <w:r>
        <w:rPr>
          <w:iCs/>
          <w:i/>
        </w:rPr>
        <w:t xml:space="preserve">et al.</w:t>
      </w:r>
      <w:r>
        <w:t xml:space="preserve"> Reduced risk of incident</w:t>
      </w:r>
      <w:r>
        <w:t xml:space="preserve"> </w:t>
      </w:r>
      <w:r>
        <w:t xml:space="preserve">AD</w:t>
      </w:r>
      <w:r>
        <w:t xml:space="preserve"> </w:t>
      </w:r>
      <w:r>
        <w:t xml:space="preserve">with elective statin use in a clinical trial cohort.</w:t>
      </w:r>
      <w:r>
        <w:t xml:space="preserve"> </w:t>
      </w:r>
      <w:r>
        <w:rPr>
          <w:iCs/>
          <w:i/>
        </w:rPr>
        <w:t xml:space="preserve">Current alzheimer research</w:t>
      </w:r>
      <w:r>
        <w:t xml:space="preserve"> </w:t>
      </w:r>
      <w:r>
        <w:rPr>
          <w:bCs/>
          <w:b/>
        </w:rPr>
        <w:t xml:space="preserve">5</w:t>
      </w:r>
      <w:r>
        <w:t xml:space="preserve">, 416–421 (2008).</w:t>
      </w:r>
    </w:p>
    <w:bookmarkEnd w:id="545"/>
    <w:bookmarkStart w:id="546" w:name="ref-strand2013"/>
    <w:p>
      <w:pPr>
        <w:pStyle w:val="Bibliography"/>
      </w:pPr>
      <w:r>
        <w:t xml:space="preserve">216.</w:t>
      </w:r>
      <w:r>
        <w:t xml:space="preserve"> </w:t>
      </w:r>
      <w:r>
        <w:t xml:space="preserve">	</w:t>
      </w:r>
      <w:r>
        <w:t xml:space="preserve">Strand, B. H.</w:t>
      </w:r>
      <w:r>
        <w:t xml:space="preserve"> </w:t>
      </w:r>
      <w:r>
        <w:rPr>
          <w:iCs/>
          <w:i/>
        </w:rPr>
        <w:t xml:space="preserve">et al.</w:t>
      </w:r>
      <w:r>
        <w:t xml:space="preserve"> Midlife vascular risk factors and their association with dementia deaths: Results from a</w:t>
      </w:r>
      <w:r>
        <w:t xml:space="preserve"> </w:t>
      </w:r>
      <w:r>
        <w:t xml:space="preserve">Norwegian</w:t>
      </w:r>
      <w:r>
        <w:t xml:space="preserve"> </w:t>
      </w:r>
      <w:r>
        <w:t xml:space="preserve">prospective study followed up for 35 years.</w:t>
      </w:r>
      <w:r>
        <w:t xml:space="preserve"> </w:t>
      </w:r>
      <w:r>
        <w:rPr>
          <w:iCs/>
          <w:i/>
        </w:rPr>
        <w:t xml:space="preserve">Journal of the Neurological Sciences</w:t>
      </w:r>
      <w:r>
        <w:t xml:space="preserve"> </w:t>
      </w:r>
      <w:r>
        <w:rPr>
          <w:bCs/>
          <w:b/>
        </w:rPr>
        <w:t xml:space="preserve">324</w:t>
      </w:r>
      <w:r>
        <w:t xml:space="preserve">, 124–130 (2013).</w:t>
      </w:r>
    </w:p>
    <w:bookmarkEnd w:id="546"/>
    <w:bookmarkStart w:id="547" w:name="ref-su2017"/>
    <w:p>
      <w:pPr>
        <w:pStyle w:val="Bibliography"/>
      </w:pPr>
      <w:r>
        <w:t xml:space="preserve">217.</w:t>
      </w:r>
      <w:r>
        <w:t xml:space="preserve"> </w:t>
      </w:r>
      <w:r>
        <w:t xml:space="preserve">	</w:t>
      </w:r>
      <w:r>
        <w:t xml:space="preserve">Su, B.</w:t>
      </w:r>
      <w:r>
        <w:t xml:space="preserve"> </w:t>
      </w:r>
      <w:r>
        <w:rPr>
          <w:iCs/>
          <w:i/>
        </w:rPr>
        <w:t xml:space="preserve">et al.</w:t>
      </w:r>
      <w:r>
        <w:t xml:space="preserve"> [</w:t>
      </w:r>
      <w:r>
        <w:t xml:space="preserve">P3</w:t>
      </w:r>
      <w:r>
        <w:t xml:space="preserve">]:</w:t>
      </w:r>
      <w:r>
        <w:t xml:space="preserve"> </w:t>
      </w:r>
      <w:r>
        <w:t xml:space="preserve">EXPLORING LATE</w:t>
      </w:r>
      <w:r>
        <w:t xml:space="preserve">-</w:t>
      </w:r>
      <w:r>
        <w:t xml:space="preserve">LIFE RISK FACTORS OF ALZHEIMER</w:t>
      </w:r>
      <w:r>
        <w:t xml:space="preserve">’s</w:t>
      </w:r>
      <w:r>
        <w:t xml:space="preserve"> </w:t>
      </w:r>
      <w:r>
        <w:t xml:space="preserve">DISEASE AND OTHER AGE</w:t>
      </w:r>
      <w:r>
        <w:t xml:space="preserve">-</w:t>
      </w:r>
      <w:r>
        <w:t xml:space="preserve">RELATED DEMENTIAS IN CPRD</w:t>
      </w:r>
      <w:r>
        <w:t xml:space="preserve">.</w:t>
      </w:r>
      <w:r>
        <w:t xml:space="preserve"> </w:t>
      </w:r>
      <w:r>
        <w:rPr>
          <w:iCs/>
          <w:i/>
        </w:rPr>
        <w:t xml:space="preserve">Alzheimer’s &amp; Dementia</w:t>
      </w:r>
      <w:r>
        <w:t xml:space="preserve"> </w:t>
      </w:r>
      <w:r>
        <w:rPr>
          <w:bCs/>
          <w:b/>
        </w:rPr>
        <w:t xml:space="preserve">13</w:t>
      </w:r>
      <w:r>
        <w:t xml:space="preserve">, P1178–P1179 (2017).</w:t>
      </w:r>
    </w:p>
    <w:bookmarkEnd w:id="547"/>
    <w:bookmarkStart w:id="548" w:name="ref-svensson2019"/>
    <w:p>
      <w:pPr>
        <w:pStyle w:val="Bibliography"/>
      </w:pPr>
      <w:r>
        <w:t xml:space="preserve">218.</w:t>
      </w:r>
      <w:r>
        <w:t xml:space="preserve"> </w:t>
      </w:r>
      <w:r>
        <w:t xml:space="preserve">	</w:t>
      </w:r>
      <w:r>
        <w:t xml:space="preserve">Svensson, T.</w:t>
      </w:r>
      <w:r>
        <w:t xml:space="preserve"> </w:t>
      </w:r>
      <w:r>
        <w:rPr>
          <w:iCs/>
          <w:i/>
        </w:rPr>
        <w:t xml:space="preserve">et al.</w:t>
      </w:r>
      <w:r>
        <w:t xml:space="preserve"> The association between midlife serum high-density lipoprotein and mild cognitive impairment and dementia after 19 years of follow-up.</w:t>
      </w:r>
      <w:r>
        <w:t xml:space="preserve"> </w:t>
      </w:r>
      <w:r>
        <w:rPr>
          <w:iCs/>
          <w:i/>
        </w:rPr>
        <w:t xml:space="preserve">Transl Psychiatry Psychiatry</w:t>
      </w:r>
      <w:r>
        <w:t xml:space="preserve"> </w:t>
      </w:r>
      <w:r>
        <w:rPr>
          <w:bCs/>
          <w:b/>
        </w:rPr>
        <w:t xml:space="preserve">9</w:t>
      </w:r>
      <w:r>
        <w:t xml:space="preserve">, 26 (2019).</w:t>
      </w:r>
    </w:p>
    <w:bookmarkEnd w:id="548"/>
    <w:bookmarkStart w:id="549" w:name="ref-szwast2007"/>
    <w:p>
      <w:pPr>
        <w:pStyle w:val="Bibliography"/>
      </w:pPr>
      <w:r>
        <w:t xml:space="preserve">219.</w:t>
      </w:r>
      <w:r>
        <w:t xml:space="preserve"> </w:t>
      </w:r>
      <w:r>
        <w:t xml:space="preserve">	</w:t>
      </w:r>
      <w:r>
        <w:t xml:space="preserve">Szwast, S. J.</w:t>
      </w:r>
      <w:r>
        <w:t xml:space="preserve"> </w:t>
      </w:r>
      <w:r>
        <w:rPr>
          <w:iCs/>
          <w:i/>
        </w:rPr>
        <w:t xml:space="preserve">et al.</w:t>
      </w:r>
      <w:r>
        <w:t xml:space="preserve"> Association of statin use with cognitive decline in elderly</w:t>
      </w:r>
      <w:r>
        <w:t xml:space="preserve"> </w:t>
      </w:r>
      <w:r>
        <w:t xml:space="preserve">African Americans</w:t>
      </w:r>
      <w:r>
        <w:t xml:space="preserve">.</w:t>
      </w:r>
      <w:r>
        <w:t xml:space="preserve"> </w:t>
      </w:r>
      <w:r>
        <w:rPr>
          <w:iCs/>
          <w:i/>
        </w:rPr>
        <w:t xml:space="preserve">Neurology</w:t>
      </w:r>
      <w:r>
        <w:t xml:space="preserve"> </w:t>
      </w:r>
      <w:r>
        <w:rPr>
          <w:bCs/>
          <w:b/>
        </w:rPr>
        <w:t xml:space="preserve">69</w:t>
      </w:r>
      <w:r>
        <w:t xml:space="preserve">, 1873–1880 (2007).</w:t>
      </w:r>
    </w:p>
    <w:bookmarkEnd w:id="549"/>
    <w:bookmarkStart w:id="550" w:name="ref-tynkkynen2016"/>
    <w:p>
      <w:pPr>
        <w:pStyle w:val="Bibliography"/>
      </w:pPr>
      <w:r>
        <w:t xml:space="preserve">220.</w:t>
      </w:r>
      <w:r>
        <w:t xml:space="preserve"> </w:t>
      </w:r>
      <w:r>
        <w:t xml:space="preserve">	</w:t>
      </w:r>
      <w:r>
        <w:t xml:space="preserve">Tynkkynen, J.</w:t>
      </w:r>
      <w:r>
        <w:t xml:space="preserve"> </w:t>
      </w:r>
      <w:r>
        <w:rPr>
          <w:iCs/>
          <w:i/>
        </w:rPr>
        <w:t xml:space="preserve">et al.</w:t>
      </w:r>
      <w:r>
        <w:t xml:space="preserve"> Apolipoproteins and</w:t>
      </w:r>
      <w:r>
        <w:t xml:space="preserve"> </w:t>
      </w:r>
      <w:r>
        <w:t xml:space="preserve">HDL</w:t>
      </w:r>
      <w:r>
        <w:t xml:space="preserve"> </w:t>
      </w:r>
      <w:r>
        <w:t xml:space="preserve">cholesterol do not associate with the risk of future dementia and</w:t>
      </w:r>
      <w:r>
        <w:t xml:space="preserve"> </w:t>
      </w:r>
      <w:r>
        <w:t xml:space="preserve">Alzheimer</w:t>
      </w:r>
      <w:r>
        <w:t xml:space="preserve">’s disease: The</w:t>
      </w:r>
      <w:r>
        <w:t xml:space="preserve"> </w:t>
      </w:r>
      <w:r>
        <w:t xml:space="preserve">National Finnish</w:t>
      </w:r>
      <w:r>
        <w:t xml:space="preserve"> </w:t>
      </w:r>
      <w:r>
        <w:t xml:space="preserve">population study (</w:t>
      </w:r>
      <w:r>
        <w:t xml:space="preserve">FINRISK</w:t>
      </w:r>
      <w:r>
        <w:t xml:space="preserve">).</w:t>
      </w:r>
      <w:r>
        <w:t xml:space="preserve"> </w:t>
      </w:r>
      <w:r>
        <w:rPr>
          <w:iCs/>
          <w:i/>
        </w:rPr>
        <w:t xml:space="preserve">Age (Melbourne, Vic.)</w:t>
      </w:r>
      <w:r>
        <w:t xml:space="preserve"> </w:t>
      </w:r>
      <w:r>
        <w:rPr>
          <w:bCs/>
          <w:b/>
        </w:rPr>
        <w:t xml:space="preserve">38</w:t>
      </w:r>
      <w:r>
        <w:t xml:space="preserve">, 465–473 (2016).</w:t>
      </w:r>
    </w:p>
    <w:bookmarkEnd w:id="550"/>
    <w:bookmarkStart w:id="551" w:name="ref-tynkkynen2018"/>
    <w:p>
      <w:pPr>
        <w:pStyle w:val="Bibliography"/>
      </w:pPr>
      <w:r>
        <w:t xml:space="preserve">221.</w:t>
      </w:r>
      <w:r>
        <w:t xml:space="preserve"> </w:t>
      </w:r>
      <w:r>
        <w:t xml:space="preserve">	</w:t>
      </w:r>
      <w:r>
        <w:t xml:space="preserve">Tynkkynen, J.</w:t>
      </w:r>
      <w:r>
        <w:t xml:space="preserve"> </w:t>
      </w:r>
      <w:r>
        <w:rPr>
          <w:iCs/>
          <w:i/>
        </w:rPr>
        <w:t xml:space="preserve">et al.</w:t>
      </w:r>
      <w:r>
        <w:t xml:space="preserve"> Association of branched-chain amino acids and other circulating metabolites with risk of incident dementia and</w:t>
      </w:r>
      <w:r>
        <w:t xml:space="preserve"> </w:t>
      </w:r>
      <w:r>
        <w:t xml:space="preserve">Alzheimer</w:t>
      </w:r>
      <w:r>
        <w:t xml:space="preserve">’s disease:</w:t>
      </w:r>
      <w:r>
        <w:t xml:space="preserve"> </w:t>
      </w:r>
      <w:r>
        <w:t xml:space="preserve">A</w:t>
      </w:r>
      <w:r>
        <w:t xml:space="preserve"> </w:t>
      </w:r>
      <w:r>
        <w:t xml:space="preserve">prospective study in eight cohorts.</w:t>
      </w:r>
      <w:r>
        <w:t xml:space="preserve"> </w:t>
      </w:r>
      <w:r>
        <w:rPr>
          <w:iCs/>
          <w:i/>
        </w:rPr>
        <w:t xml:space="preserve">Alzheimer’s &amp; Dementia</w:t>
      </w:r>
      <w:r>
        <w:t xml:space="preserve"> </w:t>
      </w:r>
      <w:r>
        <w:rPr>
          <w:bCs/>
          <w:b/>
        </w:rPr>
        <w:t xml:space="preserve">14</w:t>
      </w:r>
      <w:r>
        <w:t xml:space="preserve">, 723–733 (2018).</w:t>
      </w:r>
    </w:p>
    <w:bookmarkEnd w:id="551"/>
    <w:bookmarkStart w:id="552" w:name="ref-wang2012"/>
    <w:p>
      <w:pPr>
        <w:pStyle w:val="Bibliography"/>
      </w:pPr>
      <w:r>
        <w:t xml:space="preserve">222.</w:t>
      </w:r>
      <w:r>
        <w:t xml:space="preserve"> </w:t>
      </w:r>
      <w:r>
        <w:t xml:space="preserve">	</w:t>
      </w:r>
      <w:r>
        <w:t xml:space="preserve">Wang, K.-C.</w:t>
      </w:r>
      <w:r>
        <w:t xml:space="preserve"> </w:t>
      </w:r>
      <w:r>
        <w:rPr>
          <w:iCs/>
          <w:i/>
        </w:rPr>
        <w:t xml:space="preserve">et al.</w:t>
      </w:r>
      <w:r>
        <w:t xml:space="preserve"> Risk of</w:t>
      </w:r>
      <w:r>
        <w:t xml:space="preserve"> </w:t>
      </w:r>
      <w:r>
        <w:t xml:space="preserve">Alzheimer</w:t>
      </w:r>
      <w:r>
        <w:t xml:space="preserve">’s disease in relation to diabetes: A population-based cohort study.</w:t>
      </w:r>
      <w:r>
        <w:t xml:space="preserve"> </w:t>
      </w:r>
      <w:r>
        <w:rPr>
          <w:iCs/>
          <w:i/>
        </w:rPr>
        <w:t xml:space="preserve">Neuroepidemiology</w:t>
      </w:r>
      <w:r>
        <w:t xml:space="preserve"> </w:t>
      </w:r>
      <w:r>
        <w:rPr>
          <w:bCs/>
          <w:b/>
        </w:rPr>
        <w:t xml:space="preserve">38</w:t>
      </w:r>
      <w:r>
        <w:t xml:space="preserve">, 237–244 (2012).</w:t>
      </w:r>
    </w:p>
    <w:bookmarkEnd w:id="552"/>
    <w:bookmarkStart w:id="553" w:name="ref-whitmer2005a"/>
    <w:p>
      <w:pPr>
        <w:pStyle w:val="Bibliography"/>
      </w:pPr>
      <w:r>
        <w:t xml:space="preserve">223.</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553"/>
    <w:bookmarkStart w:id="554" w:name="ref-yamada2009b"/>
    <w:p>
      <w:pPr>
        <w:pStyle w:val="Bibliography"/>
      </w:pPr>
      <w:r>
        <w:t xml:space="preserve">224.</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Radiation 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54"/>
    <w:bookmarkStart w:id="555" w:name="ref-yang2015"/>
    <w:p>
      <w:pPr>
        <w:pStyle w:val="Bibliography"/>
      </w:pPr>
      <w:r>
        <w:t xml:space="preserve">225.</w:t>
      </w:r>
      <w:r>
        <w:t xml:space="preserve"> </w:t>
      </w:r>
      <w:r>
        <w:t xml:space="preserve">	</w:t>
      </w:r>
      <w:r>
        <w:t xml:space="preserve">Yang, Y. H.</w:t>
      </w:r>
      <w:r>
        <w:t xml:space="preserve"> </w:t>
      </w:r>
      <w:r>
        <w:rPr>
          <w:iCs/>
          <w:i/>
        </w:rPr>
        <w:t xml:space="preserve">et al.</w:t>
      </w:r>
      <w:r>
        <w:t xml:space="preserve"> Statins reduces the risk of dementia in patients with late-onset depression:</w:t>
      </w:r>
      <w:r>
        <w:t xml:space="preserve"> </w:t>
      </w:r>
      <w:r>
        <w:t xml:space="preserve">A</w:t>
      </w:r>
      <w:r>
        <w:t xml:space="preserve"> </w:t>
      </w:r>
      <w:r>
        <w:t xml:space="preserve">retrospective cohort study.</w:t>
      </w:r>
      <w:r>
        <w:t xml:space="preserve"> </w:t>
      </w:r>
      <w:r>
        <w:rPr>
          <w:iCs/>
          <w:i/>
        </w:rPr>
        <w:t xml:space="preserve">PLoS ONE [Electronic Resource]</w:t>
      </w:r>
      <w:r>
        <w:t xml:space="preserve"> </w:t>
      </w:r>
      <w:r>
        <w:rPr>
          <w:bCs/>
          <w:b/>
        </w:rPr>
        <w:t xml:space="preserve">10</w:t>
      </w:r>
      <w:r>
        <w:t xml:space="preserve">, e0137914 (2015).</w:t>
      </w:r>
    </w:p>
    <w:bookmarkEnd w:id="555"/>
    <w:bookmarkStart w:id="556" w:name="ref-yoshitake1995"/>
    <w:p>
      <w:pPr>
        <w:pStyle w:val="Bibliography"/>
      </w:pPr>
      <w:r>
        <w:t xml:space="preserve">226.</w:t>
      </w:r>
      <w:r>
        <w:t xml:space="preserve"> </w:t>
      </w:r>
      <w:r>
        <w:t xml:space="preserve">	</w:t>
      </w:r>
      <w:r>
        <w:t xml:space="preserve">Yoshitake, T.</w:t>
      </w:r>
      <w:r>
        <w:t xml:space="preserve"> </w:t>
      </w:r>
      <w:r>
        <w:rPr>
          <w:iCs/>
          <w:i/>
        </w:rPr>
        <w:t xml:space="preserve">et al.</w:t>
      </w:r>
      <w:r>
        <w:t xml:space="preserve"> Incidence and risk factors of vascular dementia and</w:t>
      </w:r>
      <w:r>
        <w:t xml:space="preserve"> </w:t>
      </w:r>
      <w:r>
        <w:t xml:space="preserve">Alzheimer</w:t>
      </w:r>
      <w:r>
        <w:t xml:space="preserve">’s disease in a defined elderly</w:t>
      </w:r>
      <w:r>
        <w:t xml:space="preserve"> </w:t>
      </w:r>
      <w:r>
        <w:t xml:space="preserve">Japanese</w:t>
      </w:r>
      <w:r>
        <w:t xml:space="preserve"> </w:t>
      </w:r>
      <w:r>
        <w:t xml:space="preserve">population: The</w:t>
      </w:r>
      <w:r>
        <w:t xml:space="preserve"> </w:t>
      </w:r>
      <w:r>
        <w:t xml:space="preserve">Hisayama Study</w:t>
      </w:r>
      <w:r>
        <w:t xml:space="preserve">.</w:t>
      </w:r>
      <w:r>
        <w:t xml:space="preserve"> </w:t>
      </w:r>
      <w:r>
        <w:rPr>
          <w:iCs/>
          <w:i/>
        </w:rPr>
        <w:t xml:space="preserve">Neurology</w:t>
      </w:r>
      <w:r>
        <w:t xml:space="preserve"> </w:t>
      </w:r>
      <w:r>
        <w:rPr>
          <w:bCs/>
          <w:b/>
        </w:rPr>
        <w:t xml:space="preserve">45</w:t>
      </w:r>
      <w:r>
        <w:t xml:space="preserve">, 1161–1168 (1995).</w:t>
      </w:r>
    </w:p>
    <w:bookmarkEnd w:id="556"/>
    <w:bookmarkStart w:id="557" w:name="ref-zamrini2004"/>
    <w:p>
      <w:pPr>
        <w:pStyle w:val="Bibliography"/>
      </w:pPr>
      <w:r>
        <w:t xml:space="preserve">227.</w:t>
      </w:r>
      <w:r>
        <w:t xml:space="preserve"> </w:t>
      </w:r>
      <w:r>
        <w:t xml:space="preserve">	</w:t>
      </w:r>
      <w:r>
        <w:t xml:space="preserve">Zamrini, E., McGwin, G. &amp; Roseman, J. M. Association between statin use and</w:t>
      </w:r>
      <w:r>
        <w:t xml:space="preserve"> </w:t>
      </w:r>
      <w:r>
        <w:t xml:space="preserve">Alzheimer</w:t>
      </w:r>
      <w:r>
        <w:t xml:space="preserve">’s disease.</w:t>
      </w:r>
      <w:r>
        <w:t xml:space="preserve"> </w:t>
      </w:r>
      <w:r>
        <w:rPr>
          <w:iCs/>
          <w:i/>
        </w:rPr>
        <w:t xml:space="preserve">Neuroepidemiology</w:t>
      </w:r>
      <w:r>
        <w:t xml:space="preserve"> </w:t>
      </w:r>
      <w:r>
        <w:rPr>
          <w:bCs/>
          <w:b/>
        </w:rPr>
        <w:t xml:space="preserve">23</w:t>
      </w:r>
      <w:r>
        <w:t xml:space="preserve">, 94–98 (2004).</w:t>
      </w:r>
    </w:p>
    <w:bookmarkEnd w:id="557"/>
    <w:bookmarkStart w:id="558" w:name="ref-zandi2005"/>
    <w:p>
      <w:pPr>
        <w:pStyle w:val="Bibliography"/>
      </w:pPr>
      <w:r>
        <w:t xml:space="preserve">228.</w:t>
      </w:r>
      <w:r>
        <w:t xml:space="preserve"> </w:t>
      </w:r>
      <w:r>
        <w:t xml:space="preserve">	</w:t>
      </w:r>
      <w:r>
        <w:t xml:space="preserve">Zandi, P. P.</w:t>
      </w:r>
      <w:r>
        <w:t xml:space="preserve"> </w:t>
      </w:r>
      <w:r>
        <w:rPr>
          <w:iCs/>
          <w:i/>
        </w:rPr>
        <w:t xml:space="preserve">et al.</w:t>
      </w:r>
      <w:r>
        <w:t xml:space="preserve"> Do statins reduce risk of incident dementia and</w:t>
      </w:r>
      <w:r>
        <w:t xml:space="preserve"> </w:t>
      </w:r>
      <w:r>
        <w:t xml:space="preserve">Alzheimer</w:t>
      </w:r>
      <w:r>
        <w:t xml:space="preserve"> </w:t>
      </w:r>
      <w:r>
        <w:t xml:space="preserve">disease?</w:t>
      </w:r>
      <w:r>
        <w:t xml:space="preserve"> </w:t>
      </w:r>
      <w:r>
        <w:t xml:space="preserve">The Cache County Study</w:t>
      </w:r>
      <w:r>
        <w:t xml:space="preserve">.</w:t>
      </w:r>
      <w:r>
        <w:t xml:space="preserve"> </w:t>
      </w:r>
      <w:r>
        <w:rPr>
          <w:iCs/>
          <w:i/>
        </w:rPr>
        <w:t xml:space="preserve">Archives of General Psychiatry</w:t>
      </w:r>
      <w:r>
        <w:t xml:space="preserve"> </w:t>
      </w:r>
      <w:r>
        <w:rPr>
          <w:bCs/>
          <w:b/>
        </w:rPr>
        <w:t xml:space="preserve">62</w:t>
      </w:r>
      <w:r>
        <w:t xml:space="preserve">, 217–224 (2005).</w:t>
      </w:r>
    </w:p>
    <w:bookmarkEnd w:id="558"/>
    <w:bookmarkStart w:id="559" w:name="ref-zhu2018"/>
    <w:p>
      <w:pPr>
        <w:pStyle w:val="Bibliography"/>
      </w:pPr>
      <w:r>
        <w:t xml:space="preserve">229.</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59"/>
    <w:bookmarkStart w:id="560" w:name="ref-zimetbaum1992"/>
    <w:p>
      <w:pPr>
        <w:pStyle w:val="Bibliography"/>
      </w:pPr>
      <w:r>
        <w:t xml:space="preserve">230.</w:t>
      </w:r>
      <w:r>
        <w:t xml:space="preserve"> </w:t>
      </w:r>
      <w:r>
        <w:t xml:space="preserve">	</w:t>
      </w:r>
      <w:r>
        <w:t xml:space="preserve">Zimetbaum, P.</w:t>
      </w:r>
      <w:r>
        <w:t xml:space="preserve"> </w:t>
      </w:r>
      <w:r>
        <w:rPr>
          <w:iCs/>
          <w:i/>
        </w:rPr>
        <w:t xml:space="preserve">et al.</w:t>
      </w:r>
      <w:r>
        <w:t xml:space="preserve"> Plasma lipids and lipoproteins and the incidence of cardiovascular disease in the very elderly.</w:t>
      </w:r>
      <w:r>
        <w:t xml:space="preserve"> </w:t>
      </w:r>
      <w:r>
        <w:t xml:space="preserve">The Bronx Aging Study</w:t>
      </w:r>
      <w:r>
        <w:t xml:space="preserve">.</w:t>
      </w:r>
      <w:r>
        <w:t xml:space="preserve"> </w:t>
      </w:r>
      <w:r>
        <w:rPr>
          <w:iCs/>
          <w:i/>
        </w:rPr>
        <w:t xml:space="preserve">Arteriosclerosis &amp; Thrombosis</w:t>
      </w:r>
      <w:r>
        <w:t xml:space="preserve"> </w:t>
      </w:r>
      <w:r>
        <w:rPr>
          <w:bCs/>
          <w:b/>
        </w:rPr>
        <w:t xml:space="preserve">12</w:t>
      </w:r>
      <w:r>
        <w:t xml:space="preserve">, 416–423 (1992).</w:t>
      </w:r>
    </w:p>
    <w:bookmarkEnd w:id="560"/>
    <w:bookmarkStart w:id="562" w:name="ref-zhu2017"/>
    <w:p>
      <w:pPr>
        <w:pStyle w:val="Bibliography"/>
      </w:pPr>
      <w:r>
        <w:t xml:space="preserve">231.</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561">
        <w:r>
          <w:rPr>
            <w:rStyle w:val="Hyperlink"/>
          </w:rPr>
          <w:t xml:space="preserve">10.1101/168674</w:t>
        </w:r>
      </w:hyperlink>
    </w:p>
    <w:bookmarkEnd w:id="562"/>
    <w:bookmarkStart w:id="564" w:name="ref-andrews2019"/>
    <w:p>
      <w:pPr>
        <w:pStyle w:val="Bibliography"/>
      </w:pPr>
      <w:r>
        <w:t xml:space="preserve">232.</w:t>
      </w:r>
      <w:r>
        <w:t xml:space="preserve"> </w:t>
      </w:r>
      <w:r>
        <w:t xml:space="preserve">	</w:t>
      </w:r>
      <w:r>
        <w:t xml:space="preserve">Andrews, S. J., Marcora, E. &amp; Goate, A. Causal associations between potentially modifiable risk factors and the</w:t>
      </w:r>
      <w:r>
        <w:t xml:space="preserve"> </w:t>
      </w:r>
      <w:r>
        <w:t xml:space="preserve">Alzheimer</w:t>
      </w:r>
      <w:r>
        <w:t xml:space="preserve">’s phenome:</w:t>
      </w:r>
      <w:r>
        <w:t xml:space="preserve"> </w:t>
      </w:r>
      <w:r>
        <w:t xml:space="preserve">A Mendelian</w:t>
      </w:r>
      <w:r>
        <w:t xml:space="preserve"> </w:t>
      </w:r>
      <w:r>
        <w:t xml:space="preserve">randomization study. 689752 (2019). doi:</w:t>
      </w:r>
      <w:hyperlink r:id="rId563">
        <w:r>
          <w:rPr>
            <w:rStyle w:val="Hyperlink"/>
          </w:rPr>
          <w:t xml:space="preserve">10.1101/689752</w:t>
        </w:r>
      </w:hyperlink>
    </w:p>
    <w:bookmarkEnd w:id="564"/>
    <w:bookmarkStart w:id="565" w:name="ref-sterne2011"/>
    <w:p>
      <w:pPr>
        <w:pStyle w:val="Bibliography"/>
      </w:pPr>
      <w:r>
        <w:t xml:space="preserve">233.</w:t>
      </w:r>
      <w:r>
        <w:t xml:space="preserve"> </w:t>
      </w:r>
      <w:r>
        <w:t xml:space="preserve">	</w:t>
      </w:r>
      <w:r>
        <w:t xml:space="preserve">Sterne, J. A. C.</w:t>
      </w:r>
      <w:r>
        <w:t xml:space="preserve"> </w:t>
      </w:r>
      <w:r>
        <w:rPr>
          <w:iCs/>
          <w:i/>
        </w:rPr>
        <w:t xml:space="preserve">et al.</w:t>
      </w:r>
      <w:r>
        <w:t xml:space="preserve"> Recommendations for examining and interpreting funnel plot asymmetry in meta-analyses of randomised controlled trials.</w:t>
      </w:r>
      <w:r>
        <w:t xml:space="preserve"> </w:t>
      </w:r>
      <w:r>
        <w:rPr>
          <w:iCs/>
          <w:i/>
        </w:rPr>
        <w:t xml:space="preserve">BMJ</w:t>
      </w:r>
      <w:r>
        <w:t xml:space="preserve"> </w:t>
      </w:r>
      <w:r>
        <w:rPr>
          <w:bCs/>
          <w:b/>
        </w:rPr>
        <w:t xml:space="preserve">343</w:t>
      </w:r>
      <w:r>
        <w:t xml:space="preserve">, d4002 (2011).</w:t>
      </w:r>
    </w:p>
    <w:bookmarkEnd w:id="565"/>
    <w:bookmarkStart w:id="566" w:name="ref-shepherd2002a"/>
    <w:p>
      <w:pPr>
        <w:pStyle w:val="Bibliography"/>
      </w:pPr>
      <w:r>
        <w:t xml:space="preserve">234.</w:t>
      </w:r>
      <w:r>
        <w:t xml:space="preserve"> </w:t>
      </w:r>
      <w:r>
        <w:t xml:space="preserve">	</w:t>
      </w:r>
      <w:r>
        <w:t xml:space="preserve">Shepherd, J.</w:t>
      </w:r>
      <w:r>
        <w:t xml:space="preserve"> </w:t>
      </w:r>
      <w:r>
        <w:rPr>
          <w:iCs/>
          <w:i/>
        </w:rPr>
        <w:t xml:space="preserve">et al.</w:t>
      </w:r>
      <w:r>
        <w:t xml:space="preserve"> Pravastatin in elderly individuals at risk of vascular disease (</w:t>
      </w:r>
      <w:r>
        <w:t xml:space="preserve">PROSPER</w:t>
      </w:r>
      <w:r>
        <w:t xml:space="preserve">): A randomised controlled trial.</w:t>
      </w:r>
      <w:r>
        <w:t xml:space="preserve"> </w:t>
      </w:r>
      <w:r>
        <w:rPr>
          <w:iCs/>
          <w:i/>
        </w:rPr>
        <w:t xml:space="preserve">The Lancet</w:t>
      </w:r>
      <w:r>
        <w:t xml:space="preserve"> </w:t>
      </w:r>
      <w:r>
        <w:rPr>
          <w:bCs/>
          <w:b/>
        </w:rPr>
        <w:t xml:space="preserve">360</w:t>
      </w:r>
      <w:r>
        <w:t xml:space="preserve">, 1623–1630 (2002).</w:t>
      </w:r>
    </w:p>
    <w:bookmarkEnd w:id="566"/>
    <w:bookmarkStart w:id="568" w:name="ref-mcguinness2016"/>
    <w:p>
      <w:pPr>
        <w:pStyle w:val="Bibliography"/>
      </w:pPr>
      <w:r>
        <w:t xml:space="preserve">235.</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567">
        <w:r>
          <w:rPr>
            <w:rStyle w:val="Hyperlink"/>
          </w:rPr>
          <w:t xml:space="preserve">10.1002/14651858.CD003160.pub3</w:t>
        </w:r>
      </w:hyperlink>
    </w:p>
    <w:bookmarkEnd w:id="568"/>
    <w:bookmarkStart w:id="569" w:name="ref-yamada2009"/>
    <w:p>
      <w:pPr>
        <w:pStyle w:val="Bibliography"/>
      </w:pPr>
      <w:r>
        <w:t xml:space="preserve">236.</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Radiation 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69"/>
    <w:bookmarkStart w:id="570" w:name="ref-yamada2009a"/>
    <w:p>
      <w:pPr>
        <w:pStyle w:val="Bibliography"/>
      </w:pPr>
      <w:r>
        <w:t xml:space="preserve">237.</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The</w:t>
      </w:r>
      <w:r>
        <w:t xml:space="preserve"> </w:t>
      </w:r>
      <w:r>
        <w:t xml:space="preserve">adult health study.</w:t>
      </w:r>
      <w:r>
        <w:t xml:space="preserve"> </w:t>
      </w:r>
      <w:r>
        <w:rPr>
          <w:iCs/>
          <w:i/>
        </w:rPr>
        <w:t xml:space="preserve">Journal of the Neurological Sciences</w:t>
      </w:r>
      <w:r>
        <w:t xml:space="preserve"> </w:t>
      </w:r>
      <w:r>
        <w:rPr>
          <w:bCs/>
          <w:b/>
        </w:rPr>
        <w:t xml:space="preserve">283</w:t>
      </w:r>
      <w:r>
        <w:t xml:space="preserve">, 306 (2009).</w:t>
      </w:r>
    </w:p>
    <w:bookmarkEnd w:id="570"/>
    <w:bookmarkStart w:id="571" w:name="ref-yang2020"/>
    <w:p>
      <w:pPr>
        <w:pStyle w:val="Bibliography"/>
      </w:pPr>
      <w:r>
        <w:t xml:space="preserve">238.</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571"/>
    <w:bookmarkStart w:id="573" w:name="ref-muangpaisan2010"/>
    <w:p>
      <w:pPr>
        <w:pStyle w:val="Bibliography"/>
      </w:pPr>
      <w:r>
        <w:t xml:space="preserve">239.</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572">
        <w:r>
          <w:rPr>
            <w:rStyle w:val="Hyperlink"/>
          </w:rPr>
          <w:t xml:space="preserve">10.1111/j.1447-0594.2009.00579.x</w:t>
        </w:r>
      </w:hyperlink>
    </w:p>
    <w:bookmarkEnd w:id="573"/>
    <w:bookmarkStart w:id="574" w:name="ref-poly2020"/>
    <w:p>
      <w:pPr>
        <w:pStyle w:val="Bibliography"/>
      </w:pPr>
      <w:r>
        <w:t xml:space="preserve">240.</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574"/>
    <w:bookmarkStart w:id="575" w:name="ref-kuzma2018a"/>
    <w:p>
      <w:pPr>
        <w:pStyle w:val="Bibliography"/>
      </w:pPr>
      <w:r>
        <w:t xml:space="preserve">241.</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w:t>
      </w:r>
      <w:r>
        <w:t xml:space="preserve"> </w:t>
      </w:r>
      <w:r>
        <w:t xml:space="preserve">A 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575"/>
    <w:bookmarkStart w:id="576" w:name="ref-power2015"/>
    <w:p>
      <w:pPr>
        <w:pStyle w:val="Bibliography"/>
      </w:pPr>
      <w:r>
        <w:t xml:space="preserve">242.</w:t>
      </w:r>
      <w:r>
        <w:t xml:space="preserve"> </w:t>
      </w:r>
      <w:r>
        <w:t xml:space="preserve">	</w:t>
      </w:r>
      <w:r>
        <w:t xml:space="preserve">Power, M. C., Weuve, J., Sharrett, A. R., Blacker, D. &amp; Gottesman, R. F. Statins, cognition, and dementia</w:t>
      </w:r>
      <w:r>
        <w:t xml:space="preserve">systematic review and methodological commentary.</w:t>
      </w:r>
      <w:r>
        <w:t xml:space="preserve"> </w:t>
      </w:r>
      <w:r>
        <w:rPr>
          <w:iCs/>
          <w:i/>
        </w:rPr>
        <w:t xml:space="preserve">Nature reviews. Neurology</w:t>
      </w:r>
      <w:r>
        <w:t xml:space="preserve"> </w:t>
      </w:r>
      <w:r>
        <w:rPr>
          <w:bCs/>
          <w:b/>
        </w:rPr>
        <w:t xml:space="preserve">11</w:t>
      </w:r>
      <w:r>
        <w:t xml:space="preserve">, 220–229 (2015).</w:t>
      </w:r>
    </w:p>
    <w:bookmarkEnd w:id="576"/>
    <w:bookmarkStart w:id="577" w:name="ref-aromataris2015"/>
    <w:p>
      <w:pPr>
        <w:pStyle w:val="Bibliography"/>
      </w:pPr>
      <w:r>
        <w:t xml:space="preserve">243.</w:t>
      </w:r>
      <w:r>
        <w:t xml:space="preserve"> </w:t>
      </w:r>
      <w:r>
        <w:t xml:space="preserve">	</w:t>
      </w:r>
      <w:r>
        <w:t xml:space="preserve">Aromataris, E.</w:t>
      </w:r>
      <w:r>
        <w:t xml:space="preserve"> </w:t>
      </w:r>
      <w:r>
        <w:rPr>
          <w:iCs/>
          <w:i/>
        </w:rPr>
        <w:t xml:space="preserve">et al.</w:t>
      </w:r>
      <w:r>
        <w:t xml:space="preserve"> Summarizing systematic reviews: Methodological development, conduct and reporting of an umbrella review approach.</w:t>
      </w:r>
      <w:r>
        <w:t xml:space="preserve"> </w:t>
      </w:r>
      <w:r>
        <w:rPr>
          <w:iCs/>
          <w:i/>
        </w:rPr>
        <w:t xml:space="preserve">International Journal of Evidence-Based Healthcare</w:t>
      </w:r>
      <w:r>
        <w:t xml:space="preserve"> </w:t>
      </w:r>
      <w:r>
        <w:rPr>
          <w:bCs/>
          <w:b/>
        </w:rPr>
        <w:t xml:space="preserve">13</w:t>
      </w:r>
      <w:r>
        <w:t xml:space="preserve">, 132–140 (2015).</w:t>
      </w:r>
    </w:p>
    <w:bookmarkEnd w:id="577"/>
    <w:bookmarkStart w:id="578" w:name="ref-smith2011"/>
    <w:p>
      <w:pPr>
        <w:pStyle w:val="Bibliography"/>
      </w:pPr>
      <w:r>
        <w:t xml:space="preserve">244.</w:t>
      </w:r>
      <w:r>
        <w:t xml:space="preserve"> </w:t>
      </w:r>
      <w:r>
        <w:t xml:space="preserve">	</w:t>
      </w:r>
      <w:r>
        <w:t xml:space="preserve">Smith, V., Devane, D., Begley, C. M. &amp; Clarke, M. Methodology in conducting a systematic review of systematic reviews of healthcare interventions.</w:t>
      </w:r>
      <w:r>
        <w:t xml:space="preserve"> </w:t>
      </w:r>
      <w:r>
        <w:rPr>
          <w:iCs/>
          <w:i/>
        </w:rPr>
        <w:t xml:space="preserve">BMC Medical Research Methodology</w:t>
      </w:r>
      <w:r>
        <w:t xml:space="preserve"> </w:t>
      </w:r>
      <w:r>
        <w:rPr>
          <w:bCs/>
          <w:b/>
        </w:rPr>
        <w:t xml:space="preserve">11</w:t>
      </w:r>
      <w:r>
        <w:t xml:space="preserve">, 15 (2011).</w:t>
      </w:r>
    </w:p>
    <w:bookmarkEnd w:id="578"/>
    <w:bookmarkStart w:id="579" w:name="ref-sohani2015"/>
    <w:p>
      <w:pPr>
        <w:pStyle w:val="Bibliography"/>
      </w:pPr>
      <w:r>
        <w:t xml:space="preserve">245.</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579"/>
    <w:bookmarkStart w:id="580" w:name="ref-larsson2017b"/>
    <w:p>
      <w:pPr>
        <w:pStyle w:val="Bibliography"/>
      </w:pPr>
      <w:r>
        <w:t xml:space="preserve">246.</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580"/>
    <w:bookmarkStart w:id="581" w:name="ref-waffenschmidt2020"/>
    <w:p>
      <w:pPr>
        <w:pStyle w:val="Bibliography"/>
      </w:pPr>
      <w:r>
        <w:t xml:space="preserve">247.</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581"/>
    <w:bookmarkStart w:id="582" w:name="ref-wagner2020"/>
    <w:p>
      <w:pPr>
        <w:pStyle w:val="Bibliography"/>
      </w:pPr>
      <w:r>
        <w:t xml:space="preserve">248.</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582"/>
    <w:bookmarkStart w:id="583" w:name="ref-benn2017a"/>
    <w:p>
      <w:pPr>
        <w:pStyle w:val="Bibliography"/>
      </w:pPr>
      <w:r>
        <w:t xml:space="preserve">249.</w:t>
      </w:r>
      <w:r>
        <w:t xml:space="preserve"> </w:t>
      </w:r>
      <w:r>
        <w:t xml:space="preserve">	</w:t>
      </w:r>
      <w:r>
        <w:t xml:space="preserve">Benn, M. Re:</w:t>
      </w:r>
      <w:r>
        <w:t xml:space="preserve"> </w:t>
      </w:r>
      <w:r>
        <w:t xml:space="preserve">Low 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t xml:space="preserve">(2017).</w:t>
      </w:r>
    </w:p>
    <w:bookmarkEnd w:id="583"/>
    <w:bookmarkStart w:id="584" w:name="ref-andrews2019b"/>
    <w:p>
      <w:pPr>
        <w:pStyle w:val="Bibliography"/>
      </w:pPr>
      <w:r>
        <w:t xml:space="preserve">250.</w:t>
      </w:r>
      <w:r>
        <w:t xml:space="preserve"> </w:t>
      </w:r>
      <w:r>
        <w:t xml:space="preserve">	</w:t>
      </w:r>
      <w:r>
        <w:t xml:space="preserve">Andrews, S. J.</w:t>
      </w:r>
      <w:r>
        <w:t xml:space="preserve"> </w:t>
      </w:r>
      <w:r>
        <w:rPr>
          <w:iCs/>
          <w:i/>
        </w:rPr>
        <w:t xml:space="preserve">et al.</w:t>
      </w:r>
      <w:r>
        <w:t xml:space="preserve"> Causal associations between potentially modifiable risk factors and the</w:t>
      </w:r>
      <w:r>
        <w:t xml:space="preserve"> </w:t>
      </w:r>
      <w:r>
        <w:t xml:space="preserve">Alzheimer</w:t>
      </w:r>
      <w:r>
        <w:t xml:space="preserve">’s disease phenome:</w:t>
      </w:r>
      <w:r>
        <w:t xml:space="preserve"> </w:t>
      </w:r>
      <w:r>
        <w:t xml:space="preserve">A Mendelian</w:t>
      </w:r>
      <w:r>
        <w:t xml:space="preserve"> </w:t>
      </w:r>
      <w:r>
        <w:t xml:space="preserve">randomization study.</w:t>
      </w:r>
      <w:r>
        <w:t xml:space="preserve"> </w:t>
      </w:r>
      <w:r>
        <w:rPr>
          <w:iCs/>
          <w:i/>
        </w:rPr>
        <w:t xml:space="preserve">bioRxiv</w:t>
      </w:r>
      <w:r>
        <w:t xml:space="preserve"> </w:t>
      </w:r>
      <w:r>
        <w:t xml:space="preserve">(2019). doi:</w:t>
      </w:r>
      <w:hyperlink r:id="rId563">
        <w:r>
          <w:rPr>
            <w:rStyle w:val="Hyperlink"/>
          </w:rPr>
          <w:t xml:space="preserve">10.1101/689752</w:t>
        </w:r>
      </w:hyperlink>
    </w:p>
    <w:bookmarkEnd w:id="584"/>
    <w:bookmarkStart w:id="585" w:name="ref-meursingereynders2019"/>
    <w:p>
      <w:pPr>
        <w:pStyle w:val="Bibliography"/>
      </w:pPr>
      <w:r>
        <w:t xml:space="preserve">251.</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585"/>
    <w:bookmarkStart w:id="586" w:name="ref-cooper2019"/>
    <w:p>
      <w:pPr>
        <w:pStyle w:val="Bibliography"/>
      </w:pPr>
      <w:r>
        <w:t xml:space="preserve">252.</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586"/>
    <w:bookmarkStart w:id="587" w:name="ref-hennessy2021"/>
    <w:p>
      <w:pPr>
        <w:pStyle w:val="Bibliography"/>
      </w:pPr>
      <w:r>
        <w:t xml:space="preserve">253.</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48">
        <w:r>
          <w:rPr>
            <w:rStyle w:val="Hyperlink"/>
          </w:rPr>
          <w:t xml:space="preserve">10.1007/s11121-021-01279-8</w:t>
        </w:r>
      </w:hyperlink>
    </w:p>
    <w:bookmarkEnd w:id="587"/>
    <w:bookmarkStart w:id="588" w:name="ref-hsieh2019"/>
    <w:p>
      <w:pPr>
        <w:pStyle w:val="Bibliography"/>
      </w:pPr>
      <w:r>
        <w:t xml:space="preserve">254.</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588"/>
    <w:bookmarkStart w:id="589" w:name="ref-mcguinness2019validity"/>
    <w:p>
      <w:pPr>
        <w:pStyle w:val="Bibliography"/>
      </w:pPr>
      <w:r>
        <w:t xml:space="preserve">255.</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589"/>
    <w:bookmarkStart w:id="590" w:name="ref-wilkinson2018"/>
    <w:p>
      <w:pPr>
        <w:pStyle w:val="Bibliography"/>
      </w:pPr>
      <w:r>
        <w:t xml:space="preserve">256.</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590"/>
    <w:bookmarkStart w:id="591" w:name="ref-jeyaraman2020"/>
    <w:p>
      <w:pPr>
        <w:pStyle w:val="Bibliography"/>
      </w:pPr>
      <w:r>
        <w:t xml:space="preserve">257.</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591"/>
    <w:bookmarkStart w:id="592" w:name="ref-walker2016"/>
    <w:p>
      <w:pPr>
        <w:pStyle w:val="Bibliography"/>
      </w:pPr>
      <w:r>
        <w:t xml:space="preserve">258.</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592"/>
    <w:bookmarkStart w:id="593" w:name="ref-vonelm2008"/>
    <w:p>
      <w:pPr>
        <w:pStyle w:val="Bibliography"/>
      </w:pPr>
      <w:r>
        <w:t xml:space="preserve">259.</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593"/>
    <w:bookmarkStart w:id="594" w:name="ref-herrett2015"/>
    <w:p>
      <w:pPr>
        <w:pStyle w:val="Bibliography"/>
      </w:pPr>
      <w:r>
        <w:t xml:space="preserve">260.</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594"/>
    <w:bookmarkStart w:id="595" w:name="ref-williams2012"/>
    <w:p>
      <w:pPr>
        <w:pStyle w:val="Bibliography"/>
      </w:pPr>
      <w:r>
        <w:t xml:space="preserve">261.</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595"/>
    <w:bookmarkStart w:id="596" w:name="ref-wood2001revitalizing"/>
    <w:p>
      <w:pPr>
        <w:pStyle w:val="Bibliography"/>
      </w:pPr>
      <w:r>
        <w:t xml:space="preserve">262.</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596"/>
    <w:bookmarkStart w:id="597" w:name="ref-mathur2014"/>
    <w:p>
      <w:pPr>
        <w:pStyle w:val="Bibliography"/>
      </w:pPr>
      <w:r>
        <w:t xml:space="preserve">263.</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597"/>
    <w:bookmarkStart w:id="598" w:name="ref-booth1994"/>
    <w:p>
      <w:pPr>
        <w:pStyle w:val="Bibliography"/>
      </w:pPr>
      <w:r>
        <w:t xml:space="preserve">264.</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598"/>
    <w:bookmarkStart w:id="599" w:name="ref-wolf2019"/>
    <w:p>
      <w:pPr>
        <w:pStyle w:val="Bibliography"/>
      </w:pPr>
      <w:r>
        <w:t xml:space="preserve">265.</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599"/>
    <w:bookmarkStart w:id="600" w:name="ref-wishart2017"/>
    <w:p>
      <w:pPr>
        <w:pStyle w:val="Bibliography"/>
      </w:pPr>
      <w:r>
        <w:t xml:space="preserve">266.</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600"/>
    <w:bookmarkStart w:id="601" w:name="ref-charlson1987new"/>
    <w:p>
      <w:pPr>
        <w:pStyle w:val="Bibliography"/>
      </w:pPr>
      <w:r>
        <w:t xml:space="preserve">267.</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601"/>
    <w:bookmarkStart w:id="602" w:name="ref-wells2013strategies"/>
    <w:p>
      <w:pPr>
        <w:pStyle w:val="Bibliography"/>
      </w:pPr>
      <w:r>
        <w:t xml:space="preserve">268.</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602"/>
    <w:bookmarkStart w:id="603" w:name="ref-sterne2009"/>
    <w:p>
      <w:pPr>
        <w:pStyle w:val="Bibliography"/>
      </w:pPr>
      <w:r>
        <w:t xml:space="preserve">269.</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603"/>
    <w:bookmarkStart w:id="604" w:name="ref-moons2006using"/>
    <w:p>
      <w:pPr>
        <w:pStyle w:val="Bibliography"/>
      </w:pPr>
      <w:r>
        <w:t xml:space="preserve">270.</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604"/>
    <w:bookmarkStart w:id="605" w:name="ref-pigott2001review"/>
    <w:p>
      <w:pPr>
        <w:pStyle w:val="Bibliography"/>
      </w:pPr>
      <w:r>
        <w:t xml:space="preserve">271.</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605"/>
    <w:bookmarkStart w:id="606" w:name="ref-hughes2019"/>
    <w:p>
      <w:pPr>
        <w:pStyle w:val="Bibliography"/>
      </w:pPr>
      <w:r>
        <w:t xml:space="preserve">272.</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606"/>
    <w:bookmarkStart w:id="607" w:name="ref-levesque2010"/>
    <w:p>
      <w:pPr>
        <w:pStyle w:val="Bibliography"/>
      </w:pPr>
      <w:r>
        <w:t xml:space="preserve">273.</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607"/>
    <w:bookmarkStart w:id="608" w:name="ref-lamarca1998"/>
    <w:p>
      <w:pPr>
        <w:pStyle w:val="Bibliography"/>
      </w:pPr>
      <w:r>
        <w:t xml:space="preserve">274.</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608"/>
    <w:bookmarkStart w:id="609" w:name="ref-gail2009"/>
    <w:p>
      <w:pPr>
        <w:pStyle w:val="Bibliography"/>
      </w:pPr>
      <w:r>
        <w:t xml:space="preserve">275.</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609"/>
    <w:bookmarkStart w:id="610" w:name="ref-pencina2007"/>
    <w:p>
      <w:pPr>
        <w:pStyle w:val="Bibliography"/>
      </w:pPr>
      <w:r>
        <w:t xml:space="preserve">276.</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610"/>
    <w:bookmarkStart w:id="611" w:name="ref-lipsitch2010"/>
    <w:p>
      <w:pPr>
        <w:pStyle w:val="Bibliography"/>
      </w:pPr>
      <w:r>
        <w:t xml:space="preserve">277.</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611"/>
    <w:bookmarkStart w:id="612" w:name="ref-selva-ocallaghan2018"/>
    <w:p>
      <w:pPr>
        <w:pStyle w:val="Bibliography"/>
      </w:pPr>
      <w:r>
        <w:t xml:space="preserve">278.</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612"/>
    <w:bookmarkStart w:id="613" w:name="ref-herrett2021"/>
    <w:p>
      <w:pPr>
        <w:pStyle w:val="Bibliography"/>
      </w:pPr>
      <w:r>
        <w:t xml:space="preserve">279.</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613"/>
    <w:bookmarkStart w:id="614" w:name="ref-karalis2016"/>
    <w:p>
      <w:pPr>
        <w:pStyle w:val="Bibliography"/>
      </w:pPr>
      <w:r>
        <w:t xml:space="preserve">280.</w:t>
      </w:r>
      <w:r>
        <w:t xml:space="preserve"> </w:t>
      </w:r>
      <w:r>
        <w:t xml:space="preserve">	</w:t>
      </w:r>
      <w:r>
        <w:t xml:space="preserve">Karalis, D. G., Hill, A. N., Clifton, S. &amp; Wild, R. A. The risks of statin use in pregnancy:</w:t>
      </w:r>
      <w:r>
        <w:t xml:space="preserve"> </w:t>
      </w:r>
      <w:r>
        <w:t xml:space="preserve">A</w:t>
      </w:r>
      <w:r>
        <w:t xml:space="preserve"> </w:t>
      </w:r>
      <w:r>
        <w:t xml:space="preserve">systematic review.</w:t>
      </w:r>
      <w:r>
        <w:t xml:space="preserve"> </w:t>
      </w:r>
      <w:r>
        <w:rPr>
          <w:iCs/>
          <w:i/>
        </w:rPr>
        <w:t xml:space="preserve">Journal of Clinical Lipidology</w:t>
      </w:r>
      <w:r>
        <w:t xml:space="preserve"> </w:t>
      </w:r>
      <w:r>
        <w:rPr>
          <w:bCs/>
          <w:b/>
        </w:rPr>
        <w:t xml:space="preserve">10</w:t>
      </w:r>
      <w:r>
        <w:t xml:space="preserve">, 1081–1090 (2016 Sep-Oct).</w:t>
      </w:r>
    </w:p>
    <w:bookmarkEnd w:id="614"/>
    <w:bookmarkStart w:id="615" w:name="ref-smeeth2009"/>
    <w:p>
      <w:pPr>
        <w:pStyle w:val="Bibliography"/>
      </w:pPr>
      <w:r>
        <w:t xml:space="preserve">281.</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615"/>
    <w:bookmarkStart w:id="616" w:name="ref-salas1999"/>
    <w:p>
      <w:pPr>
        <w:pStyle w:val="Bibliography"/>
      </w:pPr>
      <w:r>
        <w:t xml:space="preserve">282.</w:t>
      </w:r>
      <w:r>
        <w:t xml:space="preserve"> </w:t>
      </w:r>
      <w:r>
        <w:t xml:space="preserve">	</w:t>
      </w:r>
      <w:r>
        <w:t xml:space="preserve">Salas, M., Hotman, A. &amp; Stricker, B. H. Confounding by</w:t>
      </w:r>
      <w:r>
        <w:t xml:space="preserve"> </w:t>
      </w:r>
      <w:r>
        <w:t xml:space="preserve">Indication</w:t>
      </w:r>
      <w:r>
        <w:t xml:space="preserve">:</w:t>
      </w:r>
      <w:r>
        <w:t xml:space="preserve"> </w:t>
      </w:r>
      <w:r>
        <w:t xml:space="preserve">An 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616"/>
    <w:bookmarkStart w:id="617" w:name="ref-suttorp2015"/>
    <w:p>
      <w:pPr>
        <w:pStyle w:val="Bibliography"/>
      </w:pPr>
      <w:r>
        <w:t xml:space="preserve">283.</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617"/>
    <w:bookmarkStart w:id="618" w:name="ref-danaei2013b"/>
    <w:p>
      <w:pPr>
        <w:pStyle w:val="Bibliography"/>
      </w:pPr>
      <w:r>
        <w:t xml:space="preserve">284.</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618"/>
    <w:bookmarkStart w:id="620" w:name="ref-korologou-linden2020"/>
    <w:p>
      <w:pPr>
        <w:pStyle w:val="Bibliography"/>
      </w:pPr>
      <w:r>
        <w:t xml:space="preserve">285.</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619">
        <w:r>
          <w:rPr>
            <w:rStyle w:val="Hyperlink"/>
          </w:rPr>
          <w:t xml:space="preserve">10.1101/2019.12.18.19013847</w:t>
        </w:r>
      </w:hyperlink>
    </w:p>
    <w:bookmarkEnd w:id="620"/>
    <w:bookmarkStart w:id="621" w:name="ref-porta2014dictionary"/>
    <w:p>
      <w:pPr>
        <w:pStyle w:val="Bibliography"/>
      </w:pPr>
      <w:r>
        <w:t xml:space="preserve">286.</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621"/>
    <w:bookmarkStart w:id="622" w:name="ref-goldacre2019c"/>
    <w:p>
      <w:pPr>
        <w:pStyle w:val="Bibliography"/>
      </w:pPr>
      <w:r>
        <w:t xml:space="preserve">287.</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622"/>
    <w:bookmarkStart w:id="623" w:name="ref-vandenbroucke2007"/>
    <w:p>
      <w:pPr>
        <w:pStyle w:val="Bibliography"/>
      </w:pPr>
      <w:r>
        <w:t xml:space="preserve">288.</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623"/>
    <w:bookmarkStart w:id="624" w:name="ref-levis2021"/>
    <w:p>
      <w:pPr>
        <w:pStyle w:val="Bibliography"/>
      </w:pPr>
      <w:r>
        <w:t xml:space="preserve">289.</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624"/>
    <w:bookmarkStart w:id="625" w:name="ref-wang2017"/>
    <w:p>
      <w:pPr>
        <w:pStyle w:val="Bibliography"/>
      </w:pPr>
      <w:r>
        <w:t xml:space="preserve">290.</w:t>
      </w:r>
      <w:r>
        <w:t xml:space="preserve"> </w:t>
      </w:r>
      <w:r>
        <w:t xml:space="preserve">	</w:t>
      </w:r>
      <w:r>
        <w:t xml:space="preserve">Wang, L.</w:t>
      </w:r>
      <w:r>
        <w:t xml:space="preserve"> </w:t>
      </w:r>
      <w:r>
        <w:rPr>
          <w:iCs/>
          <w:i/>
        </w:rPr>
        <w:t xml:space="preserve">et al.</w:t>
      </w:r>
      <w:r>
        <w:t xml:space="preserve"> Assessing robustness of hazard ratio estimates to outcome misclassification in longitudinal panel studies with application to</w:t>
      </w:r>
      <w:r>
        <w:t xml:space="preserve"> </w:t>
      </w:r>
      <w:r>
        <w:t xml:space="preserve">Alzheimer</w:t>
      </w:r>
      <w:r>
        <w:t xml:space="preserve">’s disease.</w:t>
      </w:r>
      <w:r>
        <w:t xml:space="preserve"> </w:t>
      </w:r>
      <w:r>
        <w:rPr>
          <w:iCs/>
          <w:i/>
        </w:rPr>
        <w:t xml:space="preserve">PLOS ONE</w:t>
      </w:r>
      <w:r>
        <w:t xml:space="preserve"> </w:t>
      </w:r>
      <w:r>
        <w:rPr>
          <w:bCs/>
          <w:b/>
        </w:rPr>
        <w:t xml:space="preserve">12</w:t>
      </w:r>
      <w:r>
        <w:t xml:space="preserve">, e0190107 (2017).</w:t>
      </w:r>
    </w:p>
    <w:bookmarkEnd w:id="625"/>
    <w:bookmarkStart w:id="626" w:name="ref-abo-zaid2013"/>
    <w:p>
      <w:pPr>
        <w:pStyle w:val="Bibliography"/>
      </w:pPr>
      <w:r>
        <w:t xml:space="preserve">291.</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626"/>
    <w:bookmarkStart w:id="628" w:name="ref-mcguinness2020DAScomparison"/>
    <w:p>
      <w:pPr>
        <w:pStyle w:val="Bibliography"/>
      </w:pPr>
      <w:r>
        <w:t xml:space="preserve">292.</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627">
        <w:r>
          <w:rPr>
            <w:rStyle w:val="Hyperlink"/>
          </w:rPr>
          <w:t xml:space="preserve">10.31222/osf.io/p75xe</w:t>
        </w:r>
      </w:hyperlink>
    </w:p>
    <w:bookmarkEnd w:id="628"/>
    <w:bookmarkStart w:id="629" w:name="ref-riboli1997"/>
    <w:p>
      <w:pPr>
        <w:pStyle w:val="Bibliography"/>
      </w:pPr>
      <w:r>
        <w:t xml:space="preserve">293.</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629"/>
    <w:bookmarkStart w:id="630" w:name="ref-riboli2002"/>
    <w:p>
      <w:pPr>
        <w:pStyle w:val="Bibliography"/>
      </w:pPr>
      <w:r>
        <w:t xml:space="preserve">294.</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630"/>
    <w:bookmarkStart w:id="631" w:name="ref-danko2019"/>
    <w:p>
      <w:pPr>
        <w:pStyle w:val="Bibliography"/>
      </w:pPr>
      <w:r>
        <w:t xml:space="preserve">295.</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631"/>
    <w:bookmarkStart w:id="632" w:name="ref-krawczyk2012"/>
    <w:p>
      <w:pPr>
        <w:pStyle w:val="Bibliography"/>
      </w:pPr>
      <w:r>
        <w:t xml:space="preserve">296.</w:t>
      </w:r>
      <w:r>
        <w:t xml:space="preserve"> </w:t>
      </w:r>
      <w:r>
        <w:t xml:space="preserve">	</w:t>
      </w:r>
      <w:r>
        <w:t xml:space="preserve">Krawczyk, M. &amp; Reuben, E. (</w:t>
      </w:r>
      <w:r>
        <w:t xml:space="preserve">Un</w:t>
      </w:r>
      <w:r>
        <w:t xml:space="preserve">)</w:t>
      </w:r>
      <w:r>
        <w:t xml:space="preserve">Available</w:t>
      </w:r>
      <w:r>
        <w:t xml:space="preserve"> </w:t>
      </w:r>
      <w:r>
        <w:t xml:space="preserve">upon</w:t>
      </w:r>
      <w:r>
        <w:t xml:space="preserve"> </w:t>
      </w:r>
      <w:r>
        <w:t xml:space="preserve">Request</w:t>
      </w:r>
      <w:r>
        <w:t xml:space="preserve">:</w:t>
      </w:r>
      <w:r>
        <w:t xml:space="preserve"> </w:t>
      </w:r>
      <w:r>
        <w:t xml:space="preserve">Field Experiment</w:t>
      </w:r>
      <w:r>
        <w:t xml:space="preserve"> </w:t>
      </w:r>
      <w:r>
        <w:t xml:space="preserve">on</w:t>
      </w:r>
      <w:r>
        <w:t xml:space="preserve"> </w:t>
      </w:r>
      <w:r>
        <w:t xml:space="preserve">Researchers</w:t>
      </w:r>
      <w:r>
        <w:t xml:space="preserve">’</w:t>
      </w:r>
      <w:r>
        <w:t xml:space="preserve"> </w:t>
      </w:r>
      <w:r>
        <w:t xml:space="preserve">Willingness</w:t>
      </w:r>
      <w:r>
        <w:t xml:space="preserve"> </w:t>
      </w:r>
      <w:r>
        <w:t xml:space="preserve">to</w:t>
      </w:r>
      <w:r>
        <w:t xml:space="preserve"> </w:t>
      </w:r>
      <w:r>
        <w:t xml:space="preserve">Share Supplementary Materials</w:t>
      </w:r>
      <w:r>
        <w:t xml:space="preserve">.</w:t>
      </w:r>
      <w:r>
        <w:t xml:space="preserve"> </w:t>
      </w:r>
      <w:r>
        <w:rPr>
          <w:iCs/>
          <w:i/>
        </w:rPr>
        <w:t xml:space="preserve">Accountability in Research</w:t>
      </w:r>
      <w:r>
        <w:t xml:space="preserve"> </w:t>
      </w:r>
      <w:r>
        <w:rPr>
          <w:bCs/>
          <w:b/>
        </w:rPr>
        <w:t xml:space="preserve">19</w:t>
      </w:r>
      <w:r>
        <w:t xml:space="preserve">, 175–186 (2012).</w:t>
      </w:r>
    </w:p>
    <w:bookmarkEnd w:id="632"/>
    <w:bookmarkStart w:id="633" w:name="ref-miyakawa2020"/>
    <w:p>
      <w:pPr>
        <w:pStyle w:val="Bibliography"/>
      </w:pPr>
      <w:r>
        <w:t xml:space="preserve">297.</w:t>
      </w:r>
      <w:r>
        <w:t xml:space="preserve"> </w:t>
      </w:r>
      <w:r>
        <w:t xml:space="preserve">	</w:t>
      </w:r>
      <w:r>
        <w:t xml:space="preserve">Miyakawa, T. No raw data, no science: Another possible source of the reproducibility crisis.</w:t>
      </w:r>
      <w:r>
        <w:t xml:space="preserve"> </w:t>
      </w:r>
      <w:r>
        <w:rPr>
          <w:iCs/>
          <w:i/>
        </w:rPr>
        <w:t xml:space="preserve">Molecular Brain</w:t>
      </w:r>
      <w:r>
        <w:t xml:space="preserve"> </w:t>
      </w:r>
      <w:r>
        <w:rPr>
          <w:bCs/>
          <w:b/>
        </w:rPr>
        <w:t xml:space="preserve">13</w:t>
      </w:r>
      <w:r>
        <w:t xml:space="preserve">, 24 (2020).</w:t>
      </w:r>
    </w:p>
    <w:bookmarkEnd w:id="633"/>
    <w:bookmarkStart w:id="635" w:name="ref-naudet2018"/>
    <w:p>
      <w:pPr>
        <w:pStyle w:val="Bibliography"/>
      </w:pPr>
      <w:r>
        <w:t xml:space="preserve">298.</w:t>
      </w:r>
      <w:r>
        <w:t xml:space="preserve"> </w:t>
      </w:r>
      <w:r>
        <w:t xml:space="preserve">	</w:t>
      </w:r>
      <w:r>
        <w:t xml:space="preserve">Naudet, F.</w:t>
      </w:r>
      <w:r>
        <w:t xml:space="preserve"> </w:t>
      </w:r>
      <w:r>
        <w:rPr>
          <w:iCs/>
          <w:i/>
        </w:rPr>
        <w:t xml:space="preserve">et al.</w:t>
      </w:r>
      <w:r>
        <w:t xml:space="preserve"> Data sharing and reanalysis of randomized controlled trials in leading biomedical journals with a full data sharing policy: Survey of studies published in</w:t>
      </w:r>
      <w:r>
        <w:t xml:space="preserve"> </w:t>
      </w:r>
      <w:r>
        <w:rPr>
          <w:iCs/>
          <w:i/>
        </w:rPr>
        <w:t xml:space="preserve">The BMJ</w:t>
      </w:r>
      <w:r>
        <w:t xml:space="preserve"> </w:t>
      </w:r>
      <w:r>
        <w:t xml:space="preserve">and</w:t>
      </w:r>
      <w:r>
        <w:t xml:space="preserve"> </w:t>
      </w:r>
      <w:r>
        <w:rPr>
          <w:iCs/>
          <w:i/>
        </w:rPr>
        <w:t xml:space="preserve">PLOS Medicine</w:t>
      </w:r>
      <w:r>
        <w:t xml:space="preserve">.</w:t>
      </w:r>
      <w:r>
        <w:t xml:space="preserve"> </w:t>
      </w:r>
      <w:r>
        <w:rPr>
          <w:iCs/>
          <w:i/>
        </w:rPr>
        <w:t xml:space="preserve">BMJ</w:t>
      </w:r>
      <w:r>
        <w:t xml:space="preserve"> </w:t>
      </w:r>
      <w:r>
        <w:t xml:space="preserve">k400 (2018). doi:</w:t>
      </w:r>
      <w:hyperlink r:id="rId634">
        <w:r>
          <w:rPr>
            <w:rStyle w:val="Hyperlink"/>
          </w:rPr>
          <w:t xml:space="preserve">10.1136/bmj.k400</w:t>
        </w:r>
      </w:hyperlink>
    </w:p>
    <w:bookmarkEnd w:id="635"/>
    <w:bookmarkStart w:id="636" w:name="ref-jaspers2014"/>
    <w:p>
      <w:pPr>
        <w:pStyle w:val="Bibliography"/>
      </w:pPr>
      <w:r>
        <w:t xml:space="preserve">299.</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636"/>
    <w:bookmarkStart w:id="637" w:name="ref-higgins2008a"/>
    <w:p>
      <w:pPr>
        <w:pStyle w:val="Bibliography"/>
      </w:pPr>
      <w:r>
        <w:t xml:space="preserve">300.</w:t>
      </w:r>
      <w:r>
        <w:t xml:space="preserve"> </w:t>
      </w:r>
      <w:r>
        <w:t xml:space="preserve">	</w:t>
      </w:r>
      <w:r>
        <w:t xml:space="preserve">Higgins, J. P. T., White, I. R. &amp; Anzures-Cabrera, J. Meta-analysis of skewed data:</w:t>
      </w:r>
      <w:r>
        <w:t xml:space="preserve"> </w:t>
      </w:r>
      <w:r>
        <w:t xml:space="preserve">Combining</w:t>
      </w:r>
      <w:r>
        <w:t xml:space="preserve"> </w:t>
      </w:r>
      <w:r>
        <w:t xml:space="preserve">results reported on log-transformed or raw scales.</w:t>
      </w:r>
      <w:r>
        <w:t xml:space="preserve"> </w:t>
      </w:r>
      <w:r>
        <w:rPr>
          <w:iCs/>
          <w:i/>
        </w:rPr>
        <w:t xml:space="preserve">Statistics in Medicine</w:t>
      </w:r>
      <w:r>
        <w:t xml:space="preserve"> </w:t>
      </w:r>
      <w:r>
        <w:rPr>
          <w:bCs/>
          <w:b/>
        </w:rPr>
        <w:t xml:space="preserve">27</w:t>
      </w:r>
      <w:r>
        <w:t xml:space="preserve">, 6072–6092 (2008).</w:t>
      </w:r>
    </w:p>
    <w:bookmarkEnd w:id="637"/>
    <w:bookmarkStart w:id="638" w:name="ref-yusuf1984"/>
    <w:p>
      <w:pPr>
        <w:pStyle w:val="Bibliography"/>
      </w:pPr>
      <w:r>
        <w:t xml:space="preserve">301.</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638"/>
    <w:bookmarkStart w:id="639" w:name="ref-wilson2014"/>
    <w:p>
      <w:pPr>
        <w:pStyle w:val="Bibliography"/>
      </w:pPr>
      <w:r>
        <w:t xml:space="preserve">302.</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639"/>
    <w:bookmarkStart w:id="640" w:name="ref-wilson2017"/>
    <w:p>
      <w:pPr>
        <w:pStyle w:val="Bibliography"/>
      </w:pPr>
      <w:r>
        <w:t xml:space="preserve">303.</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640"/>
    <w:bookmarkStart w:id="641" w:name="ref-simillis2020"/>
    <w:p>
      <w:pPr>
        <w:pStyle w:val="Bibliography"/>
      </w:pPr>
      <w:r>
        <w:t xml:space="preserve">304.</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641"/>
    <w:bookmarkStart w:id="642" w:name="ref-tanneru2020"/>
    <w:p>
      <w:pPr>
        <w:pStyle w:val="Bibliography"/>
      </w:pPr>
      <w:r>
        <w:t xml:space="preserve">305.</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642"/>
    <w:bookmarkEnd w:id="643"/>
    <w:bookmarkEnd w:id="644"/>
    <w:bookmarkStart w:id="645" w:name="appendix"/>
    <w:p>
      <w:pPr>
        <w:pStyle w:val="Heading1"/>
      </w:pPr>
      <w:r>
        <w:t xml:space="preserve">Appendix</w:t>
      </w:r>
    </w:p>
    <w:bookmarkEnd w:id="645"/>
    <w:bookmarkStart w:id="670" w:name="chapter-appendix-heading"/>
    <w:p>
      <w:pPr>
        <w:pStyle w:val="Heading1"/>
      </w:pPr>
      <w:r>
        <w:t xml:space="preserve">By Chapter</w:t>
      </w:r>
    </w:p>
    <w:bookmarkStart w:id="648" w:name="appendix-into"/>
    <w:p>
      <w:pPr>
        <w:pStyle w:val="Heading2"/>
      </w:pPr>
      <w:r>
        <w:t xml:space="preserve">Chapter</w:t>
      </w:r>
      <w:r>
        <w:t xml:space="preserve"> </w:t>
      </w:r>
      <w:r>
        <w:t xml:space="preserve">1</w:t>
      </w:r>
    </w:p>
    <w:bookmarkStart w:id="646" w:name="appendix-publications"/>
    <w:p>
      <w:pPr>
        <w:pStyle w:val="Heading3"/>
      </w:pPr>
      <w:r>
        <w:t xml:space="preserve">Publications beyond the scope of this thesis</w:t>
      </w:r>
    </w:p>
    <w:p>
      <w:pPr>
        <w:pStyle w:val="FirstParagraph"/>
      </w:pPr>
      <w:r>
        <w:rPr>
          <w:bCs/>
          <w:b/>
        </w:rPr>
        <w:t xml:space="preserve">Peer reviewed</w:t>
      </w:r>
    </w:p>
    <w:p>
      <w:pPr>
        <w:numPr>
          <w:ilvl w:val="0"/>
          <w:numId w:val="1015"/>
        </w:numPr>
      </w:pPr>
      <w:r>
        <w:t xml:space="preserve">PRISMA main paper</w:t>
      </w:r>
    </w:p>
    <w:p>
      <w:pPr>
        <w:numPr>
          <w:ilvl w:val="0"/>
          <w:numId w:val="1015"/>
        </w:numPr>
      </w:pPr>
      <w:r>
        <w:t xml:space="preserve">PRISMA E&amp;E</w:t>
      </w:r>
    </w:p>
    <w:p>
      <w:pPr>
        <w:numPr>
          <w:ilvl w:val="0"/>
          <w:numId w:val="1015"/>
        </w:numPr>
      </w:pPr>
      <w:r>
        <w:t xml:space="preserve">PRISMA 2020 software</w:t>
      </w:r>
    </w:p>
    <w:p>
      <w:pPr>
        <w:numPr>
          <w:ilvl w:val="0"/>
          <w:numId w:val="1015"/>
        </w:numPr>
      </w:pPr>
      <w:r>
        <w:t xml:space="preserve">COVID Suicide Living Review</w:t>
      </w:r>
    </w:p>
    <w:p>
      <w:pPr>
        <w:numPr>
          <w:ilvl w:val="0"/>
          <w:numId w:val="1015"/>
        </w:numPr>
      </w:pPr>
      <w:r>
        <w:t xml:space="preserve">Data extraction tools systematic review</w:t>
      </w:r>
    </w:p>
    <w:p>
      <w:pPr>
        <w:pStyle w:val="FirstParagraph"/>
      </w:pPr>
      <w:r>
        <w:rPr>
          <w:bCs/>
          <w:b/>
        </w:rPr>
        <w:t xml:space="preserve">Under review/Preprints</w:t>
      </w:r>
    </w:p>
    <w:p>
      <w:pPr>
        <w:numPr>
          <w:ilvl w:val="0"/>
          <w:numId w:val="1016"/>
        </w:numPr>
      </w:pPr>
      <w:r>
        <w:t xml:space="preserve">MSc Paper on systematic reviews of this thesis topic</w:t>
      </w:r>
    </w:p>
    <w:bookmarkEnd w:id="646"/>
    <w:bookmarkStart w:id="647"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647"/>
    <w:bookmarkEnd w:id="648"/>
    <w:bookmarkStart w:id="650" w:name="appendix-sys-rev-tools"/>
    <w:p>
      <w:pPr>
        <w:pStyle w:val="Heading2"/>
      </w:pPr>
      <w:r>
        <w:t xml:space="preserve">Chapter</w:t>
      </w:r>
      <w:r>
        <w:t xml:space="preserve"> </w:t>
      </w:r>
      <w:r>
        <w:t xml:space="preserve">2</w:t>
      </w:r>
    </w:p>
    <w:bookmarkStart w:id="649"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649"/>
    <w:bookmarkEnd w:id="650"/>
    <w:bookmarkStart w:id="661" w:name="appendix-sys-rev"/>
    <w:p>
      <w:pPr>
        <w:pStyle w:val="Heading2"/>
      </w:pPr>
      <w:r>
        <w:t xml:space="preserve">Chapter</w:t>
      </w:r>
      <w:r>
        <w:t xml:space="preserve"> </w:t>
      </w:r>
      <w:r>
        <w:t xml:space="preserve">??</w:t>
      </w:r>
    </w:p>
    <w:bookmarkStart w:id="651" w:name="appendix-search-strategy"/>
    <w:p>
      <w:pPr>
        <w:pStyle w:val="Heading3"/>
      </w:pPr>
      <w:r>
        <w:t xml:space="preserve">Search strategy</w:t>
      </w:r>
    </w:p>
    <w:p>
      <w:pPr>
        <w:pStyle w:val="FirstParagraph"/>
      </w:pPr>
      <w:r>
        <w:t xml:space="preserve"> </w:t>
      </w:r>
    </w:p>
    <w:p>
      <w:pPr>
        <w:pStyle w:val="TableCaption"/>
      </w:pPr>
      <w:r>
        <w:t xml:space="preserve">Table 19:</w:t>
      </w:r>
      <w:r>
        <w:t xml:space="preserve"> </w:t>
      </w:r>
      <w:bookmarkStart w:id="afdf00e4-4c09-4bc1-abdf-4103b15acef9" w:name="tab:searchHits-table"/>
      <w:r>
        <w:t xml:space="preserve">Overview of the full Medline search strategy.</w:t>
      </w:r>
      <w:bookmarkEnd w:id="afdf00e4-4c09-4bc1-abdf-4103b15acef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651"/>
    <w:bookmarkStart w:id="652" w:name="appendix-wos-databases"/>
    <w:p>
      <w:pPr>
        <w:pStyle w:val="Heading3"/>
      </w:pPr>
      <w:r>
        <w:t xml:space="preserve">Web of Science Databases Searched</w:t>
      </w:r>
    </w:p>
    <w:p>
      <w:pPr>
        <w:pStyle w:val="FirstParagraph"/>
      </w:pPr>
      <w:r>
        <w:t xml:space="preserve"> </w:t>
      </w:r>
    </w:p>
    <w:p>
      <w:pPr>
        <w:pStyle w:val="BodyText"/>
      </w:pPr>
      <w:r>
        <w:t xml:space="preserve">Table 20: Summary of Web of Science databases searched.</w:t>
      </w:r>
    </w:p>
    <w:p>
      <w:pPr>
        <w:pStyle w:val="BodyText"/>
      </w:pPr>
      <w:r>
        <w:t xml:space="preserve">Database</w:t>
      </w:r>
    </w:p>
    <w:p>
      <w:pPr>
        <w:pStyle w:val="BodyText"/>
      </w:pPr>
      <w:r>
        <w:t xml:space="preserve">Abbreviation</w:t>
      </w:r>
    </w:p>
    <w:p>
      <w:pPr>
        <w:pStyle w:val="BodyText"/>
      </w:pPr>
      <w:r>
        <w:t xml:space="preserve">Years</w:t>
      </w:r>
    </w:p>
    <w:p>
      <w:pPr>
        <w:pStyle w:val="BodyText"/>
      </w:pPr>
      <w:r>
        <w:t xml:space="preserve">Science Citation Index Expanded</w:t>
      </w:r>
    </w:p>
    <w:p>
      <w:pPr>
        <w:pStyle w:val="BodyText"/>
      </w:pPr>
      <w:r>
        <w:t xml:space="preserve">SCI-EXPANDED</w:t>
      </w:r>
    </w:p>
    <w:p>
      <w:pPr>
        <w:pStyle w:val="BodyText"/>
      </w:pPr>
      <w:r>
        <w:t xml:space="preserve">1900-present</w:t>
      </w:r>
    </w:p>
    <w:p>
      <w:pPr>
        <w:pStyle w:val="BodyText"/>
      </w:pPr>
      <w:r>
        <w:t xml:space="preserve">Social Sciences Citation Index</w:t>
      </w:r>
    </w:p>
    <w:p>
      <w:pPr>
        <w:pStyle w:val="BodyText"/>
      </w:pPr>
      <w:r>
        <w:t xml:space="preserve">SSCI</w:t>
      </w:r>
    </w:p>
    <w:p>
      <w:pPr>
        <w:pStyle w:val="BodyText"/>
      </w:pPr>
      <w:r>
        <w:t xml:space="preserve">1956-present</w:t>
      </w:r>
    </w:p>
    <w:p>
      <w:pPr>
        <w:pStyle w:val="BodyText"/>
      </w:pPr>
      <w:r>
        <w:t xml:space="preserve">Arts &amp; Humanities Citation Index</w:t>
      </w:r>
    </w:p>
    <w:p>
      <w:pPr>
        <w:pStyle w:val="BodyText"/>
      </w:pPr>
      <w:r>
        <w:t xml:space="preserve">A&amp;HCI</w:t>
      </w:r>
    </w:p>
    <w:p>
      <w:pPr>
        <w:pStyle w:val="BodyText"/>
      </w:pPr>
      <w:r>
        <w:t xml:space="preserve">1975-present</w:t>
      </w:r>
    </w:p>
    <w:p>
      <w:pPr>
        <w:pStyle w:val="BodyText"/>
      </w:pPr>
      <w:r>
        <w:t xml:space="preserve">Conference Proceedings Citation Index - Science</w:t>
      </w:r>
    </w:p>
    <w:p>
      <w:pPr>
        <w:pStyle w:val="BodyText"/>
      </w:pPr>
      <w:r>
        <w:t xml:space="preserve">CPCI-S</w:t>
      </w:r>
    </w:p>
    <w:p>
      <w:pPr>
        <w:pStyle w:val="BodyText"/>
      </w:pPr>
      <w:r>
        <w:t xml:space="preserve">1990-present</w:t>
      </w:r>
    </w:p>
    <w:p>
      <w:pPr>
        <w:pStyle w:val="BodyText"/>
      </w:pPr>
      <w:r>
        <w:t xml:space="preserve">Conference Proceedings Citation Index - Social Science &amp; Humanities</w:t>
      </w:r>
    </w:p>
    <w:p>
      <w:pPr>
        <w:pStyle w:val="BodyText"/>
      </w:pPr>
      <w:r>
        <w:t xml:space="preserve">CPCI-SSH</w:t>
      </w:r>
    </w:p>
    <w:p>
      <w:pPr>
        <w:pStyle w:val="BodyText"/>
      </w:pPr>
      <w:r>
        <w:t xml:space="preserve">1990-present</w:t>
      </w:r>
    </w:p>
    <w:p>
      <w:pPr>
        <w:pStyle w:val="BodyText"/>
      </w:pPr>
      <w:r>
        <w:t xml:space="preserve">Emerging Sources Citation Index</w:t>
      </w:r>
    </w:p>
    <w:p>
      <w:pPr>
        <w:pStyle w:val="BodyText"/>
      </w:pPr>
      <w:r>
        <w:t xml:space="preserve">ESCI</w:t>
      </w:r>
    </w:p>
    <w:p>
      <w:pPr>
        <w:pStyle w:val="BodyText"/>
      </w:pPr>
      <w:r>
        <w:t xml:space="preserve">2015-present</w:t>
      </w:r>
    </w:p>
    <w:p>
      <w:pPr>
        <w:pStyle w:val="BodyText"/>
      </w:pPr>
      <w:r>
        <w:t xml:space="preserve"> </w:t>
      </w:r>
    </w:p>
    <w:bookmarkEnd w:id="652"/>
    <w:bookmarkStart w:id="653"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653"/>
    <w:bookmarkStart w:id="654" w:name="calculating-gwets-ac1"/>
    <w:p>
      <w:pPr>
        <w:pStyle w:val="Heading3"/>
      </w:pPr>
      <w:r>
        <w:t xml:space="preserve">Calculating Gwet’s AC1</w:t>
      </w:r>
    </w:p>
    <w:p>
      <w:pPr>
        <w:pStyle w:val="FirstParagraph"/>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9</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10</m:t>
          </m:r>
          <m:r>
            <m:rPr>
              <m:sty m:val="p"/>
            </m:rPr>
            <m:t>)</m:t>
          </m:r>
        </m:oMath>
      </m:oMathPara>
    </w:p>
    <w:bookmarkEnd w:id="654"/>
    <w:bookmarkStart w:id="655" w:name="appendix-mr-rob"/>
    <w:p>
      <w:pPr>
        <w:pStyle w:val="Heading3"/>
      </w:pPr>
      <w:r>
        <w:t xml:space="preserve">MR risk of bias tool</w:t>
      </w:r>
    </w:p>
    <w:bookmarkEnd w:id="655"/>
    <w:bookmarkStart w:id="660" w:name="lipid-fraction-forest-plots"/>
    <w:p>
      <w:pPr>
        <w:pStyle w:val="Heading3"/>
      </w:pPr>
      <w:r>
        <w:t xml:space="preserve">Forest plots for lipid fractions</w:t>
      </w:r>
    </w:p>
    <w:p>
      <w:pPr>
        <w:pStyle w:val="FirstParagraph"/>
      </w:pPr>
      <w:r>
        <w:drawing>
          <wp:inline>
            <wp:extent cx="5943600" cy="2717074"/>
            <wp:effectExtent b="0" l="0" r="0" t="0"/>
            <wp:docPr descr="" title="" id="1" name="Picture"/>
            <a:graphic>
              <a:graphicData uri="http://schemas.openxmlformats.org/drawingml/2006/picture">
                <pic:pic>
                  <pic:nvPicPr>
                    <pic:cNvPr descr="figures/sys-rev/fp_obs_Dementia_TC_.png" id="0" name="Picture"/>
                    <pic:cNvPicPr>
                      <a:picLocks noChangeArrowheads="1" noChangeAspect="1"/>
                    </pic:cNvPicPr>
                  </pic:nvPicPr>
                  <pic:blipFill>
                    <a:blip r:embed="rId656"/>
                    <a:stretch>
                      <a:fillRect/>
                    </a:stretch>
                  </pic:blipFill>
                  <pic:spPr bwMode="auto">
                    <a:xfrm>
                      <a:off x="0" y="0"/>
                      <a:ext cx="5943600" cy="2717074"/>
                    </a:xfrm>
                    <a:prstGeom prst="rect">
                      <a:avLst/>
                    </a:prstGeom>
                    <a:noFill/>
                    <a:ln w="9525">
                      <a:noFill/>
                      <a:headEnd/>
                      <a:tailEnd/>
                    </a:ln>
                  </pic:spPr>
                </pic:pic>
              </a:graphicData>
            </a:graphic>
          </wp:inline>
        </w:drawing>
      </w:r>
      <w:r>
        <w:t xml:space="preserve"> </w:t>
      </w:r>
    </w:p>
    <w:p>
      <w:pPr>
        <w:pStyle w:val="BodyText"/>
      </w:pPr>
      <w:r>
        <w:drawing>
          <wp:inline>
            <wp:extent cx="5943600" cy="2377440"/>
            <wp:effectExtent b="0" l="0" r="0" t="0"/>
            <wp:docPr descr="" title="" id="1" name="Picture"/>
            <a:graphic>
              <a:graphicData uri="http://schemas.openxmlformats.org/drawingml/2006/picture">
                <pic:pic>
                  <pic:nvPicPr>
                    <pic:cNvPr descr="figures/sys-rev/fp_obs_Dementia_LDL_.png" id="0" name="Picture"/>
                    <pic:cNvPicPr>
                      <a:picLocks noChangeArrowheads="1" noChangeAspect="1"/>
                    </pic:cNvPicPr>
                  </pic:nvPicPr>
                  <pic:blipFill>
                    <a:blip r:embed="rId657"/>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drawing>
          <wp:inline>
            <wp:extent cx="5943600" cy="2377440"/>
            <wp:effectExtent b="0" l="0" r="0" t="0"/>
            <wp:docPr descr="" title="" id="1" name="Picture"/>
            <a:graphic>
              <a:graphicData uri="http://schemas.openxmlformats.org/drawingml/2006/picture">
                <pic:pic>
                  <pic:nvPicPr>
                    <pic:cNvPr descr="figures/sys-rev/fp_obs_Dementia_HDL_.png" id="0" name="Picture"/>
                    <pic:cNvPicPr>
                      <a:picLocks noChangeArrowheads="1" noChangeAspect="1"/>
                    </pic:cNvPicPr>
                  </pic:nvPicPr>
                  <pic:blipFill>
                    <a:blip r:embed="rId658"/>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drawing>
          <wp:inline>
            <wp:extent cx="5943600" cy="2377440"/>
            <wp:effectExtent b="0" l="0" r="0" t="0"/>
            <wp:docPr descr="" title="" id="1" name="Picture"/>
            <a:graphic>
              <a:graphicData uri="http://schemas.openxmlformats.org/drawingml/2006/picture">
                <pic:pic>
                  <pic:nvPicPr>
                    <pic:cNvPr descr="figures/sys-rev/fp_obs_Dementia_TG_.png" id="0" name="Picture"/>
                    <pic:cNvPicPr>
                      <a:picLocks noChangeArrowheads="1" noChangeAspect="1"/>
                    </pic:cNvPicPr>
                  </pic:nvPicPr>
                  <pic:blipFill>
                    <a:blip r:embed="rId659"/>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Table 21: Tool used to assess risk of bias in Mendelian randomisation studies, adapted from that developed by Mamluk et al.</w:t>
      </w:r>
      <w:hyperlink w:anchor="ref-mamluk2020">
        <w:r>
          <w:rPr>
            <w:rStyle w:val="Hyperlink"/>
            <w:vertAlign w:val="superscript"/>
          </w:rPr>
          <w:t xml:space="preserve">147</w:t>
        </w:r>
      </w:hyperlink>
    </w:p>
    <w:p>
      <w:pPr>
        <w:pStyle w:val="BodyText"/>
      </w:pPr>
      <w:r>
        <w:t xml:space="preserve">Bias domain</w:t>
      </w:r>
    </w:p>
    <w:p>
      <w:pPr>
        <w:pStyle w:val="BodyText"/>
      </w:pPr>
      <w:r>
        <w:t xml:space="preserve">Question</w:t>
      </w:r>
    </w:p>
    <w:p>
      <w:pPr>
        <w:pStyle w:val="BodyText"/>
      </w:pPr>
      <w:r>
        <w:t xml:space="preserve">High</w:t>
      </w:r>
    </w:p>
    <w:p>
      <w:pPr>
        <w:pStyle w:val="BodyText"/>
      </w:pPr>
      <w:r>
        <w:t xml:space="preserve">Moderate</w:t>
      </w:r>
    </w:p>
    <w:p>
      <w:pPr>
        <w:pStyle w:val="BodyText"/>
      </w:pPr>
      <w:r>
        <w:t xml:space="preserve">Low</w:t>
      </w:r>
    </w:p>
    <w:p>
      <w:pPr>
        <w:pStyle w:val="BodyText"/>
      </w:pPr>
      <w:r>
        <w:t xml:space="preserve">Weak instrument bias</w:t>
      </w:r>
    </w:p>
    <w:p>
      <w:pPr>
        <w:pStyle w:val="BodyText"/>
      </w:pPr>
      <w:r>
        <w:t xml:space="preserve">Strength of association between instrument and exposure F statistic &lt; 10 in the same sample (&lt; 10 indicating a weak instrument)</w:t>
      </w:r>
    </w:p>
    <w:p>
      <w:pPr>
        <w:pStyle w:val="BodyText"/>
      </w:pPr>
      <w:r>
        <w:t xml:space="preserve">F&lt;10</w:t>
      </w:r>
    </w:p>
    <w:p>
      <w:pPr>
        <w:pStyle w:val="BodyText"/>
      </w:pPr>
      <w:r>
        <w:t xml:space="preserve">F= missing or F~10</w:t>
      </w:r>
    </w:p>
    <w:p>
      <w:pPr>
        <w:pStyle w:val="BodyText"/>
      </w:pPr>
      <w:r>
        <w:t xml:space="preserve">F&gt;&gt;10</w:t>
      </w:r>
    </w:p>
    <w:p>
      <w:pPr>
        <w:pStyle w:val="BodyText"/>
      </w:pPr>
      <w:r>
        <w:t xml:space="preserve">Genetic confounding bias</w:t>
      </w:r>
    </w:p>
    <w:p>
      <w:pPr>
        <w:pStyle w:val="BodyText"/>
      </w:pPr>
      <w:r>
        <w:t xml:space="preserve">Reported test on association between confounders and IV (testing the assumption that the instrument is associated with your outcome only via your exposure)</w:t>
      </w:r>
    </w:p>
    <w:p>
      <w:pPr>
        <w:pStyle w:val="BodyText"/>
      </w:pPr>
      <w:r>
        <w:t xml:space="preserve">Yes AND there is an obvious association</w:t>
      </w:r>
    </w:p>
    <w:p>
      <w:pPr>
        <w:pStyle w:val="BodyText"/>
      </w:pPr>
      <w:r>
        <w:t xml:space="preserve">Not presented or</w:t>
      </w:r>
      <w:r>
        <w:t xml:space="preserve"> </w:t>
      </w:r>
      <w:r>
        <w:t xml:space="preserve">Yes presented AND there is some degree of association</w:t>
      </w:r>
    </w:p>
    <w:p>
      <w:pPr>
        <w:pStyle w:val="BodyText"/>
      </w:pPr>
      <w:r>
        <w:t xml:space="preserve">Presented and no obvious association</w:t>
      </w:r>
    </w:p>
    <w:p>
      <w:pPr>
        <w:pStyle w:val="BodyText"/>
      </w:pPr>
      <w:r>
        <w:t xml:space="preserve">‘</w:t>
      </w:r>
      <w:r>
        <w:t xml:space="preserve">Other</w:t>
      </w:r>
      <w:r>
        <w:t xml:space="preserve">’</w:t>
      </w:r>
      <w:r>
        <w:t xml:space="preserve"> </w:t>
      </w:r>
      <w:r>
        <w:t xml:space="preserve">Confounding bias</w:t>
      </w:r>
    </w:p>
    <w:p>
      <w:pPr>
        <w:pStyle w:val="BodyText"/>
      </w:pPr>
      <w:r>
        <w:t xml:space="preserve">Included confounders in the IV analysis</w:t>
      </w:r>
    </w:p>
    <w:p>
      <w:pPr>
        <w:pStyle w:val="BodyText"/>
      </w:pPr>
      <w:r>
        <w:t xml:space="preserve">Yes</w:t>
      </w:r>
    </w:p>
    <w:p>
      <w:pPr>
        <w:pStyle w:val="BodyText"/>
      </w:pPr>
      <w:r>
        <w:t xml:space="preserve">No</w:t>
      </w:r>
    </w:p>
    <w:p>
      <w:pPr>
        <w:pStyle w:val="BodyText"/>
      </w:pPr>
      <w:r>
        <w:t xml:space="preserve">Additional direct effects between IV and outcome (exclusion restriction assumption)</w:t>
      </w:r>
    </w:p>
    <w:p>
      <w:pPr>
        <w:pStyle w:val="BodyText"/>
      </w:pPr>
      <w:r>
        <w:t xml:space="preserve">Presence of pleiotropy for genetic IVs</w:t>
      </w:r>
    </w:p>
    <w:p>
      <w:pPr>
        <w:pStyle w:val="BodyText"/>
      </w:pPr>
      <w:r>
        <w:t xml:space="preserve">Genetic IVs with no knowledge of mechanism for G-lipid association (e.g. GWAS hit, could be acting through any pathway…)</w:t>
      </w:r>
    </w:p>
    <w:p>
      <w:pPr>
        <w:pStyle w:val="BodyText"/>
      </w:pPr>
      <w:r>
        <w:t xml:space="preserve">Biologically plausible lipid-specific mechanism of association for G-lipid (e.g. lipid metabolising genetic variants)</w:t>
      </w:r>
    </w:p>
    <w:p>
      <w:pPr>
        <w:pStyle w:val="BodyText"/>
      </w:pPr>
      <w:r>
        <w:t xml:space="preserve">Same as moderate AND checks that there is no other known effect of genetic variants on outcome or its risk-factors</w:t>
      </w:r>
    </w:p>
    <w:p>
      <w:pPr>
        <w:pStyle w:val="BodyText"/>
      </w:pPr>
      <w:r>
        <w:t xml:space="preserve">Bias due to selection of participants</w:t>
      </w:r>
    </w:p>
    <w:p>
      <w:pPr>
        <w:pStyle w:val="BodyText"/>
      </w:pPr>
      <w:r>
        <w:t xml:space="preserve">Homogenous population or similar ancestry</w:t>
      </w:r>
      <w:r>
        <w:t xml:space="preserve"> </w:t>
      </w:r>
      <w:r>
        <w:t xml:space="preserve">If no: Stratified by ethnicity or adjusted for population stratification (yes/no)</w:t>
      </w:r>
    </w:p>
    <w:p>
      <w:pPr>
        <w:pStyle w:val="BodyText"/>
      </w:pPr>
      <w:r>
        <w:t xml:space="preserve">Non-homogenous population (e.g. black and white together, etc.)</w:t>
      </w:r>
    </w:p>
    <w:p>
      <w:pPr>
        <w:pStyle w:val="BodyText"/>
      </w:pPr>
      <w:r>
        <w:t xml:space="preserve">Population described as homogenous (e.g. whites only) BUT not corrected for ancestry informative markers like principal components derived from GWAS</w:t>
      </w:r>
    </w:p>
    <w:p>
      <w:pPr>
        <w:pStyle w:val="BodyText"/>
      </w:pPr>
      <w:r>
        <w:t xml:space="preserve"> Population described as homogenous (e.g. whites only) AND corrected for ancestry informative markers like principal components derived from GWAS</w:t>
      </w:r>
    </w:p>
    <w:bookmarkEnd w:id="660"/>
    <w:bookmarkEnd w:id="661"/>
    <w:bookmarkStart w:id="664" w:name="appendix-cprd-analysis"/>
    <w:p>
      <w:pPr>
        <w:pStyle w:val="Heading2"/>
      </w:pPr>
      <w:r>
        <w:t xml:space="preserve">Chapter</w:t>
      </w:r>
      <w:r>
        <w:t xml:space="preserve"> </w:t>
      </w:r>
      <w:r>
        <w:t xml:space="preserve">4</w:t>
      </w:r>
    </w:p>
    <w:bookmarkStart w:id="662" w:name="appendix-cprd-amendments"/>
    <w:p>
      <w:pPr>
        <w:pStyle w:val="Heading3"/>
      </w:pPr>
      <w:r>
        <w:t xml:space="preserve">Amendments to protocol</w:t>
      </w:r>
    </w:p>
    <w:bookmarkEnd w:id="662"/>
    <w:bookmarkStart w:id="663" w:name="code-lists"/>
    <w:p>
      <w:pPr>
        <w:pStyle w:val="Heading3"/>
      </w:pPr>
      <w:r>
        <w:t xml:space="preserve">Code lists</w:t>
      </w:r>
    </w:p>
    <w:bookmarkEnd w:id="663"/>
    <w:bookmarkEnd w:id="664"/>
    <w:bookmarkStart w:id="667" w:name="appendix-ipd-analysis"/>
    <w:p>
      <w:pPr>
        <w:pStyle w:val="Heading2"/>
      </w:pPr>
      <w:r>
        <w:t xml:space="preserve">Chapter</w:t>
      </w:r>
      <w:r>
        <w:t xml:space="preserve"> </w:t>
      </w:r>
      <w:r>
        <w:t xml:space="preserve">5</w:t>
      </w:r>
    </w:p>
    <w:bookmarkStart w:id="665" w:name="ipd-email-collab"/>
    <w:p>
      <w:pPr>
        <w:pStyle w:val="Heading3"/>
      </w:pPr>
      <w:r>
        <w:t xml:space="preserve">Email and documents sent to potental collaborators</w:t>
      </w:r>
    </w:p>
    <w:bookmarkEnd w:id="665"/>
    <w:bookmarkStart w:id="666" w:name="section-2"/>
    <w:p>
      <w:pPr>
        <w:pStyle w:val="Heading3"/>
      </w:pPr>
      <w:r>
        <w:t xml:space="preserve">Section 2</w:t>
      </w:r>
    </w:p>
    <w:bookmarkEnd w:id="666"/>
    <w:bookmarkEnd w:id="667"/>
    <w:bookmarkStart w:id="669" w:name="chapter-7"/>
    <w:p>
      <w:pPr>
        <w:pStyle w:val="Heading2"/>
      </w:pPr>
      <w:r>
        <w:t xml:space="preserve">Chapter</w:t>
      </w:r>
      <w:r>
        <w:t xml:space="preserve"> </w:t>
      </w:r>
      <w:r>
        <w:t xml:space="preserve">7</w:t>
      </w:r>
    </w:p>
    <w:bookmarkStart w:id="668" w:name="catalogue-of-failures"/>
    <w:p>
      <w:pPr>
        <w:pStyle w:val="Heading3"/>
      </w:pPr>
      <w:r>
        <w:t xml:space="preserve">Catalogue of failures</w:t>
      </w:r>
    </w:p>
    <w:p>
      <w:pPr>
        <w:pStyle w:val="FirstParagraph"/>
      </w:pPr>
      <w:r>
        <w:t xml:space="preserve">Short section detailing the things I tried to do but which did not work.</w:t>
      </w:r>
    </w:p>
    <w:bookmarkEnd w:id="668"/>
    <w:bookmarkEnd w:id="669"/>
    <w:bookmarkEnd w:id="670"/>
    <w:bookmarkStart w:id="684" w:name="other-appendix-heading"/>
    <w:p>
      <w:pPr>
        <w:pStyle w:val="Heading1"/>
      </w:pPr>
      <w:r>
        <w:t xml:space="preserve">Other Appendix</w:t>
      </w:r>
    </w:p>
    <w:bookmarkStart w:id="671"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ase">
        <w:r>
          <w:rPr>
            <w:rStyle w:val="Hyperlink"/>
            <w:bCs/>
            <w:b/>
            <w:vertAlign w:val="superscript"/>
          </w:rPr>
          <w:t xml:space="preserve">R-base?</w:t>
        </w:r>
      </w:hyperlink>
      <w:r>
        <w:rPr>
          <w:vertAlign w:val="superscript"/>
        </w:rPr>
        <w:t xml:space="preserve">,</w:t>
      </w:r>
      <w:hyperlink w:anchor="ref-R-bookdown">
        <w:r>
          <w:rPr>
            <w:rStyle w:val="Hyperlink"/>
            <w:bCs/>
            <w:b/>
            <w:vertAlign w:val="superscript"/>
          </w:rPr>
          <w:t xml:space="preserve">R-bookdown?</w:t>
        </w:r>
      </w:hyperlink>
      <w:r>
        <w:rPr>
          <w:vertAlign w:val="superscript"/>
        </w:rPr>
        <w:t xml:space="preserve">,</w:t>
      </w:r>
      <w:hyperlink w:anchor="ref-R-dagitty">
        <w:r>
          <w:rPr>
            <w:rStyle w:val="Hyperlink"/>
            <w:bCs/>
            <w:b/>
            <w:vertAlign w:val="superscript"/>
          </w:rPr>
          <w:t xml:space="preserve">R-dagitty?</w:t>
        </w:r>
      </w:hyperlink>
      <w:r>
        <w:rPr>
          <w:vertAlign w:val="superscript"/>
        </w:rPr>
        <w:t xml:space="preserve">,</w:t>
      </w:r>
      <w:hyperlink w:anchor="ref-R-data.table">
        <w:r>
          <w:rPr>
            <w:rStyle w:val="Hyperlink"/>
            <w:bCs/>
            <w:b/>
            <w:vertAlign w:val="superscript"/>
          </w:rPr>
          <w:t xml:space="preserve">R-data.table?</w:t>
        </w:r>
      </w:hyperlink>
      <w:r>
        <w:rPr>
          <w:vertAlign w:val="superscript"/>
        </w:rPr>
        <w:t xml:space="preserve">,</w:t>
      </w:r>
      <w:hyperlink w:anchor="ref-R-DiagrammeR">
        <w:r>
          <w:rPr>
            <w:rStyle w:val="Hyperlink"/>
            <w:bCs/>
            <w:b/>
            <w:vertAlign w:val="superscript"/>
          </w:rPr>
          <w:t xml:space="preserve">R-DiagrammeR?</w:t>
        </w:r>
      </w:hyperlink>
      <w:r>
        <w:rPr>
          <w:vertAlign w:val="superscript"/>
        </w:rPr>
        <w:t xml:space="preserve">,</w:t>
      </w:r>
      <w:hyperlink w:anchor="ref-R-dplyr">
        <w:r>
          <w:rPr>
            <w:rStyle w:val="Hyperlink"/>
            <w:bCs/>
            <w:b/>
            <w:vertAlign w:val="superscript"/>
          </w:rPr>
          <w:t xml:space="preserve">R-dplyr?</w:t>
        </w:r>
      </w:hyperlink>
      <w:r>
        <w:rPr>
          <w:vertAlign w:val="superscript"/>
        </w:rPr>
        <w:t xml:space="preserve">,</w:t>
      </w:r>
      <w:hyperlink w:anchor="ref-R-flextable">
        <w:r>
          <w:rPr>
            <w:rStyle w:val="Hyperlink"/>
            <w:bCs/>
            <w:b/>
            <w:vertAlign w:val="superscript"/>
          </w:rPr>
          <w:t xml:space="preserve">R-flextable?</w:t>
        </w:r>
      </w:hyperlink>
      <w:r>
        <w:rPr>
          <w:vertAlign w:val="superscript"/>
        </w:rPr>
        <w:t xml:space="preserve">,</w:t>
      </w:r>
      <w:hyperlink w:anchor="ref-R-ggdag">
        <w:r>
          <w:rPr>
            <w:rStyle w:val="Hyperlink"/>
            <w:bCs/>
            <w:b/>
            <w:vertAlign w:val="superscript"/>
          </w:rPr>
          <w:t xml:space="preserve">R-ggdag?</w:t>
        </w:r>
      </w:hyperlink>
      <w:r>
        <w:rPr>
          <w:vertAlign w:val="superscript"/>
        </w:rPr>
        <w:t xml:space="preserve">,</w:t>
      </w:r>
      <w:hyperlink w:anchor="ref-R-ggplot2">
        <w:r>
          <w:rPr>
            <w:rStyle w:val="Hyperlink"/>
            <w:bCs/>
            <w:b/>
            <w:vertAlign w:val="superscript"/>
          </w:rPr>
          <w:t xml:space="preserve">R-ggplot2?</w:t>
        </w:r>
      </w:hyperlink>
      <w:r>
        <w:rPr>
          <w:vertAlign w:val="superscript"/>
        </w:rPr>
        <w:t xml:space="preserve">,</w:t>
      </w:r>
      <w:hyperlink w:anchor="ref-R-kableExtra">
        <w:r>
          <w:rPr>
            <w:rStyle w:val="Hyperlink"/>
            <w:bCs/>
            <w:b/>
            <w:vertAlign w:val="superscript"/>
          </w:rPr>
          <w:t xml:space="preserve">R-kableExtra?</w:t>
        </w:r>
      </w:hyperlink>
      <w:r>
        <w:rPr>
          <w:vertAlign w:val="superscript"/>
        </w:rPr>
        <w:t xml:space="preserve">,</w:t>
      </w:r>
      <w:hyperlink w:anchor="ref-R-knitr">
        <w:r>
          <w:rPr>
            <w:rStyle w:val="Hyperlink"/>
            <w:bCs/>
            <w:b/>
            <w:vertAlign w:val="superscript"/>
          </w:rPr>
          <w:t xml:space="preserve">R-knitr?</w:t>
        </w:r>
      </w:hyperlink>
      <w:r>
        <w:rPr>
          <w:vertAlign w:val="superscript"/>
        </w:rPr>
        <w:t xml:space="preserve">,</w:t>
      </w:r>
      <w:hyperlink w:anchor="ref-R-koRpus">
        <w:r>
          <w:rPr>
            <w:rStyle w:val="Hyperlink"/>
            <w:bCs/>
            <w:b/>
            <w:vertAlign w:val="superscript"/>
          </w:rPr>
          <w:t xml:space="preserve">R-koRpus?</w:t>
        </w:r>
      </w:hyperlink>
      <w:r>
        <w:rPr>
          <w:vertAlign w:val="superscript"/>
        </w:rPr>
        <w:t xml:space="preserve">,</w:t>
      </w:r>
      <w:hyperlink w:anchor="ref-R-koRpus.lang.en">
        <w:r>
          <w:rPr>
            <w:rStyle w:val="Hyperlink"/>
            <w:bCs/>
            <w:b/>
            <w:vertAlign w:val="superscript"/>
          </w:rPr>
          <w:t xml:space="preserve">R-koRpus.lang.en?</w:t>
        </w:r>
      </w:hyperlink>
      <w:r>
        <w:rPr>
          <w:vertAlign w:val="superscript"/>
        </w:rPr>
        <w:t xml:space="preserve">,</w:t>
      </w:r>
      <w:hyperlink w:anchor="ref-R-magrittr">
        <w:r>
          <w:rPr>
            <w:rStyle w:val="Hyperlink"/>
            <w:bCs/>
            <w:b/>
            <w:vertAlign w:val="superscript"/>
          </w:rPr>
          <w:t xml:space="preserve">R-magrittr?</w:t>
        </w:r>
      </w:hyperlink>
      <w:r>
        <w:rPr>
          <w:vertAlign w:val="superscript"/>
        </w:rPr>
        <w:t xml:space="preserve">,</w:t>
      </w:r>
      <w:hyperlink w:anchor="ref-R-Matrix">
        <w:r>
          <w:rPr>
            <w:rStyle w:val="Hyperlink"/>
            <w:bCs/>
            <w:b/>
            <w:vertAlign w:val="superscript"/>
          </w:rPr>
          <w:t xml:space="preserve">R-Matrix?</w:t>
        </w:r>
      </w:hyperlink>
      <w:r>
        <w:rPr>
          <w:vertAlign w:val="superscript"/>
        </w:rPr>
        <w:t xml:space="preserve">,</w:t>
      </w:r>
      <w:hyperlink w:anchor="ref-R-medrxivr">
        <w:r>
          <w:rPr>
            <w:rStyle w:val="Hyperlink"/>
            <w:bCs/>
            <w:b/>
            <w:vertAlign w:val="superscript"/>
          </w:rPr>
          <w:t xml:space="preserve">R-medrxivr?</w:t>
        </w:r>
      </w:hyperlink>
      <w:r>
        <w:rPr>
          <w:vertAlign w:val="superscript"/>
        </w:rPr>
        <w:t xml:space="preserve">,</w:t>
      </w:r>
      <w:hyperlink w:anchor="ref-R-metafor">
        <w:r>
          <w:rPr>
            <w:rStyle w:val="Hyperlink"/>
            <w:bCs/>
            <w:b/>
            <w:vertAlign w:val="superscript"/>
          </w:rPr>
          <w:t xml:space="preserve">R-metafor?</w:t>
        </w:r>
      </w:hyperlink>
      <w:r>
        <w:rPr>
          <w:vertAlign w:val="superscript"/>
        </w:rPr>
        <w:t xml:space="preserve">,</w:t>
      </w:r>
      <w:hyperlink w:anchor="ref-R-networkD3">
        <w:r>
          <w:rPr>
            <w:rStyle w:val="Hyperlink"/>
            <w:bCs/>
            <w:b/>
            <w:vertAlign w:val="superscript"/>
          </w:rPr>
          <w:t xml:space="preserve">R-networkD3?</w:t>
        </w:r>
      </w:hyperlink>
      <w:r>
        <w:rPr>
          <w:vertAlign w:val="superscript"/>
        </w:rPr>
        <w:t xml:space="preserve">,</w:t>
      </w:r>
      <w:hyperlink w:anchor="ref-R-patchwork">
        <w:r>
          <w:rPr>
            <w:rStyle w:val="Hyperlink"/>
            <w:bCs/>
            <w:b/>
            <w:vertAlign w:val="superscript"/>
          </w:rPr>
          <w:t xml:space="preserve">R-patchwork?</w:t>
        </w:r>
      </w:hyperlink>
      <w:r>
        <w:rPr>
          <w:vertAlign w:val="superscript"/>
        </w:rPr>
        <w:t xml:space="preserve">,</w:t>
      </w:r>
      <w:hyperlink w:anchor="ref-R-png">
        <w:r>
          <w:rPr>
            <w:rStyle w:val="Hyperlink"/>
            <w:bCs/>
            <w:b/>
            <w:vertAlign w:val="superscript"/>
          </w:rPr>
          <w:t xml:space="preserve">R-png?</w:t>
        </w:r>
      </w:hyperlink>
      <w:r>
        <w:rPr>
          <w:vertAlign w:val="superscript"/>
        </w:rPr>
        <w:t xml:space="preserve">,</w:t>
      </w:r>
      <w:hyperlink w:anchor="ref-R-readxl">
        <w:r>
          <w:rPr>
            <w:rStyle w:val="Hyperlink"/>
            <w:bCs/>
            <w:b/>
            <w:vertAlign w:val="superscript"/>
          </w:rPr>
          <w:t xml:space="preserve">R-readxl?</w:t>
        </w:r>
      </w:hyperlink>
      <w:r>
        <w:rPr>
          <w:vertAlign w:val="superscript"/>
        </w:rPr>
        <w:t xml:space="preserve">,</w:t>
      </w:r>
      <w:hyperlink w:anchor="ref-R-robvis">
        <w:r>
          <w:rPr>
            <w:rStyle w:val="Hyperlink"/>
            <w:bCs/>
            <w:b/>
            <w:vertAlign w:val="superscript"/>
          </w:rPr>
          <w:t xml:space="preserve">R-robvis?</w:t>
        </w:r>
      </w:hyperlink>
      <w:r>
        <w:rPr>
          <w:vertAlign w:val="superscript"/>
        </w:rPr>
        <w:t xml:space="preserve">,</w:t>
      </w:r>
      <w:hyperlink w:anchor="ref-R-sf">
        <w:r>
          <w:rPr>
            <w:rStyle w:val="Hyperlink"/>
            <w:bCs/>
            <w:b/>
            <w:vertAlign w:val="superscript"/>
          </w:rPr>
          <w:t xml:space="preserve">R-sf?</w:t>
        </w:r>
      </w:hyperlink>
      <w:r>
        <w:rPr>
          <w:vertAlign w:val="superscript"/>
        </w:rPr>
        <w:t xml:space="preserve">,</w:t>
      </w:r>
      <w:hyperlink w:anchor="ref-R-sylly">
        <w:r>
          <w:rPr>
            <w:rStyle w:val="Hyperlink"/>
            <w:bCs/>
            <w:b/>
            <w:vertAlign w:val="superscript"/>
          </w:rPr>
          <w:t xml:space="preserve">R-sylly?</w:t>
        </w:r>
      </w:hyperlink>
      <w:r>
        <w:rPr>
          <w:vertAlign w:val="superscript"/>
        </w:rPr>
        <w:t xml:space="preserve">,</w:t>
      </w:r>
      <w:hyperlink w:anchor="ref-bookdown2016">
        <w:r>
          <w:rPr>
            <w:rStyle w:val="Hyperlink"/>
            <w:bCs/>
            <w:b/>
            <w:vertAlign w:val="superscript"/>
          </w:rPr>
          <w:t xml:space="preserve">bookdown2016?</w:t>
        </w:r>
      </w:hyperlink>
      <w:r>
        <w:rPr>
          <w:vertAlign w:val="superscript"/>
        </w:rPr>
        <w:t xml:space="preserve">,</w:t>
      </w:r>
      <w:hyperlink w:anchor="ref-dagitty2016">
        <w:r>
          <w:rPr>
            <w:rStyle w:val="Hyperlink"/>
            <w:bCs/>
            <w:b/>
            <w:vertAlign w:val="superscript"/>
          </w:rPr>
          <w:t xml:space="preserve">dagitty2016?</w:t>
        </w:r>
      </w:hyperlink>
      <w:r>
        <w:rPr>
          <w:vertAlign w:val="superscript"/>
        </w:rPr>
        <w:t xml:space="preserve">,</w:t>
      </w:r>
      <w:hyperlink w:anchor="ref-ggplot22016">
        <w:r>
          <w:rPr>
            <w:rStyle w:val="Hyperlink"/>
            <w:bCs/>
            <w:b/>
            <w:vertAlign w:val="superscript"/>
          </w:rPr>
          <w:t xml:space="preserve">ggplot22016?</w:t>
        </w:r>
      </w:hyperlink>
      <w:r>
        <w:rPr>
          <w:vertAlign w:val="superscript"/>
        </w:rPr>
        <w:t xml:space="preserve">,</w:t>
      </w:r>
      <w:hyperlink w:anchor="ref-knitr2015">
        <w:r>
          <w:rPr>
            <w:rStyle w:val="Hyperlink"/>
            <w:bCs/>
            <w:b/>
            <w:vertAlign w:val="superscript"/>
          </w:rPr>
          <w:t xml:space="preserve">knitr2015?</w:t>
        </w:r>
      </w:hyperlink>
      <w:r>
        <w:rPr>
          <w:vertAlign w:val="superscript"/>
        </w:rPr>
        <w:t xml:space="preserve">,</w:t>
      </w:r>
      <w:hyperlink w:anchor="ref-knitr2014">
        <w:r>
          <w:rPr>
            <w:rStyle w:val="Hyperlink"/>
            <w:bCs/>
            <w:b/>
            <w:vertAlign w:val="superscript"/>
          </w:rPr>
          <w:t xml:space="preserve">knitr2014?</w:t>
        </w:r>
      </w:hyperlink>
      <w:r>
        <w:rPr>
          <w:vertAlign w:val="superscript"/>
        </w:rPr>
        <w:t xml:space="preserve">,</w:t>
      </w:r>
      <w:hyperlink w:anchor="ref-koRpus2018">
        <w:r>
          <w:rPr>
            <w:rStyle w:val="Hyperlink"/>
            <w:bCs/>
            <w:b/>
            <w:vertAlign w:val="superscript"/>
          </w:rPr>
          <w:t xml:space="preserve">koRpus2018?</w:t>
        </w:r>
      </w:hyperlink>
      <w:r>
        <w:rPr>
          <w:vertAlign w:val="superscript"/>
        </w:rPr>
        <w:t xml:space="preserve">,</w:t>
      </w:r>
      <w:hyperlink w:anchor="ref-koRpus.lang.en2019">
        <w:r>
          <w:rPr>
            <w:rStyle w:val="Hyperlink"/>
            <w:bCs/>
            <w:b/>
            <w:vertAlign w:val="superscript"/>
          </w:rPr>
          <w:t xml:space="preserve">koRpus.lang.en2019?</w:t>
        </w:r>
      </w:hyperlink>
      <w:r>
        <w:rPr>
          <w:vertAlign w:val="superscript"/>
        </w:rPr>
        <w:t xml:space="preserve">,</w:t>
      </w:r>
      <w:hyperlink w:anchor="ref-medrxivr2020">
        <w:r>
          <w:rPr>
            <w:rStyle w:val="Hyperlink"/>
            <w:bCs/>
            <w:b/>
            <w:vertAlign w:val="superscript"/>
          </w:rPr>
          <w:t xml:space="preserve">medrxivr2020?</w:t>
        </w:r>
      </w:hyperlink>
      <w:r>
        <w:rPr>
          <w:vertAlign w:val="superscript"/>
        </w:rPr>
        <w:t xml:space="preserve">,</w:t>
      </w:r>
      <w:hyperlink w:anchor="ref-metafor2010">
        <w:r>
          <w:rPr>
            <w:rStyle w:val="Hyperlink"/>
            <w:bCs/>
            <w:b/>
            <w:vertAlign w:val="superscript"/>
          </w:rPr>
          <w:t xml:space="preserve">metafor2010?</w:t>
        </w:r>
      </w:hyperlink>
      <w:r>
        <w:rPr>
          <w:vertAlign w:val="superscript"/>
        </w:rPr>
        <w:t xml:space="preserve">,</w:t>
      </w:r>
      <w:hyperlink w:anchor="ref-robvis2020">
        <w:r>
          <w:rPr>
            <w:rStyle w:val="Hyperlink"/>
            <w:bCs/>
            <w:b/>
            <w:vertAlign w:val="superscript"/>
          </w:rPr>
          <w:t xml:space="preserve">robvis2020?</w:t>
        </w:r>
      </w:hyperlink>
      <w:r>
        <w:rPr>
          <w:vertAlign w:val="superscript"/>
        </w:rPr>
        <w:t xml:space="preserve">,</w:t>
      </w:r>
      <w:hyperlink w:anchor="ref-sf2018">
        <w:r>
          <w:rPr>
            <w:rStyle w:val="Hyperlink"/>
            <w:bCs/>
            <w:b/>
            <w:vertAlign w:val="superscript"/>
          </w:rPr>
          <w:t xml:space="preserve">sf2018?</w:t>
        </w:r>
      </w:hyperlink>
      <w:r>
        <w:rPr>
          <w:vertAlign w:val="superscript"/>
        </w:rPr>
        <w:t xml:space="preserve">,</w:t>
      </w:r>
      <w:hyperlink w:anchor="ref-sylly2018">
        <w:r>
          <w:rPr>
            <w:rStyle w:val="Hyperlink"/>
            <w:bCs/>
            <w:b/>
            <w:vertAlign w:val="superscript"/>
          </w:rPr>
          <w:t xml:space="preserve">sylly2018?</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302</w:t>
        </w:r>
      </w:hyperlink>
      <w:r>
        <w:rPr>
          <w:vertAlign w:val="superscript"/>
        </w:rPr>
        <w:t xml:space="preserve">,</w:t>
      </w:r>
      <w:hyperlink w:anchor="ref-wilson2017">
        <w:r>
          <w:rPr>
            <w:rStyle w:val="Hyperlink"/>
            <w:vertAlign w:val="superscript"/>
          </w:rPr>
          <w:t xml:space="preserve">303</w:t>
        </w:r>
      </w:hyperlink>
    </w:p>
    <w:bookmarkEnd w:id="671"/>
    <w:bookmarkStart w:id="681" w:name="appendix-robvis"/>
    <w:p>
      <w:pPr>
        <w:pStyle w:val="Heading2"/>
      </w:pPr>
      <w:r>
        <w:t xml:space="preserve">Producing risk-of-bias visualisations with</w:t>
      </w:r>
      <w:r>
        <w:t xml:space="preserve"> </w:t>
      </w:r>
      <w:r>
        <w:rPr>
          <w:rStyle w:val="VerbatimChar"/>
        </w:rPr>
        <w:t xml:space="preserve">robvis</w:t>
      </w:r>
    </w:p>
    <w:bookmarkStart w:id="674" w:name="introduction-4"/>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140</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672">
        <w:r>
          <w:rPr>
            <w:rStyle w:val="Hyperlink"/>
          </w:rPr>
          <w:t xml:space="preserve">https://cran.r-project.org/package=robvis</w:t>
        </w:r>
      </w:hyperlink>
      <w:r>
        <w:t xml:space="preserve">); or access and contribute to the development version via GitHub (</w:t>
      </w:r>
      <w:hyperlink r:id="rId673">
        <w:r>
          <w:rPr>
            <w:rStyle w:val="Hyperlink"/>
          </w:rPr>
          <w:t xml:space="preserve">https://github.com/mcguinlu/robvis</w:t>
        </w:r>
      </w:hyperlink>
      <w:r>
        <w:t xml:space="preserve">).</w:t>
      </w:r>
    </w:p>
    <w:bookmarkEnd w:id="674"/>
    <w:bookmarkStart w:id="675"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304</w:t>
        </w:r>
      </w:hyperlink>
      <w:r>
        <w:rPr>
          <w:vertAlign w:val="superscript"/>
        </w:rPr>
        <w:t xml:space="preserve">,</w:t>
      </w:r>
      <w:hyperlink w:anchor="ref-tanneru2020">
        <w:r>
          <w:rPr>
            <w:rStyle w:val="Hyperlink"/>
            <w:vertAlign w:val="superscript"/>
          </w:rPr>
          <w:t xml:space="preserve">305</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675"/>
    <w:bookmarkStart w:id="676"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676"/>
    <w:bookmarkStart w:id="679"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22</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36</w:t>
      </w:r>
      <w:r>
        <w:t xml:space="preserve"> </w:t>
      </w:r>
      <w:r>
        <w:t xml:space="preserve">is created using:</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36: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677"/>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36: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37</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37: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678"/>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37: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22</w:t>
      </w:r>
    </w:p>
    <w:p>
      <w:pPr>
        <w:pStyle w:val="BodyText"/>
      </w:pPr>
      <w:r>
        <w:t xml:space="preserve"> </w:t>
      </w:r>
    </w:p>
    <w:p>
      <w:pPr>
        <w:pStyle w:val="BodyText"/>
      </w:pPr>
      <w:r>
        <w:t xml:space="preserve">Table 22: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p>
      <w:pPr>
        <w:pStyle w:val="BodyText"/>
      </w:pPr>
      <w:r>
        <w:t xml:space="preserve">Argument</w:t>
      </w:r>
    </w:p>
    <w:p>
      <w:pPr>
        <w:pStyle w:val="BodyText"/>
      </w:pPr>
      <w:r>
        <w:t xml:space="preserve">rob_traffic_light()</w:t>
      </w:r>
    </w:p>
    <w:p>
      <w:pPr>
        <w:pStyle w:val="BodyText"/>
      </w:pPr>
      <w:r>
        <w:t xml:space="preserve">rob_summary()</w:t>
      </w:r>
    </w:p>
    <w:p>
      <w:pPr>
        <w:pStyle w:val="BodyText"/>
      </w:pPr>
      <w:r>
        <w:t xml:space="preserve">Description</w:t>
      </w:r>
    </w:p>
    <w:p>
      <w:pPr>
        <w:pStyle w:val="BodyText"/>
      </w:pPr>
      <w:r>
        <w:t xml:space="preserve">data</w:t>
      </w:r>
    </w:p>
    <w:p>
      <w:pPr>
        <w:pStyle w:val="BodyText"/>
      </w:pPr>
      <w:r>
        <w:t xml:space="preserve">X</w:t>
      </w:r>
    </w:p>
    <w:p>
      <w:pPr>
        <w:pStyle w:val="BodyText"/>
      </w:pPr>
      <w:r>
        <w:t xml:space="preserve">X</w:t>
      </w:r>
    </w:p>
    <w:p>
      <w:pPr>
        <w:pStyle w:val="BodyText"/>
      </w:pPr>
      <w:r>
        <w:t xml:space="preserve">Defines the dataframe containing the summary (domain) level risk-of-bias assessments. See the text and Table 1 for the format expected by</w:t>
      </w:r>
      <w:r>
        <w:t xml:space="preserve"> </w:t>
      </w:r>
      <w:r>
        <w:rPr>
          <w:rStyle w:val="VerbatimChar"/>
        </w:rPr>
        <w:t xml:space="preserve">robvis</w:t>
      </w:r>
    </w:p>
    <w:p>
      <w:pPr>
        <w:pStyle w:val="BodyText"/>
      </w:pPr>
      <w:r>
        <w:t xml:space="preserve">tool</w:t>
      </w:r>
    </w:p>
    <w:p>
      <w:pPr>
        <w:pStyle w:val="BodyText"/>
      </w:pPr>
      <w:r>
        <w:t xml:space="preserve">X</w:t>
      </w:r>
    </w:p>
    <w:p>
      <w:pPr>
        <w:pStyle w:val="BodyText"/>
      </w:pPr>
      <w:r>
        <w:t xml:space="preserve">X</w:t>
      </w:r>
    </w:p>
    <w:p>
      <w:pPr>
        <w:pStyle w:val="BodyText"/>
      </w:pPr>
      <w:r>
        <w:t xml:space="preserve">Defines the risk of bias assessment tool used. The RoB2 (</w:t>
      </w:r>
      <w:r>
        <w:rPr>
          <w:rStyle w:val="VerbatimChar"/>
        </w:rPr>
        <w:t xml:space="preserve">tool=&amp;quot;ROB2&amp;quot;</w:t>
      </w:r>
      <w:r>
        <w:t xml:space="preserve">), ROBINS-I (</w:t>
      </w:r>
      <w:r>
        <w:rPr>
          <w:rStyle w:val="VerbatimChar"/>
        </w:rPr>
        <w:t xml:space="preserve">tool=&amp;quot;ROBINS-I&amp;quot;</w:t>
      </w:r>
      <w:r>
        <w:t xml:space="preserve">), and QUADAS-2 (</w:t>
      </w:r>
      <w:r>
        <w:rPr>
          <w:rStyle w:val="VerbatimChar"/>
        </w:rPr>
        <w:t xml:space="preserve">tool=&amp;quot;QUADAS-2&amp;quot;</w:t>
      </w:r>
      <w:r>
        <w:t xml:space="preserve">) assessments tools are currently supported. Other tools can be visualised using the generic template (</w:t>
      </w:r>
      <w:r>
        <w:rPr>
          <w:rStyle w:val="VerbatimChar"/>
        </w:rPr>
        <w:t xml:space="preserve">tool = &amp;quot;Generic&amp;quot;</w:t>
      </w:r>
      <w:r>
        <w:t xml:space="preserve">)</w:t>
      </w:r>
    </w:p>
    <w:p>
      <w:pPr>
        <w:pStyle w:val="BodyText"/>
      </w:pPr>
      <w:r>
        <w:t xml:space="preserve">colour</w:t>
      </w:r>
    </w:p>
    <w:p>
      <w:pPr>
        <w:pStyle w:val="BodyText"/>
      </w:pPr>
      <w:r>
        <w:t xml:space="preserve">X</w:t>
      </w:r>
    </w:p>
    <w:p>
      <w:pPr>
        <w:pStyle w:val="BodyText"/>
      </w:pPr>
      <w:r>
        <w:t xml:space="preserve">X</w:t>
      </w:r>
    </w:p>
    <w:p>
      <w:pPr>
        <w:pStyle w:val="BodyText"/>
      </w:pPr>
      <w:r>
        <w:t xml:space="preserve">Defines the colour scheme for the plot. The default is</w:t>
      </w:r>
      <w:r>
        <w:t xml:space="preserve"> </w:t>
      </w:r>
      <w:r>
        <w:rPr>
          <w:rStyle w:val="VerbatimChar"/>
        </w:rPr>
        <w:t xml:space="preserve">colour = &amp;quot;cochrane&amp;quot;</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&amp;quot;colourblind&amp;quot;</w:t>
      </w:r>
      <w:r>
        <w:t xml:space="preserve">). Alternatively, users can specify their own colour scheme e.g. </w:t>
      </w:r>
      <w:r>
        <w:rPr>
          <w:rStyle w:val="VerbatimChar"/>
        </w:rPr>
        <w:t xml:space="preserve">colour = c(&amp;quot;#f442c8&amp;quot;, &amp;quot;#bef441&amp;quot;, &amp;quot;#000000&amp;quot;)</w:t>
      </w:r>
    </w:p>
    <w:p>
      <w:pPr>
        <w:pStyle w:val="BodyText"/>
      </w:pPr>
      <w:r>
        <w:t xml:space="preserve">overall</w:t>
      </w:r>
    </w:p>
    <w:p>
      <w:pPr>
        <w:pStyle w:val="BodyText"/>
      </w:pPr>
      <w:r>
        <w:t xml:space="preserve">X</w:t>
      </w:r>
    </w:p>
    <w:p>
      <w:pPr>
        <w:pStyle w:val="BodyTex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p>
      <w:pPr>
        <w:pStyle w:val="BodyText"/>
      </w:pPr>
      <w:r>
        <w:t xml:space="preserve">weighted</w:t>
      </w:r>
    </w:p>
    <w:p>
      <w:pPr>
        <w:pStyle w:val="BodyText"/>
      </w:pPr>
      <w:r>
        <w:t xml:space="preserve">X</w:t>
      </w:r>
    </w:p>
    <w:p>
      <w:pPr>
        <w:pStyle w:val="BodyTex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p>
      <w:pPr>
        <w:pStyle w:val="BodyText"/>
      </w:pPr>
      <w:r>
        <w:t xml:space="preserve">psize</w:t>
      </w:r>
    </w:p>
    <w:p>
      <w:pPr>
        <w:pStyle w:val="BodyText"/>
      </w:pPr>
      <w:r>
        <w:t xml:space="preserve">X</w:t>
      </w:r>
    </w:p>
    <w:p>
      <w:pPr>
        <w:pStyle w:val="BodyText"/>
      </w:pPr>
      <w:r>
        <w:t xml:space="preserve">Defines the size of the points in the traffic light plot. Default is</w:t>
      </w:r>
      <w:r>
        <w:t xml:space="preserve"> </w:t>
      </w:r>
      <w:r>
        <w:rPr>
          <w:rStyle w:val="VerbatimChar"/>
        </w:rPr>
        <w:t xml:space="preserve">psize = 20</w:t>
      </w:r>
      <w:r>
        <w:t xml:space="preserve">.</w:t>
      </w:r>
    </w:p>
    <w:p>
      <w:pPr>
        <w:pStyle w:val="BodyText"/>
      </w:pPr>
      <w:r>
        <w:t xml:space="preserve"> </w:t>
      </w:r>
    </w:p>
    <w:bookmarkEnd w:id="679"/>
    <w:bookmarkStart w:id="680"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14700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680"/>
    <w:bookmarkEnd w:id="681"/>
    <w:bookmarkStart w:id="682" w:name="creating"/>
    <w:p>
      <w:pPr>
        <w:pStyle w:val="Heading2"/>
      </w:pPr>
      <w:r>
        <w:t xml:space="preserve">Creating</w:t>
      </w:r>
    </w:p>
    <w:p>
      <w:r>
        <w:br w:type="page"/>
      </w:r>
    </w:p>
    <w:bookmarkEnd w:id="682"/>
    <w:bookmarkStart w:id="683" w:name="published-papers"/>
    <w:p>
      <w:pPr>
        <w:pStyle w:val="Heading2"/>
      </w:pPr>
      <w:r>
        <w:t xml:space="preserve">Copies of papers arising from this thesis</w:t>
      </w:r>
    </w:p>
    <w:p>
      <w:pPr>
        <w:pStyle w:val="FirstParagraph"/>
      </w:pPr>
      <w:r>
        <w:t xml:space="preserve">The following pages contain copies of papers arising from work performed as part of this thesis.</w:t>
      </w:r>
    </w:p>
    <w:bookmarkEnd w:id="683"/>
    <w:bookmarkEnd w:id="684"/>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522">
    <w:nsid w:val="b3cbbdee"/>
    <w:multiLevelType w:val="multilevel"/>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abstractNum w:abstractNumId="99527">
    <w:nsid w:val="4fbe019a"/>
    <w:multiLevelType w:val="multilevel"/>
    <w:lvl w:ilvl="0">
      <w:start w:val="7"/>
      <w:numFmt w:val="lowerRoman"/>
      <w:lvlText w:val="%1)"/>
      <w:lvlJc w:val="left"/>
      <w:pPr>
        <w:ind w:left="720" w:hanging="480"/>
      </w:pPr>
    </w:lvl>
    <w:lvl w:ilvl="1">
      <w:start w:val="7"/>
      <w:numFmt w:val="lowerRoman"/>
      <w:lvlText w:val="%2)"/>
      <w:lvlJc w:val="left"/>
      <w:pPr>
        <w:ind w:left="1440" w:hanging="480"/>
      </w:pPr>
    </w:lvl>
    <w:lvl w:ilvl="2">
      <w:start w:val="7"/>
      <w:numFmt w:val="lowerRoman"/>
      <w:lvlText w:val="%3)"/>
      <w:lvlJc w:val="left"/>
      <w:pPr>
        <w:ind w:left="2160" w:hanging="480"/>
      </w:pPr>
    </w:lvl>
    <w:lvl w:ilvl="3">
      <w:start w:val="7"/>
      <w:numFmt w:val="lowerRoman"/>
      <w:lvlText w:val="%4)"/>
      <w:lvlJc w:val="left"/>
      <w:pPr>
        <w:ind w:left="2880" w:hanging="480"/>
      </w:pPr>
    </w:lvl>
    <w:lvl w:ilvl="4">
      <w:start w:val="7"/>
      <w:numFmt w:val="lowerRoman"/>
      <w:lvlText w:val="%5)"/>
      <w:lvlJc w:val="left"/>
      <w:pPr>
        <w:ind w:left="3600" w:hanging="480"/>
      </w:pPr>
    </w:lvl>
    <w:lvl w:ilvl="5">
      <w:start w:val="7"/>
      <w:numFmt w:val="lowerRoman"/>
      <w:lvlText w:val="%6)"/>
      <w:lvlJc w:val="left"/>
      <w:pPr>
        <w:ind w:left="4320" w:hanging="480"/>
      </w:pPr>
    </w:lvl>
    <w:lvl w:ilvl="6">
      <w:start w:val="7"/>
      <w:numFmt w:val="lowerRoman"/>
      <w:lvlText w:val="%7)"/>
      <w:lvlJc w:val="left"/>
      <w:pPr>
        <w:ind w:left="5040" w:hanging="480"/>
      </w:pPr>
    </w:lvl>
    <w:lvl w:ilvl="7">
      <w:start w:val="7"/>
      <w:numFmt w:val="lowerRoman"/>
      <w:lvlText w:val="%8)"/>
      <w:lvlJc w:val="left"/>
      <w:pPr>
        <w:ind w:left="5760" w:hanging="480"/>
      </w:pPr>
    </w:lvl>
    <w:lvl w:ilvl="8">
      <w:start w:val="7"/>
      <w:numFmt w:val="lowerRoman"/>
      <w:lvlText w:val="%9)"/>
      <w:lvlJc w:val="left"/>
      <w:pPr>
        <w:ind w:left="6480" w:hanging="480"/>
      </w:pPr>
    </w:lvl>
  </w:abstractNum>
  <w:abstractNum w:abstractNumId="99521">
    <w:nsid w:val="91a27d85"/>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5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5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184" Target="media/rId184.png" /><Relationship Type="http://schemas.openxmlformats.org/officeDocument/2006/relationships/image" Id="rId168" Target="media/rId168.png" /><Relationship Type="http://schemas.openxmlformats.org/officeDocument/2006/relationships/image" Id="rId195" Target="media/rId195.png" /><Relationship Type="http://schemas.openxmlformats.org/officeDocument/2006/relationships/image" Id="rId189" Target="media/rId189.png" /><Relationship Type="http://schemas.openxmlformats.org/officeDocument/2006/relationships/image" Id="rId191" Target="media/rId191.png" /><Relationship Type="http://schemas.openxmlformats.org/officeDocument/2006/relationships/image" Id="rId187" Target="media/rId187.png" /><Relationship Type="http://schemas.openxmlformats.org/officeDocument/2006/relationships/image" Id="rId197" Target="media/rId197.png" /><Relationship Type="http://schemas.openxmlformats.org/officeDocument/2006/relationships/image" Id="rId199" Target="media/rId199.png" /><Relationship Type="http://schemas.openxmlformats.org/officeDocument/2006/relationships/image" Id="rId193" Target="media/rId193.png" /><Relationship Type="http://schemas.openxmlformats.org/officeDocument/2006/relationships/image" Id="rId173" Target="media/rId173.png" /><Relationship Type="http://schemas.openxmlformats.org/officeDocument/2006/relationships/image" Id="rId206" Target="media/rId206.png" /><Relationship Type="http://schemas.openxmlformats.org/officeDocument/2006/relationships/image" Id="rId176" Target="media/rId176.png" /><Relationship Type="http://schemas.openxmlformats.org/officeDocument/2006/relationships/image" Id="rId201" Target="media/rId201.png" /><Relationship Type="http://schemas.openxmlformats.org/officeDocument/2006/relationships/image" Id="rId250" Target="media/rId250.png" /><Relationship Type="http://schemas.openxmlformats.org/officeDocument/2006/relationships/image" Id="rId237" Target="media/rId237.png" /><Relationship Type="http://schemas.openxmlformats.org/officeDocument/2006/relationships/image" Id="rId69" Target="media/rId69.png" /><Relationship Type="http://schemas.openxmlformats.org/officeDocument/2006/relationships/image" Id="rId678" Target="media/rId678.png" /><Relationship Type="http://schemas.openxmlformats.org/officeDocument/2006/relationships/image" Id="rId677" Target="media/rId677.png" /><Relationship Type="http://schemas.openxmlformats.org/officeDocument/2006/relationships/image" Id="rId61" Target="media/rId61.png" /><Relationship Type="http://schemas.openxmlformats.org/officeDocument/2006/relationships/image" Id="rId115" Target="media/rId115.png" /><Relationship Type="http://schemas.openxmlformats.org/officeDocument/2006/relationships/image" Id="rId141" Target="media/rId141.png" /><Relationship Type="http://schemas.openxmlformats.org/officeDocument/2006/relationships/image" Id="rId128" Target="media/rId128.png" /><Relationship Type="http://schemas.openxmlformats.org/officeDocument/2006/relationships/image" Id="rId131" Target="media/rId131.pdf" /><Relationship Type="http://schemas.openxmlformats.org/officeDocument/2006/relationships/image" Id="rId124" Target="media/rId124.pdf" /><Relationship Type="http://schemas.openxmlformats.org/officeDocument/2006/relationships/image" Id="rId658" Target="media/rId658.png" /><Relationship Type="http://schemas.openxmlformats.org/officeDocument/2006/relationships/image" Id="rId657" Target="media/rId657.png" /><Relationship Type="http://schemas.openxmlformats.org/officeDocument/2006/relationships/image" Id="rId656" Target="media/rId656.png" /><Relationship Type="http://schemas.openxmlformats.org/officeDocument/2006/relationships/image" Id="rId659" Target="media/rId659.png" /><Relationship Type="http://schemas.openxmlformats.org/officeDocument/2006/relationships/image" Id="rId121" Target="media/rId121.png" /><Relationship Type="http://schemas.openxmlformats.org/officeDocument/2006/relationships/image" Id="rId127" Target="media/rId127.png" /><Relationship Type="http://schemas.openxmlformats.org/officeDocument/2006/relationships/image" Id="rId119" Target="media/rId119.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30" Target="media/rId130.png" /><Relationship Type="http://schemas.openxmlformats.org/officeDocument/2006/relationships/image" Id="rId123" Target="media/rId123.png" /><Relationship Type="http://schemas.openxmlformats.org/officeDocument/2006/relationships/image" Id="rId137" Target="media/rId137.png" /><Relationship Type="http://schemas.openxmlformats.org/officeDocument/2006/relationships/image" Id="rId118" Target="media/rId118.png" /><Relationship Type="http://schemas.openxmlformats.org/officeDocument/2006/relationships/image" Id="rId150" Target="media/rId150.png" /><Relationship Type="http://schemas.openxmlformats.org/officeDocument/2006/relationships/image" Id="rId132" Target="media/rId132.png" /><Relationship Type="http://schemas.openxmlformats.org/officeDocument/2006/relationships/image" Id="rId152" Target="media/rId152.png" /><Relationship Type="http://schemas.openxmlformats.org/officeDocument/2006/relationships/image" Id="rId112" Target="media/rId112.png" /><Relationship Type="http://schemas.openxmlformats.org/officeDocument/2006/relationships/image" Id="rId147" Target="media/rId147.png" /><Relationship Type="http://schemas.openxmlformats.org/officeDocument/2006/relationships/hyperlink" Id="rId672" Target="https://cran.r-project.org/package=robvis" TargetMode="External" /><Relationship Type="http://schemas.openxmlformats.org/officeDocument/2006/relationships/hyperlink" Id="rId60" Target="https://docs.ropensci.org/medrxivr/" TargetMode="External" /><Relationship Type="http://schemas.openxmlformats.org/officeDocument/2006/relationships/hyperlink" Id="rId567" Target="https://doi.org/10.1002/14651858.CD003160.pub3" TargetMode="External" /><Relationship Type="http://schemas.openxmlformats.org/officeDocument/2006/relationships/hyperlink" Id="rId391" Target="https://doi.org/10.1002/14651858.MR000010.pub3" TargetMode="External" /><Relationship Type="http://schemas.openxmlformats.org/officeDocument/2006/relationships/hyperlink" Id="rId49" Target="https://doi.org/10.1002/jrsm.1411" TargetMode="External" /><Relationship Type="http://schemas.openxmlformats.org/officeDocument/2006/relationships/hyperlink" Id="rId48" Target="https://doi.org/10.1007/s11121-021-01279-8" TargetMode="External" /><Relationship Type="http://schemas.openxmlformats.org/officeDocument/2006/relationships/hyperlink" Id="rId336" Target="https://doi.org/10.1016/j.neuropharm.2020.108352" TargetMode="External" /><Relationship Type="http://schemas.openxmlformats.org/officeDocument/2006/relationships/hyperlink" Id="rId561" Target="https://doi.org/10.1101/168674" TargetMode="External" /><Relationship Type="http://schemas.openxmlformats.org/officeDocument/2006/relationships/hyperlink" Id="rId540" Target="https://doi.org/10.1101/170241" TargetMode="External" /><Relationship Type="http://schemas.openxmlformats.org/officeDocument/2006/relationships/hyperlink" Id="rId446" Target="https://doi.org/10.1101/19000265" TargetMode="External" /><Relationship Type="http://schemas.openxmlformats.org/officeDocument/2006/relationships/hyperlink" Id="rId619" Target="https://doi.org/10.1101/2019.12.18.19013847" TargetMode="External" /><Relationship Type="http://schemas.openxmlformats.org/officeDocument/2006/relationships/hyperlink" Id="rId396" Target="https://doi.org/10.1101/2020.05.22.111294" TargetMode="External" /><Relationship Type="http://schemas.openxmlformats.org/officeDocument/2006/relationships/hyperlink" Id="rId440" Target="https://doi.org/10.1101/2020.11.23.394577" TargetMode="External" /><Relationship Type="http://schemas.openxmlformats.org/officeDocument/2006/relationships/hyperlink" Id="rId403" Target="https://doi.org/10.1101/2021.03.04.433874" TargetMode="External" /><Relationship Type="http://schemas.openxmlformats.org/officeDocument/2006/relationships/hyperlink" Id="rId563" Target="https://doi.org/10.1101/689752" TargetMode="External" /><Relationship Type="http://schemas.openxmlformats.org/officeDocument/2006/relationships/hyperlink" Id="rId424" Target="https://doi.org/10.1101/833400" TargetMode="External" /><Relationship Type="http://schemas.openxmlformats.org/officeDocument/2006/relationships/hyperlink" Id="rId572" Target="https://doi.org/10.1111/j.1447-0594.2009.00579.x" TargetMode="External" /><Relationship Type="http://schemas.openxmlformats.org/officeDocument/2006/relationships/hyperlink" Id="rId634" Target="https://doi.org/10.1136/bmj.k400" TargetMode="External" /><Relationship Type="http://schemas.openxmlformats.org/officeDocument/2006/relationships/hyperlink" Id="rId433" Target="https://doi.org/10.1145/582128.582152" TargetMode="External" /><Relationship Type="http://schemas.openxmlformats.org/officeDocument/2006/relationships/hyperlink" Id="rId50" Target="https://doi.org/10.1371/journal.pone.0250887" TargetMode="External" /><Relationship Type="http://schemas.openxmlformats.org/officeDocument/2006/relationships/hyperlink" Id="rId452" Target="https://doi.org/10.17605/OSF.IO/VTW5Y" TargetMode="External" /><Relationship Type="http://schemas.openxmlformats.org/officeDocument/2006/relationships/hyperlink" Id="rId47" Target="https://doi.org/10.21105/joss.02651" TargetMode="External" /><Relationship Type="http://schemas.openxmlformats.org/officeDocument/2006/relationships/hyperlink" Id="rId627" Target="https://doi.org/10.31222/osf.io/p75xe" TargetMode="External" /><Relationship Type="http://schemas.openxmlformats.org/officeDocument/2006/relationships/hyperlink" Id="rId450" Target="https://doi.org/10.3758/s13428-020-01436-x" TargetMode="External" /><Relationship Type="http://schemas.openxmlformats.org/officeDocument/2006/relationships/hyperlink" Id="rId673" Target="https://github.com/mcguinlu/robvis" TargetMode="External" /><Relationship Type="http://schemas.openxmlformats.org/officeDocument/2006/relationships/hyperlink" Id="rId59" Target="https://github.com/ropensci/medrxivr" TargetMode="External" /><Relationship Type="http://schemas.openxmlformats.org/officeDocument/2006/relationships/hyperlink" Id="rId242" Target="https://www.ucl.ac.uk/whitehallII" TargetMode="External" /></Relationships>
</file>

<file path=word/_rels/footnotes.xml.rels><?xml version="1.0" encoding="UTF-8"?>
<Relationships xmlns="http://schemas.openxmlformats.org/package/2006/relationships"><Relationship Type="http://schemas.openxmlformats.org/officeDocument/2006/relationships/hyperlink" Id="rId672" Target="https://cran.r-project.org/package=robvis" TargetMode="External" /><Relationship Type="http://schemas.openxmlformats.org/officeDocument/2006/relationships/hyperlink" Id="rId60" Target="https://docs.ropensci.org/medrxivr/" TargetMode="External" /><Relationship Type="http://schemas.openxmlformats.org/officeDocument/2006/relationships/hyperlink" Id="rId567" Target="https://doi.org/10.1002/14651858.CD003160.pub3" TargetMode="External" /><Relationship Type="http://schemas.openxmlformats.org/officeDocument/2006/relationships/hyperlink" Id="rId391" Target="https://doi.org/10.1002/14651858.MR000010.pub3" TargetMode="External" /><Relationship Type="http://schemas.openxmlformats.org/officeDocument/2006/relationships/hyperlink" Id="rId49" Target="https://doi.org/10.1002/jrsm.1411" TargetMode="External" /><Relationship Type="http://schemas.openxmlformats.org/officeDocument/2006/relationships/hyperlink" Id="rId48" Target="https://doi.org/10.1007/s11121-021-01279-8" TargetMode="External" /><Relationship Type="http://schemas.openxmlformats.org/officeDocument/2006/relationships/hyperlink" Id="rId336" Target="https://doi.org/10.1016/j.neuropharm.2020.108352" TargetMode="External" /><Relationship Type="http://schemas.openxmlformats.org/officeDocument/2006/relationships/hyperlink" Id="rId561" Target="https://doi.org/10.1101/168674" TargetMode="External" /><Relationship Type="http://schemas.openxmlformats.org/officeDocument/2006/relationships/hyperlink" Id="rId540" Target="https://doi.org/10.1101/170241" TargetMode="External" /><Relationship Type="http://schemas.openxmlformats.org/officeDocument/2006/relationships/hyperlink" Id="rId446" Target="https://doi.org/10.1101/19000265" TargetMode="External" /><Relationship Type="http://schemas.openxmlformats.org/officeDocument/2006/relationships/hyperlink" Id="rId619" Target="https://doi.org/10.1101/2019.12.18.19013847" TargetMode="External" /><Relationship Type="http://schemas.openxmlformats.org/officeDocument/2006/relationships/hyperlink" Id="rId396" Target="https://doi.org/10.1101/2020.05.22.111294" TargetMode="External" /><Relationship Type="http://schemas.openxmlformats.org/officeDocument/2006/relationships/hyperlink" Id="rId440" Target="https://doi.org/10.1101/2020.11.23.394577" TargetMode="External" /><Relationship Type="http://schemas.openxmlformats.org/officeDocument/2006/relationships/hyperlink" Id="rId403" Target="https://doi.org/10.1101/2021.03.04.433874" TargetMode="External" /><Relationship Type="http://schemas.openxmlformats.org/officeDocument/2006/relationships/hyperlink" Id="rId563" Target="https://doi.org/10.1101/689752" TargetMode="External" /><Relationship Type="http://schemas.openxmlformats.org/officeDocument/2006/relationships/hyperlink" Id="rId424" Target="https://doi.org/10.1101/833400" TargetMode="External" /><Relationship Type="http://schemas.openxmlformats.org/officeDocument/2006/relationships/hyperlink" Id="rId572" Target="https://doi.org/10.1111/j.1447-0594.2009.00579.x" TargetMode="External" /><Relationship Type="http://schemas.openxmlformats.org/officeDocument/2006/relationships/hyperlink" Id="rId634" Target="https://doi.org/10.1136/bmj.k400" TargetMode="External" /><Relationship Type="http://schemas.openxmlformats.org/officeDocument/2006/relationships/hyperlink" Id="rId433" Target="https://doi.org/10.1145/582128.582152" TargetMode="External" /><Relationship Type="http://schemas.openxmlformats.org/officeDocument/2006/relationships/hyperlink" Id="rId50" Target="https://doi.org/10.1371/journal.pone.0250887" TargetMode="External" /><Relationship Type="http://schemas.openxmlformats.org/officeDocument/2006/relationships/hyperlink" Id="rId452" Target="https://doi.org/10.17605/OSF.IO/VTW5Y" TargetMode="External" /><Relationship Type="http://schemas.openxmlformats.org/officeDocument/2006/relationships/hyperlink" Id="rId47" Target="https://doi.org/10.21105/joss.02651" TargetMode="External" /><Relationship Type="http://schemas.openxmlformats.org/officeDocument/2006/relationships/hyperlink" Id="rId627" Target="https://doi.org/10.31222/osf.io/p75xe" TargetMode="External" /><Relationship Type="http://schemas.openxmlformats.org/officeDocument/2006/relationships/hyperlink" Id="rId450" Target="https://doi.org/10.3758/s13428-020-01436-x" TargetMode="External" /><Relationship Type="http://schemas.openxmlformats.org/officeDocument/2006/relationships/hyperlink" Id="rId673" Target="https://github.com/mcguinlu/robvis" TargetMode="External" /><Relationship Type="http://schemas.openxmlformats.org/officeDocument/2006/relationships/hyperlink" Id="rId59" Target="https://github.com/ropensci/medrxivr" TargetMode="External" /><Relationship Type="http://schemas.openxmlformats.org/officeDocument/2006/relationships/hyperlink" Id="rId242" Target="https://www.ucl.ac.uk/whitehallI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2021-10-08T16:26:42Z</dcterms:created>
  <dcterms:modified xsi:type="dcterms:W3CDTF">2021-10-08T16:26:42Z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WestgateEmily Hennessyrobvis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34662</vt:lpwstr>
  </property>
</Properties>
</file>