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1.png" ContentType="image/png"/>
  <Override PartName="/word/media/rId186.png" ContentType="image/png"/>
  <Override PartName="/word/media/rId169.png" ContentType="image/png"/>
  <Override PartName="/word/media/rId197.png" ContentType="image/png"/>
  <Override PartName="/word/media/rId191.png" ContentType="image/png"/>
  <Override PartName="/word/media/rId193.png" ContentType="image/png"/>
  <Override PartName="/word/media/rId189.png" ContentType="image/png"/>
  <Override PartName="/word/media/rId199.png" ContentType="image/png"/>
  <Override PartName="/word/media/rId201.png" ContentType="image/png"/>
  <Override PartName="/word/media/rId195.png" ContentType="image/png"/>
  <Override PartName="/word/media/rId174.png" ContentType="image/png"/>
  <Override PartName="/word/media/rId207.png" ContentType="image/png"/>
  <Override PartName="/word/media/rId178.png" ContentType="image/png"/>
  <Override PartName="/word/media/rId210.png" ContentType="image/png"/>
  <Override PartName="/word/media/rId255.png" ContentType="image/png"/>
  <Override PartName="/word/media/rId242.png" ContentType="image/png"/>
  <Override PartName="/word/media/rId291.pdf" ContentType="application/pdf"/>
  <Override PartName="/word/media/rId69.png" ContentType="image/png"/>
  <Override PartName="/word/media/rId716.png" ContentType="image/png"/>
  <Override PartName="/word/media/rId715.png" ContentType="image/png"/>
  <Override PartName="/word/media/rId61.png" ContentType="image/png"/>
  <Override PartName="/word/media/rId115.png" ContentType="image/png"/>
  <Override PartName="/word/media/rId141.png" ContentType="image/png"/>
  <Override PartName="/word/media/rId128.png" ContentType="image/png"/>
  <Override PartName="/word/media/rId131.pdf" ContentType="application/pdf"/>
  <Override PartName="/word/media/rId124.pdf" ContentType="application/pdf"/>
  <Override PartName="/word/media/rId696.png" ContentType="image/png"/>
  <Override PartName="/word/media/rId695.png" ContentType="image/png"/>
  <Override PartName="/word/media/rId694.png" ContentType="image/png"/>
  <Override PartName="/word/media/rId697.png" ContentType="image/png"/>
  <Override PartName="/word/media/rId121.png" ContentType="image/png"/>
  <Override PartName="/word/media/rId127.png" ContentType="image/png"/>
  <Override PartName="/word/media/rId119.png" ContentType="image/png"/>
  <Override PartName="/word/media/rId135.png" ContentType="image/png"/>
  <Override PartName="/word/media/rId138.png" ContentType="image/png"/>
  <Override PartName="/word/media/rId130.png" ContentType="image/png"/>
  <Override PartName="/word/media/rId123.png" ContentType="image/png"/>
  <Override PartName="/word/media/rId137.png" ContentType="image/png"/>
  <Override PartName="/word/media/rId118.png" ContentType="image/png"/>
  <Override PartName="/word/media/rId150.png" ContentType="image/png"/>
  <Override PartName="/word/media/rId132.png" ContentType="image/png"/>
  <Override PartName="/word/media/rId152.png" ContentType="image/png"/>
  <Override PartName="/word/media/rId112.png" ContentType="image/png"/>
  <Override PartName="/word/media/rId147.png" ContentType="image/png"/>
  <Override PartName="/word/media/rId28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w:t>
      </w:r>
      <w:r>
        <w:t xml:space="preserve"> </w:t>
      </w:r>
      <w:r>
        <w:t xml:space="preserve">the</w:t>
      </w:r>
      <w:r>
        <w:t xml:space="preserve"> </w:t>
      </w:r>
      <w:r>
        <w:t xml:space="preserve">causal</w:t>
      </w:r>
      <w:r>
        <w:t xml:space="preserve"> </w:t>
      </w:r>
      <w:r>
        <w:t xml:space="preserve">effects</w:t>
      </w:r>
      <w:r>
        <w:t xml:space="preserve"> </w:t>
      </w:r>
      <w:r>
        <w:t xml:space="preserve">of</w:t>
      </w:r>
      <w:r>
        <w:t xml:space="preserve"> </w:t>
      </w:r>
      <w:r>
        <w:t xml:space="preserve">lipid</w:t>
      </w:r>
      <w:r>
        <w:t xml:space="preserve"> </w:t>
      </w:r>
      <w:r>
        <w:t xml:space="preserve">levels</w:t>
      </w:r>
      <w:r>
        <w:t xml:space="preserve"> </w:t>
      </w:r>
      <w:r>
        <w:t xml:space="preserve">on</w:t>
      </w:r>
      <w:r>
        <w:t xml:space="preserve"> </w:t>
      </w:r>
      <w:r>
        <w:t xml:space="preserve">risk</w:t>
      </w:r>
      <w:r>
        <w:t xml:space="preserve"> </w:t>
      </w:r>
      <w:r>
        <w:t xml:space="preserve">of</w:t>
      </w:r>
      <w:r>
        <w:t xml:space="preserve"> </w:t>
      </w:r>
      <w:r>
        <w:t xml:space="preserve">dementia:</w:t>
      </w:r>
      <w:r>
        <w:br/>
      </w:r>
      <w:r>
        <w:t xml:space="preserve">a</w:t>
      </w:r>
      <w:r>
        <w:t xml:space="preserve"> </w:t>
      </w:r>
      <w:r>
        <w:t xml:space="preserve">triangulation</w:t>
      </w:r>
      <w:r>
        <w:t xml:space="preserve"> </w:t>
      </w:r>
      <w:r>
        <w:t xml:space="preserve">of</w:t>
      </w:r>
      <w:r>
        <w:t xml:space="preserve"> </w:t>
      </w:r>
      <w:r>
        <w:t xml:space="preserve">new</w:t>
      </w:r>
      <w:r>
        <w:t xml:space="preserve"> </w:t>
      </w:r>
      <w:r>
        <w:t xml:space="preserve">and</w:t>
      </w:r>
      <w:r>
        <w:t xml:space="preserve"> </w:t>
      </w:r>
      <w:r>
        <w:t xml:space="preserve">existing</w:t>
      </w:r>
      <w:r>
        <w:t xml:space="preserve"> </w:t>
      </w:r>
      <w:r>
        <w:t xml:space="preserve">evidence</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40440</w:t>
      </w:r>
    </w:p>
    <w:p>
      <w:pPr>
        <w:pStyle w:val="BodyText"/>
      </w:pPr>
      <w:r>
        <w:t xml:space="preserve">Table words: 3484</w:t>
      </w:r>
    </w:p>
    <w:p>
      <w:pPr>
        <w:pStyle w:val="BodyText"/>
      </w:pPr>
      <w:r>
        <w:t xml:space="preserve">Days: 354</w:t>
      </w:r>
    </w:p>
    <w:p>
      <w:pPr>
        <w:pStyle w:val="BodyText"/>
      </w:pPr>
      <w:r>
        <w:t xml:space="preserve">Words behind: 522</w:t>
      </w:r>
    </w:p>
    <w:p>
      <w:pPr>
        <w:pStyle w:val="BodyText"/>
      </w:pPr>
      <w:r>
        <w:t xml:space="preserve">Words today: 474</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57" w:name="background-heading"/>
    <w:p>
      <w:pPr>
        <w:pStyle w:val="Heading1"/>
      </w:pPr>
      <w:r>
        <w:t xml:space="preserve">Background, Theoretical framework, Aims &amp; Objectives</w:t>
      </w:r>
    </w:p>
    <w:p>
      <w:pPr>
        <w:pStyle w:val="FirstParagraph"/>
      </w:pPr>
    </w:p>
    <w:bookmarkStart w:id="22" w:name="lay-summary"/>
    <w:p>
      <w:pPr>
        <w:pStyle w:val="Heading2"/>
      </w:pPr>
      <w:r>
        <w:t xml:space="preserve">Lay summary</w:t>
      </w:r>
    </w:p>
    <w:p>
      <w:pPr>
        <w:pStyle w:val="FirstParagraph"/>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2"/>
    <w:bookmarkStart w:id="23"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3"/>
    <w:bookmarkStart w:id="29" w:name="dementia"/>
    <w:p>
      <w:pPr>
        <w:pStyle w:val="Heading2"/>
      </w:pPr>
      <w:r>
        <w:t xml:space="preserve">Dementia</w:t>
      </w:r>
    </w:p>
    <w:bookmarkStart w:id="24"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24"/>
    <w:bookmarkStart w:id="25"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7cb91fd8-e12f-4fdb-b65d-b8b8552cf8a5" w:name="tab:diagnosticCriteria-table"/>
      <w:r>
        <w:t xml:space="preserve">Overview of the DSM-5 criteria for dementia and vascular dementia.[@edition2013diagnostic]</w:t>
      </w:r>
      <w:bookmarkEnd w:id="7cb91fd8-e12f-4fdb-b65d-b8b8552cf8a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1.3.4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25"/>
    <w:bookmarkStart w:id="26"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26"/>
    <w:bookmarkStart w:id="27"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27"/>
    <w:bookmarkStart w:id="28"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1.5</w:t>
      </w:r>
      <w:r>
        <w:t xml:space="preserve"> </w:t>
      </w:r>
      <w:r>
        <w:t xml:space="preserve">provides an overview of the existing evidence for an association between lipids and dementia outcomes.</w:t>
      </w:r>
    </w:p>
    <w:bookmarkEnd w:id="28"/>
    <w:bookmarkEnd w:id="29"/>
    <w:bookmarkStart w:id="34" w:name="serum-lipids"/>
    <w:p>
      <w:pPr>
        <w:pStyle w:val="Heading2"/>
      </w:pPr>
      <w:r>
        <w:t xml:space="preserve">Serum lipids</w:t>
      </w:r>
    </w:p>
    <w:bookmarkStart w:id="30"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BodyText"/>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p>
      <w:pPr>
        <w:pStyle w:val="BodyText"/>
      </w:pPr>
      <w:r>
        <w:t xml:space="preserve">Fraction</w:t>
      </w:r>
    </w:p>
    <w:p>
      <w:pPr>
        <w:pStyle w:val="BodyText"/>
      </w:pPr>
      <w:r>
        <w:t xml:space="preserve">Measure (mg/dL)</w:t>
      </w:r>
    </w:p>
    <w:p>
      <w:pPr>
        <w:pStyle w:val="BodyText"/>
      </w:pPr>
      <w:r>
        <w:t xml:space="preserve">Classification</w:t>
      </w:r>
    </w:p>
    <w:p>
      <w:pPr>
        <w:pStyle w:val="BodyText"/>
      </w:pPr>
      <w:r>
        <w:t xml:space="preserve">LDL cholesterol</w:t>
      </w:r>
    </w:p>
    <w:p>
      <w:pPr>
        <w:pStyle w:val="BodyText"/>
      </w:pPr>
      <w:r>
        <w:t xml:space="preserve">&lt;100</w:t>
      </w:r>
    </w:p>
    <w:p>
      <w:pPr>
        <w:pStyle w:val="BodyText"/>
      </w:pPr>
      <w:r>
        <w:t xml:space="preserve">Optimal</w:t>
      </w:r>
    </w:p>
    <w:p>
      <w:pPr>
        <w:pStyle w:val="BodyText"/>
      </w:pPr>
      <w:r>
        <w:t xml:space="preserve">LDL cholesterol</w:t>
      </w:r>
    </w:p>
    <w:p>
      <w:pPr>
        <w:pStyle w:val="BodyText"/>
      </w:pPr>
      <w:r>
        <w:t xml:space="preserve">100-129</w:t>
      </w:r>
    </w:p>
    <w:p>
      <w:pPr>
        <w:pStyle w:val="BodyText"/>
      </w:pPr>
      <w:r>
        <w:t xml:space="preserve">Near/above optimal</w:t>
      </w:r>
    </w:p>
    <w:p>
      <w:pPr>
        <w:pStyle w:val="BodyText"/>
      </w:pPr>
      <w:r>
        <w:t xml:space="preserve">LDL cholesterol</w:t>
      </w:r>
    </w:p>
    <w:p>
      <w:pPr>
        <w:pStyle w:val="BodyText"/>
      </w:pPr>
      <w:r>
        <w:t xml:space="preserve">130-159</w:t>
      </w:r>
    </w:p>
    <w:p>
      <w:pPr>
        <w:pStyle w:val="BodyText"/>
      </w:pPr>
      <w:r>
        <w:t xml:space="preserve">Borderline high</w:t>
      </w:r>
    </w:p>
    <w:p>
      <w:pPr>
        <w:pStyle w:val="BodyText"/>
      </w:pPr>
      <w:r>
        <w:t xml:space="preserve">LDL cholesterol</w:t>
      </w:r>
    </w:p>
    <w:p>
      <w:pPr>
        <w:pStyle w:val="BodyText"/>
      </w:pPr>
      <w:r>
        <w:t xml:space="preserve">160-189</w:t>
      </w:r>
    </w:p>
    <w:p>
      <w:pPr>
        <w:pStyle w:val="BodyText"/>
      </w:pPr>
      <w:r>
        <w:t xml:space="preserve">High</w:t>
      </w:r>
    </w:p>
    <w:p>
      <w:pPr>
        <w:pStyle w:val="BodyText"/>
      </w:pPr>
      <w:r>
        <w:t xml:space="preserve">LDL cholesterol</w:t>
      </w:r>
    </w:p>
    <w:p>
      <w:pPr>
        <w:pStyle w:val="BodyText"/>
      </w:pPr>
      <w:r>
        <w:t xml:space="preserve">&gt;190</w:t>
      </w:r>
    </w:p>
    <w:p>
      <w:pPr>
        <w:pStyle w:val="BodyText"/>
      </w:pPr>
      <w:r>
        <w:t xml:space="preserve">Very high</w:t>
      </w:r>
    </w:p>
    <w:p>
      <w:pPr>
        <w:pStyle w:val="BodyText"/>
      </w:pPr>
      <w:r>
        <w:t xml:space="preserve">HDL cholesterol</w:t>
      </w:r>
    </w:p>
    <w:p>
      <w:pPr>
        <w:pStyle w:val="BodyText"/>
      </w:pPr>
      <w:r>
        <w:t xml:space="preserve">&lt;40</w:t>
      </w:r>
    </w:p>
    <w:p>
      <w:pPr>
        <w:pStyle w:val="BodyText"/>
      </w:pPr>
      <w:r>
        <w:t xml:space="preserve">Low</w:t>
      </w:r>
    </w:p>
    <w:p>
      <w:pPr>
        <w:pStyle w:val="BodyText"/>
      </w:pPr>
      <w:r>
        <w:t xml:space="preserve">HDL cholesterol</w:t>
      </w:r>
    </w:p>
    <w:p>
      <w:pPr>
        <w:pStyle w:val="BodyText"/>
      </w:pPr>
      <w:r>
        <w:t xml:space="preserve">&gt;60</w:t>
      </w:r>
    </w:p>
    <w:p>
      <w:pPr>
        <w:pStyle w:val="BodyText"/>
      </w:pPr>
      <w:r>
        <w:t xml:space="preserve">High</w:t>
      </w:r>
    </w:p>
    <w:p>
      <w:pPr>
        <w:pStyle w:val="BodyText"/>
      </w:pPr>
      <w:r>
        <w:t xml:space="preserve">Triglycerides</w:t>
      </w:r>
    </w:p>
    <w:p>
      <w:pPr>
        <w:pStyle w:val="BodyText"/>
      </w:pPr>
      <w:r>
        <w:t xml:space="preserve">&lt;150</w:t>
      </w:r>
    </w:p>
    <w:p>
      <w:pPr>
        <w:pStyle w:val="BodyText"/>
      </w:pPr>
      <w:r>
        <w:t xml:space="preserve">Normal</w:t>
      </w:r>
    </w:p>
    <w:p>
      <w:pPr>
        <w:pStyle w:val="BodyText"/>
      </w:pPr>
      <w:r>
        <w:t xml:space="preserve">Triglycerides</w:t>
      </w:r>
    </w:p>
    <w:p>
      <w:pPr>
        <w:pStyle w:val="BodyText"/>
      </w:pPr>
      <w:r>
        <w:t xml:space="preserve">150-199</w:t>
      </w:r>
    </w:p>
    <w:p>
      <w:pPr>
        <w:pStyle w:val="BodyText"/>
      </w:pPr>
      <w:r>
        <w:t xml:space="preserve">Borderline high</w:t>
      </w:r>
    </w:p>
    <w:p>
      <w:pPr>
        <w:pStyle w:val="BodyText"/>
      </w:pPr>
      <w:r>
        <w:t xml:space="preserve">Triglycerides</w:t>
      </w:r>
    </w:p>
    <w:p>
      <w:pPr>
        <w:pStyle w:val="BodyText"/>
      </w:pPr>
      <w:r>
        <w:t xml:space="preserve">200-499</w:t>
      </w:r>
    </w:p>
    <w:p>
      <w:pPr>
        <w:pStyle w:val="BodyText"/>
      </w:pPr>
      <w:r>
        <w:t xml:space="preserve">High</w:t>
      </w:r>
    </w:p>
    <w:p>
      <w:pPr>
        <w:pStyle w:val="BodyText"/>
      </w:pPr>
      <w:r>
        <w:t xml:space="preserve">Triglycerides</w:t>
      </w:r>
    </w:p>
    <w:p>
      <w:pPr>
        <w:pStyle w:val="BodyText"/>
      </w:pPr>
      <w:r>
        <w:t xml:space="preserve">&gt;500</w:t>
      </w:r>
    </w:p>
    <w:p>
      <w:pPr>
        <w:pStyle w:val="BodyText"/>
      </w:pPr>
      <w:r>
        <w:t xml:space="preserve">Very high</w:t>
      </w:r>
    </w:p>
    <w:p>
      <w:pPr>
        <w:pStyle w:val="BodyText"/>
      </w:pPr>
      <w:r>
        <w:t xml:space="preserve">Total cholesterol</w:t>
      </w:r>
    </w:p>
    <w:p>
      <w:pPr>
        <w:pStyle w:val="BodyText"/>
      </w:pPr>
      <w:r>
        <w:t xml:space="preserve">&lt;200</w:t>
      </w:r>
    </w:p>
    <w:p>
      <w:pPr>
        <w:pStyle w:val="BodyText"/>
      </w:pPr>
      <w:r>
        <w:t xml:space="preserve">Desirable</w:t>
      </w:r>
    </w:p>
    <w:p>
      <w:pPr>
        <w:pStyle w:val="BodyText"/>
      </w:pPr>
      <w:r>
        <w:t xml:space="preserve">Total cholesterol</w:t>
      </w:r>
    </w:p>
    <w:p>
      <w:pPr>
        <w:pStyle w:val="BodyText"/>
      </w:pPr>
      <w:r>
        <w:t xml:space="preserve">200-239</w:t>
      </w:r>
    </w:p>
    <w:p>
      <w:pPr>
        <w:pStyle w:val="BodyText"/>
      </w:pPr>
      <w:r>
        <w:t xml:space="preserve">Borderline high</w:t>
      </w:r>
    </w:p>
    <w:p>
      <w:pPr>
        <w:pStyle w:val="BodyText"/>
      </w:pPr>
      <w:r>
        <w:t xml:space="preserve">Total cholesterol</w:t>
      </w:r>
    </w:p>
    <w:p>
      <w:pPr>
        <w:pStyle w:val="BodyText"/>
      </w:pPr>
      <w:r>
        <w:t xml:space="preserve">&gt;240</w:t>
      </w:r>
    </w:p>
    <w:p>
      <w:pPr>
        <w:pStyle w:val="BodyText"/>
      </w:pPr>
      <w:r>
        <w:t xml:space="preserve">High</w:t>
      </w:r>
    </w:p>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0"/>
    <w:bookmarkStart w:id="32"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circulating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BodyText"/>
      </w:pPr>
      <w:r>
        <w:t xml:space="preserve">Table 3: Overview of commonly-prescribed statins, summarising their approval date (US), properties and lipid-lowering effect.</w:t>
      </w:r>
    </w:p>
    <w:p>
      <w:pPr>
        <w:pStyle w:val="BodyText"/>
      </w:pPr>
      <w:r>
        <w:t xml:space="preserve">Name</w:t>
      </w:r>
    </w:p>
    <w:p>
      <w:pPr>
        <w:pStyle w:val="BodyText"/>
      </w:pPr>
      <w:r>
        <w:t xml:space="preserve">Brand name</w:t>
      </w:r>
    </w:p>
    <w:p>
      <w:pPr>
        <w:pStyle w:val="BodyText"/>
      </w:pPr>
      <w:r>
        <w:t xml:space="preserve">Year approved</w:t>
      </w:r>
    </w:p>
    <w:p>
      <w:pPr>
        <w:pStyle w:val="BodyText"/>
      </w:pPr>
      <w:r>
        <w:t xml:space="preserve">Properties</w:t>
      </w:r>
    </w:p>
    <w:p>
      <w:pPr>
        <w:pStyle w:val="BodyText"/>
      </w:pPr>
      <w:r>
        <w:t xml:space="preserve">Lipid-lowering effect</w:t>
      </w:r>
    </w:p>
    <w:p>
      <w:pPr>
        <w:pStyle w:val="BodyText"/>
      </w:pPr>
      <w:r>
        <w:t xml:space="preserve">Atorvastatin</w:t>
      </w:r>
    </w:p>
    <w:p>
      <w:pPr>
        <w:pStyle w:val="BodyText"/>
      </w:pPr>
      <w:r>
        <w:t xml:space="preserve">Lipitor</w:t>
      </w:r>
    </w:p>
    <w:p>
      <w:pPr>
        <w:pStyle w:val="BodyText"/>
      </w:pPr>
      <w:r>
        <w:t xml:space="preserve">1996</w:t>
      </w:r>
    </w:p>
    <w:p>
      <w:pPr>
        <w:pStyle w:val="BodyText"/>
      </w:pPr>
      <w:r>
        <w:t xml:space="preserve">Lipophilic</w:t>
      </w:r>
    </w:p>
    <w:p>
      <w:pPr>
        <w:pStyle w:val="BodyText"/>
      </w:pPr>
      <w:r>
        <w:t xml:space="preserve">+++</w:t>
      </w:r>
    </w:p>
    <w:p>
      <w:pPr>
        <w:pStyle w:val="BodyText"/>
      </w:pPr>
      <w:r>
        <w:t xml:space="preserve">Pravastatin</w:t>
      </w:r>
    </w:p>
    <w:p>
      <w:pPr>
        <w:pStyle w:val="BodyText"/>
      </w:pPr>
      <w:r>
        <w:t xml:space="preserve">Lipostat</w:t>
      </w:r>
    </w:p>
    <w:p>
      <w:pPr>
        <w:pStyle w:val="BodyText"/>
      </w:pPr>
      <w:r>
        <w:t xml:space="preserve">1989</w:t>
      </w:r>
    </w:p>
    <w:p>
      <w:pPr>
        <w:pStyle w:val="BodyText"/>
      </w:pPr>
      <w:r>
        <w:t xml:space="preserve">Hydrophilic</w:t>
      </w:r>
    </w:p>
    <w:p>
      <w:pPr>
        <w:numPr>
          <w:ilvl w:val="0"/>
          <w:numId w:val="1000"/>
        </w:numPr>
        <w:pStyle w:val="Compact"/>
      </w:pPr>
      <w:r>
        <w:t xml:space="preserve">Rosuvastatin</w:t>
      </w:r>
    </w:p>
    <w:p>
      <w:pPr>
        <w:numPr>
          <w:ilvl w:val="0"/>
          <w:numId w:val="1000"/>
        </w:numPr>
        <w:pStyle w:val="Compact"/>
      </w:pPr>
      <w:r>
        <w:t xml:space="preserve">Crestor</w:t>
      </w:r>
    </w:p>
    <w:p>
      <w:pPr>
        <w:numPr>
          <w:ilvl w:val="0"/>
          <w:numId w:val="1000"/>
        </w:numPr>
        <w:pStyle w:val="Compact"/>
      </w:pPr>
      <w:r>
        <w:t xml:space="preserve">2003</w:t>
      </w:r>
    </w:p>
    <w:p>
      <w:pPr>
        <w:numPr>
          <w:ilvl w:val="0"/>
          <w:numId w:val="1000"/>
        </w:numPr>
        <w:pStyle w:val="Compact"/>
      </w:pPr>
      <w:r>
        <w:t xml:space="preserve">Hydrophilic</w:t>
      </w:r>
    </w:p>
    <w:p>
      <w:pPr>
        <w:numPr>
          <w:ilvl w:val="0"/>
          <w:numId w:val="1000"/>
        </w:numPr>
        <w:pStyle w:val="Compact"/>
      </w:pPr>
      <w:r>
        <w:t xml:space="preserve">++++</w:t>
      </w:r>
    </w:p>
    <w:p>
      <w:pPr>
        <w:numPr>
          <w:ilvl w:val="0"/>
          <w:numId w:val="1000"/>
        </w:numPr>
        <w:pStyle w:val="Compact"/>
      </w:pPr>
      <w:r>
        <w:t xml:space="preserve">Simvastatin</w:t>
      </w:r>
    </w:p>
    <w:p>
      <w:pPr>
        <w:numPr>
          <w:ilvl w:val="0"/>
          <w:numId w:val="1000"/>
        </w:numPr>
        <w:pStyle w:val="Compact"/>
      </w:pPr>
      <w:r>
        <w:t xml:space="preserve">Zocor</w:t>
      </w:r>
    </w:p>
    <w:p>
      <w:pPr>
        <w:numPr>
          <w:ilvl w:val="0"/>
          <w:numId w:val="1000"/>
        </w:numPr>
        <w:pStyle w:val="Compact"/>
      </w:pPr>
      <w:r>
        <w:t xml:space="preserve">1992</w:t>
      </w:r>
    </w:p>
    <w:p>
      <w:pPr>
        <w:numPr>
          <w:ilvl w:val="0"/>
          <w:numId w:val="1000"/>
        </w:numPr>
        <w:pStyle w:val="Compact"/>
      </w:pPr>
      <w:r>
        <w:t xml:space="preserve">Lipophilic</w:t>
      </w:r>
    </w:p>
    <w:p>
      <w:pPr>
        <w:numPr>
          <w:ilvl w:val="0"/>
          <w:numId w:val="1000"/>
        </w:numPr>
        <w:pStyle w:val="Compact"/>
      </w:pPr>
      <w:r>
        <w:t xml:space="preserve">++</w:t>
      </w:r>
    </w:p>
    <w:p>
      <w:pPr>
        <w:pStyle w:val="FirstParagraph"/>
      </w:pPr>
      <w:r>
        <w:t xml:space="preserve"> </w:t>
      </w:r>
    </w:p>
    <w:bookmarkEnd w:id="32"/>
    <w:bookmarkStart w:id="33"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BodyText"/>
      </w:pPr>
      <w:r>
        <w:t xml:space="preserve">Table 4: Summary of available treatments for hyperlipidaemia.</w:t>
      </w:r>
    </w:p>
    <w:p>
      <w:pPr>
        <w:pStyle w:val="BodyText"/>
      </w:pPr>
      <w:r>
        <w:t xml:space="preserve">Treatment</w:t>
      </w:r>
    </w:p>
    <w:p>
      <w:pPr>
        <w:pStyle w:val="BodyText"/>
      </w:pPr>
      <w:r>
        <w:t xml:space="preserve">Effect</w:t>
      </w:r>
    </w:p>
    <w:p>
      <w:pPr>
        <w:pStyle w:val="BodyText"/>
      </w:pPr>
      <w:r>
        <w:t xml:space="preserve">Mechanism of action</w:t>
      </w:r>
    </w:p>
    <w:p>
      <w:pPr>
        <w:pStyle w:val="BodyText"/>
      </w:pPr>
      <w:r>
        <w:t xml:space="preserve">Examples</w:t>
      </w:r>
    </w:p>
    <w:p>
      <w:pPr>
        <w:pStyle w:val="BodyText"/>
      </w:pPr>
      <w:r>
        <w:t xml:space="preserve">HMG CoA reductase inhibitors (statins)</w:t>
      </w:r>
    </w:p>
    <w:p>
      <w:pPr>
        <w:pStyle w:val="BodyText"/>
      </w:pPr>
      <w:r>
        <w:t xml:space="preserve">Lowers LDL-c &amp; TG</w:t>
      </w:r>
      <w:r>
        <w:t xml:space="preserve"> </w:t>
      </w:r>
      <w:r>
        <w:t xml:space="preserve">Raises HDL-c</w:t>
      </w:r>
    </w:p>
    <w:p>
      <w:pPr>
        <w:pStyle w:val="BodyText"/>
      </w:pPr>
      <w:r>
        <w:t xml:space="preserve">Inhibits cholesterol biosynthesis pathway in the liver</w:t>
      </w:r>
    </w:p>
    <w:p>
      <w:pPr>
        <w:pStyle w:val="BodyText"/>
      </w:pPr>
      <w:r>
        <w:t xml:space="preserve">Atorvastatin,</w:t>
      </w:r>
      <w:r>
        <w:t xml:space="preserve"> </w:t>
      </w:r>
      <w:r>
        <w:t xml:space="preserve">Simvastatin,</w:t>
      </w:r>
      <w:r>
        <w:t xml:space="preserve"> </w:t>
      </w:r>
      <w:r>
        <w:t xml:space="preserve">Pravastatin</w:t>
      </w:r>
    </w:p>
    <w:p>
      <w:pPr>
        <w:pStyle w:val="BodyText"/>
      </w:pPr>
      <w:r>
        <w:t xml:space="preserve">Ezetimibe</w:t>
      </w:r>
    </w:p>
    <w:p>
      <w:pPr>
        <w:pStyle w:val="BodyText"/>
      </w:pPr>
      <w:r>
        <w:t xml:space="preserve">Lowers LDL-c</w:t>
      </w:r>
    </w:p>
    <w:p>
      <w:pPr>
        <w:pStyle w:val="BodyText"/>
      </w:pPr>
      <w:r>
        <w:t xml:space="preserve">Prevents absorption of cholesterol from diet</w:t>
      </w:r>
    </w:p>
    <w:p>
      <w:pPr>
        <w:pStyle w:val="BodyText"/>
      </w:pPr>
      <w:r>
        <w:t xml:space="preserve">Bile acide sequestrants</w:t>
      </w:r>
    </w:p>
    <w:p>
      <w:pPr>
        <w:pStyle w:val="BodyText"/>
      </w:pPr>
      <w:r>
        <w:t xml:space="preserve">Lowers LDL-c</w:t>
      </w:r>
    </w:p>
    <w:p>
      <w:pPr>
        <w:pStyle w:val="BodyText"/>
      </w:pPr>
      <w:r>
        <w:t xml:space="preserve">Prevent bile acid reabsorption in the gastro-intestinal tract, increasing conversion of cholesterol to bile acids</w:t>
      </w:r>
    </w:p>
    <w:p>
      <w:pPr>
        <w:pStyle w:val="BodyText"/>
      </w:pPr>
      <w:r>
        <w:t xml:space="preserve">Colestipol</w:t>
      </w:r>
    </w:p>
    <w:p>
      <w:pPr>
        <w:pStyle w:val="BodyText"/>
      </w:pPr>
      <w:r>
        <w:t xml:space="preserve">Proprotein convertase subtilisin kexin 9 (PCSK9) inhibitors</w:t>
      </w:r>
    </w:p>
    <w:p>
      <w:pPr>
        <w:pStyle w:val="BodyText"/>
      </w:pPr>
      <w:r>
        <w:t xml:space="preserve">Lowers LDL-c</w:t>
      </w:r>
    </w:p>
    <w:p>
      <w:pPr>
        <w:pStyle w:val="BodyText"/>
      </w:pPr>
      <w:r>
        <w:t xml:space="preserve">Bind to PSCK9 protein, preventing it from breaking down LDL receptors on heptatic cells, increasing cholesterol uptake</w:t>
      </w:r>
    </w:p>
    <w:p>
      <w:pPr>
        <w:pStyle w:val="BodyText"/>
      </w:pPr>
      <w:r>
        <w:t xml:space="preserve">Evolocumab,</w:t>
      </w:r>
      <w:r>
        <w:t xml:space="preserve"> </w:t>
      </w:r>
      <w:r>
        <w:t xml:space="preserve">Alirocumab</w:t>
      </w:r>
    </w:p>
    <w:p>
      <w:pPr>
        <w:pStyle w:val="BodyText"/>
      </w:pPr>
      <w:r>
        <w:t xml:space="preserve"> </w:t>
      </w:r>
    </w:p>
    <w:bookmarkEnd w:id="33"/>
    <w:bookmarkEnd w:id="34"/>
    <w:bookmarkStart w:id="39"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35" w:name="intro-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35"/>
    <w:bookmarkStart w:id="36"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1.6.1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36"/>
    <w:bookmarkStart w:id="37"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1.3.1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1.3.2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1.3.1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37"/>
    <w:bookmarkStart w:id="38"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38"/>
    <w:bookmarkEnd w:id="39"/>
    <w:bookmarkStart w:id="43"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0"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preprinting">
        <w:r>
          <w:rPr>
            <w:rStyle w:val="Hyperlink"/>
            <w:vertAlign w:val="superscript"/>
          </w:rPr>
          <w:t xml:space="preserve">75</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77</w:t>
        </w:r>
      </w:hyperlink>
      <w:r>
        <w:rPr>
          <w:vertAlign w:val="superscript"/>
        </w:rPr>
        <w:t xml:space="preserve">,</w:t>
      </w:r>
      <w:hyperlink w:anchor="ref-schalkwyk2020">
        <w:r>
          <w:rPr>
            <w:rStyle w:val="Hyperlink"/>
            <w:vertAlign w:val="superscript"/>
          </w:rPr>
          <w:t xml:space="preserve">78</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79</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80</w:t>
        </w:r>
      </w:hyperlink>
      <w:r>
        <w:rPr>
          <w:vertAlign w:val="superscript"/>
        </w:rPr>
        <w:t xml:space="preserve">,</w:t>
      </w:r>
      <w:hyperlink w:anchor="ref-nicholson2021">
        <w:r>
          <w:rPr>
            <w:rStyle w:val="Hyperlink"/>
            <w:vertAlign w:val="superscript"/>
          </w:rPr>
          <w:t xml:space="preserve">81</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79</w:t>
        </w:r>
      </w:hyperlink>
      <w:r>
        <w:t xml:space="preserve"> </w:t>
      </w:r>
      <w:r>
        <w:t xml:space="preserve">there are several logistical issues with carrying out systematic searches in preprint repositories. As such, to enable the inclusion of preprints in the systematic review described in Chapters</w:t>
      </w:r>
      <w:r>
        <w:t xml:space="preserve"> </w:t>
      </w:r>
      <w:r>
        <w:t xml:space="preserve">3</w:t>
      </w:r>
      <w:r>
        <w:t xml:space="preserve">, a new tool addressing these issues is presented in Chapter</w:t>
      </w:r>
      <w:r>
        <w:t xml:space="preserve"> </w:t>
      </w:r>
      <w:r>
        <w:t xml:space="preserve">??</w:t>
      </w:r>
      <w:r>
        <w:t xml:space="preserve">.</w:t>
      </w:r>
    </w:p>
    <w:bookmarkEnd w:id="40"/>
    <w:bookmarkStart w:id="41" w:name="intro-triangulation"/>
    <w:p>
      <w:pPr>
        <w:pStyle w:val="Heading3"/>
      </w:pPr>
      <w:r>
        <w:t xml:space="preserve">Triangulating across study designs</w:t>
      </w:r>
    </w:p>
    <w:p>
      <w:pPr>
        <w:pStyle w:val="FirstParagraph"/>
      </w:pPr>
      <w:r>
        <w:t xml:space="preserve">As illustrated in Section</w:t>
      </w:r>
      <w:r>
        <w:t xml:space="preserve"> </w:t>
      </w:r>
      <w:r>
        <w:t xml:space="preserve">1.5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82</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inChapters</w:t>
      </w:r>
      <w:r>
        <w:t xml:space="preserve"> </w:t>
      </w:r>
      <w:r>
        <w:t xml:space="preserve">3</w:t>
      </w:r>
      <w:r>
        <w:t xml:space="preserve">/</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83</w:t>
        </w:r>
      </w:hyperlink>
      <w:r>
        <w:rPr>
          <w:vertAlign w:val="superscript"/>
        </w:rPr>
        <w:t xml:space="preserve">,</w:t>
      </w:r>
      <w:hyperlink w:anchor="ref-mcguinness2018">
        <w:r>
          <w:rPr>
            <w:rStyle w:val="Hyperlink"/>
            <w:vertAlign w:val="superscript"/>
          </w:rPr>
          <w:t xml:space="preserve">84</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1"/>
    <w:bookmarkStart w:id="42"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85</w:t>
        </w:r>
      </w:hyperlink>
      <w:r>
        <w:rPr>
          <w:vertAlign w:val="superscript"/>
        </w:rPr>
        <w:t xml:space="preserve">,</w:t>
      </w:r>
      <w:hyperlink w:anchor="ref-stewart1993">
        <w:r>
          <w:rPr>
            <w:rStyle w:val="Hyperlink"/>
            <w:vertAlign w:val="superscript"/>
          </w:rPr>
          <w:t xml:space="preserve">86</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85</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87</w:t>
        </w:r>
      </w:hyperlink>
      <w:r>
        <w:rPr>
          <w:vertAlign w:val="superscript"/>
        </w:rPr>
        <w:t xml:space="preserve">–</w:t>
      </w:r>
      <w:hyperlink w:anchor="ref-mccartney2016">
        <w:r>
          <w:rPr>
            <w:rStyle w:val="Hyperlink"/>
            <w:vertAlign w:val="superscript"/>
          </w:rPr>
          <w:t xml:space="preserve">89</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85</w:t>
        </w:r>
      </w:hyperlink>
      <w:r>
        <w:t xml:space="preserve"> </w:t>
      </w:r>
      <w:r>
        <w:t xml:space="preserve">In terms of this thesis, patient sex is considered to be of particular interest.</w:t>
      </w:r>
      <w:hyperlink w:anchor="ref-arain2009">
        <w:r>
          <w:rPr>
            <w:rStyle w:val="Hyperlink"/>
            <w:vertAlign w:val="superscript"/>
          </w:rPr>
          <w:t xml:space="preserve">87</w:t>
        </w:r>
      </w:hyperlink>
      <w:r>
        <w:rPr>
          <w:vertAlign w:val="superscript"/>
        </w:rPr>
        <w:t xml:space="preserve">,</w:t>
      </w:r>
      <w:hyperlink w:anchor="ref-letenneur1999">
        <w:r>
          <w:rPr>
            <w:rStyle w:val="Hyperlink"/>
            <w:vertAlign w:val="superscript"/>
          </w:rPr>
          <w:t xml:space="preserve">90</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91</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92</w:t>
        </w:r>
      </w:hyperlink>
    </w:p>
    <w:p>
      <w:pPr>
        <w:pStyle w:val="BodyText"/>
      </w:pPr>
      <w:r>
        <w:t xml:space="preserve">Despite their advantages, IPD meta-analysis are rarely performed.</w:t>
      </w:r>
      <w:hyperlink w:anchor="ref-tugwell2010">
        <w:r>
          <w:rPr>
            <w:rStyle w:val="Hyperlink"/>
            <w:vertAlign w:val="superscript"/>
          </w:rPr>
          <w:t xml:space="preserve">93</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94</w:t>
        </w:r>
      </w:hyperlink>
      <w:r>
        <w:rPr>
          <w:vertAlign w:val="superscript"/>
        </w:rPr>
        <w:t xml:space="preserve">,</w:t>
      </w:r>
      <w:hyperlink w:anchor="ref-ventresca2020">
        <w:r>
          <w:rPr>
            <w:rStyle w:val="Hyperlink"/>
            <w:vertAlign w:val="superscript"/>
          </w:rPr>
          <w:t xml:space="preserve">95</w:t>
        </w:r>
      </w:hyperlink>
      <w:r>
        <w:t xml:space="preserve"> </w:t>
      </w:r>
      <w:r>
        <w:t xml:space="preserve">The data underlying primary studies are frequently not publicly available,</w:t>
      </w:r>
      <w:hyperlink w:anchor="ref-alsheikh-ali2011">
        <w:r>
          <w:rPr>
            <w:rStyle w:val="Hyperlink"/>
            <w:vertAlign w:val="superscript"/>
          </w:rPr>
          <w:t xml:space="preserve">96</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97</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99</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Chapters</w:t>
      </w:r>
      <w:r>
        <w:t xml:space="preserve"> </w:t>
      </w:r>
      <w:r>
        <w:t xml:space="preserve">3</w:t>
      </w:r>
      <w:r>
        <w:t xml:space="preserve">/</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2"/>
    <w:bookmarkEnd w:id="43"/>
    <w:bookmarkStart w:id="46" w:name="background-thesis-overview"/>
    <w:p>
      <w:pPr>
        <w:pStyle w:val="Heading2"/>
      </w:pPr>
      <w:r>
        <w:t xml:space="preserve">Thesis overview</w:t>
      </w:r>
    </w:p>
    <w:bookmarkStart w:id="44"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44"/>
    <w:bookmarkStart w:id="45"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8.9</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1</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Chapters</w:t>
      </w:r>
      <w:r>
        <w:rPr>
          <w:bCs/>
          <w:b/>
        </w:rPr>
        <w:t xml:space="preserve"> </w:t>
      </w:r>
      <w:r>
        <w:rPr>
          <w:bCs/>
          <w:b/>
        </w:rPr>
        <w:t xml:space="preserve">3</w:t>
      </w:r>
      <w:r>
        <w:rPr>
          <w:bCs/>
          <w:b/>
        </w:rPr>
        <w:t xml:space="preserve">/</w:t>
      </w:r>
      <w:r>
        <w:rPr>
          <w:bCs/>
          <w:b/>
        </w:rPr>
        <w:t xml:space="preserve">4</w:t>
      </w:r>
      <w:r>
        <w:rPr>
          <w:bCs/>
          <w:b/>
        </w:rPr>
        <w:t xml:space="preserve">:</w:t>
      </w:r>
      <w:r>
        <w:t xml:space="preserve"> </w:t>
      </w:r>
      <w:r>
        <w:t xml:space="preserve">These Chapters describe, respectively, the methods and results of a comprehensive systematic review and meta-analysis. This review examined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bookmarkEnd w:id="45"/>
    <w:bookmarkEnd w:id="46"/>
    <w:bookmarkStart w:id="54"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1"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47">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2</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2.2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48">
        <w:r>
          <w:rPr>
            <w:rStyle w:val="Hyperlink"/>
            <w:iCs/>
            <w:i/>
          </w:rPr>
          <w:t xml:space="preserve">10.1007/s11121-021-01279-8</w:t>
        </w:r>
      </w:hyperlink>
    </w:p>
    <w:p>
      <w:pPr>
        <w:pStyle w:val="BodyText"/>
      </w:pPr>
      <w:r>
        <w:t xml:space="preserve">The experience of extracting data for the systematic review in Chapters</w:t>
      </w:r>
      <w:r>
        <w:t xml:space="preserve"> </w:t>
      </w:r>
      <w:r>
        <w:t xml:space="preserve">3</w:t>
      </w:r>
      <w:r>
        <w:t xml:space="preserve">/</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49">
        <w:r>
          <w:rPr>
            <w:rStyle w:val="Hyperlink"/>
            <w:iCs/>
            <w:i/>
          </w:rPr>
          <w:t xml:space="preserve">10.1002/jrsm.1411</w:t>
        </w:r>
      </w:hyperlink>
    </w:p>
    <w:p>
      <w:pPr>
        <w:pStyle w:val="BodyText"/>
      </w:pPr>
      <w:r>
        <w:t xml:space="preserve">The tool used to visualise the risk-of-bias assessments in Chapters</w:t>
      </w:r>
      <w:r>
        <w:t xml:space="preserve"> </w:t>
      </w:r>
      <w:r>
        <w:t xml:space="preserve">3</w:t>
      </w:r>
      <w:r>
        <w:t xml:space="preserve">/</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 Note that this publication does not describe the recently-developed functionality for producing bias direction plots, as described in Chapter</w:t>
      </w:r>
      <w:r>
        <w:t xml:space="preserve"> </w:t>
      </w:r>
      <w:r>
        <w:t xml:space="preserve">7</w:t>
      </w:r>
      <w:r>
        <w:t xml:space="preserve">.</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0">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1"/>
    <w:bookmarkStart w:id="52"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2"/>
    <w:bookmarkStart w:id="53"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100</w:t>
        </w:r>
      </w:hyperlink>
      <w:r>
        <w:t xml:space="preserve"> </w:t>
      </w:r>
      <w:r>
        <w:t xml:space="preserve">and bioRxiv</w:t>
      </w:r>
      <w:hyperlink w:anchor="ref-sever2019">
        <w:r>
          <w:rPr>
            <w:rStyle w:val="Hyperlink"/>
            <w:vertAlign w:val="superscript"/>
          </w:rPr>
          <w:t xml:space="preserve">101</w:t>
        </w:r>
      </w:hyperlink>
      <w:r>
        <w:t xml:space="preserve"> </w:t>
      </w:r>
      <w:r>
        <w:t xml:space="preserve">preprint repositories. See Chapter</w:t>
      </w:r>
      <w:r>
        <w:t xml:space="preserve"> </w:t>
      </w:r>
      <w:r>
        <w:t xml:space="preserve">2</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3"/>
    <w:bookmarkEnd w:id="54"/>
    <w:bookmarkStart w:id="55"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55"/>
    <w:bookmarkStart w:id="56" w:name="references"/>
    <w:p>
      <w:pPr>
        <w:pStyle w:val="Heading2"/>
      </w:pPr>
      <w:r>
        <w:t xml:space="preserve">References</w:t>
      </w:r>
    </w:p>
    <w:bookmarkEnd w:id="56"/>
    <w:bookmarkEnd w:id="57"/>
    <w:bookmarkStart w:id="83" w:name="sys-rev-tools-heading"/>
    <w:p>
      <w:pPr>
        <w:pStyle w:val="Heading1"/>
      </w:pPr>
      <w:r>
        <w:t xml:space="preserve">medrxivr: an R package for systematically searching biomedical preprints</w:t>
      </w:r>
    </w:p>
    <w:p>
      <w:pPr>
        <w:pStyle w:val="FirstParagraph"/>
      </w:pPr>
    </w:p>
    <w:bookmarkStart w:id="58"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58"/>
    <w:bookmarkStart w:id="62"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1.6.1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101</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100</w:t>
        </w:r>
      </w:hyperlink>
    </w:p>
    <w:p>
      <w:pPr>
        <w:pStyle w:val="BodyText"/>
      </w:pPr>
      <w:r>
        <w:t xml:space="preserve">Searching these preprints as part of the systematic review described in Chapter</w:t>
      </w:r>
      <w:r>
        <w:t xml:space="preserve"> </w:t>
      </w:r>
      <w:r>
        <w:t xml:space="preserve">??</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102</w:t>
        </w:r>
      </w:hyperlink>
      <w:r>
        <w:rPr>
          <w:vertAlign w:val="superscript"/>
        </w:rPr>
        <w:t xml:space="preserve">,</w:t>
      </w:r>
      <w:hyperlink w:anchor="ref-gusenbauer2020">
        <w:r>
          <w:rPr>
            <w:rStyle w:val="Hyperlink"/>
            <w:vertAlign w:val="superscript"/>
          </w:rPr>
          <w:t xml:space="preserve">103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59">
        <w:r>
          <w:rPr>
            <w:rStyle w:val="Hyperlink"/>
          </w:rPr>
          <w:t xml:space="preserve">https://github.com/ropensci/medrxivr</w:t>
        </w:r>
      </w:hyperlink>
      <w:r>
        <w:t xml:space="preserve"> </w:t>
      </w:r>
      <w:r>
        <w:t xml:space="preserve">and</w:t>
      </w:r>
      <w:r>
        <w:t xml:space="preserve"> </w:t>
      </w:r>
      <w:hyperlink r:id="rId60">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104</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1"/>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2"/>
    <w:bookmarkStart w:id="67" w:name="development"/>
    <w:p>
      <w:pPr>
        <w:pStyle w:val="Heading2"/>
      </w:pPr>
      <w:r>
        <w:t xml:space="preserve">Development</w:t>
      </w:r>
    </w:p>
    <w:bookmarkStart w:id="63"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105</w:t>
        </w:r>
      </w:hyperlink>
      <w:r>
        <w:t xml:space="preserve"> </w:t>
      </w:r>
      <w:r>
        <w:t xml:space="preserve">influenced both by the functionality required to perform systematic searches as part of the review in Chapter</w:t>
      </w:r>
      <w:r>
        <w:t xml:space="preserve"> </w:t>
      </w:r>
      <w:r>
        <w:t xml:space="preserve">??</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3"/>
    <w:bookmarkStart w:id="64"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106</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107</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108</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64"/>
    <w:bookmarkStart w:id="65"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109</w:t>
        </w:r>
      </w:hyperlink>
      <w:r>
        <w:rPr>
          <w:vertAlign w:val="superscript"/>
        </w:rPr>
        <w:t xml:space="preserve">,</w:t>
      </w:r>
      <w:hyperlink w:anchor="ref-laprie1992">
        <w:r>
          <w:rPr>
            <w:rStyle w:val="Hyperlink"/>
            <w:vertAlign w:val="superscript"/>
          </w:rPr>
          <w:t xml:space="preserve">110</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110</w:t>
        </w:r>
      </w:hyperlink>
    </w:p>
    <w:p>
      <w:pPr>
        <w:pStyle w:val="BodyText"/>
      </w:pPr>
      <w:r>
        <w:t xml:space="preserve"> </w:t>
      </w:r>
    </w:p>
    <w:bookmarkEnd w:id="65"/>
    <w:bookmarkStart w:id="66"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111</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66"/>
    <w:bookmarkEnd w:id="67"/>
    <w:bookmarkStart w:id="75"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68"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68"/>
    <w:bookmarkStart w:id="70"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112</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69"/>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0"/>
    <w:bookmarkStart w:id="71"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1"/>
    <w:bookmarkStart w:id="72"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113</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114</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2"/>
    <w:bookmarkStart w:id="73"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2.3.1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3"/>
    <w:bookmarkStart w:id="74"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74"/>
    <w:bookmarkEnd w:id="75"/>
    <w:bookmarkStart w:id="80" w:name="discussion"/>
    <w:p>
      <w:pPr>
        <w:pStyle w:val="Heading2"/>
      </w:pPr>
      <w:r>
        <w:t xml:space="preserve">Discussion</w:t>
      </w:r>
    </w:p>
    <w:bookmarkStart w:id="76"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5900 times), and several use cases have been reported. It has been used to investigate the role of preprints in the response to the 2019 coronavirus outbreak,</w:t>
      </w:r>
      <w:hyperlink w:anchor="ref-kodvanj2020">
        <w:r>
          <w:rPr>
            <w:rStyle w:val="Hyperlink"/>
            <w:vertAlign w:val="superscript"/>
          </w:rPr>
          <w:t xml:space="preserve">115</w:t>
        </w:r>
      </w:hyperlink>
      <w:r>
        <w:t xml:space="preserve"> </w:t>
      </w:r>
      <w:r>
        <w:t xml:space="preserve">perform searches of preprints as part of a systematic review,</w:t>
      </w:r>
      <w:hyperlink w:anchor="ref-noone2020">
        <w:r>
          <w:rPr>
            <w:rStyle w:val="Hyperlink"/>
            <w:vertAlign w:val="superscript"/>
          </w:rPr>
          <w:t xml:space="preserve">116</w:t>
        </w:r>
      </w:hyperlink>
      <w:r>
        <w:rPr>
          <w:vertAlign w:val="superscript"/>
        </w:rPr>
        <w:t xml:space="preserve">,</w:t>
      </w:r>
      <w:hyperlink w:anchor="ref-grassly2020">
        <w:r>
          <w:rPr>
            <w:rStyle w:val="Hyperlink"/>
            <w:vertAlign w:val="superscript"/>
          </w:rPr>
          <w:t xml:space="preserve">117</w:t>
        </w:r>
      </w:hyperlink>
      <w:r>
        <w:t xml:space="preserve"> </w:t>
      </w:r>
      <w:r>
        <w:t xml:space="preserve">and examine how data-sharing behaviour is affected by journal policies (see</w:t>
      </w:r>
      <w:r>
        <w:t xml:space="preserve"> </w:t>
      </w:r>
      <w:r>
        <w:t xml:space="preserve">1.8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118</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119</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76"/>
    <w:bookmarkStart w:id="77" w:name="use-cases"/>
    <w:p>
      <w:pPr>
        <w:pStyle w:val="Heading3"/>
      </w:pPr>
      <w:r>
        <w:t xml:space="preserve">Use cases</w:t>
      </w:r>
    </w:p>
    <w:p>
      <w:pPr>
        <w:pStyle w:val="FirstParagraph"/>
      </w:pPr>
      <w:r>
        <w:t xml:space="preserve">In addition to being used to search systematically search health-related preprint servers, as illustrated in the systematic review presented in Chapter</w:t>
      </w:r>
      <w:r>
        <w:t xml:space="preserve"> </w:t>
      </w:r>
      <w:r>
        <w:t xml:space="preserve">??</w:t>
      </w:r>
      <w:r>
        <w:t xml:space="preserve">,</w:t>
      </w:r>
      <w:r>
        <w:t xml:space="preserve"> </w:t>
      </w:r>
      <w:r>
        <w:rPr>
          <w:rStyle w:val="VerbatimChar"/>
        </w:rPr>
        <w:t xml:space="preserve">medrxivr</w:t>
      </w:r>
      <w:r>
        <w:t xml:space="preserve"> </w:t>
      </w:r>
      <w:r>
        <w:t xml:space="preserve">has other uses.</w:t>
      </w:r>
    </w:p>
    <w:p>
      <w:pPr>
        <w:pStyle w:val="BodyText"/>
      </w:pPr>
      <w:r>
        <w:t xml:space="preserve">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 By comparing the preprinted and published versions of the data availability statement, I could examine the same manuscript (same content, authors and funders) under two different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11.4</w:t>
      </w:r>
      <w:r>
        <w:t xml:space="preserve">.</w:t>
      </w:r>
    </w:p>
    <w:p>
      <w:pPr>
        <w:pStyle w:val="BodyText"/>
      </w:pPr>
      <w:r>
        <w:t xml:space="preserve">Secondly, using</w:t>
      </w:r>
      <w:r>
        <w:t xml:space="preserve"> </w:t>
      </w:r>
      <w:r>
        <w:rPr>
          <w:rStyle w:val="VerbatimChar"/>
        </w:rPr>
        <w:t xml:space="preserve">medrxivr</w:t>
      </w:r>
      <w:r>
        <w:t xml:space="preserve">, 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120</w:t>
        </w:r>
      </w:hyperlink>
      <w:r>
        <w:t xml:space="preserve"> </w:t>
      </w:r>
      <w:r>
        <w:t xml:space="preserve">indicating that a non-insignificant number of preprints are never formally published but remain accessible as preprints.</w:t>
      </w:r>
    </w:p>
    <w:p>
      <w:pPr>
        <w:pStyle w:val="BodyText"/>
      </w:pPr>
      <w:r>
        <w:t xml:space="preserve">In short, these use cases illustrate that easy access to medRxiv/bioRxiv metadata has applications beyond systematic searching of preprints by enabling meta-research/methodological analyses.</w:t>
      </w:r>
    </w:p>
    <w:bookmarkEnd w:id="77"/>
    <w:bookmarkStart w:id="78"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121</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122</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76</w:t>
        </w:r>
      </w:hyperlink>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78"/>
    <w:bookmarkStart w:id="79"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123</w:t>
        </w:r>
      </w:hyperlink>
    </w:p>
    <w:bookmarkEnd w:id="79"/>
    <w:bookmarkEnd w:id="80"/>
    <w:bookmarkStart w:id="81"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1"/>
    <w:bookmarkStart w:id="82" w:name="references-1"/>
    <w:p>
      <w:pPr>
        <w:pStyle w:val="Heading2"/>
      </w:pPr>
      <w:r>
        <w:t xml:space="preserve">References</w:t>
      </w:r>
    </w:p>
    <w:bookmarkEnd w:id="82"/>
    <w:bookmarkEnd w:id="83"/>
    <w:bookmarkStart w:id="161" w:name="sys-rev-methods-heading"/>
    <w:p>
      <w:pPr>
        <w:pStyle w:val="Heading1"/>
      </w:pPr>
      <w:r>
        <w:t xml:space="preserve">Systematic review of all available evidence on the association between blood lipids and dementia outcomes</w:t>
      </w:r>
    </w:p>
    <w:p>
      <w:pPr>
        <w:pStyle w:val="FirstParagraph"/>
      </w:pPr>
    </w:p>
    <w:bookmarkStart w:id="84" w:name="lay-summary-2"/>
    <w:p>
      <w:pPr>
        <w:pStyle w:val="Heading2"/>
      </w:pPr>
      <w:r>
        <w:t xml:space="preserve">Lay summary</w:t>
      </w:r>
    </w:p>
    <w:p>
      <w:pPr>
        <w:pStyle w:val="FirstParagraph"/>
      </w:pPr>
      <w:r>
        <w:t xml:space="preserve">Systematic reviews are a type of research study that aim to collect and combine all existing evidence to provide the best possible answer to an important research question. Well-performed reviews involve multiple steps including: searching of existing studies; assessment of the studies against predefined inclusion criteria; collection of data from each study; and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such as statins, and dementia outcomes.</w:t>
      </w:r>
    </w:p>
    <w:p>
      <w:pPr>
        <w:pStyle w:val="BodyText"/>
      </w:pPr>
      <w:r>
        <w:t xml:space="preserve">My review included 81 primary studies that contained information on this relationship. I found that statins appear to reduce the risk of Alzheimer’s disease, but had no effect of vascular dementia. Lipid levels were not associated with any outcome. The methods used in some of the primary studies meant that I was less confident in the accuracy of their results.</w:t>
      </w:r>
    </w:p>
    <w:p>
      <w:pPr>
        <w:pStyle w:val="BodyText"/>
      </w:pPr>
      <w:r>
        <w:t xml:space="preserve">The added value of including preprinted study reports, made possible using the tool described in the previous chapter, along with the use of the results of this review in subsequent chapters, is discussed.</w:t>
      </w:r>
    </w:p>
    <w:p>
      <w:pPr>
        <w:pStyle w:val="BodyText"/>
      </w:pPr>
      <w:r>
        <w:t xml:space="preserve"> </w:t>
      </w:r>
    </w:p>
    <w:bookmarkEnd w:id="84"/>
    <w:bookmarkStart w:id="85"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w:t>
      </w:r>
    </w:p>
    <w:p>
      <w:pPr>
        <w:pStyle w:val="BodyText"/>
      </w:pPr>
      <w:r>
        <w:t xml:space="preserve">This analysis sought to address two specific aims. Firstly, as discussed in the Introduction to this thesis (Section</w:t>
      </w:r>
      <w:r>
        <w:t xml:space="preserve"> </w:t>
      </w:r>
      <w:r>
        <w:t xml:space="preserve">1.5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describing prospective analyses, regardless of study design.</w:t>
      </w:r>
    </w:p>
    <w:p>
      <w:pPr>
        <w:pStyle w:val="BodyText"/>
      </w:pPr>
      <w:r>
        <w:t xml:space="preserve">Secondly, I explicitly sought to include health-related preprint servers as a potential evidence source in this review, as they are infrequently considered by evidence synthesists but report relevant unpublished analyses. As a sensitivity analysis to this review presented in this chapter, I sought to quantify the additional evidential value of including preprints, making use of the preprint search tool presented in Chapter</w:t>
      </w:r>
      <w:r>
        <w:t xml:space="preserve"> </w:t>
      </w:r>
      <w:r>
        <w:t xml:space="preserve">2</w:t>
      </w:r>
      <w:r>
        <w:t xml:space="preserve">.</w:t>
      </w:r>
    </w:p>
    <w:p>
      <w:pPr>
        <w:pStyle w:val="BodyText"/>
      </w:pPr>
      <w:r>
        <w:t xml:space="preserve">The results of this review are used to guide the primary analysis presented in Chapter</w:t>
      </w:r>
      <w:r>
        <w:t xml:space="preserve"> </w:t>
      </w:r>
      <w:r>
        <w:t xml:space="preserve">5</w:t>
      </w:r>
      <w:r>
        <w:t xml:space="preserve"> </w:t>
      </w:r>
      <w:r>
        <w:t xml:space="preserve">and</w:t>
      </w:r>
      <w:r>
        <w:t xml:space="preserve"> </w:t>
      </w:r>
      <w:r>
        <w:t xml:space="preserve">6</w:t>
      </w:r>
      <w:r>
        <w:t xml:space="preserve">, in addition to forming a key evidence source used in the triangulation exercise presented in Chapter</w:t>
      </w:r>
      <w:r>
        <w:t xml:space="preserve"> </w:t>
      </w:r>
      <w:r>
        <w:t xml:space="preserve">7</w:t>
      </w:r>
      <w:r>
        <w:t xml:space="preserve">.</w:t>
      </w:r>
    </w:p>
    <w:p>
      <w:pPr>
        <w:pStyle w:val="BodyText"/>
      </w:pPr>
      <w:r>
        <w:t xml:space="preserve"> </w:t>
      </w:r>
      <w:r>
        <w:t xml:space="preserve"> </w:t>
      </w:r>
    </w:p>
    <w:bookmarkEnd w:id="85"/>
    <w:bookmarkStart w:id="110" w:name="methods"/>
    <w:p>
      <w:pPr>
        <w:pStyle w:val="Heading2"/>
      </w:pPr>
      <w:r>
        <w:t xml:space="preserve">Methods</w:t>
      </w:r>
    </w:p>
    <w:bookmarkStart w:id="86" w:name="protocol"/>
    <w:p>
      <w:pPr>
        <w:pStyle w:val="Heading3"/>
      </w:pPr>
      <w:r>
        <w:t xml:space="preserve">Protocol</w:t>
      </w:r>
    </w:p>
    <w:p>
      <w:pPr>
        <w:pStyle w:val="FirstParagraph"/>
      </w:pPr>
      <w:r>
        <w:t xml:space="preserve">A pre-specified protocol for this analysis was registered on the Open Science Framework platform and is available for inspection.</w:t>
      </w:r>
      <w:hyperlink w:anchor="ref-mcguinnessluke2020">
        <w:r>
          <w:rPr>
            <w:rStyle w:val="Hyperlink"/>
            <w:vertAlign w:val="superscript"/>
          </w:rPr>
          <w:t xml:space="preserve">124</w:t>
        </w:r>
      </w:hyperlink>
      <w:r>
        <w:t xml:space="preserve"> </w:t>
      </w:r>
      <w:r>
        <w:t xml:space="preserve">Deviations from this protocol are detailed in the relevant sections.</w:t>
      </w:r>
    </w:p>
    <w:p>
      <w:pPr>
        <w:pStyle w:val="BodyText"/>
      </w:pPr>
      <w:r>
        <w:t xml:space="preserve"> </w:t>
      </w:r>
    </w:p>
    <w:bookmarkEnd w:id="86"/>
    <w:bookmarkStart w:id="87"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review was performed in conjunction with a team of secondary reviewers (see Acknowledgements and Author Declaration in the front matter).</w:t>
      </w:r>
      <w:r>
        <w:t xml:space="preserve"> </w:t>
      </w:r>
    </w:p>
    <w:p>
      <w:pPr>
        <w:pStyle w:val="BodyText"/>
      </w:pPr>
      <w:r>
        <w:t xml:space="preserve"> </w:t>
      </w:r>
    </w:p>
    <w:bookmarkEnd w:id="87"/>
    <w:bookmarkStart w:id="88"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125</w:t>
        </w:r>
      </w:hyperlink>
      <w:r>
        <w:t xml:space="preserve"> </w:t>
      </w:r>
      <w:r>
        <w:t xml:space="preserve">the specific databases and date ranges for each database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 high-level outline of the strategy is presented in the Table</w:t>
      </w:r>
      <w:r>
        <w:t xml:space="preserve"> </w:t>
      </w:r>
      <w:r>
        <w:t xml:space="preserve">5</w:t>
      </w:r>
      <w:r>
        <w:t xml:space="preserve"> </w:t>
      </w:r>
      <w:r>
        <w:t xml:space="preserve">below and the full search strategies for each database are presented in Appendix</w:t>
      </w:r>
      <w:r>
        <w:t xml:space="preserve"> </w:t>
      </w:r>
      <w:r>
        <w:t xml:space="preserve">10.3.1</w:t>
      </w:r>
      <w:r>
        <w:t xml:space="preserve">.</w:t>
      </w:r>
      <w:r>
        <w:t xml:space="preserve"> </w:t>
      </w:r>
    </w:p>
    <w:p>
      <w:pPr>
        <w:pStyle w:val="BodyText"/>
      </w:pPr>
      <w:r>
        <w:t xml:space="preserve"> </w:t>
      </w:r>
    </w:p>
    <w:p>
      <w:pPr>
        <w:pStyle w:val="BodyText"/>
      </w:pPr>
      <w:r>
        <w:t xml:space="preserve">Table 5: Summary of systematic search by topic. The full search strategy including all terms and the number of hits per term is included in Appendix</w:t>
      </w:r>
      <w:r>
        <w:t xml:space="preserve"> </w:t>
      </w:r>
      <w:r>
        <w:t xml:space="preserve">10.3.1</w:t>
      </w:r>
      <w:r>
        <w:t xml:space="preserve">.</w:t>
      </w:r>
    </w:p>
    <w:p>
      <w:pPr>
        <w:pStyle w:val="BodyText"/>
      </w:pPr>
      <w:r>
        <w:t xml:space="preserve">No. </w:t>
      </w:r>
    </w:p>
    <w:p>
      <w:pPr>
        <w:pStyle w:val="BodyText"/>
      </w:pPr>
      <w:r>
        <w:t xml:space="preserve">Concept</w:t>
      </w:r>
    </w:p>
    <w:p>
      <w:pPr>
        <w:pStyle w:val="BodyText"/>
      </w:pPr>
      <w:r>
        <w:t xml:space="preserve">1</w:t>
      </w:r>
    </w:p>
    <w:p>
      <w:pPr>
        <w:pStyle w:val="BodyText"/>
      </w:pPr>
      <w:r>
        <w:t xml:space="preserve">Dementia</w:t>
      </w:r>
    </w:p>
    <w:p>
      <w:pPr>
        <w:pStyle w:val="BodyText"/>
      </w:pPr>
      <w:r>
        <w:t xml:space="preserve">2</w:t>
      </w:r>
    </w:p>
    <w:p>
      <w:pPr>
        <w:pStyle w:val="BodyText"/>
      </w:pPr>
      <w:r>
        <w:t xml:space="preserve">Lipids</w:t>
      </w:r>
    </w:p>
    <w:p>
      <w:pPr>
        <w:pStyle w:val="BodyText"/>
      </w:pPr>
      <w:r>
        <w:t xml:space="preserve">3</w:t>
      </w:r>
    </w:p>
    <w:p>
      <w:pPr>
        <w:pStyle w:val="BodyText"/>
      </w:pPr>
      <w:r>
        <w:t xml:space="preserve">Lipid-modifying treatments</w:t>
      </w:r>
    </w:p>
    <w:p>
      <w:pPr>
        <w:pStyle w:val="BodyText"/>
      </w:pPr>
      <w:r>
        <w:t xml:space="preserve">4</w:t>
      </w:r>
    </w:p>
    <w:p>
      <w:pPr>
        <w:pStyle w:val="BodyText"/>
      </w:pPr>
      <w:r>
        <w:t xml:space="preserve">1 AND 2</w:t>
      </w:r>
    </w:p>
    <w:p>
      <w:pPr>
        <w:pStyle w:val="BodyText"/>
      </w:pPr>
      <w:r>
        <w:t xml:space="preserve">5</w:t>
      </w:r>
    </w:p>
    <w:p>
      <w:pPr>
        <w:pStyle w:val="BodyText"/>
      </w:pPr>
      <w:r>
        <w:t xml:space="preserve">1 AND 3</w:t>
      </w:r>
    </w:p>
    <w:p>
      <w:pPr>
        <w:pStyle w:val="BodyText"/>
      </w:pPr>
      <w:r>
        <w:t xml:space="preserve">6</w:t>
      </w:r>
    </w:p>
    <w:p>
      <w:pPr>
        <w:pStyle w:val="BodyText"/>
      </w:pPr>
      <w:r>
        <w:t xml:space="preserve">4 OR 5</w:t>
      </w:r>
    </w:p>
    <w:p>
      <w:pPr>
        <w:pStyle w:val="BodyText"/>
      </w:pPr>
      <w:r>
        <w:t xml:space="preserve">7</w:t>
      </w:r>
    </w:p>
    <w:p>
      <w:pPr>
        <w:pStyle w:val="BodyText"/>
      </w:pPr>
      <w:r>
        <w:t xml:space="preserve">Animals NOT (Animals AND Humans)</w:t>
      </w:r>
    </w:p>
    <w:p>
      <w:pPr>
        <w:pStyle w:val="BodyText"/>
      </w:pPr>
      <w:r>
        <w:t xml:space="preserve">8</w:t>
      </w:r>
    </w:p>
    <w:p>
      <w:pPr>
        <w:pStyle w:val="BodyText"/>
      </w:pPr>
      <w:r>
        <w:t xml:space="preserve">6 NOT 7</w:t>
      </w:r>
    </w:p>
    <w:p>
      <w:pPr>
        <w:pStyle w:val="BodyText"/>
      </w:pPr>
      <w:r>
        <w:t xml:space="preserve">9</w:t>
      </w:r>
    </w:p>
    <w:p>
      <w:pPr>
        <w:pStyle w:val="BodyText"/>
      </w:pPr>
      <w:r>
        <w:t xml:space="preserve">Observational filter</w:t>
      </w:r>
    </w:p>
    <w:p>
      <w:pPr>
        <w:pStyle w:val="BodyText"/>
      </w:pPr>
      <w:r>
        <w:t xml:space="preserve">10</w:t>
      </w:r>
    </w:p>
    <w:p>
      <w:pPr>
        <w:pStyle w:val="BodyText"/>
      </w:pPr>
      <w:r>
        <w:t xml:space="preserve">Randomised controlled trial (RCT) filter</w:t>
      </w:r>
    </w:p>
    <w:p>
      <w:pPr>
        <w:pStyle w:val="BodyText"/>
      </w:pPr>
      <w:r>
        <w:t xml:space="preserve">11</w:t>
      </w:r>
    </w:p>
    <w:p>
      <w:pPr>
        <w:pStyle w:val="BodyText"/>
      </w:pPr>
      <w:r>
        <w:t xml:space="preserve">Mendelian randomisation/Instrumental variable filter</w:t>
      </w:r>
    </w:p>
    <w:p>
      <w:pPr>
        <w:pStyle w:val="BodyText"/>
      </w:pPr>
      <w:r>
        <w:t xml:space="preserve">12</w:t>
      </w:r>
    </w:p>
    <w:p>
      <w:pPr>
        <w:pStyle w:val="BodyText"/>
      </w:pPr>
      <w:r>
        <w:t xml:space="preserve">OR/ 9-11</w:t>
      </w:r>
    </w:p>
    <w:p>
      <w:pPr>
        <w:pStyle w:val="BodyText"/>
      </w:pPr>
      <w:r>
        <w:t xml:space="preserve">13</w:t>
      </w:r>
    </w:p>
    <w:p>
      <w:pPr>
        <w:pStyle w:val="BodyText"/>
      </w:pPr>
      <w:r>
        <w:t xml:space="preserve">8 AND 12</w:t>
      </w:r>
    </w:p>
    <w:p>
      <w:pPr>
        <w:pStyle w:val="BodyText"/>
      </w:pPr>
      <w:r>
        <w:t xml:space="preserve"> </w:t>
      </w:r>
    </w:p>
    <w:p>
      <w:pPr>
        <w:pStyle w:val="BodyText"/>
      </w:pPr>
      <w:r>
        <w:t xml:space="preserve">When searching the bibliographic databases, study design filters were employed to try and reduce the screening load. To ensure that the study design filters were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5</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2</w:t>
      </w:r>
      <w:r>
        <w:t xml:space="preserve"> </w:t>
      </w:r>
      <w:r>
        <w:t xml:space="preserve">to identify potentially relevant preprinted studies (see Appendix</w:t>
      </w:r>
      <w:r>
        <w:t xml:space="preserve"> </w:t>
      </w:r>
      <w:r>
        <w:t xml:space="preserve">10.3.3</w:t>
      </w:r>
      <w:r>
        <w:t xml:space="preserve"> </w:t>
      </w:r>
      <w:r>
        <w:t xml:space="preserve">for the code used to search these preprint repositories).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88"/>
    <w:bookmarkStart w:id="91"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126</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identified as duplicates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127</w:t>
        </w:r>
      </w:hyperlink>
      <w:r>
        <w:t xml:space="preserve"> </w:t>
      </w:r>
      <w:r>
        <w:t xml:space="preserve">and Rayyan, a web-based screening application.</w:t>
      </w:r>
      <w:hyperlink w:anchor="ref-ouzzani2016">
        <w:r>
          <w:rPr>
            <w:rStyle w:val="Hyperlink"/>
            <w:vertAlign w:val="superscript"/>
          </w:rPr>
          <w:t xml:space="preserve">128</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I re-screened the same ~10% sample with 3 month lag to assess intra-rater consistency.</w:t>
      </w:r>
    </w:p>
    <w:p>
      <w:pPr>
        <w:pStyle w:val="BodyText"/>
      </w:pPr>
      <w:r>
        <w:t xml:space="preserve">Similarly, I completed all full-text screening, with a random ~20% being screened in duplicate by a second reviewer, in addition to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83</w:t>
        </w:r>
      </w:hyperlink>
    </w:p>
    <w:p>
      <w:pPr>
        <w:pStyle w:val="BodyText"/>
      </w:pPr>
      <w:r>
        <w:t xml:space="preserve">The criteria against which records were assessed for eligibility are presented in the subsequent sections.</w:t>
      </w:r>
    </w:p>
    <w:p>
      <w:pPr>
        <w:pStyle w:val="BodyText"/>
      </w:pPr>
      <w:r>
        <w:t xml:space="preserve"> </w:t>
      </w:r>
    </w:p>
    <w:bookmarkStart w:id="89" w:name="inclusion-criteria"/>
    <w:p>
      <w:pPr>
        <w:pStyle w:val="Heading4"/>
      </w:pPr>
      <w:r>
        <w:t xml:space="preserve">Inclusion criteria</w:t>
      </w:r>
    </w:p>
    <w:p>
      <w:pPr>
        <w:pStyle w:val="FirstParagraph"/>
      </w:pPr>
      <w:r>
        <w:t xml:space="preserve">I sought to include studies that examined blood lipid levels as a risk factor for demenita outcomes, defined either as binary hypercholesterolemia variable or by category/1-standard-deviation increase of a specific lipid fraction (total cholesterol, high- and low-density lipoprotein cholesterol and triglycerides). I also aimed to include studies examining the effect of treatments that modify lipids levels as a source of indirect evidence.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Eligible studies screened participants for dementia at baseline and excluded any prevalent cases. Alternatively, where no baseline screening was employed, participants were assumed to be dementia free if less than 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outcomes according to recognised criteria, for example the International Classification of Diseases (ICD),</w:t>
      </w:r>
      <w:hyperlink w:anchor="ref-organizationwho1993">
        <w:r>
          <w:rPr>
            <w:rStyle w:val="Hyperlink"/>
            <w:vertAlign w:val="superscript"/>
          </w:rPr>
          <w:t xml:space="preserve">129</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130</w:t>
        </w:r>
      </w:hyperlink>
      <w:r>
        <w:t xml:space="preserve"> </w:t>
      </w:r>
      <w:r>
        <w:t xml:space="preserve">or Diagnostic and Statistical Manual of Mental Disorders (DSM) criteria.</w:t>
      </w:r>
      <w:hyperlink w:anchor="ref-edition2013">
        <w:r>
          <w:rPr>
            <w:rStyle w:val="Hyperlink"/>
            <w:vertAlign w:val="superscript"/>
          </w:rPr>
          <w:t xml:space="preserve">131</w:t>
        </w:r>
      </w:hyperlink>
      <w:r>
        <w:t xml:space="preserve"> </w:t>
      </w:r>
      <w:r>
        <w:t xml:space="preserve">Studies utilising electronic health records were the exception to this, as it was assumed that a valid criteria was employed when entering used when entering the outcome into the EHR.</w:t>
      </w:r>
    </w:p>
    <w:p>
      <w:pPr>
        <w:pStyle w:val="BodyText"/>
      </w:pPr>
      <w:r>
        <w:t xml:space="preserve">Conference abstracts with no corresponding full-text publication were eligible, and where required, I contacted authors to obtain information on the study’s status. No limitations were imposed on publication status, date, venue or language.</w:t>
      </w:r>
    </w:p>
    <w:p>
      <w:pPr>
        <w:pStyle w:val="BodyText"/>
      </w:pPr>
      <w:r>
        <w:t xml:space="preserve"> </w:t>
      </w:r>
    </w:p>
    <w:bookmarkEnd w:id="89"/>
    <w:bookmarkStart w:id="90"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as were studies that measure change in continuous cognitive measures (e.g. MoCA score) without attempt to map these scores to ordinal groups (e.g. no dementia/dementia).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0"/>
    <w:bookmarkEnd w:id="91"/>
    <w:bookmarkStart w:id="92"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consistency),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132</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132</w:t>
        </w:r>
      </w:hyperlink>
      <w:r>
        <w:t xml:space="preserve"> </w:t>
      </w:r>
      <w:r>
        <w:t xml:space="preserve">Given the small number of included studies in this review as a proportion of the total number screened, this is a useful characteristic.</w:t>
      </w:r>
    </w:p>
    <w:p>
      <w:pPr>
        <w:pStyle w:val="BodyText"/>
      </w:pPr>
      <w:r>
        <w:t xml:space="preserve">How to interpret agreement co-efficients is widely debated, and while arbitary cut-off values may mislead readers,</w:t>
      </w:r>
      <w:hyperlink w:anchor="ref-brennan1992">
        <w:r>
          <w:rPr>
            <w:rStyle w:val="Hyperlink"/>
            <w:vertAlign w:val="superscript"/>
          </w:rPr>
          <w:t xml:space="preserve">135</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136</w:t>
        </w:r>
      </w:hyperlink>
      <w:r>
        <w:t xml:space="preserve"> </w:t>
      </w:r>
      <w:r>
        <w:t xml:space="preserve">presented in Table</w:t>
      </w:r>
      <w:r>
        <w:t xml:space="preserve"> </w:t>
      </w:r>
      <w:r>
        <w:t xml:space="preserve">6</w:t>
      </w:r>
      <w:r>
        <w:t xml:space="preserve">.</w:t>
      </w:r>
    </w:p>
    <w:p>
      <w:pPr>
        <w:pStyle w:val="BodyText"/>
      </w:pPr>
      <w:r>
        <w:t xml:space="preserve"> </w:t>
      </w:r>
    </w:p>
    <w:p>
      <w:pPr>
        <w:pStyle w:val="BodyText"/>
      </w:pPr>
      <w:r>
        <w:t xml:space="preserve">Table 6: Suggested ranges to aid in interpretation of Gwet’s AC1 inter-rater reliability metric</w:t>
      </w:r>
    </w:p>
    <w:p>
      <w:pPr>
        <w:pStyle w:val="BodyText"/>
      </w:pPr>
      <w:r>
        <w:t xml:space="preserve">Kappa</w:t>
      </w:r>
    </w:p>
    <w:p>
      <w:pPr>
        <w:pStyle w:val="BodyText"/>
      </w:pPr>
      <w:r>
        <w:t xml:space="preserve">Interpretation</w:t>
      </w:r>
    </w:p>
    <w:p>
      <w:pPr>
        <w:pStyle w:val="BodyText"/>
      </w:pPr>
      <w:r>
        <w:t xml:space="preserve">0 – 0.20</w:t>
      </w:r>
    </w:p>
    <w:p>
      <w:pPr>
        <w:pStyle w:val="BodyText"/>
      </w:pPr>
      <w:r>
        <w:t xml:space="preserve">None</w:t>
      </w:r>
    </w:p>
    <w:p>
      <w:pPr>
        <w:pStyle w:val="BodyText"/>
      </w:pPr>
      <w:r>
        <w:t xml:space="preserve">0.21 – 0.39</w:t>
      </w:r>
    </w:p>
    <w:p>
      <w:pPr>
        <w:pStyle w:val="BodyText"/>
      </w:pPr>
      <w:r>
        <w:t xml:space="preserve">Minimal</w:t>
      </w:r>
    </w:p>
    <w:p>
      <w:pPr>
        <w:pStyle w:val="BodyText"/>
      </w:pPr>
      <w:r>
        <w:t xml:space="preserve">0.40 – 0.59</w:t>
      </w:r>
    </w:p>
    <w:p>
      <w:pPr>
        <w:pStyle w:val="BodyText"/>
      </w:pPr>
      <w:r>
        <w:t xml:space="preserve">Weak</w:t>
      </w:r>
    </w:p>
    <w:p>
      <w:pPr>
        <w:pStyle w:val="BodyText"/>
      </w:pPr>
      <w:r>
        <w:t xml:space="preserve">0.60 – 0.79</w:t>
      </w:r>
    </w:p>
    <w:p>
      <w:pPr>
        <w:pStyle w:val="BodyText"/>
      </w:pPr>
      <w:r>
        <w:t xml:space="preserve">Moderate</w:t>
      </w:r>
    </w:p>
    <w:p>
      <w:pPr>
        <w:pStyle w:val="BodyText"/>
      </w:pPr>
      <w:r>
        <w:t xml:space="preserve">0.80 – 0.90</w:t>
      </w:r>
    </w:p>
    <w:p>
      <w:pPr>
        <w:pStyle w:val="BodyText"/>
      </w:pPr>
      <w:r>
        <w:t xml:space="preserve">Strong</w:t>
      </w:r>
    </w:p>
    <w:p>
      <w:pPr>
        <w:pStyle w:val="BodyText"/>
      </w:pPr>
      <w:r>
        <w:t xml:space="preserve">&gt; 0.90</w:t>
      </w:r>
    </w:p>
    <w:p>
      <w:pPr>
        <w:pStyle w:val="BodyText"/>
      </w:pPr>
      <w:r>
        <w:t xml:space="preserve">Almost perfect</w:t>
      </w:r>
    </w:p>
    <w:p>
      <w:pPr>
        <w:pStyle w:val="BodyText"/>
      </w:pPr>
      <w:r>
        <w:t xml:space="preserve"> </w:t>
      </w:r>
    </w:p>
    <w:p>
      <w:pPr>
        <w:pStyle w:val="BodyText"/>
      </w:pPr>
      <w:r>
        <w:t xml:space="preserve">Intra- and inter-rater reliability was assessed against these cut-offs. If this assessment demonstrated issues with the screening process (defined as an AC1 of less than .9), a larger proportion of records would have been dual-screened.</w:t>
      </w:r>
    </w:p>
    <w:p>
      <w:pPr>
        <w:pStyle w:val="BodyText"/>
      </w:pPr>
      <w:r>
        <w:t xml:space="preserve"> </w:t>
      </w:r>
      <w:r>
        <w:t xml:space="preserve"> </w:t>
      </w:r>
    </w:p>
    <w:bookmarkEnd w:id="92"/>
    <w:bookmarkStart w:id="98"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p>
      <w:pPr>
        <w:pStyle w:val="BodyText"/>
      </w:pPr>
      <w:r>
        <w:t xml:space="preserve"> </w:t>
      </w:r>
    </w:p>
    <w:bookmarkStart w:id="93" w:name="grouping-multiple-reports-into-studies"/>
    <w:p>
      <w:pPr>
        <w:pStyle w:val="Heading4"/>
      </w:pPr>
      <w:r>
        <w:t xml:space="preserve">Grouping multiple reports into studies</w:t>
      </w:r>
    </w:p>
    <w:p>
      <w:pPr>
        <w:pStyle w:val="FirstParagraph"/>
      </w:pPr>
      <w:r>
        <w:t xml:space="preserve">As part of the data extraction process, multiple records resulting from the analysis of the same data were included and grouped into single units, hereafter called studies. This was common in cases where multiple papers report results on the same cohort but at different time points. This process builds out the most comprehensive account of a given studies possible by incorporating information from all available records.</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3"/>
    <w:bookmarkStart w:id="94" w:name="combining-across-groups"/>
    <w:p>
      <w:pPr>
        <w:pStyle w:val="Heading4"/>
      </w:pPr>
      <w:r>
        <w:t xml:space="preserve">Combining across groups</w:t>
      </w:r>
    </w:p>
    <w:p>
      <w:pPr>
        <w:pStyle w:val="FirstParagraph"/>
      </w:pPr>
      <w:r>
        <w:t xml:space="preserve">In line with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137</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2</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3</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4</m:t>
          </m:r>
          <m:r>
            <m:rPr>
              <m:sty m:val="p"/>
            </m:rPr>
            <m:t>)</m:t>
          </m:r>
        </m:oMath>
      </m:oMathPara>
    </w:p>
    <w:p>
      <w:pPr>
        <w:pStyle w:val="FirstParagraph"/>
      </w:pPr>
      <w:r>
        <w:t xml:space="preserve"> </w:t>
      </w:r>
    </w:p>
    <w:p>
      <w:pPr>
        <w:pStyle w:val="BodyText"/>
      </w:pPr>
      <w:r>
        <w:t xml:space="preserve">This was implemented in a systematic manner, with the raw group data being extracted and a cleaning script employed to combine the groups for analysis.</w:t>
      </w:r>
    </w:p>
    <w:p>
      <w:pPr>
        <w:pStyle w:val="BodyText"/>
      </w:pPr>
      <w:r>
        <w:t xml:space="preserve"> </w:t>
      </w:r>
    </w:p>
    <w:bookmarkEnd w:id="94"/>
    <w:bookmarkStart w:id="95"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1.4.1</w:t>
      </w:r>
      <w:r>
        <w:t xml:space="preserve">.</w:t>
      </w:r>
    </w:p>
    <w:p>
      <w:pPr>
        <w:pStyle w:val="BodyText"/>
      </w:pPr>
      <w:r>
        <w:t xml:space="preserve"> </w:t>
      </w:r>
    </w:p>
    <w:bookmarkEnd w:id="95"/>
    <w:bookmarkStart w:id="96"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138</w:t>
        </w:r>
      </w:hyperlink>
    </w:p>
    <w:p>
      <w:pPr>
        <w:pStyle w:val="BodyText"/>
      </w:pPr>
      <w:r>
        <w:t xml:space="preserve"> </w:t>
      </w:r>
    </w:p>
    <w:bookmarkEnd w:id="96"/>
    <w:bookmarkStart w:id="97"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As such, different effect estimates can be one potential problem that precludes a meta-analysis of all studies.</w:t>
      </w:r>
      <w:hyperlink w:anchor="ref-mckenzie2019">
        <w:r>
          <w:rPr>
            <w:rStyle w:val="Hyperlink"/>
            <w:vertAlign w:val="superscript"/>
          </w:rPr>
          <w:t xml:space="preserve">139</w:t>
        </w:r>
      </w:hyperlink>
      <w:r>
        <w:t xml:space="preserve"> </w:t>
      </w:r>
      <w:r>
        <w:t xml:space="preserve">If the outcome is rare, as is the case for dementia outcomes, the estimated prevalence of odds and risk ratios will approximate each other.</w:t>
      </w:r>
      <w:r>
        <w:t xml:space="preserve"> </w:t>
      </w:r>
      <w:r>
        <w:t xml:space="preserve">However, hazard ratios provide a very different interpretation, taking into account person-time-at-risk in each treatment group.</w:t>
      </w:r>
    </w:p>
    <w:p>
      <w:pPr>
        <w:pStyle w:val="BodyText"/>
      </w:pPr>
      <w:r>
        <w:t xml:space="preserve">Several existing reviews do not distinguish between the types of effect measures and include all existing studies in a single meta-analysis to produce an overall effect estimate. However, in this review, the small subset of studies reporting odds/risk ratios are synthesised separately to those reporting hazard ratios.</w:t>
      </w:r>
    </w:p>
    <w:p>
      <w:pPr>
        <w:pStyle w:val="BodyText"/>
      </w:pPr>
      <w:r>
        <w:t xml:space="preserve"> </w:t>
      </w:r>
    </w:p>
    <w:bookmarkEnd w:id="97"/>
    <w:bookmarkEnd w:id="98"/>
    <w:bookmarkStart w:id="103" w:name="risk-of-bias"/>
    <w:p>
      <w:pPr>
        <w:pStyle w:val="Heading3"/>
      </w:pPr>
      <w:r>
        <w:t xml:space="preserve">Risk-of-bias assessment</w:t>
      </w:r>
    </w:p>
    <w:p>
      <w:pPr>
        <w:pStyle w:val="FirstParagraph"/>
      </w:pPr>
      <w:r>
        <w:t xml:space="preserve">A key aim of the review presented in this chapter is to identify different sources of evidence at risk of a diverse range of biases, and to contrast and compare findings across them (see Section</w:t>
      </w:r>
      <w:r>
        <w:t xml:space="preserve"> </w:t>
      </w:r>
      <w:r>
        <w:t xml:space="preserve">7.2.1</w:t>
      </w:r>
      <w:r>
        <w:t xml:space="preserve"> </w:t>
      </w:r>
      <w:r>
        <w:t xml:space="preserve">for an overview of triangulation and Chapter</w:t>
      </w:r>
      <w:r>
        <w:t xml:space="preserve"> </w:t>
      </w:r>
      <w:r>
        <w:t xml:space="preserve">7</w:t>
      </w:r>
      <w:r>
        <w:t xml:space="preserve"> </w:t>
      </w:r>
      <w:r>
        <w:t xml:space="preserve">for the results of this analysis). To enable this triangulation exercise, a detailed and structured risk-of-bias assessment formed an important part of this review.</w:t>
      </w:r>
    </w:p>
    <w:p>
      <w:pPr>
        <w:pStyle w:val="BodyText"/>
      </w:pPr>
      <w:r>
        <w:t xml:space="preserve">There has been a recent movement within the evidence synthesis community away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84</w:t>
        </w:r>
      </w:hyperlink>
      <w:r>
        <w:rPr>
          <w:vertAlign w:val="superscript"/>
        </w:rPr>
        <w:t xml:space="preserve">,</w:t>
      </w:r>
      <w:hyperlink w:anchor="ref-sterne2016">
        <w:r>
          <w:rPr>
            <w:rStyle w:val="Hyperlink"/>
            <w:vertAlign w:val="superscript"/>
          </w:rPr>
          <w:t xml:space="preserve">140</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141</w:t>
        </w:r>
      </w:hyperlink>
      <w:r>
        <w:rPr>
          <w:vertAlign w:val="superscript"/>
        </w:rPr>
        <w:t xml:space="preserve">,</w:t>
      </w:r>
      <w:hyperlink w:anchor="ref-juni2001">
        <w:r>
          <w:rPr>
            <w:rStyle w:val="Hyperlink"/>
            <w:vertAlign w:val="superscript"/>
          </w:rPr>
          <w:t xml:space="preserve">142</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in addition to challenges in the comparison of results from different tools.</w:t>
      </w:r>
      <w:r>
        <w:t xml:space="preserve"> </w:t>
      </w:r>
      <w:r>
        <w:t xml:space="preserve"> </w:t>
      </w:r>
      <w:r>
        <w:t xml:space="preserve">As part of this shift, the focus shifted from checklist or score based tools towards domain-based methods, in which different potential sources of bias in a study are assessed in order.</w:t>
      </w:r>
      <w:r>
        <w:t xml:space="preserve"> </w:t>
      </w:r>
      <w:r>
        <w:t xml:space="preserve"> </w:t>
      </w:r>
      <w:r>
        <w:t xml:space="preserve">Finally, the new tools tools move from assessing bias at the study level to considering separately each individual numerical result reported. For example, a study may report on the efficacy of an intervention at six months and two years follow-up. In this case, missing outcome data that is not an issue at six months may introduce bias after two years of follow-up, and assigning a single risk-of-bias judgement to the study as a whole masks the different biases applicable to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99" w:name="randomised-controlled-trials-1"/>
    <w:p>
      <w:pPr>
        <w:pStyle w:val="Heading4"/>
      </w:pPr>
      <w:r>
        <w:t xml:space="preserve">Randomised controlled trials</w:t>
      </w:r>
    </w:p>
    <w:p>
      <w:pPr>
        <w:pStyle w:val="FirstParagraph"/>
      </w:pPr>
      <w:r>
        <w:t xml:space="preserve">Randomized controlled trials were assessed using the RoB 2 tool.</w:t>
      </w:r>
      <w:hyperlink w:anchor="ref-sterne2019">
        <w:r>
          <w:rPr>
            <w:rStyle w:val="Hyperlink"/>
            <w:vertAlign w:val="superscript"/>
          </w:rPr>
          <w:t xml:space="preserve">143</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for each domain include:</w:t>
      </w:r>
      <w:r>
        <w:t xml:space="preserve"> </w:t>
      </w:r>
      <w:r>
        <w:t xml:space="preserve">“</w:t>
      </w:r>
      <w:r>
        <w:t xml:space="preserve">low risk</w:t>
      </w:r>
      <w:r>
        <w:t xml:space="preserve">”</w:t>
      </w:r>
      <w:r>
        <w:t xml:space="preserve">,</w:t>
      </w:r>
      <w:r>
        <w:t xml:space="preserve"> </w:t>
      </w:r>
      <w:r>
        <w:t xml:space="preserve">“</w:t>
      </w:r>
      <w:r>
        <w:t xml:space="preserve">some concerns</w:t>
      </w:r>
      <w:r>
        <w:t xml:space="preserve">”</w:t>
      </w:r>
      <w:r>
        <w:t xml:space="preserve">,</w:t>
      </w:r>
      <w:r>
        <w:t xml:space="preserve"> </w:t>
      </w:r>
      <w:r>
        <w:t xml:space="preserve">“</w:t>
      </w:r>
      <w:r>
        <w:t xml:space="preserve">high risk</w:t>
      </w:r>
      <w:r>
        <w:t xml:space="preserve">”</w:t>
      </w:r>
      <w:r>
        <w:t xml:space="preserve">. Each of the five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99"/>
    <w:bookmarkStart w:id="100" w:name="rob-tools-nrse"/>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140</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In the context of the tool, observational studies are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144</w:t>
        </w:r>
      </w:hyperlink>
      <w:r>
        <w:t xml:space="preserve"> </w:t>
      </w:r>
      <w:r>
        <w:t xml:space="preserve">but was insufficiently developed at the time the risk-of-bias assessments for this review were performed. Instead, I used a version of the ROBINS-I tool informed by the preliminary ROBINS-E tool (Risk of Bias In Non-randomised Studies – of Exposure), which I had previously applied in a published review.</w:t>
      </w:r>
      <w:hyperlink w:anchor="ref-french2019">
        <w:r>
          <w:rPr>
            <w:rStyle w:val="Hyperlink"/>
            <w:vertAlign w:val="superscript"/>
          </w:rPr>
          <w:t xml:space="preserve">145</w:t>
        </w:r>
      </w:hyperlink>
      <w:r>
        <w:t xml:space="preserve"> </w:t>
      </w:r>
      <w:r>
        <w:t xml:space="preserve">The version had no signalling questions and so judgements, using the same four levels of bias as ROBINS-I, were made at the domain level. The motivation using this tool above other established tools such as the Newcastle-Ottowa scale (NOS)</w:t>
      </w:r>
      <w:hyperlink w:anchor="ref-wells2000">
        <w:r>
          <w:rPr>
            <w:rStyle w:val="Hyperlink"/>
            <w:vertAlign w:val="superscript"/>
          </w:rPr>
          <w:t xml:space="preserve">146</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 as part of this review.</w:t>
      </w:r>
    </w:p>
    <w:p>
      <w:pPr>
        <w:pStyle w:val="BodyText"/>
      </w:pPr>
      <w:r>
        <w:t xml:space="preserve"> </w:t>
      </w:r>
    </w:p>
    <w:bookmarkEnd w:id="100"/>
    <w:bookmarkStart w:id="101"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147</w:t>
        </w:r>
      </w:hyperlink>
      <w:r>
        <w:t xml:space="preserve"> </w:t>
      </w:r>
      <w:r>
        <w:t xml:space="preserve">as identified by a review of risk-of-bias assessments in systematic reviews of Mendelian randomisation studies (advance results from this review were obtained from contact with the review authors).</w:t>
      </w:r>
      <w:hyperlink w:anchor="ref-spiga2021">
        <w:r>
          <w:rPr>
            <w:rStyle w:val="Hyperlink"/>
            <w:vertAlign w:val="superscript"/>
          </w:rPr>
          <w:t xml:space="preserve">148</w:t>
        </w:r>
      </w:hyperlink>
      <w:r>
        <w:t xml:space="preserve"> </w:t>
      </w:r>
      <w:r>
        <w:t xml:space="preserve">A copy of this tool is available in Appendix</w:t>
      </w:r>
      <w:r>
        <w:t xml:space="preserve"> </w:t>
      </w:r>
      <w:r>
        <w:t xml:space="preserve">10.3.5</w:t>
      </w:r>
      <w:r>
        <w:t xml:space="preserve">, but in summary, results were assessed for bias arising from weak instruments, genetic and other confounding, pleiotropy and population stratification. Acceptable judgements for each fo the 5 domains in the tool included</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 </w:t>
      </w:r>
      <w:r>
        <w:t xml:space="preserve">and</w:t>
      </w:r>
      <w:r>
        <w:t xml:space="preserve"> </w:t>
      </w:r>
      <w:r>
        <w:t xml:space="preserve">“</w:t>
      </w:r>
      <w:r>
        <w:t xml:space="preserve">high</w:t>
      </w:r>
      <w:r>
        <w:t xml:space="preserve">”</w:t>
      </w:r>
      <w:r>
        <w:t xml:space="preserve"> </w:t>
      </w:r>
      <w:r>
        <w:t xml:space="preserve">risk of bias.</w:t>
      </w:r>
    </w:p>
    <w:p>
      <w:pPr>
        <w:pStyle w:val="BodyText"/>
      </w:pPr>
      <w:r>
        <w:t xml:space="preserve"> </w:t>
      </w:r>
    </w:p>
    <w:bookmarkEnd w:id="101"/>
    <w:bookmarkStart w:id="102" w:name="methods-rob-me"/>
    <w:p>
      <w:pPr>
        <w:pStyle w:val="Heading4"/>
      </w:pPr>
      <w:r>
        <w:t xml:space="preserve">Risk of bias due to missing evidence</w:t>
      </w:r>
    </w:p>
    <w:p>
      <w:pPr>
        <w:pStyle w:val="FirstParagraph"/>
      </w:pPr>
      <w:r>
        <w:t xml:space="preserve">In addition to assessing the risk of bias within each result contributing to a synthesis, I also assessed risk of bias due to missing evidence at the analysis level. This assessment examines evidence missing due to selective non-reporting - as distinct from the selective reporting of a single result from multiple planned - and was performed using the forthcoming RoB-ME (Risk of Bias due to Missing Evidence in a synthesis) tool.</w:t>
      </w:r>
      <w:hyperlink w:anchor="ref-zotero-15123">
        <w:r>
          <w:rPr>
            <w:rStyle w:val="Hyperlink"/>
            <w:vertAlign w:val="superscript"/>
          </w:rPr>
          <w:t xml:space="preserve">149</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registered.</w:t>
      </w:r>
    </w:p>
    <w:p>
      <w:pPr>
        <w:pStyle w:val="BodyText"/>
      </w:pPr>
      <w:r>
        <w:t xml:space="preserve"> </w:t>
      </w:r>
    </w:p>
    <w:bookmarkEnd w:id="102"/>
    <w:bookmarkEnd w:id="103"/>
    <w:bookmarkStart w:id="109"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 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p>
    <w:p>
      <w:pPr>
        <w:pStyle w:val="BodyText"/>
      </w:pPr>
      <w:r>
        <w:t xml:space="preserve">Results were not combined across different study designs (i.e. RCTs were not combined in a meta-analysis with results from observational studies). The summary effect estimates produced by meta-analysis of individual study designs are discussed, but are compared and contrasted more fully as part of the triangulation exercise presented in Chapter</w:t>
      </w:r>
      <w:r>
        <w:t xml:space="preserve"> </w:t>
      </w:r>
      <w:r>
        <w:t xml:space="preserve">8</w:t>
      </w:r>
      <w:r>
        <w:t xml:space="preserve">.</w:t>
      </w:r>
    </w:p>
    <w:p>
      <w:pPr>
        <w:pStyle w:val="BodyText"/>
      </w:pPr>
      <w:r>
        <w:t xml:space="preserve"> </w:t>
      </w:r>
      <w:r>
        <w:t xml:space="preserve"> </w:t>
      </w:r>
    </w:p>
    <w:bookmarkStart w:id="104" w:name="random-effects-meta-analysis"/>
    <w:p>
      <w:pPr>
        <w:pStyle w:val="Heading4"/>
      </w:pPr>
      <w:r>
        <w:t xml:space="preserve">Random-effects meta-analysis</w:t>
      </w:r>
    </w:p>
    <w:p>
      <w:pPr>
        <w:pStyle w:val="FirstParagraph"/>
      </w:pPr>
      <w:r>
        <w:t xml:space="preserve">For results examining the effect of binary or continuous exposure (as opposed to categorical/dose-response, as discussed in the next section) on any dementia outcome, a random-effects meta-analysis model was used. Random-effects meta-analysis does not assume one true underlying effect, but rather allows for a distribution of true effects with variance</w:t>
      </w:r>
      <w:r>
        <w:t xml:space="preserve"> </w:t>
      </w:r>
      <m:oMath>
        <m:sSup>
          <m:e>
            <m:r>
              <m:t>τ</m:t>
            </m:r>
          </m:e>
          <m:sup>
            <m:r>
              <m:t>2</m:t>
            </m:r>
          </m:sup>
        </m:sSup>
      </m:oMath>
      <w:r>
        <w:t xml:space="preserve">. The weight (</w:t>
      </w:r>
      <m:oMath>
        <m:r>
          <m:t>w</m:t>
        </m:r>
      </m:oMath>
      <w:r>
        <w:t xml:space="preserve">) assigned to each result (denoted as</w:t>
      </w:r>
      <w:r>
        <w:t xml:space="preserve"> </w:t>
      </w:r>
      <m:oMath>
        <m:sSub>
          <m:e>
            <m:r>
              <m:t>y</m:t>
            </m:r>
          </m:e>
          <m:sub>
            <m:r>
              <m:t>i</m:t>
            </m:r>
          </m:sub>
        </m:sSub>
      </m:oMath>
      <w:r>
        <w:t xml:space="preserve">) is then give as the inverse of variance of that result plus the estimate of between-result variance, denoted as</w:t>
      </w:r>
      <w:r>
        <w:t xml:space="preserve"> </w:t>
      </w:r>
      <m:oMath>
        <m:sSub>
          <m:e>
            <m:r>
              <m:t>w</m:t>
            </m:r>
          </m:e>
          <m:sub>
            <m:r>
              <m:t>i</m:t>
            </m:r>
          </m:sub>
        </m:sSub>
        <m:r>
          <m:rPr>
            <m:sty m:val="p"/>
          </m:rPr>
          <m:t>=</m:t>
        </m:r>
        <m:f>
          <m:fPr>
            <m:type m:val="bar"/>
          </m:fPr>
          <m:num>
            <m:r>
              <m:t>1</m:t>
            </m:r>
          </m:num>
          <m:den>
            <m:sSub>
              <m:e>
                <m:r>
                  <m:t>v</m:t>
                </m:r>
              </m:e>
              <m:sub>
                <m:r>
                  <m:t>i</m:t>
                </m:r>
              </m:sub>
            </m:sSub>
            <m:r>
              <m:rPr>
                <m:sty m:val="p"/>
              </m:rPr>
              <m:t>+</m:t>
            </m:r>
            <m:sSup>
              <m:e>
                <m:r>
                  <m:t>τ</m:t>
                </m:r>
              </m:e>
              <m:sup>
                <m:r>
                  <m:t>2</m:t>
                </m:r>
              </m:sup>
            </m:sSup>
          </m:den>
        </m:f>
      </m:oMath>
      <w:r>
        <w:t xml:space="preserve"> </w:t>
      </w:r>
      <w:r>
        <w:t xml:space="preserve">for result</w:t>
      </w:r>
      <w:r>
        <w:t xml:space="preserve"> </w:t>
      </w:r>
      <m:oMath>
        <m:r>
          <m:t>i</m:t>
        </m:r>
      </m:oMath>
      <w:r>
        <w:t xml:space="preserve">.</w:t>
      </w:r>
    </w:p>
    <w:p>
      <w:pPr>
        <w:pStyle w:val="BodyText"/>
      </w:pPr>
      <w:r>
        <w:t xml:space="preserve">Once the weights are calculated for each result, the overall estimate (</w:t>
      </w:r>
      <m:oMath>
        <m:acc>
          <m:accPr>
            <m:chr m:val="̂"/>
          </m:accPr>
          <m:e>
            <m:r>
              <m:t>y</m:t>
            </m:r>
          </m:e>
        </m:acc>
      </m:oMath>
      <w:r>
        <w:t xml:space="preserve">) and variance (</w:t>
      </w:r>
      <m:oMath>
        <m:r>
          <m:t>V</m:t>
        </m:r>
        <m:r>
          <m:t>a</m:t>
        </m:r>
        <m:r>
          <m:t>r</m:t>
        </m:r>
        <m:r>
          <m:rPr>
            <m:sty m:val="p"/>
          </m:rPr>
          <m:t>(</m:t>
        </m:r>
        <m:acc>
          <m:accPr>
            <m:chr m:val="̂"/>
          </m:accPr>
          <m:e>
            <m:r>
              <m:t>y</m:t>
            </m:r>
          </m:e>
        </m:acc>
        <m:r>
          <m:rPr>
            <m:sty m:val="p"/>
          </m:rPr>
          <m:t>)</m:t>
        </m:r>
      </m:oMath>
      <w:r>
        <w:t xml:space="preserve">) can be estimated:</w:t>
      </w:r>
    </w:p>
    <w:p>
      <w:pPr>
        <w:pStyle w:val="BodyText"/>
      </w:pPr>
      <m:oMathPara>
        <m:oMathParaPr>
          <m:jc m:val="center"/>
        </m:oMathParaPr>
        <m:oMath>
          <m:acc>
            <m:accPr>
              <m:chr m:val="̂"/>
            </m:accPr>
            <m:e>
              <m:r>
                <m:t>y</m:t>
              </m:r>
            </m:e>
          </m:acc>
          <m:r>
            <m:rPr>
              <m:sty m:val="p"/>
            </m:rPr>
            <m:t>=</m:t>
          </m:r>
          <m:f>
            <m:fPr>
              <m:type m:val="bar"/>
            </m:fPr>
            <m:num>
              <m:r>
                <m:rPr>
                  <m:sty m:val="p"/>
                </m:rPr>
                <m:t>∑</m:t>
              </m:r>
              <m:sSub>
                <m:e>
                  <m:r>
                    <m:t>y</m:t>
                  </m:r>
                </m:e>
                <m:sub>
                  <m:r>
                    <m:t>i</m:t>
                  </m:r>
                </m:sub>
              </m:sSub>
              <m:sSub>
                <m:e>
                  <m:r>
                    <m:t>w</m:t>
                  </m:r>
                </m:e>
                <m:sub>
                  <m:r>
                    <m:t>i</m:t>
                  </m:r>
                </m:sub>
              </m:sSub>
            </m:num>
            <m:den>
              <m:r>
                <m:rPr>
                  <m:sty m:val="p"/>
                </m:rPr>
                <m:t>∑</m:t>
              </m:r>
              <m:sSub>
                <m:e>
                  <m:r>
                    <m:t>w</m:t>
                  </m:r>
                </m:e>
                <m:sub>
                  <m:r>
                    <m:t>i</m:t>
                  </m:r>
                </m:sub>
              </m:sSub>
            </m:den>
          </m:f>
          <m:r>
            <m:t>  </m:t>
          </m:r>
          <m:r>
            <m:rPr>
              <m:sty m:val="p"/>
            </m:rPr>
            <m:t>(</m:t>
          </m:r>
          <m:r>
            <m:t>6</m:t>
          </m:r>
          <m:r>
            <m:rPr>
              <m:sty m:val="p"/>
            </m:rPr>
            <m:t>)</m:t>
          </m:r>
        </m:oMath>
      </m:oMathPara>
    </w:p>
    <w:p>
      <w:pPr>
        <w:pStyle w:val="FirstParagraph"/>
      </w:pPr>
      <m:oMathPara>
        <m:oMathParaPr>
          <m:jc m:val="center"/>
        </m:oMathParaPr>
        <m:oMath>
          <m:r>
            <m:t>V</m:t>
          </m:r>
          <m:r>
            <m:t>a</m:t>
          </m:r>
          <m:r>
            <m:t>r</m:t>
          </m:r>
          <m:r>
            <m:rPr>
              <m:sty m:val="p"/>
            </m:rPr>
            <m:t>(</m:t>
          </m:r>
          <m:acc>
            <m:accPr>
              <m:chr m:val="̂"/>
            </m:accPr>
            <m:e>
              <m:r>
                <m:t>y</m:t>
              </m:r>
            </m:e>
          </m:acc>
          <m:r>
            <m:rPr>
              <m:sty m:val="p"/>
            </m:rPr>
            <m:t>)</m:t>
          </m:r>
          <m:r>
            <m:rPr>
              <m:sty m:val="p"/>
            </m:rPr>
            <m:t>=</m:t>
          </m:r>
          <m:f>
            <m:fPr>
              <m:type m:val="bar"/>
            </m:fPr>
            <m:num>
              <m:r>
                <m:t>1</m:t>
              </m:r>
            </m:num>
            <m:den>
              <m:r>
                <m:rPr>
                  <m:sty m:val="p"/>
                </m:rPr>
                <m:t>∑</m:t>
              </m:r>
              <m:sSub>
                <m:e>
                  <m:r>
                    <m:t>w</m:t>
                  </m:r>
                </m:e>
                <m:sub>
                  <m:r>
                    <m:t>i</m:t>
                  </m:r>
                </m:sub>
              </m:sSub>
            </m:den>
          </m:f>
          <m:r>
            <m:t>  </m:t>
          </m:r>
          <m:r>
            <m:rPr>
              <m:sty m:val="p"/>
            </m:rPr>
            <m:t>(</m:t>
          </m:r>
          <m:r>
            <m:t>7</m:t>
          </m:r>
          <m:r>
            <m:rPr>
              <m:sty m:val="p"/>
            </m:rPr>
            <m:t>)</m:t>
          </m:r>
        </m:oMath>
      </m:oMathPara>
    </w:p>
    <w:p>
      <w:pPr>
        <w:pStyle w:val="FirstParagraph"/>
      </w:pPr>
      <w:r>
        <w:t xml:space="preserve"> </w:t>
      </w:r>
    </w:p>
    <w:p>
      <w:pPr>
        <w:pStyle w:val="BodyText"/>
      </w:pPr>
      <w:r>
        <w:t xml:space="preserve">Results were stratified into subgroups on the basis of the overall risk of bias assessment, and summary estimates for each subgroup, in addition to an overall effect estimate, are displayed in each forest plot. Additional descriptive statistics are presented, while prediction intervals are shown as a dotted line banding the overall effect estimate. Finally, where at least 10 results are available, a test subgroup differences between studies at different levels of risk of bias was performed (see subsequent Section</w:t>
      </w:r>
      <w:r>
        <w:t xml:space="preserve"> </w:t>
      </w:r>
      <w:r>
        <w:t xml:space="preserve">3.3.8.4</w:t>
      </w:r>
      <w:r>
        <w:t xml:space="preserve">). All models were implemented using the</w:t>
      </w:r>
      <w:r>
        <w:t xml:space="preserve"> </w:t>
      </w:r>
      <w:r>
        <w:rPr>
          <w:rStyle w:val="VerbatimChar"/>
        </w:rPr>
        <w:t xml:space="preserve">metafor</w:t>
      </w:r>
      <w:r>
        <w:t xml:space="preserve"> </w:t>
      </w:r>
      <w:r>
        <w:t xml:space="preserve">R package.</w:t>
      </w:r>
    </w:p>
    <w:p>
      <w:pPr>
        <w:pStyle w:val="BodyText"/>
      </w:pPr>
      <w:r>
        <w:t xml:space="preserve"> </w:t>
      </w:r>
    </w:p>
    <w:bookmarkEnd w:id="104"/>
    <w:bookmarkStart w:id="105" w:name="dose-response-analyses"/>
    <w:p>
      <w:pPr>
        <w:pStyle w:val="Heading4"/>
      </w:pPr>
      <w:r>
        <w:t xml:space="preserve">Dose-response analyses</w:t>
      </w:r>
    </w:p>
    <w:p>
      <w:pPr>
        <w:pStyle w:val="FirstParagraph"/>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 This marks a departure from the published protocol, as I was unaware that such a large number of studies would report dementia risk across multiple lipid categories.</w:t>
      </w:r>
    </w:p>
    <w:p>
      <w:pPr>
        <w:pStyle w:val="BodyText"/>
      </w:pPr>
      <w:r>
        <w:t xml:space="preserve">Studies were excluded from this analysis if the number of categories was less than three or if the necessary information for synthesis (cut-off points, number of participants and number of events per category) was not available. 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w:t>
      </w:r>
      <w:r>
        <w:t xml:space="preserve"> </w:t>
      </w:r>
      <w:r>
        <w:t xml:space="preserve"> </w:t>
      </w:r>
      <w:r>
        <w:t xml:space="preserve">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When the highest reported category was open ended (e.g LDL-c</w:t>
      </w:r>
      <w:r>
        <w:t xml:space="preserve"> </w:t>
      </w:r>
      <m:oMath>
        <m:r>
          <m:rPr>
            <m:sty m:val="p"/>
          </m:rPr>
          <m:t>≥</m:t>
        </m:r>
      </m:oMath>
      <w:r>
        <w:t xml:space="preserve"> </w:t>
      </w:r>
      <w:r>
        <w:t xml:space="preserve">200 mg/dL), I calculated the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naturally).</w:t>
      </w:r>
    </w:p>
    <w:p>
      <w:pPr>
        <w:pStyle w:val="BodyText"/>
      </w:pPr>
      <w:r>
        <w:t xml:space="preserve"> </w:t>
      </w:r>
      <w:r>
        <w:t xml:space="preserve"> </w:t>
      </w:r>
    </w:p>
    <w:bookmarkEnd w:id="105"/>
    <w:bookmarkStart w:id="106" w:name="additional-analyses"/>
    <w:p>
      <w:pPr>
        <w:pStyle w:val="Heading4"/>
      </w:pPr>
      <w:r>
        <w:t xml:space="preserve">Additional analyses</w:t>
      </w:r>
    </w:p>
    <w:p>
      <w:pPr>
        <w:pStyle w:val="FirstParagraph"/>
      </w:pPr>
      <w:r>
        <w:t xml:space="preserve">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 Syntheses with greater than 10 studies were assessed for heterogeneity across these covariates.</w:t>
      </w:r>
      <w:r>
        <w:t xml:space="preserve"> </w:t>
      </w:r>
    </w:p>
    <w:p>
      <w:pPr>
        <w:pStyle w:val="BodyText"/>
      </w:pPr>
      <w:r>
        <w:t xml:space="preserve">Finally, I investigated the potential for small study effects, which may be caused by publication bias, both visually using funnel plots and formally using Egger’s regression test.</w:t>
      </w:r>
      <w:r>
        <w:t xml:space="preserve"> </w:t>
      </w:r>
    </w:p>
    <w:p>
      <w:pPr>
        <w:pStyle w:val="BodyText"/>
      </w:pPr>
      <w:r>
        <w:t xml:space="preserve"> </w:t>
      </w:r>
      <w:r>
        <w:t xml:space="preserve"> </w:t>
      </w:r>
    </w:p>
    <w:bookmarkEnd w:id="106"/>
    <w:bookmarkStart w:id="107" w:name="sys-rev-visualising-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150</w:t>
        </w:r>
      </w:hyperlink>
      <w:r>
        <w:t xml:space="preserve"> </w:t>
      </w:r>
      <w:r>
        <w:t xml:space="preserve">As part of the initial descriptive synthesis,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r>
        <w:t xml:space="preserve"> </w:t>
      </w:r>
      <w:r>
        <w:t xml:space="preserve"> </w:t>
      </w:r>
      <w:r>
        <w:t xml:space="preserve">In response to this criticism, I developed a new visualisation tool was designed to allow for the production of</w:t>
      </w:r>
      <w:r>
        <w:t xml:space="preserve"> </w:t>
      </w:r>
      <w:r>
        <w:t xml:space="preserve">“</w:t>
      </w:r>
      <w:r>
        <w:t xml:space="preserve">paired</w:t>
      </w:r>
      <w:r>
        <w:t xml:space="preserve">”</w:t>
      </w:r>
      <w:r>
        <w:t xml:space="preserve"> </w:t>
      </w:r>
      <w:r>
        <w:t xml:space="preserve">forest plots, as recommended by the ROB2 publication, where a risk-of-bias assessment is presented alongside it’s corresponding numerical results.</w:t>
      </w:r>
      <w:hyperlink w:anchor="ref-sterne2019">
        <w:r>
          <w:rPr>
            <w:rStyle w:val="Hyperlink"/>
            <w:vertAlign w:val="superscript"/>
          </w:rPr>
          <w:t xml:space="preserve">143</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151</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152</w:t>
        </w:r>
      </w:hyperlink>
      <w:r>
        <w:t xml:space="preserve"> </w:t>
      </w:r>
      <w:r>
        <w:t xml:space="preserve"> </w:t>
      </w:r>
      <w:r>
        <w:t xml:space="preserve">A summary of this tool is contained in Appendix</w:t>
      </w:r>
      <w:r>
        <w:t xml:space="preserve"> </w:t>
      </w:r>
      <w:r>
        <w:t xml:space="preserve">11.2</w:t>
      </w:r>
      <w:r>
        <w:t xml:space="preserve">, and all forest plots presented in this Chapter were created using this tool.</w:t>
      </w:r>
    </w:p>
    <w:p>
      <w:pPr>
        <w:pStyle w:val="BodyText"/>
      </w:pPr>
      <w:r>
        <w:t xml:space="preserve"> </w:t>
      </w:r>
      <w:r>
        <w:t xml:space="preserve"> </w:t>
      </w:r>
    </w:p>
    <w:bookmarkEnd w:id="107"/>
    <w:bookmarkStart w:id="108" w:name="X70e6c291630de5daf4cc0c432796c9ea205184d"/>
    <w:p>
      <w:pPr>
        <w:pStyle w:val="Heading4"/>
      </w:pPr>
      <w:r>
        <w:t xml:space="preserve">Assessment of added value of including preprints</w:t>
      </w:r>
    </w:p>
    <w:p>
      <w:pPr>
        <w:pStyle w:val="FirstParagraph"/>
      </w:pPr>
      <w:r>
        <w:rPr>
          <w:iCs/>
          <w:i/>
        </w:rPr>
        <w:t xml:space="preserve">[Note: Julian, I am particularly interested in your feedback on this section, and the corresponding results section (Section</w:t>
      </w:r>
      <w:r>
        <w:rPr>
          <w:iCs/>
          <w:i/>
        </w:rPr>
        <w:t xml:space="preserve"> </w:t>
      </w:r>
      <w:r>
        <w:rPr>
          <w:iCs/>
          <w:i/>
        </w:rPr>
        <w:t xml:space="preserve">3.4.12</w:t>
      </w:r>
      <w:r>
        <w:rPr>
          <w:iCs/>
          <w:i/>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1.6.1</w:t>
      </w:r>
      <w:r>
        <w:t xml:space="preserve">). As an adjunct analysis to this review, I explored the additional evidential value of including preprints in each meta-analysis performed, assessed using the fixed effect weight from a standard meta-analysis.</w:t>
      </w:r>
    </w:p>
    <w:p>
      <w:pPr>
        <w:pStyle w:val="BodyText"/>
      </w:pPr>
      <w:r>
        <w:t xml:space="preserve">Additionally, I followed identified preprints up after a two-year lag to investigate whether they had been subsequently published (in which case preprints provide a snapshot into the future, and a systematic review update would capture these reports) or not (in which case preprints provide a distinct evidence source to conventional bibliographic databases).</w:t>
      </w:r>
    </w:p>
    <w:p>
      <w:pPr>
        <w:pStyle w:val="BodyText"/>
      </w:pPr>
      <w:r>
        <w:t xml:space="preserve"> </w:t>
      </w:r>
      <w:r>
        <w:t xml:space="preserve"> </w:t>
      </w:r>
    </w:p>
    <w:bookmarkEnd w:id="108"/>
    <w:bookmarkEnd w:id="109"/>
    <w:bookmarkEnd w:id="110"/>
    <w:bookmarkStart w:id="146" w:name="results"/>
    <w:p>
      <w:pPr>
        <w:pStyle w:val="Heading2"/>
      </w:pPr>
      <w:r>
        <w:t xml:space="preserve">Results</w:t>
      </w:r>
    </w:p>
    <w:bookmarkStart w:id="111" w:name="X9867a2731246839864e605e1b5b36dae9f3382a"/>
    <w:p>
      <w:pPr>
        <w:pStyle w:val="Heading3"/>
      </w:pPr>
      <w:r>
        <w:t xml:space="preserve">Initial search and validation of search filters</w:t>
      </w:r>
    </w:p>
    <w:p>
      <w:pPr>
        <w:pStyle w:val="FirstParagraph"/>
      </w:pPr>
      <w:r>
        <w:t xml:space="preserve">The database search identified 23,447 records, of which 7,338 were duplicated records. Of the random sample of 500 records screened to ensure the accuracy of the study design filters, no eligible records were identified. Many of those excluded by the filters were commentaries/educational articles, or described basic science studies.</w:t>
      </w:r>
      <w:r>
        <w:t xml:space="preserve"> </w:t>
      </w:r>
    </w:p>
    <w:p>
      <w:pPr>
        <w:pStyle w:val="BodyText"/>
      </w:pPr>
      <w:r>
        <w:t xml:space="preserve"> </w:t>
      </w:r>
      <w:r>
        <w:t xml:space="preserve"> </w:t>
      </w:r>
    </w:p>
    <w:bookmarkEnd w:id="111"/>
    <w:bookmarkStart w:id="113"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p>
    <w:p>
      <w:pPr>
        <w:pStyle w:val="BodyText"/>
      </w:pPr>
      <w:r>
        <w:t xml:space="preserve">The PRISMA flow diagram</w:t>
      </w:r>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left of the diagram) and those captured by the search tool described in the previous chapter (presented in grey on the right of the diagram).</w:t>
      </w:r>
    </w:p>
    <w:p>
      <w:pPr>
        <w:pStyle w:val="BodyText"/>
      </w:pPr>
      <w:r>
        <w:t xml:space="preserve">Common reasons for exclusion at the full text-stage included studies that reported on the wrong exposures (n = 70 ; most commonly a ineligible lipid fraction), used the wrong study design (n= 56), or reported on a wrong outcome (n=24; e.g. change in cognitive scores).</w:t>
      </w:r>
    </w:p>
    <w:p>
      <w:pPr>
        <w:pStyle w:val="BodyText"/>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2"/>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bookmarkEnd w:id="113"/>
    <w:bookmarkStart w:id="114" w:name="validation-of-screening"/>
    <w:p>
      <w:pPr>
        <w:pStyle w:val="Heading3"/>
      </w:pPr>
      <w:r>
        <w:t xml:space="preserve">Validation of screening</w:t>
      </w:r>
    </w:p>
    <w:p>
      <w:pPr>
        <w:pStyle w:val="FirstParagraph"/>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6</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7</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8</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153</w:t>
        </w:r>
      </w:hyperlink>
    </w:p>
    <w:p>
      <w:pPr>
        <w:pStyle w:val="BodyText"/>
      </w:pPr>
      <w:r>
        <w:t xml:space="preserve"> </w:t>
      </w:r>
    </w:p>
    <w:p>
      <w:pPr>
        <w:pStyle w:val="BodyText"/>
      </w:pPr>
      <w:r>
        <w:t xml:space="preserve">(ref:agreeInter-caption) Inter-rater agreement on a subset of records, indicating high accuracy.</w:t>
      </w:r>
    </w:p>
    <w:p>
      <w:pPr>
        <w:pStyle w:val="BodyText"/>
      </w:pPr>
      <w:r>
        <w:t xml:space="preserve">Table 7: (ref:agreeInter-caption)</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Second reviewer decision</w:t>
      </w:r>
    </w:p>
    <w:p>
      <w:pPr>
        <w:pStyle w:val="BodyText"/>
      </w:pPr>
      <w:r>
        <w:t xml:space="preserve">Exclude</w:t>
      </w:r>
    </w:p>
    <w:p>
      <w:pPr>
        <w:pStyle w:val="BodyText"/>
      </w:pPr>
      <w:r>
        <w:t xml:space="preserve">1244</w:t>
      </w:r>
    </w:p>
    <w:p>
      <w:pPr>
        <w:pStyle w:val="BodyText"/>
      </w:pPr>
      <w:r>
        <w:t xml:space="preserve">9</w:t>
      </w:r>
    </w:p>
    <w:p>
      <w:pPr>
        <w:pStyle w:val="BodyText"/>
      </w:pPr>
      <w:r>
        <w:t xml:space="preserve">1253</w:t>
      </w:r>
    </w:p>
    <w:p>
      <w:pPr>
        <w:pStyle w:val="BodyText"/>
      </w:pPr>
      <w:r>
        <w:t xml:space="preserve">Second reviewer decision</w:t>
      </w:r>
    </w:p>
    <w:p>
      <w:pPr>
        <w:pStyle w:val="BodyText"/>
      </w:pPr>
      <w:r>
        <w:t xml:space="preserve">Include</w:t>
      </w:r>
    </w:p>
    <w:p>
      <w:pPr>
        <w:pStyle w:val="BodyText"/>
      </w:pPr>
      <w:r>
        <w:t xml:space="preserve">26</w:t>
      </w:r>
    </w:p>
    <w:p>
      <w:pPr>
        <w:pStyle w:val="BodyText"/>
      </w:pPr>
      <w:r>
        <w:t xml:space="preserve">22</w:t>
      </w:r>
    </w:p>
    <w:p>
      <w:pPr>
        <w:pStyle w:val="BodyText"/>
      </w:pPr>
      <w:r>
        <w:t xml:space="preserve">48</w:t>
      </w:r>
    </w:p>
    <w:p>
      <w:pPr>
        <w:pStyle w:val="BodyText"/>
      </w:pPr>
      <w:r>
        <w:t xml:space="preserve">Second reviewer decision</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Table 8: Intra-rater agreement on subset of records, indicating high consistency.</w:t>
      </w:r>
    </w:p>
    <w:p>
      <w:pPr>
        <w:pStyle w:val="BodyText"/>
      </w:pPr>
      <w:r>
        <w:t xml:space="preserve">group</w:t>
      </w:r>
    </w:p>
    <w:p>
      <w:pPr>
        <w:pStyle w:val="BodyText"/>
      </w:pPr>
      <w:r>
        <w:t xml:space="preserve">reviewer</w:t>
      </w:r>
    </w:p>
    <w:p>
      <w:pPr>
        <w:pStyle w:val="BodyText"/>
      </w:pPr>
      <w:r>
        <w:t xml:space="preserve">Exclude</w:t>
      </w:r>
    </w:p>
    <w:p>
      <w:pPr>
        <w:pStyle w:val="BodyText"/>
      </w:pPr>
      <w:r>
        <w:t xml:space="preserve">Include</w:t>
      </w:r>
    </w:p>
    <w:p>
      <w:pPr>
        <w:pStyle w:val="BodyText"/>
      </w:pPr>
      <w:r>
        <w:t xml:space="preserve">Total</w:t>
      </w:r>
    </w:p>
    <w:p>
      <w:pPr>
        <w:pStyle w:val="BodyText"/>
      </w:pPr>
      <w:r>
        <w:t xml:space="preserve">Same reviewer decision (with 3 month lag)</w:t>
      </w:r>
    </w:p>
    <w:p>
      <w:pPr>
        <w:pStyle w:val="BodyText"/>
      </w:pPr>
      <w:r>
        <w:t xml:space="preserve">Exclude</w:t>
      </w:r>
    </w:p>
    <w:p>
      <w:pPr>
        <w:pStyle w:val="BodyText"/>
      </w:pPr>
      <w:r>
        <w:t xml:space="preserve">1266</w:t>
      </w:r>
    </w:p>
    <w:p>
      <w:pPr>
        <w:pStyle w:val="BodyText"/>
      </w:pPr>
      <w:r>
        <w:t xml:space="preserve">14</w:t>
      </w:r>
    </w:p>
    <w:p>
      <w:pPr>
        <w:pStyle w:val="BodyText"/>
      </w:pPr>
      <w:r>
        <w:t xml:space="preserve">1280</w:t>
      </w:r>
    </w:p>
    <w:p>
      <w:pPr>
        <w:pStyle w:val="BodyText"/>
      </w:pPr>
      <w:r>
        <w:t xml:space="preserve">Same reviewer decision (with 3 month lag)</w:t>
      </w:r>
    </w:p>
    <w:p>
      <w:pPr>
        <w:pStyle w:val="BodyText"/>
      </w:pPr>
      <w:r>
        <w:t xml:space="preserve">Include</w:t>
      </w:r>
    </w:p>
    <w:p>
      <w:pPr>
        <w:pStyle w:val="BodyText"/>
      </w:pPr>
      <w:r>
        <w:t xml:space="preserve">4</w:t>
      </w:r>
    </w:p>
    <w:p>
      <w:pPr>
        <w:pStyle w:val="BodyText"/>
      </w:pPr>
      <w:r>
        <w:t xml:space="preserve">17</w:t>
      </w:r>
    </w:p>
    <w:p>
      <w:pPr>
        <w:pStyle w:val="BodyText"/>
      </w:pPr>
      <w:r>
        <w:t xml:space="preserve">21</w:t>
      </w:r>
    </w:p>
    <w:p>
      <w:pPr>
        <w:pStyle w:val="BodyText"/>
      </w:pPr>
      <w:r>
        <w:t xml:space="preserve">Same reviewer decision (with 3 month lag)</w:t>
      </w:r>
    </w:p>
    <w:p>
      <w:pPr>
        <w:pStyle w:val="BodyText"/>
      </w:pPr>
      <w:r>
        <w:t xml:space="preserve">Total</w:t>
      </w:r>
    </w:p>
    <w:p>
      <w:pPr>
        <w:pStyle w:val="BodyText"/>
      </w:pPr>
      <w:r>
        <w:t xml:space="preserve">1270</w:t>
      </w:r>
    </w:p>
    <w:p>
      <w:pPr>
        <w:pStyle w:val="BodyText"/>
      </w:pPr>
      <w:r>
        <w:t xml:space="preserve">31</w:t>
      </w:r>
    </w:p>
    <w:p>
      <w:pPr>
        <w:pStyle w:val="BodyText"/>
      </w:pPr>
      <w:r>
        <w:t xml:space="preserve">1301</w:t>
      </w:r>
    </w:p>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7</w:t>
      </w:r>
      <w:r>
        <w:t xml:space="preserve">) were investigated. This discrepancy between the two reviewers was explained in all cases by differing interpretations of the inclusion criteria, most commonly around the definition of cognitive decline versus dementia and the definition of eligible lipids fractions.</w:t>
      </w:r>
    </w:p>
    <w:p>
      <w:pPr>
        <w:pStyle w:val="BodyText"/>
      </w:pPr>
      <w:r>
        <w:t xml:space="preserve"> </w:t>
      </w:r>
      <w:r>
        <w:t xml:space="preserve"> </w:t>
      </w:r>
    </w:p>
    <w:bookmarkEnd w:id="114"/>
    <w:bookmarkStart w:id="116" w:name="sys-rev-characteristics"/>
    <w:p>
      <w:pPr>
        <w:pStyle w:val="Heading3"/>
      </w:pPr>
      <w:r>
        <w:t xml:space="preserve">Characteristics of included studies</w:t>
      </w:r>
    </w:p>
    <w:p>
      <w:pPr>
        <w:pStyle w:val="FirstParagraph"/>
      </w:pPr>
      <w:r>
        <w:t xml:space="preserve">Following full-text screening, 81 unique studies (described across 95 reports)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X49f9892f062f4edfe92b37e5c1639cb4f6c013f">
        <w:r>
          <w:rPr>
            <w:rStyle w:val="Hyperlink"/>
            <w:vertAlign w:val="superscript"/>
          </w:rPr>
          <w:t xml:space="preserve">154</w:t>
        </w:r>
      </w:hyperlink>
      <w:r>
        <w:rPr>
          <w:vertAlign w:val="superscript"/>
        </w:rPr>
        <w:t xml:space="preserve">–</w:t>
      </w:r>
      <w:hyperlink w:anchor="ref-zhu2018">
        <w:r>
          <w:rPr>
            <w:rStyle w:val="Hyperlink"/>
            <w:vertAlign w:val="superscript"/>
          </w:rPr>
          <w:t xml:space="preserve">231</w:t>
        </w:r>
      </w:hyperlink>
      <w:r>
        <w:t xml:space="preserve"> </w:t>
      </w:r>
      <w:r>
        <w:t xml:space="preserve">Table</w:t>
      </w:r>
      <w:r>
        <w:t xml:space="preserve"> </w:t>
      </w:r>
      <w:r>
        <w:t xml:space="preserve">9</w:t>
      </w:r>
      <w:r>
        <w:t xml:space="preserve"> </w:t>
      </w:r>
      <w:r>
        <w:t xml:space="preserve">presents a summary of the characteristics of each study.</w:t>
      </w:r>
    </w:p>
    <w:p>
      <w:pPr>
        <w:pStyle w:val="BodyText"/>
      </w:pPr>
      <w:r>
        <w:t xml:space="preserve">The majority of included studies described non-randomised analyses, with the sole two included randomised controlled trials (the Heart Protection Study/British Heart Foundation trial</w:t>
      </w:r>
      <w:hyperlink w:anchor="X49f9892f062f4edfe92b37e5c1639cb4f6c013f">
        <w:r>
          <w:rPr>
            <w:rStyle w:val="Hyperlink"/>
            <w:vertAlign w:val="superscript"/>
          </w:rPr>
          <w:t xml:space="preserve">154</w:t>
        </w:r>
      </w:hyperlink>
      <w:r>
        <w:t xml:space="preserve"> </w:t>
      </w:r>
      <w:r>
        <w:t xml:space="preserve">and the JUPITER trial</w:t>
      </w:r>
      <w:hyperlink w:anchor="ref-ridker2008">
        <w:r>
          <w:rPr>
            <w:rStyle w:val="Hyperlink"/>
            <w:vertAlign w:val="superscript"/>
          </w:rPr>
          <w:t xml:space="preserve">155</w:t>
        </w:r>
      </w:hyperlink>
      <w:r>
        <w:t xml:space="preserve">) both reporting on the effect of statin use on all-cause dementia in older adults. A similarly small number of Mendelian randomisation studies were identified, several of which employed a two-sample approach using summary statistics from the same published genome wide association studies (GWAS) leading to complications in the synthesis (see Section</w:t>
      </w:r>
      <w:r>
        <w:t xml:space="preserve"> </w:t>
      </w:r>
      <w:r>
        <w:t xml:space="preserve">3.4.7</w:t>
      </w:r>
      <w:r>
        <w:t xml:space="preserve">).</w:t>
      </w:r>
    </w:p>
    <w:p>
      <w:pPr>
        <w:pStyle w:val="BodyText"/>
      </w:pPr>
      <w:r>
        <w:t xml:space="preserve">Of the 31 non-randomised studies examining treatments that modify lipid levels, all examined statin use (n = 31; 100%), while a small number also reported on other non-statins agents such as fibrates (n = 2; 6.5%). In the 43 non-randomised studies of exposure, hypercholesterolemia (n = 19; 44.2%) and total cholesterol levels (n = 21; 48.8%) were the most frequently reported risk factors.</w:t>
      </w:r>
    </w:p>
    <w:p>
      <w:pPr>
        <w:pStyle w:val="BodyText"/>
      </w:pPr>
      <w:r>
        <w:t xml:space="preserve">In terms of outcomes, the vast majority of studies examined either all-cause dementia (n = 61; 75.3%) or Alzheimer’s disease (n = 51; 63%), with only a small proportion examining vascular dementia (n = 16; 19.8%). Some other outcome classifications such as vascular-component or mixed dementia were also investigated, but were much rarer.</w:t>
      </w:r>
    </w:p>
    <w:p>
      <w:pPr>
        <w:pStyle w:val="BodyText"/>
      </w:pPr>
      <w:r>
        <w:t xml:space="preserve">Three included reports were preprinted (denoted in the Table</w:t>
      </w:r>
      <w:r>
        <w:t xml:space="preserve"> </w:t>
      </w:r>
      <w:r>
        <w:t xml:space="preserve">9</w:t>
      </w:r>
      <w:r>
        <w:t xml:space="preserve"> </w:t>
      </w:r>
      <w:r>
        <w:t xml:space="preserve">using an asterisk),</w:t>
      </w:r>
      <w:hyperlink w:anchor="ref-ridker2008">
        <w:r>
          <w:rPr>
            <w:rStyle w:val="Hyperlink"/>
            <w:vertAlign w:val="superscript"/>
          </w:rPr>
          <w:t xml:space="preserve">155</w:t>
        </w:r>
      </w:hyperlink>
      <w:r>
        <w:rPr>
          <w:vertAlign w:val="superscript"/>
        </w:rPr>
        <w:t xml:space="preserve">,</w:t>
      </w:r>
      <w:hyperlink w:anchor="ref-so2017">
        <w:r>
          <w:rPr>
            <w:rStyle w:val="Hyperlink"/>
            <w:vertAlign w:val="superscript"/>
          </w:rPr>
          <w:t xml:space="preserve">230</w:t>
        </w:r>
      </w:hyperlink>
      <w:r>
        <w:rPr>
          <w:vertAlign w:val="superscript"/>
        </w:rPr>
        <w:t xml:space="preserve">,</w:t>
      </w:r>
      <w:hyperlink w:anchor="ref-zhu2017">
        <w:r>
          <w:rPr>
            <w:rStyle w:val="Hyperlink"/>
            <w:vertAlign w:val="superscript"/>
          </w:rPr>
          <w:t xml:space="preserve">232</w:t>
        </w:r>
      </w:hyperlink>
      <w:r>
        <w:t xml:space="preserve"> </w:t>
      </w:r>
      <w:r>
        <w:t xml:space="preserve">one of which had subsequently been published and was captured by the primary literature search.</w:t>
      </w:r>
      <w:hyperlink w:anchor="ref-zhu2018">
        <w:r>
          <w:rPr>
            <w:rStyle w:val="Hyperlink"/>
            <w:vertAlign w:val="superscript"/>
          </w:rPr>
          <w:t xml:space="preserve">231</w:t>
        </w:r>
      </w:hyperlink>
      <w:r>
        <w:t xml:space="preserve"> </w:t>
      </w:r>
      <w:r>
        <w:t xml:space="preserve">All three included preprints were obtained from the bioRxiv preprint server and all described a Mendelian randomisation analysis.</w:t>
      </w:r>
    </w:p>
    <w:p>
      <w:pPr>
        <w:pStyle w:val="TableCaption"/>
      </w:pPr>
      <w:r>
        <w:t xml:space="preserve">Table 9:</w:t>
      </w:r>
      <w:r>
        <w:t xml:space="preserve"> </w:t>
      </w:r>
      <w:bookmarkStart w:id="985fbdf7-72e7-4f92-b1b7-e84e9b413d31" w:name="tab:studyCharacteristics-table"/>
      <w:r>
        <w:t xml:space="preserve">Characteristics of included studies, stratified by study design. Note that three studies reported on multiple analytical designs within a single study report, and these have been duplicated across the relevant sub-sections.</w:t>
      </w:r>
      <w:bookmarkEnd w:id="985fbdf7-72e7-4f92-b1b7-e84e9b413d3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 (median) 60-71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 (3.3)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 (9.21)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 (9.1)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 (4.9)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 (6.1)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 (6.07)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 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LRA (exlc. statin + fibrates); Statin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Non-statin LRA;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 (18.1)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(median) 46-66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 (18.4)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 (8.4)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 (4.7)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 (6.4)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 (6.0)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(range)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 (4.9)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(median) 39–46 (range)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 (6.2)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Non-HDL-c; Statin;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 (0.6)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 (6.0)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 (4.3)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212085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 (5.6)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(13.3)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Yamada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 (median) 75-85 (range)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LDL-c; PCSK-9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ICD; 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Larsson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 with the most high represented region being North America. Of interest, several of the included studies were conducted in Taiwan (n = 10; 12.35%), all but one of which made use of the Taiwan National Health Insurance database.</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15"/>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p>
      <w:pPr>
        <w:pStyle w:val="BodyText"/>
      </w:pPr>
      <w:r>
        <w:t xml:space="preserve">Finally, there were several eligible studies reported as conference abstracts that did not present numerical results. These reports were included in the analysis to enable assessment of risk of bias due to missing evidence (see Section</w:t>
      </w:r>
      <w:r>
        <w:t xml:space="preserve"> </w:t>
      </w:r>
      <w:r>
        <w:t xml:space="preserve">3.3.7.4</w:t>
      </w:r>
      <w:r>
        <w:t xml:space="preserve">).</w:t>
      </w:r>
    </w:p>
    <w:p>
      <w:pPr>
        <w:pStyle w:val="BodyText"/>
      </w:pPr>
      <w:r>
        <w:t xml:space="preserve"> </w:t>
      </w:r>
    </w:p>
    <w:bookmarkEnd w:id="116"/>
    <w:bookmarkStart w:id="117" w:name="risk-of-bias-res"/>
    <w:p>
      <w:pPr>
        <w:pStyle w:val="Heading3"/>
      </w:pPr>
      <w:r>
        <w:t xml:space="preserve">Risk of bias</w:t>
      </w:r>
    </w:p>
    <w:p>
      <w:pPr>
        <w:pStyle w:val="FirstParagraph"/>
      </w:pPr>
      <w:r>
        <w:t xml:space="preserve">As discussed above, the risk-of-bias assessments are presented alongside their corresponding numerical result. A more detailed discussion of the sources and directions of bias is presented in Chapter</w:t>
      </w:r>
      <w:r>
        <w:t xml:space="preserve"> </w:t>
      </w:r>
      <w:r>
        <w:t xml:space="preserve">7</w:t>
      </w:r>
      <w:r>
        <w:t xml:space="preserve">, and so this section presents a brief summary of the biases observed in each study design.</w:t>
      </w:r>
    </w:p>
    <w:p>
      <w:pPr>
        <w:pStyle w:val="BodyText"/>
      </w:pPr>
      <w:r>
        <w:t xml:space="preserve">For the two randomised controlled trials, both were judged to be at low risk of bias. In contrast, many of the non-randomised studies of statin use were at serious risk of bias due poor controlling for confounding, immortal time bias, and missing outcome data (as noted above, a judgement of low risk of bias for a non-randomised study is rare). Similarly, non-randomised studies of exposures suffered from incomplete adjustment for potentially important confounders, and concerns over the selection of the reported result from among several analyses (e.g. examination of lipids as a binary or continuous variable). Finally, bias was introduced into Mendelian randomisation studies via the potential for hoziontal pleiotropy and population stratification.</w:t>
      </w:r>
      <w:hyperlink w:anchor="ref-davies2018">
        <w:r>
          <w:rPr>
            <w:rStyle w:val="Hyperlink"/>
            <w:vertAlign w:val="superscript"/>
          </w:rPr>
          <w:t xml:space="preserve">62</w:t>
        </w:r>
      </w:hyperlink>
    </w:p>
    <w:p>
      <w:pPr>
        <w:pStyle w:val="BodyText"/>
      </w:pPr>
      <w:r>
        <w:t xml:space="preserve">Following best practice, any result judged to be at critical risk of bias should be excluded from any quantitative analyses.</w:t>
      </w:r>
      <w:r>
        <w:t xml:space="preserve"> </w:t>
      </w:r>
      <w:r>
        <w:t xml:space="preserve"> </w:t>
      </w:r>
      <w:r>
        <w:t xml:space="preserve">Four observational studies were excluded on this basis, predominantly due to a lack of adjustment for any potentially important confounders (i.e. the study reported unadjusted estimates).</w:t>
      </w:r>
      <w:hyperlink w:anchor="ref-kuo2015">
        <w:r>
          <w:rPr>
            <w:rStyle w:val="Hyperlink"/>
            <w:vertAlign w:val="superscript"/>
          </w:rPr>
          <w:t xml:space="preserve">200</w:t>
        </w:r>
      </w:hyperlink>
      <w:r>
        <w:rPr>
          <w:vertAlign w:val="superscript"/>
        </w:rPr>
        <w:t xml:space="preserve">,</w:t>
      </w:r>
      <w:hyperlink w:anchor="ref-mainousa.g.2005">
        <w:r>
          <w:rPr>
            <w:rStyle w:val="Hyperlink"/>
            <w:vertAlign w:val="superscript"/>
          </w:rPr>
          <w:t xml:space="preserve">201</w:t>
        </w:r>
      </w:hyperlink>
      <w:r>
        <w:rPr>
          <w:vertAlign w:val="superscript"/>
        </w:rPr>
        <w:t xml:space="preserve">,</w:t>
      </w:r>
      <w:hyperlink w:anchor="ref-notkola1998">
        <w:r>
          <w:rPr>
            <w:rStyle w:val="Hyperlink"/>
            <w:vertAlign w:val="superscript"/>
          </w:rPr>
          <w:t xml:space="preserve">207</w:t>
        </w:r>
      </w:hyperlink>
    </w:p>
    <w:p>
      <w:pPr>
        <w:pStyle w:val="BodyText"/>
      </w:pPr>
      <w:r>
        <w:t xml:space="preserve"> </w:t>
      </w:r>
    </w:p>
    <w:bookmarkEnd w:id="117"/>
    <w:bookmarkStart w:id="126" w:name="sys-rev-res-Dementia"/>
    <w:p>
      <w:pPr>
        <w:pStyle w:val="Heading3"/>
      </w:pPr>
      <w:r>
        <w:t xml:space="preserve">All-cause dementia</w:t>
      </w:r>
    </w:p>
    <w:bookmarkStart w:id="120" w:name="statins"/>
    <w:p>
      <w:pPr>
        <w:pStyle w:val="Heading4"/>
      </w:pPr>
      <w:r>
        <w:t xml:space="preserve">Statins</w:t>
      </w:r>
    </w:p>
    <w:p>
      <w:pPr>
        <w:pStyle w:val="FirstParagraph"/>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1867988"/>
            <wp:effectExtent b="0" l="0" r="0" t="0"/>
            <wp:docPr descr="Figure 6: Random-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18"/>
                    <a:stretch>
                      <a:fillRect/>
                    </a:stretch>
                  </pic:blipFill>
                  <pic:spPr bwMode="auto">
                    <a:xfrm>
                      <a:off x="0" y="0"/>
                      <a:ext cx="5943600" cy="1867988"/>
                    </a:xfrm>
                    <a:prstGeom prst="rect">
                      <a:avLst/>
                    </a:prstGeom>
                    <a:noFill/>
                    <a:ln w="9525">
                      <a:noFill/>
                      <a:headEnd/>
                      <a:tailEnd/>
                    </a:ln>
                  </pic:spPr>
                </pic:pic>
              </a:graphicData>
            </a:graphic>
          </wp:inline>
        </w:drawing>
      </w:r>
    </w:p>
    <w:p>
      <w:pPr>
        <w:pStyle w:val="ImageCaption"/>
      </w:pPr>
      <w:r>
        <w:t xml:space="preserve">Figure 6: Random-effects meta-analysis of randomised controlled trials examining statin statins on all-cause dementia</w:t>
      </w:r>
    </w:p>
    <w:p>
      <w:pPr>
        <w:pStyle w:val="BodyText"/>
      </w:pPr>
      <w:r>
        <w:t xml:space="preserve"> </w:t>
      </w:r>
    </w:p>
    <w:p>
      <w:pPr>
        <w:pStyle w:val="BodyText"/>
      </w:pPr>
      <w:r>
        <w:t xml:space="preserve">In contrast, a meta-analysis of 15 prospective observational studies provided some evidence of a protective effect of statins use on all-cause dementia risk (HR: 0.77, 95%CI: 0.65-0.90, Figure</w:t>
      </w:r>
      <w:r>
        <w:t xml:space="preserve"> </w:t>
      </w:r>
      <w:r>
        <w:t xml:space="preserve">7</w:t>
      </w:r>
      <w:r>
        <w:t xml:space="preserve">).</w:t>
      </w:r>
    </w:p>
    <w:p>
      <w:pPr>
        <w:pStyle w:val="BodyText"/>
      </w:pPr>
      <w:r>
        <w:drawing>
          <wp:inline>
            <wp:extent cx="5943600" cy="5434148"/>
            <wp:effectExtent b="0" l="0" r="0" t="0"/>
            <wp:docPr descr="Figure 7: Random-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19"/>
                    <a:stretch>
                      <a:fillRect/>
                    </a:stretch>
                  </pic:blipFill>
                  <pic:spPr bwMode="auto">
                    <a:xfrm>
                      <a:off x="0" y="0"/>
                      <a:ext cx="5943600" cy="5434148"/>
                    </a:xfrm>
                    <a:prstGeom prst="rect">
                      <a:avLst/>
                    </a:prstGeom>
                    <a:noFill/>
                    <a:ln w="9525">
                      <a:noFill/>
                      <a:headEnd/>
                      <a:tailEnd/>
                    </a:ln>
                  </pic:spPr>
                </pic:pic>
              </a:graphicData>
            </a:graphic>
          </wp:inline>
        </w:drawing>
      </w:r>
      <w:r>
        <w:t xml:space="preserve"> </w:t>
      </w:r>
    </w:p>
    <w:p>
      <w:pPr>
        <w:pStyle w:val="BodyText"/>
      </w:pPr>
      <w:r>
        <w:t xml:space="preserve">Finally, a single Mendelian randomisation analysis was identified examining the effect of lowered LDL-c levels on the risk of all-cause dementia via genetic inhibition of the 3-hydroxy-3-methylglutaryl-coenzyme A reductase (HMGCR), emulating statin treatment (see Section</w:t>
      </w:r>
      <w:r>
        <w:t xml:space="preserve"> </w:t>
      </w:r>
      <w:r>
        <w:t xml:space="preserve">1.4.2</w:t>
      </w:r>
      <w:r>
        <w:t xml:space="preserve"> </w:t>
      </w:r>
      <w:r>
        <w:t xml:space="preserve">for more details of the statin mechanism of action). This analysis provided weak evidence for an effect (RR: 0.90, 95%CI: 0.29-2.81).</w:t>
      </w:r>
    </w:p>
    <w:p>
      <w:pPr>
        <w:pStyle w:val="BodyText"/>
      </w:pPr>
      <w:r>
        <w:t xml:space="preserve"> </w:t>
      </w:r>
      <w:r>
        <w:t xml:space="preserve"> </w:t>
      </w:r>
    </w:p>
    <w:bookmarkEnd w:id="120"/>
    <w:bookmarkStart w:id="122" w:name="fibrates"/>
    <w:p>
      <w:pPr>
        <w:pStyle w:val="Heading4"/>
      </w:pPr>
      <w:r>
        <w:t xml:space="preserve">Fibrates</w:t>
      </w:r>
    </w:p>
    <w:p>
      <w:pPr>
        <w:pStyle w:val="FirstParagraph"/>
      </w:pPr>
      <w:r>
        <w:t xml:space="preserve">Two studies examined the effect of fibrate use on all-cause dementia and found very weak evidence for an effect (HR: 0.90, 95%CI: 0.75-1.07, Figure</w:t>
      </w:r>
      <w:r>
        <w:t xml:space="preserve"> </w:t>
      </w:r>
      <w:r>
        <w:t xml:space="preserve">8</w:t>
      </w:r>
      <w:r>
        <w:t xml:space="preserve">).</w:t>
      </w:r>
    </w:p>
    <w:p>
      <w:pPr>
        <w:pStyle w:val="BodyText"/>
      </w:pPr>
      <w:r>
        <w:drawing>
          <wp:inline>
            <wp:extent cx="5943600" cy="2377440"/>
            <wp:effectExtent b="0" l="0" r="0" t="0"/>
            <wp:docPr descr="Figure 8: Random-effects meta-analysis of non-randomised studies examining the effect of fibrate use on all-cause dementia" title="" id="1" name="Picture"/>
            <a:graphic>
              <a:graphicData uri="http://schemas.openxmlformats.org/drawingml/2006/picture">
                <pic:pic>
                  <pic:nvPicPr>
                    <pic:cNvPr descr="figures/sys-rev/fp_obs_Fibrate_Dementia.png" id="0" name="Picture"/>
                    <pic:cNvPicPr>
                      <a:picLocks noChangeArrowheads="1" noChangeAspect="1"/>
                    </pic:cNvPicPr>
                  </pic:nvPicPr>
                  <pic:blipFill>
                    <a:blip r:embed="rId12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bookmarkEnd w:id="122"/>
    <w:bookmarkStart w:id="125" w:name="lipids"/>
    <w:p>
      <w:pPr>
        <w:pStyle w:val="Heading4"/>
      </w:pPr>
      <w:r>
        <w:t xml:space="preserve">Lipids</w:t>
      </w:r>
    </w:p>
    <w:p>
      <w:pPr>
        <w:pStyle w:val="FirstParagraph"/>
      </w:pPr>
      <w:r>
        <w:t xml:space="preserve">Across all outcomes, lipid levels were categorised in a number of ways. The most common categorisation was hypercholesterolemia at baseline, defined most frequently as a total cholesterol measurement of greater than 6.5 mmol/L.</w:t>
      </w:r>
    </w:p>
    <w:p>
      <w:pPr>
        <w:pStyle w:val="BodyText"/>
      </w:pPr>
      <w:r>
        <w:t xml:space="preserve">Eleven studies reported on the association of hypercholesterolemia with all-cause dementia and provided weak evidence for an effect (HR: 1.11, 95%CI: 0.99-1.24, Figure</w:t>
      </w:r>
      <w:r>
        <w:t xml:space="preserve"> </w:t>
      </w:r>
      <w:r>
        <w:t xml:space="preserve">9</w:t>
      </w:r>
      <w:r>
        <w:t xml:space="preserve">).</w:t>
      </w:r>
    </w:p>
    <w:p>
      <w:pPr>
        <w:pStyle w:val="BodyText"/>
      </w:pPr>
      <w:r>
        <w:drawing>
          <wp:inline>
            <wp:extent cx="5943600" cy="4754880"/>
            <wp:effectExtent b="0" l="0" r="0" t="0"/>
            <wp:docPr descr="Figure 9: Random-effects meta-analysis of non-randomised studies examining the effect of hypercholesterolemia on all-cause dementia" title="" id="1" name="Picture"/>
            <a:graphic>
              <a:graphicData uri="http://schemas.openxmlformats.org/drawingml/2006/picture">
                <pic:pic>
                  <pic:nvPicPr>
                    <pic:cNvPr descr="figures/sys-rev/fp_obs_hyperchol_Dementia.png" id="0" name="Picture"/>
                    <pic:cNvPicPr>
                      <a:picLocks noChangeArrowheads="1" noChangeAspect="1"/>
                    </pic:cNvPicPr>
                  </pic:nvPicPr>
                  <pic:blipFill>
                    <a:blip r:embed="rId123"/>
                    <a:stretch>
                      <a:fillRect/>
                    </a:stretch>
                  </pic:blipFill>
                  <pic:spPr bwMode="auto">
                    <a:xfrm>
                      <a:off x="0" y="0"/>
                      <a:ext cx="5943600" cy="4754880"/>
                    </a:xfrm>
                    <a:prstGeom prst="rect">
                      <a:avLst/>
                    </a:prstGeom>
                    <a:noFill/>
                    <a:ln w="9525">
                      <a:noFill/>
                      <a:headEnd/>
                      <a:tailEnd/>
                    </a:ln>
                  </pic:spPr>
                </pic:pic>
              </a:graphicData>
            </a:graphic>
          </wp:inline>
        </w:drawing>
      </w:r>
      <w:r>
        <w:t xml:space="preserve"> </w:t>
      </w:r>
    </w:p>
    <w:p>
      <w:pPr>
        <w:pStyle w:val="BodyText"/>
      </w:pPr>
      <w:r>
        <w:t xml:space="preserve">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0.97, 95%CI: 0.87-1.07), LDL-c (N = 2; HR: 0.96, 95%CI: 0.86-1.08), HDL-c (N = 4; HR: 1.04, 95%CI: 0.96-1.13) and triglycerides (N = 3; HR: 0.90, 95%CI: 0.75-1.08).</w:t>
      </w:r>
    </w:p>
    <w:p>
      <w:pPr>
        <w:pStyle w:val="BodyText"/>
      </w:pPr>
      <w:r>
        <w:drawing>
          <wp:inline>
            <wp:extent cx="5943600" cy="8915400"/>
            <wp:effectExtent b="0" l="0" r="0" t="0"/>
            <wp:docPr descr="(#fig:lipidFractionsDementia)Random-effects meta-analysis of four lipid fractions (total cholesteol, HDL, LDL, and triglycerides) on all-cause dementia risk, standardised per 1-SD increase in the lipid fraction." title="" id="1" name="Picture"/>
            <a:graphic>
              <a:graphicData uri="http://schemas.openxmlformats.org/drawingml/2006/picture">
                <pic:pic>
                  <pic:nvPicPr>
                    <pic:cNvPr descr="figures/sys-rev/fp_lipids_composite_Dementia.pdf" id="0"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lower lipid levels, as determined by any genetic instrument, on all-cause dementia risk.</w:t>
      </w:r>
    </w:p>
    <w:p>
      <w:pPr>
        <w:pStyle w:val="BodyText"/>
      </w:pPr>
      <w:r>
        <w:t xml:space="preserve"> </w:t>
      </w:r>
    </w:p>
    <w:bookmarkEnd w:id="125"/>
    <w:bookmarkEnd w:id="126"/>
    <w:bookmarkStart w:id="134" w:name="sys-rev-res-AD"/>
    <w:p>
      <w:pPr>
        <w:pStyle w:val="Heading3"/>
      </w:pPr>
      <w:r>
        <w:t xml:space="preserve">Alzheimer’s disease</w:t>
      </w:r>
    </w:p>
    <w:bookmarkStart w:id="129" w:name="statins-1"/>
    <w:p>
      <w:pPr>
        <w:pStyle w:val="Heading4"/>
      </w:pPr>
      <w:r>
        <w:t xml:space="preserve">Statins</w:t>
      </w:r>
    </w:p>
    <w:p>
      <w:pPr>
        <w:pStyle w:val="FirstParagraph"/>
      </w:pPr>
      <w:r>
        <w:t xml:space="preserve">There were no randomised trials of the use of statins or any other lipid regulating agents on Alzheimer’s disease, though several observational studies reported on this outcome and provided evidence for a protective effect (N = 11; HR: 0.83, 95%CI: 0.69-1.00; Figure</w:t>
      </w:r>
      <w:r>
        <w:t xml:space="preserve"> </w:t>
      </w:r>
      <w:r>
        <w:t xml:space="preserve">10</w:t>
      </w:r>
      <w:r>
        <w:t xml:space="preserve">).</w:t>
      </w:r>
    </w:p>
    <w:p>
      <w:pPr>
        <w:pStyle w:val="BodyText"/>
      </w:pPr>
      <w:r>
        <w:drawing>
          <wp:inline>
            <wp:extent cx="5943600" cy="4075611"/>
            <wp:effectExtent b="0" l="0" r="0" t="0"/>
            <wp:docPr descr="Figure 10: Random-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7"/>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HMGCR inhibition, mediated by SNPs in the gene (rs172338484 and rs12916).</w:t>
      </w:r>
      <w:hyperlink w:anchor="ref-benn2017b">
        <w:r>
          <w:rPr>
            <w:rStyle w:val="Hyperlink"/>
            <w:vertAlign w:val="superscript"/>
          </w:rPr>
          <w:t xml:space="preserve">189</w:t>
        </w:r>
      </w:hyperlink>
      <w:r>
        <w:rPr>
          <w:vertAlign w:val="superscript"/>
        </w:rPr>
        <w:t xml:space="preserve">,</w:t>
      </w:r>
      <w:hyperlink w:anchor="ref-so2017">
        <w:r>
          <w:rPr>
            <w:rStyle w:val="Hyperlink"/>
            <w:vertAlign w:val="superscript"/>
          </w:rPr>
          <w:t xml:space="preserve">230</w:t>
        </w:r>
      </w:hyperlink>
      <w:r>
        <w:t xml:space="preserve"> </w:t>
      </w:r>
      <w:r>
        <w:t xml:space="preserve">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 Meta-analysis of these estimates provided weak evidence of an effect (RR: 0.76, 95%CI: 0.51-1.14, Figure</w:t>
      </w:r>
      <w:r>
        <w:t xml:space="preserve"> </w:t>
      </w:r>
      <w:r>
        <w:t xml:space="preserve">11</w:t>
      </w:r>
      <w:r>
        <w:t xml:space="preserve">).</w:t>
      </w:r>
    </w:p>
    <w:p>
      <w:pPr>
        <w:pStyle w:val="BodyText"/>
      </w:pPr>
      <w:r>
        <w:drawing>
          <wp:inline>
            <wp:extent cx="5943600" cy="1867988"/>
            <wp:effectExtent b="0" l="0" r="0" t="0"/>
            <wp:docPr descr="Figure 11: Random-effects meta-analysis of genetically lowered LDL-c via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8"/>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129"/>
    <w:bookmarkStart w:id="133" w:name="lipids-1"/>
    <w:p>
      <w:pPr>
        <w:pStyle w:val="Heading4"/>
      </w:pPr>
      <w:r>
        <w:t xml:space="preserve">Lipids</w:t>
      </w:r>
    </w:p>
    <w:p>
      <w:pPr>
        <w:pStyle w:val="FirstParagraph"/>
      </w:pPr>
      <w:r>
        <w:t xml:space="preserve">9 studies reported on the association of hypercholesterolemia with all-cause dementia and provided weak evidence for an effect (HR: 0.99, 95%CI: 0.78-1.25, Figure</w:t>
      </w:r>
      <w:r>
        <w:t xml:space="preserve"> </w:t>
      </w:r>
      <w:r>
        <w:t xml:space="preserve">12</w:t>
      </w:r>
      <w:r>
        <w:t xml:space="preserve">)</w:t>
      </w:r>
    </w:p>
    <w:p>
      <w:pPr>
        <w:pStyle w:val="BodyText"/>
      </w:pPr>
      <w:r>
        <w:drawing>
          <wp:inline>
            <wp:extent cx="5943600" cy="3396342"/>
            <wp:effectExtent b="0" l="0" r="0" t="0"/>
            <wp:docPr descr="Figure 12: Random-effects meta-analysis of non-randomised studies examining the effect of hypercholesterolemia on Alzheimer’s disease" title="" id="1" name="Picture"/>
            <a:graphic>
              <a:graphicData uri="http://schemas.openxmlformats.org/drawingml/2006/picture">
                <pic:pic>
                  <pic:nvPicPr>
                    <pic:cNvPr descr="figures/sys-rev/fp_obs_hyperchol_AD.png" id="0" name="Picture"/>
                    <pic:cNvPicPr>
                      <a:picLocks noChangeArrowheads="1" noChangeAspect="1"/>
                    </pic:cNvPicPr>
                  </pic:nvPicPr>
                  <pic:blipFill>
                    <a:blip r:embed="rId130"/>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BodyText"/>
      </w:pPr>
      <w:r>
        <w:t xml:space="preserve">Similarly to all-cause dementia, several studies analysed individual lipid fractions by estimating the risk of dementia per 1 standard deviation increase in that fraction (Figure</w:t>
      </w:r>
      <w:r>
        <w:t xml:space="preserve"> </w:t>
      </w:r>
      <w:r>
        <w:t xml:space="preserve">??</w:t>
      </w:r>
      <w:r>
        <w:t xml:space="preserve">). Very weak evidence for an effect on all-cause dementia was found for total cholesterol (N = 5; HR: 1.00, 95%CI: 0.93-1.07), LDL-c (N = 3; HR: 1.03, 95%CI: 0.91-1.16), HDL-c (N = 4; HR: 0.99, 95%CI: 0.91-1.07) or triglycerides (N = 3; HR: 0.99, 95%CI: 0.83-1.19).</w:t>
      </w:r>
    </w:p>
    <w:p>
      <w:pPr>
        <w:pStyle w:val="BodyText"/>
      </w:pPr>
      <w:r>
        <w:drawing>
          <wp:inline>
            <wp:extent cx="5943600" cy="8915400"/>
            <wp:effectExtent b="0" l="0" r="0" t="0"/>
            <wp:docPr descr="(#fig:lipidFractionsAD)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lipids_composite_AD.pdf" id="0" name="Picture"/>
                    <pic:cNvPicPr>
                      <a:picLocks noChangeArrowheads="1" noChangeAspect="1"/>
                    </pic:cNvPicPr>
                  </pic:nvPicPr>
                  <pic:blipFill>
                    <a:blip r:embed="rId131"/>
                    <a:stretch>
                      <a:fillRect/>
                    </a:stretch>
                  </pic:blipFill>
                  <pic:spPr bwMode="auto">
                    <a:xfrm>
                      <a:off x="0" y="0"/>
                      <a:ext cx="5943600" cy="8915400"/>
                    </a:xfrm>
                    <a:prstGeom prst="rect">
                      <a:avLst/>
                    </a:prstGeom>
                    <a:noFill/>
                    <a:ln w="9525">
                      <a:noFill/>
                      <a:headEnd/>
                      <a:tailEnd/>
                    </a:ln>
                  </pic:spPr>
                </pic:pic>
              </a:graphicData>
            </a:graphic>
          </wp:inline>
        </w:drawing>
      </w:r>
      <w:r>
        <w:t xml:space="preserve"> </w:t>
      </w:r>
    </w:p>
    <w:p>
      <w:pPr>
        <w:pStyle w:val="BodyText"/>
      </w:pPr>
      <w:r>
        <w:t xml:space="preserve">Finally, there were several identified Mendelian randomisation studies examining the effect of genetically lowered LDL-c on Alzheimer’s disease risk (Figure</w:t>
      </w:r>
      <w:r>
        <w:t xml:space="preserve"> </w:t>
      </w:r>
      <w:r>
        <w:t xml:space="preserve">13</w:t>
      </w:r>
      <w:r>
        <w:t xml:space="preserve">). However, all of these studies used a two-sample approach, making use of summary statistics from the GLGC and IGAP consortia. Due to this overlap, which would result in a falsely precise estimate caused by multiple counting of the same participants, no meta-analysis of these studies was performed. However, across all analysis, using varying number of SNPS, no evidence for an effect was observed (Figure</w:t>
      </w:r>
      <w:r>
        <w:t xml:space="preserve"> </w:t>
      </w:r>
      <w:r>
        <w:t xml:space="preserve">13</w:t>
      </w:r>
      <w:r>
        <w:t xml:space="preserve">).</w:t>
      </w:r>
    </w:p>
    <w:p>
      <w:pPr>
        <w:pStyle w:val="BodyText"/>
      </w:pPr>
      <w:r>
        <w:drawing>
          <wp:inline>
            <wp:extent cx="5943600" cy="2971800"/>
            <wp:effectExtent b="0" l="0" r="0" t="0"/>
            <wp:docPr descr="Figure 13: Summary of duplication across Mendelian randomisation studies which used summary statistics from the Global Lipid Genetics Consortium (GLGC) and the International Genomics of Alzheimer’s Project (IGAP). Note that the Alzheimer’s Disease Genetics Consortium (ADGC) is a sub-cohort within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32"/>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 </w:t>
      </w:r>
    </w:p>
    <w:bookmarkEnd w:id="133"/>
    <w:bookmarkEnd w:id="134"/>
    <w:bookmarkStart w:id="140" w:name="sys-rev-res-VaD"/>
    <w:p>
      <w:pPr>
        <w:pStyle w:val="Heading3"/>
      </w:pPr>
      <w:r>
        <w:t xml:space="preserve">Vascular dementia</w:t>
      </w:r>
    </w:p>
    <w:bookmarkStart w:id="136" w:name="statins-2"/>
    <w:p>
      <w:pPr>
        <w:pStyle w:val="Heading4"/>
      </w:pPr>
      <w:r>
        <w:t xml:space="preserve">Statins</w:t>
      </w:r>
    </w:p>
    <w:p>
      <w:pPr>
        <w:pStyle w:val="FirstParagraph"/>
      </w:pPr>
      <w:r>
        <w:t xml:space="preserve">As noted in Section</w:t>
      </w:r>
      <w:r>
        <w:t xml:space="preserve"> </w:t>
      </w:r>
      <w:r>
        <w:t xml:space="preserve">3.4.4</w:t>
      </w:r>
      <w:r>
        <w:t xml:space="preserve"> </w:t>
      </w:r>
      <w:r>
        <w:t xml:space="preserve">above, there was substantially less literature available on the association of my risk factors of interest and vascular dementia. There were no available randomised trials for this outcome. Three prospective cohort studies examined statin use and vascular dementia, though meta-analysis of these studies provided very weak evidence for an effect (N = 3; HR: 1.02, 95%CI: 0.77-1.36; Figure</w:t>
      </w:r>
      <w:r>
        <w:t xml:space="preserve"> </w:t>
      </w:r>
      <w:r>
        <w:t xml:space="preserve">14</w:t>
      </w:r>
      <w:r>
        <w:t xml:space="preserve">).</w:t>
      </w:r>
    </w:p>
    <w:p>
      <w:pPr>
        <w:pStyle w:val="BodyText"/>
      </w:pPr>
      <w:r>
        <w:drawing>
          <wp:inline>
            <wp:extent cx="5943600" cy="2377440"/>
            <wp:effectExtent b="0" l="0" r="0" t="0"/>
            <wp:docPr descr="Figure 14: Random-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A single Mendelian randomisation analysis was identified that examining the effect of genetically lowered LDL-c levels via HMGCR inhibition on the risk of vascular dementia, which provided weak evidence for an effect (RR: 0.44, 95%CI: 0.21-0.91).</w:t>
      </w:r>
    </w:p>
    <w:p>
      <w:pPr>
        <w:pStyle w:val="BodyText"/>
      </w:pPr>
      <w:r>
        <w:t xml:space="preserve"> </w:t>
      </w:r>
    </w:p>
    <w:bookmarkEnd w:id="136"/>
    <w:bookmarkStart w:id="139" w:name="lipids-2"/>
    <w:p>
      <w:pPr>
        <w:pStyle w:val="Heading4"/>
      </w:pPr>
      <w:r>
        <w:t xml:space="preserve">Lipids</w:t>
      </w:r>
    </w:p>
    <w:p>
      <w:pPr>
        <w:pStyle w:val="FirstParagraph"/>
      </w:pPr>
      <w:r>
        <w:t xml:space="preserve">Three studies reported on the association of hypercholesterolemia with vascular dementia and provided weak evidence for an effect (HR: 1.20, 95%CI: 1.00-1.44, Figure</w:t>
      </w:r>
      <w:r>
        <w:t xml:space="preserve"> </w:t>
      </w:r>
      <w:r>
        <w:t xml:space="preserve">15</w:t>
      </w:r>
      <w:r>
        <w:t xml:space="preserve">)</w:t>
      </w:r>
    </w:p>
    <w:p>
      <w:pPr>
        <w:pStyle w:val="BodyText"/>
      </w:pPr>
      <w:r>
        <w:drawing>
          <wp:inline>
            <wp:extent cx="5943600" cy="2377440"/>
            <wp:effectExtent b="0" l="0" r="0" t="0"/>
            <wp:docPr descr="Figure 15: Random-effects meta-analysis of non-randomised studies examining the effect of hypercholesterolemia on vascular dementia" title="" id="1" name="Picture"/>
            <a:graphic>
              <a:graphicData uri="http://schemas.openxmlformats.org/drawingml/2006/picture">
                <pic:pic>
                  <pic:nvPicPr>
                    <pic:cNvPr descr="figures/sys-rev/fp_obs_hyperchol_VaD.png" id="0" name="Picture"/>
                    <pic:cNvPicPr>
                      <a:picLocks noChangeArrowheads="1" noChangeAspect="1"/>
                    </pic:cNvPicPr>
                  </pic:nvPicPr>
                  <pic:blipFill>
                    <a:blip r:embed="rId13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Few studies investigated the effect of individual lipid fractions. Only for total cholesterol was there greater than one result reported (Figure</w:t>
      </w:r>
      <w:r>
        <w:t xml:space="preserve"> </w:t>
      </w:r>
      <w:r>
        <w:t xml:space="preserve">16</w:t>
      </w:r>
      <w:r>
        <w:t xml:space="preserve">), and a meta-analysis of these found very weak evidence for an effect (N = 2; HR: 1.05, 95%CI: 0.79-1.41). A single study provided evidence on the other three fractions,</w:t>
      </w:r>
      <w:hyperlink w:anchor="ref-yoshitake1995">
        <w:r>
          <w:rPr>
            <w:rStyle w:val="Hyperlink"/>
            <w:vertAlign w:val="superscript"/>
          </w:rPr>
          <w:t xml:space="preserve">223</w:t>
        </w:r>
      </w:hyperlink>
      <w:r>
        <w:t xml:space="preserve"> </w:t>
      </w:r>
      <w:r>
        <w:t xml:space="preserve">and similar found minimal evidence of an effect LDL-c (N = 1; HR: 1.12, 95%CI: 0.83-1.51), HDL-c (N = 1; HR: 0.83, 95%CI: 0.60-1.14) or triglycerides (N = 1; HR: 1.00, 95%CI: 0.75-1.34).</w:t>
      </w:r>
    </w:p>
    <w:p>
      <w:pPr>
        <w:pStyle w:val="BodyText"/>
      </w:pPr>
      <w:r>
        <w:drawing>
          <wp:inline>
            <wp:extent cx="5943600" cy="2377440"/>
            <wp:effectExtent b="0" l="0" r="0" t="0"/>
            <wp:docPr descr="Figure 16: Random-effects meta-analysis of four lipid fractions (total cholesteol, HDL, LDL, and triglycerides) on Alzheimer’s disease risk, standardised per 1-SD increase in the lipid fraction." title="" id="1" name="Picture"/>
            <a:graphic>
              <a:graphicData uri="http://schemas.openxmlformats.org/drawingml/2006/picture">
                <pic:pic>
                  <pic:nvPicPr>
                    <pic:cNvPr descr="figures/sys-rev/fp_obs_VaD_TC_.png" id="0" name="Picture"/>
                    <pic:cNvPicPr>
                      <a:picLocks noChangeArrowheads="1" noChangeAspect="1"/>
                    </pic:cNvPicPr>
                  </pic:nvPicPr>
                  <pic:blipFill>
                    <a:blip r:embed="rId138"/>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Finally, there were no identified Mendelian randomisation analysis examining the effect of genetically determined lipid levels on vascular dementia risk.</w:t>
      </w:r>
    </w:p>
    <w:p>
      <w:pPr>
        <w:pStyle w:val="BodyText"/>
      </w:pPr>
      <w:r>
        <w:t xml:space="preserve"> </w:t>
      </w:r>
    </w:p>
    <w:bookmarkEnd w:id="139"/>
    <w:bookmarkEnd w:id="140"/>
    <w:bookmarkStart w:id="142" w:name="dose-response-results"/>
    <w:p>
      <w:pPr>
        <w:pStyle w:val="Heading3"/>
      </w:pPr>
      <w:r>
        <w:t xml:space="preserve">Dose response meta-analysis of lipid levels</w:t>
      </w:r>
    </w:p>
    <w:p>
      <w:pPr>
        <w:pStyle w:val="FirstParagraph"/>
      </w:pPr>
      <w:r>
        <w:t xml:space="preserve">There were 13 studies that were eligible for dose-response meta-analysis as they provide several categories of lipid exposure. However, following data extract, five were excluded as they did not reported the relevant information needed (most commonly, the cut-off measures for each category).</w:t>
      </w:r>
    </w:p>
    <w:p>
      <w:pPr>
        <w:pStyle w:val="BodyText"/>
      </w:pPr>
      <w:r>
        <w:t xml:space="preserve">Across the remaining eight studies, a sufficient number of studies (n</w:t>
      </w:r>
      <w:r>
        <w:t xml:space="preserve"> </w:t>
      </w:r>
      <m:oMath>
        <m:r>
          <m:rPr>
            <m:sty m:val="p"/>
          </m:rPr>
          <m:t>≥</m:t>
        </m:r>
      </m:oMath>
      <w:r>
        <w:t xml:space="preserve"> </w:t>
      </w:r>
      <w:r>
        <w:t xml:space="preserve">3) were identified only for the total cholesterol-Alzheimer’s, LDL-Alzheimer’s, and total cholesterol-dementia strata. This analysis provided very weak evidence for a non-linear effect of lipid levels on dementia outcomes, and Figure</w:t>
      </w:r>
      <w:r>
        <w:t xml:space="preserve"> </w:t>
      </w:r>
      <w:r>
        <w:t xml:space="preserve">17</w:t>
      </w:r>
      <w:r>
        <w:t xml:space="preserve"> </w:t>
      </w:r>
      <w:r>
        <w:t xml:space="preserve">illustrates this for the total cholesterol-Alzheimer’s strata. Similar figures for the other analysed lipid-outcome strata are presented in Appendix</w:t>
      </w:r>
      <w:r>
        <w:t xml:space="preserve"> </w:t>
      </w:r>
      <w:r>
        <w:t xml:space="preserve">??</w:t>
      </w:r>
      <w:r>
        <w:t xml:space="preserve">.</w:t>
      </w:r>
    </w:p>
    <w:p>
      <w:pPr>
        <w:pStyle w:val="BodyText"/>
      </w:pPr>
      <w:r>
        <w:t xml:space="preserve">(ref:lipidsDoseResponse-scap) Dose-response meta-analysis of total cholesterol</w:t>
      </w:r>
    </w:p>
    <w:p>
      <w:pPr>
        <w:pStyle w:val="BodyText"/>
      </w:pPr>
      <w:r>
        <w:drawing>
          <wp:inline>
            <wp:extent cx="5943600" cy="5943600"/>
            <wp:effectExtent b="0" l="0" r="0" t="0"/>
            <wp:docPr descr="Figure 17: Dose-response meta-analysis of total cholesterol on Alzheimer’s disease" title="" id="1" name="Picture"/>
            <a:graphic>
              <a:graphicData uri="http://schemas.openxmlformats.org/drawingml/2006/picture">
                <pic:pic>
                  <pic:nvPicPr>
                    <pic:cNvPr descr="figures/sys-rev/dr_AD_TC.png" id="0" name="Picture"/>
                    <pic:cNvPicPr>
                      <a:picLocks noChangeArrowheads="1" noChangeAspect="1"/>
                    </pic:cNvPicPr>
                  </pic:nvPicPr>
                  <pic:blipFill>
                    <a:blip r:embed="rId141"/>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bookmarkEnd w:id="142"/>
    <w:bookmarkStart w:id="143" w:name="additional-analyses-1"/>
    <w:p>
      <w:pPr>
        <w:pStyle w:val="Heading3"/>
      </w:pPr>
      <w:r>
        <w:t xml:space="preserve">Additional analyses</w:t>
      </w:r>
    </w:p>
    <w:p>
      <w:pPr>
        <w:pStyle w:val="FirstParagraph"/>
      </w:pPr>
      <w:r>
        <w:t xml:space="preserve">Investigation of potential sources of heterogeneity was complicated by two factors. In the first instance, few meta-analysis included more than 10 results, the recommended minimum required for meta-regression. Secondly, poor reporting of summary statistics including education level and baseline cognitive ability precluded the use of several results in a meta-regression analysis.</w:t>
      </w:r>
    </w:p>
    <w:p>
      <w:pPr>
        <w:pStyle w:val="BodyText"/>
      </w:pPr>
      <w:r>
        <w:t xml:space="preserve">Age and sex were assessed as potential causes of heterogeneity in the meta-analyses of statin use and hypercholesterolemia on all cause dementia and Alzheimer’s disease, but I found very weak evidence for variation in the observed effect estimates due to these factors.</w:t>
      </w:r>
    </w:p>
    <w:p>
      <w:pPr>
        <w:pStyle w:val="BodyText"/>
      </w:pPr>
      <w:r>
        <w:t xml:space="preserve">Similarly, assessment of small-study effects, for which publication bias could be one potential reason, was hindered by the relatively small number of results included in a given meta-analysis. However, all analyses assessed provided weak evidence of small-study effects.</w:t>
      </w:r>
    </w:p>
    <w:p>
      <w:pPr>
        <w:pStyle w:val="BodyText"/>
      </w:pPr>
      <w:r>
        <w:t xml:space="preserve">[</w:t>
      </w:r>
      <w:r>
        <w:rPr>
          <w:iCs/>
          <w:i/>
        </w:rPr>
        <w:t xml:space="preserve">Note: Julian, is this sufficient or should I report statistics for each? Additionally, are there any other sensitivity analyses I should be presenting here?</w:t>
      </w:r>
      <w:r>
        <w:t xml:space="preserve">]</w:t>
      </w:r>
    </w:p>
    <w:p>
      <w:pPr>
        <w:pStyle w:val="BodyText"/>
      </w:pPr>
      <w:r>
        <w:t xml:space="preserve"> </w:t>
      </w:r>
    </w:p>
    <w:p>
      <w:pPr>
        <w:pStyle w:val="BodyText"/>
      </w:pPr>
      <w:r>
        <w:t xml:space="preserve"> </w:t>
      </w:r>
    </w:p>
    <w:bookmarkEnd w:id="143"/>
    <w:bookmarkStart w:id="144" w:name="missing-evidence"/>
    <w:p>
      <w:pPr>
        <w:pStyle w:val="Heading3"/>
      </w:pPr>
      <w:r>
        <w:t xml:space="preserve">Missing evidence</w:t>
      </w:r>
    </w:p>
    <w:p>
      <w:pPr>
        <w:pStyle w:val="FirstParagraph"/>
      </w:pPr>
      <w:r>
        <w:t xml:space="preserve">The risk of bias due to missing evidence in each synthesis is shown beside the overall summary diamond in each forest plot presented above. For randomised controlled trials and non-randomised studies of interventions, the risk of bias due to missing evidence was assessed to be minimal. However, there was substantial evidence that results were selectively reported in studies examining the effect of lipid fractions on dementia outcomes (Figures</w:t>
      </w:r>
      <w:r>
        <w:t xml:space="preserve"> </w:t>
      </w:r>
      <w:r>
        <w:t xml:space="preserve">??</w:t>
      </w:r>
      <w:r>
        <w:t xml:space="preserve">,</w:t>
      </w:r>
      <w:r>
        <w:t xml:space="preserve"> </w:t>
      </w:r>
      <w:r>
        <w:t xml:space="preserve">??</w:t>
      </w:r>
      <w:r>
        <w:t xml:space="preserve"> </w:t>
      </w:r>
      <w:r>
        <w:t xml:space="preserve">and</w:t>
      </w:r>
      <w:r>
        <w:t xml:space="preserve"> </w:t>
      </w:r>
      <w:r>
        <w:t xml:space="preserve">16</w:t>
      </w:r>
      <w:r>
        <w:t xml:space="preserve">.</w:t>
      </w:r>
    </w:p>
    <w:p>
      <w:pPr>
        <w:pStyle w:val="BodyText"/>
      </w:pPr>
      <w:r>
        <w:t xml:space="preserve"> </w:t>
      </w:r>
    </w:p>
    <w:bookmarkEnd w:id="144"/>
    <w:bookmarkStart w:id="145" w:name="sys-rev-including-preprints-res"/>
    <w:p>
      <w:pPr>
        <w:pStyle w:val="Heading3"/>
      </w:pPr>
      <w:r>
        <w:t xml:space="preserve">Added evidential value of including preprints</w:t>
      </w:r>
    </w:p>
    <w:p>
      <w:pPr>
        <w:pStyle w:val="FirstParagraph"/>
      </w:pPr>
      <w:r>
        <w:t xml:space="preserve">As show in Figure</w:t>
      </w:r>
      <w:r>
        <w:t xml:space="preserve"> </w:t>
      </w:r>
      <w:r>
        <w:t xml:space="preserve">4</w:t>
      </w:r>
      <w:r>
        <w:t xml:space="preserve">, the number of hits returned by the preprint searching was not substantial (bioRxiv = 256, medRxiv = 0). From these hits, three preprinted reports of eligible studies were included in the review, of which two described unique studies not captured by the main search.</w:t>
      </w:r>
      <w:hyperlink w:anchor="ref-so2017">
        <w:r>
          <w:rPr>
            <w:rStyle w:val="Hyperlink"/>
            <w:vertAlign w:val="superscript"/>
          </w:rPr>
          <w:t xml:space="preserve">230</w:t>
        </w:r>
      </w:hyperlink>
      <w:r>
        <w:rPr>
          <w:vertAlign w:val="superscript"/>
        </w:rPr>
        <w:t xml:space="preserve">,</w:t>
      </w:r>
      <w:hyperlink w:anchor="ref-andrews2019">
        <w:r>
          <w:rPr>
            <w:rStyle w:val="Hyperlink"/>
            <w:vertAlign w:val="superscript"/>
          </w:rPr>
          <w:t xml:space="preserve">233</w:t>
        </w:r>
      </w:hyperlink>
    </w:p>
    <w:p>
      <w:pPr>
        <w:pStyle w:val="BodyText"/>
      </w:pPr>
      <w:r>
        <w:t xml:space="preserve">Including preprints did provide useful additional evidential value in a number of meta-analysis. To demonstrate this, the effect of HMGCR SNPS on Alzheimer’s disease (Figure</w:t>
      </w:r>
      <w:r>
        <w:t xml:space="preserve"> </w:t>
      </w:r>
      <w:r>
        <w:t xml:space="preserve">11</w:t>
      </w:r>
      <w:r>
        <w:t xml:space="preserve">) in Mendelian randomisation studies was re-analysed using a fixed-effect model. Examination of the weight assigned to each result in the analysis illustrates that a large proportion (78%) of the weight is given to the preprinted result.</w:t>
      </w:r>
    </w:p>
    <w:p>
      <w:pPr>
        <w:pStyle w:val="BodyText"/>
      </w:pPr>
      <w:r>
        <w:t xml:space="preserve">Investigation of the publication status of the two preprints reporting studies not also identified by the main search after a two-year lag found that one had been subsequently published in late 2019.</w:t>
      </w:r>
      <w:hyperlink w:anchor="ref-andrews2021">
        <w:r>
          <w:rPr>
            <w:rStyle w:val="Hyperlink"/>
            <w:vertAlign w:val="superscript"/>
          </w:rPr>
          <w:t xml:space="preserve">225</w:t>
        </w:r>
      </w:hyperlink>
      <w:r>
        <w:rPr>
          <w:vertAlign w:val="superscript"/>
        </w:rPr>
        <w:t xml:space="preserve">,</w:t>
      </w:r>
      <w:hyperlink w:anchor="ref-andrews2019">
        <w:r>
          <w:rPr>
            <w:rStyle w:val="Hyperlink"/>
            <w:vertAlign w:val="superscript"/>
          </w:rPr>
          <w:t xml:space="preserve">233</w:t>
        </w:r>
      </w:hyperlink>
      <w:r>
        <w:t xml:space="preserve"> </w:t>
      </w:r>
      <w:r>
        <w:t xml:space="preserve">The final preprint has not yet been published.</w:t>
      </w:r>
      <w:hyperlink w:anchor="ref-so2017">
        <w:r>
          <w:rPr>
            <w:rStyle w:val="Hyperlink"/>
            <w:vertAlign w:val="superscript"/>
          </w:rPr>
          <w:t xml:space="preserve">230</w:t>
        </w:r>
      </w:hyperlink>
    </w:p>
    <w:p>
      <w:pPr>
        <w:pStyle w:val="BodyText"/>
      </w:pPr>
      <w:r>
        <w:t xml:space="preserve"> </w:t>
      </w:r>
      <w:r>
        <w:t xml:space="preserve"> </w:t>
      </w:r>
    </w:p>
    <w:bookmarkEnd w:id="145"/>
    <w:bookmarkEnd w:id="146"/>
    <w:bookmarkStart w:id="158"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 This discussion seeks to to summarise the key findings in terms of literature sources and results as reported. A detailed comparison across the evidence sources, exposure measures and sources of bias reported here is presented as part of the triangulation exercise in Chapter</w:t>
      </w:r>
      <w:r>
        <w:t xml:space="preserve"> </w:t>
      </w:r>
      <w:r>
        <w:t xml:space="preserve">7</w:t>
      </w:r>
      <w:r>
        <w:t xml:space="preserve">.</w:t>
      </w:r>
    </w:p>
    <w:p>
      <w:pPr>
        <w:pStyle w:val="BodyText"/>
      </w:pPr>
      <w:r>
        <w:t xml:space="preserve"> </w:t>
      </w:r>
    </w:p>
    <w:bookmarkStart w:id="148"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heterogeneity in exposure (e.g. mid-life in studies of lipids with late-life lipid reduction in RCTs) or alternatively due to biases within the non-randomised studies.</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made necessary by the long latent period of the condition, makes trials logistically challenging and financial expensive. Similarly, Mendelian randomisation is a comparatively new study design (as illustrated in Figure</w:t>
      </w:r>
      <w:r>
        <w:t xml:space="preserve"> </w:t>
      </w:r>
      <w:r>
        <w:t xml:space="preserve">18</w:t>
      </w:r>
      <w:r>
        <w:t xml:space="preserve">), which appears in the literature in recent years, driven by the availability of summary genome wide association studies (GWAS) that form the basis of the two-sample Mendelian randomisation approach.</w:t>
      </w:r>
    </w:p>
    <w:p>
      <w:pPr>
        <w:pStyle w:val="BodyText"/>
      </w:pPr>
      <w:r>
        <w:t xml:space="preserve"> </w:t>
      </w:r>
    </w:p>
    <w:p>
      <w:pPr>
        <w:pStyle w:val="BodyText"/>
      </w:pPr>
      <w:r>
        <w:t xml:space="preserve">(ref:typeByYear-cap) Included study designs by year of publication</w:t>
      </w:r>
    </w:p>
    <w:p>
      <w:pPr>
        <w:pStyle w:val="BodyText"/>
      </w:pPr>
      <w:r>
        <w:drawing>
          <wp:inline>
            <wp:extent cx="4587290" cy="2752374"/>
            <wp:effectExtent b="0" l="0" r="0" t="0"/>
            <wp:docPr descr="Figure 18: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4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A common theme was an absence of studies examining vascular dementia as an outcome, most noticeable when comparing the evidence base for statins in dementia/Alzheimer’s (Figures</w:t>
      </w:r>
      <w:r>
        <w:t xml:space="preserve"> </w:t>
      </w:r>
      <w:r>
        <w:t xml:space="preserve">7</w:t>
      </w:r>
      <w:r>
        <w:t xml:space="preserve"> </w:t>
      </w:r>
      <w:r>
        <w:t xml:space="preserve">&amp;</w:t>
      </w:r>
      <w:r>
        <w:t xml:space="preserve"> </w:t>
      </w:r>
      <w:r>
        <w:t xml:space="preserve">10</w:t>
      </w:r>
      <w:r>
        <w:t xml:space="preserve">) with that available for vascular dementia (Figure</w:t>
      </w:r>
      <w:r>
        <w:t xml:space="preserve"> </w:t>
      </w:r>
      <w:r>
        <w:t xml:space="preserve">14</w:t>
      </w:r>
      <w:r>
        <w:t xml:space="preserve">). This is particularly interesting given that lipids and statins are strongly related to the prevention of vascular disease. A potential explanation for this observation may be publication bias or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76</w:t>
        </w:r>
      </w:hyperlink>
      <w:r>
        <w:t xml:space="preserve"> </w:t>
      </w:r>
      <w:r>
        <w:t xml:space="preserve">though there was very weak evidence of a small-study effects for this outcome (of which publication bias is a potential cause).</w:t>
      </w:r>
      <w:hyperlink w:anchor="ref-sterne2011">
        <w:r>
          <w:rPr>
            <w:rStyle w:val="Hyperlink"/>
            <w:vertAlign w:val="superscript"/>
          </w:rPr>
          <w:t xml:space="preserve">234</w:t>
        </w:r>
      </w:hyperlink>
      <w:r>
        <w:t xml:space="preserve"> </w:t>
      </w:r>
      <w:r>
        <w:t xml:space="preserve">Similarly, only one Mendelian randomisation studies examined this outcome, primarily because of the absence (until recently) of vascular dementia GWAS which precludes a two-sample approach.</w:t>
      </w:r>
    </w:p>
    <w:p>
      <w:pPr>
        <w:pStyle w:val="BodyText"/>
      </w:pPr>
      <w:r>
        <w:t xml:space="preserve">Of note, this review did not include the commonly cited PROSPER RCT, which examined the effect of pravastatin on CVD risk, reporting on cognitive outcomes as one of several secondary outcomes.</w:t>
      </w:r>
      <w:hyperlink w:anchor="ref-shepherd2002a">
        <w:r>
          <w:rPr>
            <w:rStyle w:val="Hyperlink"/>
            <w:vertAlign w:val="superscript"/>
          </w:rPr>
          <w:t xml:space="preserve">235</w:t>
        </w:r>
      </w:hyperlink>
      <w:r>
        <w:t xml:space="preserve"> </w:t>
      </w:r>
      <w:r>
        <w:t xml:space="preserve">While widely cited in relation to the effect of statins on dementia risk and included in the Cochrane review of RCTs on this topic,</w:t>
      </w:r>
      <w:hyperlink w:anchor="ref-mcguinness2016">
        <w:r>
          <w:rPr>
            <w:rStyle w:val="Hyperlink"/>
            <w:vertAlign w:val="superscript"/>
          </w:rPr>
          <w:t xml:space="preserve">236</w:t>
        </w:r>
      </w:hyperlink>
      <w:r>
        <w:t xml:space="preserve"> </w:t>
      </w:r>
      <w:r>
        <w:t xml:space="preserve">the trial reported solely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1.3.2</w:t>
      </w:r>
      <w:r>
        <w:t xml:space="preserve">). As such, this trial did not met the inclusion criteria for this review.</w:t>
      </w:r>
    </w:p>
    <w:p>
      <w:pPr>
        <w:pStyle w:val="BodyText"/>
      </w:pPr>
      <w:r>
        <w:t xml:space="preserve">Risk of bias across the individual results was generally quite high, and the causes and expected directions of these biases are discussed in more detail in Chapter</w:t>
      </w:r>
      <w:r>
        <w:t xml:space="preserve"> </w:t>
      </w:r>
      <w:r>
        <w:t xml:space="preserve">7</w:t>
      </w:r>
      <w:r>
        <w:t xml:space="preserve">. Of particular interest to this chapter, however, was the high risk of bias due to missing evidence observed for observational studies of statin levels. In many cases, estimates were know to be missing from meta-analyses not at random due to preferential reporting of significant results observed in a number of analysis, leading to the high-risk judgement. These missing estimates were most commonly identified via analysis of conference abstract/final publication pairs.</w:t>
      </w:r>
      <w:hyperlink w:anchor="ref-yamada2009">
        <w:r>
          <w:rPr>
            <w:rStyle w:val="Hyperlink"/>
            <w:vertAlign w:val="superscript"/>
          </w:rPr>
          <w:t xml:space="preserve">237</w:t>
        </w:r>
      </w:hyperlink>
      <w:r>
        <w:rPr>
          <w:vertAlign w:val="superscript"/>
        </w:rPr>
        <w:t xml:space="preserve">,</w:t>
      </w:r>
      <w:hyperlink w:anchor="ref-yamada2009a">
        <w:r>
          <w:rPr>
            <w:rStyle w:val="Hyperlink"/>
            <w:vertAlign w:val="superscript"/>
          </w:rPr>
          <w:t xml:space="preserve">238</w:t>
        </w:r>
      </w:hyperlink>
      <w:r>
        <w:t xml:space="preserve"> </w:t>
      </w:r>
      <w:r>
        <w:t xml:space="preserve">In addition, some authors stated outright that non-significant results were not reported (e.g. </w:t>
      </w:r>
      <w:r>
        <w:t xml:space="preserve">“</w:t>
      </w:r>
      <w:r>
        <w:t xml:space="preserve">The other lipid variables not significantly associated with dementia and Alzheimer’s disease … were not reported in the Table.</w:t>
      </w:r>
      <w:r>
        <w:t xml:space="preserve">”</w:t>
      </w:r>
      <w:r>
        <w:t xml:space="preserve">).</w:t>
      </w:r>
      <w:hyperlink w:anchor="ref-ancelin2013">
        <w:r>
          <w:rPr>
            <w:rStyle w:val="Hyperlink"/>
            <w:vertAlign w:val="superscript"/>
          </w:rPr>
          <w:t xml:space="preserve">187</w:t>
        </w:r>
      </w:hyperlink>
      <w:r>
        <w:t xml:space="preserve"> </w:t>
      </w:r>
      <w:r>
        <w:t xml:space="preserve">However, as all identified missing results are likely to be non-significant, they would not be expected to have a substantial impact on their respective meta-analysis (which provided very weak evidence for an effect), other than increasing the precision of the summary estimate.</w:t>
      </w:r>
    </w:p>
    <w:p>
      <w:pPr>
        <w:pStyle w:val="BodyText"/>
      </w:pPr>
      <w:r>
        <w:t xml:space="preserve">Finally in terms of generalisability, despite a large proportion of included studies being conducted in the Western world (Figure</w:t>
      </w:r>
      <w:r>
        <w:t xml:space="preserve"> </w:t>
      </w:r>
      <w:r>
        <w:t xml:space="preserve">5</w:t>
      </w:r>
      <w:r>
        <w:t xml:space="preserve">), the applicability of the results to other populations is aided by the inclusion of studies which made use of data from the Taiwan health insurance database.</w:t>
      </w:r>
    </w:p>
    <w:p>
      <w:pPr>
        <w:pStyle w:val="BodyText"/>
      </w:pPr>
      <w:r>
        <w:t xml:space="preserve"> </w:t>
      </w:r>
    </w:p>
    <w:bookmarkEnd w:id="148"/>
    <w:bookmarkStart w:id="149" w:name="rev-previous-reviews"/>
    <w:p>
      <w:pPr>
        <w:pStyle w:val="Heading3"/>
      </w:pPr>
      <w:r>
        <w:t xml:space="preserve">Comparison with previous reviews</w:t>
      </w:r>
    </w:p>
    <w:p>
      <w:pPr>
        <w:pStyle w:val="FirstParagraph"/>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239</w:t>
        </w:r>
      </w:hyperlink>
      <w:r>
        <w:rPr>
          <w:vertAlign w:val="superscript"/>
        </w:rPr>
        <w:t xml:space="preserve">–</w:t>
      </w:r>
      <w:hyperlink w:anchor="ref-kuzma2018a">
        <w:r>
          <w:rPr>
            <w:rStyle w:val="Hyperlink"/>
            <w:vertAlign w:val="superscript"/>
          </w:rPr>
          <w:t xml:space="preserve">242</w:t>
        </w:r>
      </w:hyperlink>
      <w:r>
        <w:rPr>
          <w:vertAlign w:val="superscript"/>
        </w:rPr>
        <w:t xml:space="preserve">,</w:t>
      </w:r>
      <w:hyperlink w:anchor="ref-kuzma2018a">
        <w:r>
          <w:rPr>
            <w:rStyle w:val="Hyperlink"/>
            <w:vertAlign w:val="superscript"/>
          </w:rPr>
          <w:t xml:space="preserve">242</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143</w:t>
        </w:r>
      </w:hyperlink>
      <w:r>
        <w:t xml:space="preserve"> </w:t>
      </w:r>
      <w:r>
        <w:t xml:space="preserve">to assess the risk of bias in included studies. The majority of the highly cited reviews on this topic either do not formally consider risk of bias in the observational studies they include</w:t>
      </w:r>
      <w:hyperlink w:anchor="ref-chu2018">
        <w:r>
          <w:rPr>
            <w:rStyle w:val="Hyperlink"/>
            <w:vertAlign w:val="superscript"/>
          </w:rPr>
          <w:t xml:space="preserve">57</w:t>
        </w:r>
      </w:hyperlink>
      <w:r>
        <w:rPr>
          <w:vertAlign w:val="superscript"/>
        </w:rPr>
        <w:t xml:space="preserve">,</w:t>
      </w:r>
      <w:hyperlink w:anchor="ref-power2015">
        <w:r>
          <w:rPr>
            <w:rStyle w:val="Hyperlink"/>
            <w:vertAlign w:val="superscript"/>
          </w:rPr>
          <w:t xml:space="preserve">243</w:t>
        </w:r>
      </w:hyperlink>
      <w:r>
        <w:t xml:space="preserve"> </w:t>
      </w:r>
      <w:r>
        <w:t xml:space="preserve">or used a non-domain-based assessment tool (e.g. the Newcastle-Ottowa Scale).</w:t>
      </w:r>
      <w:hyperlink w:anchor="ref-poly2020">
        <w:r>
          <w:rPr>
            <w:rStyle w:val="Hyperlink"/>
            <w:vertAlign w:val="superscript"/>
          </w:rPr>
          <w:t xml:space="preserve">241</w:t>
        </w:r>
      </w:hyperlink>
    </w:p>
    <w:p>
      <w:pPr>
        <w:pStyle w:val="BodyText"/>
      </w:pPr>
      <w:r>
        <w:t xml:space="preserve">I identified one previous review of Mendelian randomisation studies examining risk factors for Alzhiemer’s disease. However, this review was conducted prior to the majority of Mendelian randomisation studies included in this review being published and extracted results including SNPs in the APoE4 genetic region (see the following section for a discussion of the bias this introduces).</w:t>
      </w:r>
    </w:p>
    <w:p>
      <w:pPr>
        <w:pStyle w:val="BodyText"/>
      </w:pPr>
      <w:r>
        <w:t xml:space="preserve">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244</w:t>
        </w:r>
      </w:hyperlink>
      <w:r>
        <w:rPr>
          <w:vertAlign w:val="superscript"/>
        </w:rPr>
        <w:t xml:space="preserve">,</w:t>
      </w:r>
      <w:hyperlink w:anchor="ref-smith2011">
        <w:r>
          <w:rPr>
            <w:rStyle w:val="Hyperlink"/>
            <w:vertAlign w:val="superscript"/>
          </w:rPr>
          <w:t xml:space="preserve">245</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9"/>
    <w:bookmarkStart w:id="151" w:name="rev-discussion-MR"/>
    <w:p>
      <w:pPr>
        <w:pStyle w:val="Heading3"/>
      </w:pPr>
      <w:r>
        <w:t xml:space="preserve">Inclusion of Mendelian randomisations studies</w:t>
      </w:r>
    </w:p>
    <w:p>
      <w:pPr>
        <w:pStyle w:val="FirstParagraph"/>
      </w:pPr>
      <w:r>
        <w:t xml:space="preserve">One of the particular strengths of this review is the inclusion and critical assessment of Mendelian randomisation studies as a source of evidence.</w:t>
      </w:r>
    </w:p>
    <w:p>
      <w:pPr>
        <w:pStyle w:val="BodyText"/>
      </w:pPr>
      <w:r>
        <w:t xml:space="preserve">Mendelian randomisation is a powerful analytical technique, using natural variation in participants genomes to identify causal links between a genetically determined risk factor and an outcome, given that the core assumptions detailed in Figure</w:t>
      </w:r>
      <w:r>
        <w:t xml:space="preserve"> </w:t>
      </w:r>
      <w:r>
        <w:t xml:space="preserve">19</w:t>
      </w:r>
      <w:r>
        <w:t xml:space="preserve"> </w:t>
      </w:r>
      <w:r>
        <w:t xml:space="preserve">are valid. However, inclusion of Mendelian randomisation as an acceptable study design in this review was complicated by a number of factors.</w:t>
      </w:r>
    </w:p>
    <w:p>
      <w:pPr>
        <w:pStyle w:val="BodyText"/>
      </w:pPr>
      <w:r>
        <w:drawing>
          <wp:inline>
            <wp:extent cx="4587290" cy="3853324"/>
            <wp:effectExtent b="0" l="0" r="0" t="0"/>
            <wp:docPr descr="Figure 19: Summary of the assumptions in Mendelian randomisation analyses: (I) relevance - the genetic variant associates with the risk factor of interest; (II) independence - the variant-exposure association has no unmeasured confounders; and (III) exclusion restriction - variants affect the outcome only through their effect on the risk factor of interest (i.e. there is no horizontal pleiotropy)." title="" id="1" name="Picture"/>
            <a:graphic>
              <a:graphicData uri="http://schemas.openxmlformats.org/drawingml/2006/picture">
                <pic:pic>
                  <pic:nvPicPr>
                    <pic:cNvPr descr="figures/sys-rev/mrAssumptions.png" id="0" name="Picture"/>
                    <pic:cNvPicPr>
                      <a:picLocks noChangeArrowheads="1" noChangeAspect="1"/>
                    </pic:cNvPicPr>
                  </pic:nvPicPr>
                  <pic:blipFill>
                    <a:blip r:embed="rId150"/>
                    <a:stretch>
                      <a:fillRect/>
                    </a:stretch>
                  </pic:blipFill>
                  <pic:spPr bwMode="auto">
                    <a:xfrm>
                      <a:off x="0" y="0"/>
                      <a:ext cx="4587290" cy="3853324"/>
                    </a:xfrm>
                    <a:prstGeom prst="rect">
                      <a:avLst/>
                    </a:prstGeom>
                    <a:noFill/>
                    <a:ln w="9525">
                      <a:noFill/>
                      <a:headEnd/>
                      <a:tailEnd/>
                    </a:ln>
                  </pic:spPr>
                </pic:pic>
              </a:graphicData>
            </a:graphic>
          </wp:inline>
        </w:drawing>
      </w:r>
      <w:r>
        <w:t xml:space="preserve"> </w:t>
      </w:r>
    </w:p>
    <w:p>
      <w:pPr>
        <w:pStyle w:val="BodyText"/>
      </w:pPr>
      <w:r>
        <w:t xml:space="preserve">Firstly, this study design is relatively new, particularly when compared to randomised trials or cohort studies. Figure</w:t>
      </w:r>
      <w:r>
        <w:t xml:space="preserve"> </w:t>
      </w:r>
      <w:r>
        <w:t xml:space="preserve">18</w:t>
      </w:r>
      <w:r>
        <w:t xml:space="preserve"> </w:t>
      </w:r>
      <w:r>
        <w:t xml:space="preserve">demonstrates that Mendelian randomisation studies only begin to appear in the evidence base much later than NRSE/NRSI, likely due to the limited availabilt of large scale GWAS datasets needed for two-sample Mendelian randomisation analyses. As such, the process and tools for systematically assessing this study design are not as well developed. A key example of this is in the absence of validated search filters for Mendelian randomisations studies. This limitation is further complicated by the varying terminology used to describe the method, particularly in the early years of it’s application, which lead o me including general terms for instrumental variable analyses in my search.</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w:t>
      </w:r>
      <w:r>
        <w:t xml:space="preserve"> </w:t>
      </w:r>
      <w:r>
        <w:t xml:space="preserve">3.3.7</w:t>
      </w:r>
      <w:r>
        <w:t xml:space="preserve">.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246</w:t>
        </w:r>
      </w:hyperlink>
      <w:r>
        <w:t xml:space="preserve"> </w:t>
      </w:r>
      <w:r>
        <w:t xml:space="preserve">While this tool assesses the underlying GWAS used, it does not assess the additional methodological considerations of the Mendelian randomisation analysis itself.</w:t>
      </w:r>
      <w:r>
        <w:t xml:space="preserve"> </w:t>
      </w:r>
      <w:r>
        <w:t xml:space="preserve"> </w:t>
      </w:r>
      <w:r>
        <w:t xml:space="preserve">For this review, I utilised the best available author-devised tool, sourced from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247</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248</w:t>
        </w:r>
      </w:hyperlink>
      <w:r>
        <w:rPr>
          <w:vertAlign w:val="superscript"/>
        </w:rPr>
        <w:t xml:space="preserve">,</w:t>
      </w:r>
      <w:hyperlink w:anchor="ref-wagner2020">
        <w:r>
          <w:rPr>
            <w:rStyle w:val="Hyperlink"/>
            <w:vertAlign w:val="superscript"/>
          </w:rPr>
          <w:t xml:space="preserve">249</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w:t>
      </w:r>
      <w:r>
        <w:t xml:space="preserve">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for this study design by a panel of methodologists and analysts would be of substantial benefit to the field.</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w:t>
      </w:r>
      <w:r>
        <w:t xml:space="preserve"> </w:t>
      </w:r>
      <w:r>
        <w:t xml:space="preserve">1.5.1</w:t>
      </w:r>
      <w:r>
        <w:t xml:space="preserve">), an increasing number of ApoE4 alleles is a major independent risk factor for Alzheimer’s disease, and so violates the exclusion restriction criteria (Figure</w:t>
      </w:r>
      <w:r>
        <w:t xml:space="preserve"> </w:t>
      </w:r>
      <w:r>
        <w:t xml:space="preserve">19</w:t>
      </w:r>
      <w:r>
        <w:t xml:space="preserve">). In all cases, excluding these variants attenuates the observed effect to the null. A clear example of this is Benn</w:t>
      </w:r>
      <w:r>
        <w:t xml:space="preserve"> </w:t>
      </w:r>
      <w:r>
        <w:rPr>
          <w:iCs/>
          <w:i/>
        </w:rPr>
        <w:t xml:space="preserve">et al</w:t>
      </w:r>
      <w:r>
        <w:t xml:space="preserve"> </w:t>
      </w:r>
      <w:r>
        <w:t xml:space="preserve">(2017), where the ApoE variants were not sufficient identified and excluded and the published paper detailed evidence for a protective effect of LDL-c was identified (RR: 0.83, 95%CI: 0.75-0.92).</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the finding to the null.</w:t>
      </w:r>
      <w:hyperlink w:anchor="ref-benn2017a">
        <w:r>
          <w:rPr>
            <w:rStyle w:val="Hyperlink"/>
            <w:vertAlign w:val="superscript"/>
          </w:rPr>
          <w:t xml:space="preserve">250</w:t>
        </w:r>
      </w:hyperlink>
    </w:p>
    <w:p>
      <w:pPr>
        <w:pStyle w:val="BodyText"/>
      </w:pPr>
      <w:r>
        <w:t xml:space="preserve"> </w:t>
      </w:r>
    </w:p>
    <w:bookmarkEnd w:id="151"/>
    <w:bookmarkStart w:id="153" w:name="inclusion-of-preprints"/>
    <w:p>
      <w:pPr>
        <w:pStyle w:val="Heading3"/>
      </w:pPr>
      <w:r>
        <w:t xml:space="preserve">Inclusion of preprints</w:t>
      </w:r>
    </w:p>
    <w:p>
      <w:pPr>
        <w:pStyle w:val="FirstParagraph"/>
      </w:pPr>
      <w:r>
        <w:t xml:space="preserve">As highlighted in Section</w:t>
      </w:r>
      <w:r>
        <w:t xml:space="preserve"> </w:t>
      </w:r>
      <w:r>
        <w:t xml:space="preserve">1.6.1</w:t>
      </w:r>
      <w:r>
        <w:t xml:space="preserve">, this review explicitly sought to synthesize evidence across different publication statuses (preprinted vs. published). Using the tool described in Chapter</w:t>
      </w:r>
      <w:r>
        <w:t xml:space="preserve"> </w:t>
      </w:r>
      <w:r>
        <w:t xml:space="preserve">2.2</w:t>
      </w:r>
      <w:r>
        <w:t xml:space="preserve">, two preprint serves related to health and biomedical sciences were search as part of this review. The small number of studies returned by the searches (or the absence of any relevant hits in the medRxiv database - see Figure</w:t>
      </w:r>
      <w:r>
        <w:t xml:space="preserve"> </w:t>
      </w:r>
      <w:r>
        <w:t xml:space="preserve">4</w:t>
      </w:r>
      <w:r>
        <w:t xml:space="preserve">) is due to the timing of the preprint searches. The searches for this review were performed in mid-July 2019, but the medRxiv repository, an offshoot of the Epidemiology and Clinical Trials categories of the bioRxiv preprint server, only registered its first preprint 25th June 2019. As such, at the point it was searched, the medRxiv database contained only a very small number of records (n=148).</w:t>
      </w:r>
    </w:p>
    <w:p>
      <w:pPr>
        <w:pStyle w:val="BodyText"/>
      </w:pPr>
      <w:r>
        <w:drawing>
          <wp:inline>
            <wp:extent cx="5504749" cy="6422207"/>
            <wp:effectExtent b="0" l="0" r="0" t="0"/>
            <wp:docPr descr="Figure 20: Growth of preprint repositories over time. Given the relative sizes of the preprint repositories at the time the searches for this review were conducted (bioRxiv n= 56,007, medRxiv n = 148), th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52"/>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p>
    <w:p>
      <w:pPr>
        <w:pStyle w:val="BodyText"/>
      </w:pPr>
      <w:r>
        <w:t xml:space="preserve">Three relevant preprints from the bioRxiv hits were identified. The added evidential value of including these preprints was described in Section</w:t>
      </w:r>
      <w:r>
        <w:t xml:space="preserve"> </w:t>
      </w:r>
      <w:r>
        <w:t xml:space="preserve">3.4.12</w:t>
      </w:r>
      <w:r>
        <w:t xml:space="preserve">, and indicated that results available only via preprinted reports can contribute substantially to a meta-analysis. Of note, all three included preprints described Mendelian randomisation studies, potentially indicating that more biologically-focused study designs are over-represented in the bioRxiv repository.</w:t>
      </w:r>
    </w:p>
    <w:p>
      <w:pPr>
        <w:pStyle w:val="BodyText"/>
      </w:pPr>
      <w:r>
        <w:t xml:space="preserve">Of the three identified preprints, two were subsequently published as of September 2020. This fits well with the analysis presented in Chapter</w:t>
      </w:r>
      <w:r>
        <w:t xml:space="preserve"> </w:t>
      </w:r>
      <w:r>
        <w:t xml:space="preserve">2</w:t>
      </w:r>
      <w:r>
        <w:t xml:space="preserve"> </w:t>
      </w:r>
      <w:r>
        <w:t xml:space="preserve">that, allowing for a two-year lag, approximately two-thirds of preprints are published, and also nicely illustrates the dual advantages of preprinted reports to evidence syntheses.</w:t>
      </w:r>
    </w:p>
    <w:p>
      <w:pPr>
        <w:pStyle w:val="BodyText"/>
      </w:pPr>
      <w:r>
        <w:t xml:space="preserve">Firstly, preprints provide an advance snapshot of the literature, capturing articles that will eventually be published but were not available at the time of the main search. Consider the example of one eligible preprint in this review was initially posted on bioRxiv in July 2019</w:t>
      </w:r>
      <w:hyperlink w:anchor="ref-andrews2019b">
        <w:r>
          <w:rPr>
            <w:rStyle w:val="Hyperlink"/>
            <w:vertAlign w:val="superscript"/>
          </w:rPr>
          <w:t xml:space="preserve">251</w:t>
        </w:r>
      </w:hyperlink>
      <w:r>
        <w:t xml:space="preserve"> </w:t>
      </w:r>
      <w:r>
        <w:t xml:space="preserve">and was subsequently published in 2021 following peer-review.</w:t>
      </w:r>
      <w:hyperlink w:anchor="ref-andrews2021">
        <w:r>
          <w:rPr>
            <w:rStyle w:val="Hyperlink"/>
            <w:vertAlign w:val="superscript"/>
          </w:rPr>
          <w:t xml:space="preserve">225</w:t>
        </w:r>
      </w:hyperlink>
      <w:r>
        <w:t xml:space="preserve"> </w:t>
      </w:r>
      <w:r>
        <w:t xml:space="preserve">Secondly, inclusion of preprints allows for results that may never be formally published to be included in an evidence synthesis exercise as is the case with the second preprint included in this review.</w:t>
      </w:r>
      <w:hyperlink w:anchor="ref-so2017">
        <w:r>
          <w:rPr>
            <w:rStyle w:val="Hyperlink"/>
            <w:vertAlign w:val="superscript"/>
          </w:rPr>
          <w:t xml:space="preserve">230</w:t>
        </w:r>
      </w:hyperlink>
      <w:r>
        <w:t xml:space="preserve"> </w:t>
      </w:r>
      <w:r>
        <w:t xml:space="preserve">Both of these aspects illustrate that, if the aim is to find the current state of the art in the topic area at the time of searching, inclusion of preprints is a necessity.</w:t>
      </w:r>
    </w:p>
    <w:p>
      <w:pPr>
        <w:pStyle w:val="BodyText"/>
      </w:pPr>
      <w:r>
        <w:t xml:space="preserve">More recently, inclusion of preprints in systematic reviews has become significantly more widespread. This is largely due to the role of preprint servers, in particular medRxiv, as a key evidence dissemination venue during the early stages of the COVID-19 pandemic.</w:t>
      </w:r>
      <w:hyperlink w:anchor="ref-fraser2020preprinting">
        <w:r>
          <w:rPr>
            <w:rStyle w:val="Hyperlink"/>
            <w:vertAlign w:val="superscript"/>
          </w:rPr>
          <w:t xml:space="preserve">75</w:t>
        </w:r>
      </w:hyperlink>
      <w:r>
        <w:t xml:space="preserve"> </w:t>
      </w:r>
      <w:r>
        <w:t xml:space="preserve">How well this adoption of preprints will transfer to other less-urgent topics, where the speed of research does not put the same focus on preprinted articles, is currently unknown.</w:t>
      </w:r>
    </w:p>
    <w:p>
      <w:pPr>
        <w:pStyle w:val="BodyText"/>
      </w:pPr>
      <w:r>
        <w:t xml:space="preserve"> </w:t>
      </w:r>
      <w:r>
        <w:t xml:space="preserve"> </w:t>
      </w:r>
    </w:p>
    <w:p>
      <w:pPr>
        <w:pStyle w:val="BodyText"/>
      </w:pPr>
      <w:r>
        <w:t xml:space="preserve"> </w:t>
      </w:r>
    </w:p>
    <w:bookmarkEnd w:id="153"/>
    <w:bookmarkStart w:id="154" w:name="sys-rev-open-data"/>
    <w:p>
      <w:pPr>
        <w:pStyle w:val="Heading3"/>
      </w:pPr>
      <w:r>
        <w:t xml:space="preserve">Open data sharing</w:t>
      </w:r>
    </w:p>
    <w:p>
      <w:pPr>
        <w:pStyle w:val="FirstParagraph"/>
      </w:pPr>
      <w:r>
        <w:t xml:space="preserve">As discussed in Section</w:t>
      </w:r>
      <w:r>
        <w:t xml:space="preserve"> </w:t>
      </w:r>
      <w:r>
        <w:t xml:space="preserve">3.4.9</w:t>
      </w:r>
      <w:r>
        <w:t xml:space="preserve">, many primary studies did not report important information required for the dose-response meta-analysis, and so could not be included in the synthesis. This limitation was compounded by the expected low response rate to requests for further information from primary authors. While contacting authors is worthwhile, as it can substantially change the conclusion of a systematic review</w:t>
      </w:r>
      <w:hyperlink w:anchor="ref-meursingereynders2019">
        <w:r>
          <w:rPr>
            <w:rStyle w:val="Hyperlink"/>
            <w:vertAlign w:val="superscript"/>
          </w:rPr>
          <w:t xml:space="preserve">252</w:t>
        </w:r>
      </w:hyperlink>
      <w:r>
        <w:t xml:space="preserve"> </w:t>
      </w:r>
      <w:r>
        <w:t xml:space="preserve">and is not too costly to systematic reviewers,</w:t>
      </w:r>
      <w:hyperlink w:anchor="ref-cooper2019">
        <w:r>
          <w:rPr>
            <w:rStyle w:val="Hyperlink"/>
            <w:vertAlign w:val="superscript"/>
          </w:rPr>
          <w:t xml:space="preserve">253</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co-authored a guidance article to aid primary prevention scientists in preparing and sharing their data so that it can easily be incorporated into a evidence synthesis exercise, using a trial of mindfulness interventions as an case study. A copy of this publication is available in Appendix</w:t>
      </w:r>
      <w:r>
        <w:t xml:space="preserve"> </w:t>
      </w:r>
      <w:r>
        <w:t xml:space="preserve">11.4</w:t>
      </w:r>
      <w:r>
        <w:t xml:space="preserve">.</w:t>
      </w:r>
      <w:hyperlink w:anchor="ref-hennessy2021">
        <w:r>
          <w:rPr>
            <w:rStyle w:val="Hyperlink"/>
            <w:vertAlign w:val="superscript"/>
          </w:rPr>
          <w:t xml:space="preserve">254</w:t>
        </w:r>
      </w:hyperlink>
      <w:r>
        <w:t xml:space="preserve"> </w:t>
      </w:r>
      <w:r>
        <w:t xml:space="preserve">In an attempt to apply my own guidance, I have invested a substantial amount of time and effort into making the data obtained by this review openly available to other researchers.</w:t>
      </w:r>
      <w:r>
        <w:t xml:space="preserve"> </w:t>
      </w:r>
      <w:r>
        <w:rPr>
          <w:bCs/>
          <w:b/>
        </w:rPr>
        <w:t xml:space="preserve">[Zenodo repository will be cited here]</w:t>
      </w:r>
    </w:p>
    <w:p>
      <w:pPr>
        <w:pStyle w:val="BodyText"/>
      </w:pPr>
      <w:r>
        <w:t xml:space="preserve"> </w:t>
      </w:r>
    </w:p>
    <w:bookmarkEnd w:id="154"/>
    <w:bookmarkStart w:id="157" w:name="strengths-and-limitations"/>
    <w:p>
      <w:pPr>
        <w:pStyle w:val="Heading3"/>
      </w:pPr>
      <w:r>
        <w:t xml:space="preserve">Strengths and limitations</w:t>
      </w:r>
    </w:p>
    <w:bookmarkStart w:id="155" w:name="strengths"/>
    <w:p>
      <w:pPr>
        <w:pStyle w:val="Heading4"/>
      </w:pPr>
      <w:r>
        <w:t xml:space="preserve">Strengths</w:t>
      </w:r>
    </w:p>
    <w:p>
      <w:pPr>
        <w:pStyle w:val="FirstParagraph"/>
      </w:pPr>
      <w:r>
        <w:t xml:space="preserve">I believe there are several aspects where this review is distinct from those reviews already available in the published literature. 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239</w:t>
        </w:r>
      </w:hyperlink>
      <w:r>
        <w:rPr>
          <w:vertAlign w:val="superscript"/>
        </w:rPr>
        <w:t xml:space="preserve">–</w:t>
      </w:r>
      <w:hyperlink w:anchor="ref-poly2020">
        <w:r>
          <w:rPr>
            <w:rStyle w:val="Hyperlink"/>
            <w:vertAlign w:val="superscript"/>
          </w:rPr>
          <w:t xml:space="preserve">241</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 this review employed a structured approach to risk-of-bias assessment using a domain-based tool. This repres important strength of this review, as the detailed risk of bias assessments are used in</w:t>
      </w:r>
    </w:p>
    <w:p>
      <w:pPr>
        <w:pStyle w:val="BodyText"/>
      </w:pPr>
      <w:r>
        <w:t xml:space="preserve">Thirdly, as discussed at length in the section above, in contrast to other available reviews and enabled by the tool described in Chapter</w:t>
      </w:r>
      <w:r>
        <w:t xml:space="preserve"> </w:t>
      </w:r>
      <w:r>
        <w:t xml:space="preserve">2</w:t>
      </w:r>
      <w:r>
        <w:t xml:space="preserve">, this review systematically searched preprinted health-related preprints. Finally, as a secondary element, I used this review to pilot new research synthesis methodologies, in particular a new visualisation approach for risk-of-bias assessments and a forthcoming tool for assessing the risk-of-bias due to missing evidence.</w:t>
      </w:r>
    </w:p>
    <w:p>
      <w:pPr>
        <w:pStyle w:val="BodyText"/>
      </w:pPr>
      <w:r>
        <w:t xml:space="preserve"> </w:t>
      </w:r>
    </w:p>
    <w:bookmarkEnd w:id="155"/>
    <w:bookmarkStart w:id="156"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255</w:t>
        </w:r>
      </w:hyperlink>
      <w:r>
        <w:t xml:space="preserve"> </w:t>
      </w:r>
      <w:hyperlink w:anchor="ref-mcguinness2019validity">
        <w:r>
          <w:rPr>
            <w:rStyle w:val="Hyperlink"/>
            <w:vertAlign w:val="superscript"/>
          </w:rPr>
          <w:t xml:space="preserve">256</w:t>
        </w:r>
      </w:hyperlink>
      <w:r>
        <w:rPr>
          <w:vertAlign w:val="superscript"/>
        </w:rPr>
        <w:t xml:space="preserve">,</w:t>
      </w:r>
      <w:hyperlink w:anchor="ref-wilkinson2018">
        <w:r>
          <w:rPr>
            <w:rStyle w:val="Hyperlink"/>
            <w:vertAlign w:val="superscript"/>
          </w:rPr>
          <w:t xml:space="preserve">257</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258</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56"/>
    <w:bookmarkEnd w:id="157"/>
    <w:bookmarkEnd w:id="158"/>
    <w:bookmarkStart w:id="159"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9"/>
    <w:bookmarkStart w:id="160" w:name="references-2"/>
    <w:p>
      <w:pPr>
        <w:pStyle w:val="Heading2"/>
      </w:pPr>
      <w:r>
        <w:t xml:space="preserve">References</w:t>
      </w:r>
    </w:p>
    <w:p>
      <w:pPr>
        <w:pStyle w:val="FirstParagraph"/>
      </w:pPr>
      <w:r>
        <w:t xml:space="preserve">— Archibald Cochrane, 2000</w:t>
      </w:r>
      <w:hyperlink w:anchor="ref-cochrane1979">
        <w:r>
          <w:rPr>
            <w:rStyle w:val="Hyperlink"/>
            <w:vertAlign w:val="superscript"/>
          </w:rPr>
          <w:t xml:space="preserve">259</w:t>
        </w:r>
      </w:hyperlink>
      <w:r>
        <w:t xml:space="preserve"> </w:t>
      </w:r>
      <w:r>
        <w:t xml:space="preserve">— Archibald Cochrane, 2000</w:t>
      </w:r>
      <w:hyperlink w:anchor="ref-cochrane1979">
        <w:r>
          <w:rPr>
            <w:rStyle w:val="Hyperlink"/>
            <w:vertAlign w:val="superscript"/>
          </w:rPr>
          <w:t xml:space="preserve">259</w:t>
        </w:r>
      </w:hyperlink>
    </w:p>
    <w:bookmarkEnd w:id="160"/>
    <w:bookmarkEnd w:id="161"/>
    <w:bookmarkStart w:id="162" w:name="sys-rev-results-heading"/>
    <w:p>
      <w:pPr>
        <w:pStyle w:val="Heading1"/>
      </w:pPr>
      <w:r>
        <w:t xml:space="preserve">Systematic review of all available evidence on the association between blood lipids and dementia outcomes</w:t>
      </w:r>
    </w:p>
    <w:p>
      <w:pPr>
        <w:pStyle w:val="FirstParagraph"/>
      </w:pPr>
    </w:p>
    <w:bookmarkEnd w:id="162"/>
    <w:bookmarkStart w:id="218" w:name="cprd-analysis-heading"/>
    <w:p>
      <w:pPr>
        <w:pStyle w:val="Heading1"/>
      </w:pPr>
      <w:r>
        <w:t xml:space="preserve">Primary analysis of lipid-regulating agents and dementia outcomes</w:t>
      </w:r>
    </w:p>
    <w:p>
      <w:pPr>
        <w:pStyle w:val="FirstParagraph"/>
      </w:pPr>
    </w:p>
    <w:bookmarkStart w:id="163" w:name="lay-summary-3"/>
    <w:p>
      <w:pPr>
        <w:pStyle w:val="Heading2"/>
      </w:pPr>
      <w:r>
        <w:t xml:space="preserve">Lay summary</w:t>
      </w:r>
    </w:p>
    <w:p>
      <w:pPr>
        <w:pStyle w:val="FirstParagraph"/>
      </w:pPr>
      <w:r>
        <w:t xml:space="preserve">Electronic health record (EHR) databases are large collections of medical data, used to manage patient administration and care. Under these systems, whenever a patient attends their GP, their clinical data is recorded in a central database using a standardised coding system.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the analysis presented in this chapter examined whether treatments which lower cholesterol levels (also known as lipid-regulating agents or LRA) of which statins are a prime example, affect the risk of all-cause dementia and related outcomes (Alzheimer’s disease, vascular dementia and other dementias).</w:t>
      </w:r>
    </w:p>
    <w:p>
      <w:pPr>
        <w:pStyle w:val="BodyText"/>
      </w:pPr>
      <w:r>
        <w:t xml:space="preserve">Little evidence for an effect of lipid-regulating agents effect on the risk of Alzheimer’s disease was found, with the exception of a slightly increased risk in those prescribed a certain type of lipi-regulatin agent called fibrates. In contrast, I found an increased risk of vascular and other (i.e. non-Alzheimer’s) dementia was associated with lipid-regulating agent use.</w:t>
      </w:r>
    </w:p>
    <w:p>
      <w:pPr>
        <w:pStyle w:val="BodyText"/>
      </w:pPr>
      <w:r>
        <w:t xml:space="preserve">This increased risk in outcomes with a vascular element (e.g. vascular dementia)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which makes it appear as if statins are harmful. Despite this limitation, the analysis presented provides an important source of information which will be used in later chapters.</w:t>
      </w:r>
    </w:p>
    <w:p>
      <w:pPr>
        <w:pStyle w:val="BodyText"/>
      </w:pPr>
      <w:r>
        <w:t xml:space="preserve"> </w:t>
      </w:r>
    </w:p>
    <w:bookmarkEnd w:id="163"/>
    <w:bookmarkStart w:id="164" w:name="introduction-1"/>
    <w:p>
      <w:pPr>
        <w:pStyle w:val="Heading2"/>
      </w:pPr>
      <w:r>
        <w:t xml:space="preserve">Introduction</w:t>
      </w:r>
    </w:p>
    <w:p>
      <w:pPr>
        <w:pStyle w:val="FirstParagraph"/>
      </w:pPr>
      <w:r>
        <w:t xml:space="preserve">In this Chapter, I present an analysis of a large population-based electronic health record dataset to investigate the relationship between lipid-regulating agent (LRA) use and dementia outcomes. 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hazards analysis, incorporating a time-varying treatment indicator.</w:t>
      </w:r>
      <w:hyperlink w:anchor="ref-suissa2008">
        <w:r>
          <w:rPr>
            <w:rStyle w:val="Hyperlink"/>
            <w:vertAlign w:val="superscript"/>
          </w:rPr>
          <w:t xml:space="preserve">260</w:t>
        </w:r>
      </w:hyperlink>
      <w:r>
        <w:t xml:space="preserve"> </w:t>
      </w:r>
      <w:r>
        <w:t xml:space="preserve">This approach provides a evidence source at risk of a distinct bias due to the alternative analytical strategy. The results from this analysis will be incorporated into the triangulation exercise presented in Chapter</w:t>
      </w:r>
      <w:r>
        <w:t xml:space="preserve"> </w:t>
      </w:r>
      <w:r>
        <w:t xml:space="preserve">8</w:t>
      </w:r>
      <w:r>
        <w:t xml:space="preserve">.</w:t>
      </w:r>
    </w:p>
    <w:p>
      <w:pPr>
        <w:pStyle w:val="BodyText"/>
      </w:pPr>
      <w:r>
        <w:t xml:space="preserve">This chapter represents an extended version of a preprint manuscript, a copy of which is available in Appendix</w:t>
      </w:r>
      <w:r>
        <w:t xml:space="preserve"> </w:t>
      </w:r>
      <w:r>
        <w:t xml:space="preserve">11.4</w:t>
      </w:r>
      <w:r>
        <w:t xml:space="preserve">.</w:t>
      </w:r>
    </w:p>
    <w:p>
      <w:pPr>
        <w:pStyle w:val="BodyText"/>
      </w:pPr>
      <w:r>
        <w:t xml:space="preserve"> </w:t>
      </w:r>
    </w:p>
    <w:bookmarkEnd w:id="164"/>
    <w:bookmarkStart w:id="185" w:name="methods-1"/>
    <w:p>
      <w:pPr>
        <w:pStyle w:val="Heading2"/>
      </w:pPr>
      <w:r>
        <w:t xml:space="preserve">Methods</w:t>
      </w:r>
    </w:p>
    <w:bookmarkStart w:id="165"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261</w:t>
        </w:r>
      </w:hyperlink>
      <w:r>
        <w:t xml:space="preserve"> </w:t>
      </w:r>
      <w:r>
        <w:t xml:space="preserve">and amendments to this are recorded in Appendix</w:t>
      </w:r>
      <w:r>
        <w:t xml:space="preserve"> </w:t>
      </w:r>
      <w:r>
        <w:t xml:space="preserve">10.4.1</w:t>
      </w:r>
      <w:r>
        <w:t xml:space="preserve">.</w:t>
      </w:r>
      <w:hyperlink w:anchor="ref-vonelm2008">
        <w:r>
          <w:rPr>
            <w:rStyle w:val="Hyperlink"/>
            <w:vertAlign w:val="superscript"/>
          </w:rPr>
          <w:t xml:space="preserve">262</w:t>
        </w:r>
      </w:hyperlink>
    </w:p>
    <w:p>
      <w:pPr>
        <w:pStyle w:val="BodyText"/>
      </w:pPr>
      <w:r>
        <w:t xml:space="preserve"> </w:t>
      </w:r>
    </w:p>
    <w:bookmarkEnd w:id="165"/>
    <w:bookmarkStart w:id="166"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263</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264</w:t>
        </w:r>
      </w:hyperlink>
      <w:r>
        <w:rPr>
          <w:vertAlign w:val="superscript"/>
        </w:rPr>
        <w:t xml:space="preserve">,</w:t>
      </w:r>
      <w:hyperlink w:anchor="ref-wood2001revitalizing">
        <w:r>
          <w:rPr>
            <w:rStyle w:val="Hyperlink"/>
            <w:vertAlign w:val="superscript"/>
          </w:rPr>
          <w:t xml:space="preserve">265</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263</w:t>
        </w:r>
      </w:hyperlink>
      <w:r>
        <w:rPr>
          <w:vertAlign w:val="superscript"/>
        </w:rPr>
        <w:t xml:space="preserve">,</w:t>
      </w:r>
      <w:hyperlink w:anchor="ref-mathur2014">
        <w:r>
          <w:rPr>
            <w:rStyle w:val="Hyperlink"/>
            <w:vertAlign w:val="superscript"/>
          </w:rPr>
          <w:t xml:space="preserve">266</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267</w:t>
        </w:r>
      </w:hyperlink>
      <w:r>
        <w:t xml:space="preserve"> </w:t>
      </w:r>
      <w:r>
        <w:t xml:space="preserve">All clinical events, included clinical test results and diagnoses, can be identified by a specific Read code. The codes use a nested approach (see Table</w:t>
      </w:r>
      <w:r>
        <w:t xml:space="preserve"> </w:t>
      </w:r>
      <w:r>
        <w:t xml:space="preserve">10</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10:</w:t>
      </w:r>
      <w:r>
        <w:t xml:space="preserve"> </w:t>
      </w:r>
      <w:bookmarkStart w:id="591d8233-c0fe-426f-9768-601e3f91906e"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591d8233-c0fe-426f-9768-601e3f91906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The index events, exposures and outcomes used in this analysis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 </w:t>
      </w:r>
    </w:p>
    <w:bookmarkEnd w:id="166"/>
    <w:bookmarkStart w:id="167"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are thought to be higher after this date.</w:t>
      </w:r>
      <w:hyperlink w:anchor="ref-wolf2019">
        <w:r>
          <w:rPr>
            <w:rStyle w:val="Hyperlink"/>
            <w:vertAlign w:val="superscript"/>
          </w:rPr>
          <w:t xml:space="preserve">268</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hyperlink w:anchor="ref-walker2016">
        <w:r>
          <w:rPr>
            <w:rStyle w:val="Hyperlink"/>
            <w:vertAlign w:val="superscript"/>
          </w:rPr>
          <w:t xml:space="preserve">261</w:t>
        </w:r>
      </w:hyperlink>
      <w:r>
        <w:t xml:space="preserve"> </w:t>
      </w:r>
      <w:r>
        <w:t xml:space="preserve">The blood lipid cut-offs were based on NIHR-recommended levels at the time the protocol was written.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The index date for a participant was defined as the date where the first relevant code or test result was recorded on their clinical record, and participants were followed up until the earliest of: (a) an outcome of interest; (b) death; (c) end of follow-up (29 February 2016); (d) last registration date with their GP practice; or (e) the last CPRD collection date for their practice. Participants were ineligble for our cohort if they were less than 40 years of age (as these patients are are less likely to be prescribed a LRA),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67"/>
    <w:bookmarkStart w:id="168"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269</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09"/>
        </w:numPr>
        <w:pStyle w:val="Compact"/>
      </w:pPr>
      <w:r>
        <w:rPr>
          <w:bCs/>
          <w:b/>
        </w:rPr>
        <w:t xml:space="preserve">stopped</w:t>
      </w:r>
      <w:r>
        <w:t xml:space="preserve">: defined as the last prescription of the primary class being followed by at least six months of observation;</w:t>
      </w:r>
    </w:p>
    <w:p>
      <w:pPr>
        <w:numPr>
          <w:ilvl w:val="0"/>
          <w:numId w:val="1009"/>
        </w:numPr>
        <w:pStyle w:val="Compact"/>
      </w:pPr>
      <w:r>
        <w:rPr>
          <w:bCs/>
          <w:b/>
        </w:rPr>
        <w:t xml:space="preserve">added</w:t>
      </w:r>
      <w:r>
        <w:t xml:space="preserve">: defined as a second drug class being prescribed before the last prescription of the initial class; and</w:t>
      </w:r>
    </w:p>
    <w:p>
      <w:pPr>
        <w:numPr>
          <w:ilvl w:val="0"/>
          <w:numId w:val="1009"/>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68"/>
    <w:bookmarkStart w:id="170"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dementias, and a composite all-cause dementia outcome. When two or more outcomes were coded in a participant’s clinical record, a decision tree was used to differentiate between them (Figure</w:t>
      </w:r>
      <w:r>
        <w:t xml:space="preserve"> </w:t>
      </w:r>
      <w:r>
        <w:t xml:space="preserve">21</w:t>
      </w:r>
      <w:r>
        <w:t xml:space="preserve">). The diagnosis date of the outcome was determined by the first record of a relevant code.</w:t>
      </w:r>
    </w:p>
    <w:p>
      <w:pPr>
        <w:pStyle w:val="BodyText"/>
      </w:pPr>
      <w:r>
        <w:drawing>
          <wp:inline>
            <wp:extent cx="5943600" cy="3168282"/>
            <wp:effectExtent b="0" l="0" r="0" t="0"/>
            <wp:docPr descr="Figure 21: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69"/>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 </w:t>
      </w:r>
    </w:p>
    <w:bookmarkEnd w:id="170"/>
    <w:bookmarkStart w:id="171"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 These are discussed in detail below and summarised in Table</w:t>
      </w:r>
      <w:r>
        <w:t xml:space="preserve"> </w:t>
      </w:r>
      <w:r>
        <w:t xml:space="preserve">11</w:t>
      </w:r>
      <w:r>
        <w:t xml:space="preserve">.</w:t>
      </w:r>
    </w:p>
    <w:p>
      <w:pPr>
        <w:pStyle w:val="BodyText"/>
      </w:pPr>
      <w:r>
        <w:t xml:space="preserve"> </w:t>
      </w:r>
    </w:p>
    <w:p>
      <w:pPr>
        <w:pStyle w:val="TableCaption"/>
      </w:pPr>
      <w:r>
        <w:t xml:space="preserve">Table 11:</w:t>
      </w:r>
      <w:r>
        <w:t xml:space="preserve"> </w:t>
      </w:r>
      <w:bookmarkStart w:id="853b9306-2f5c-49f8-b2db-3aa364dda4e1" w:name="tab:covariateDef-table"/>
      <w:r>
        <w:t xml:space="preserve">Definition of covariates adjusted for in the full-adjusted model. The codelists used to define the majority of these covariates were originally created for use in a previously published analysis.[@walker2020] while others were built on or adapted from previous published work,[@khan2010; @taylor2016; @wright2017].</w:t>
      </w:r>
      <w:bookmarkEnd w:id="853b9306-2f5c-49f8-b2db-3aa364dda4e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p>
      <w:pPr>
        <w:pStyle w:val="BodyText"/>
      </w:pPr>
      <w:r>
        <w:t xml:space="preserve"> </w:t>
      </w:r>
    </w:p>
    <w:p>
      <w:pPr>
        <w:pStyle w:val="BodyText"/>
      </w:pPr>
      <w:r>
        <w:t xml:space="preserve">Demographic covariates adjusted for included age and gender. Age was calculated at date of entry into the cohort, and adjusted for via its use as the time axis for the Cox model (see Section</w:t>
      </w:r>
      <w:r>
        <w:t xml:space="preserve"> </w:t>
      </w:r>
      <w:r>
        <w:t xml:space="preserve">5.3.10</w:t>
      </w:r>
      <w:r>
        <w:t xml:space="preserve">).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2001-2005, 2006-2010,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270</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71"/>
    <w:bookmarkStart w:id="172"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271</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w:t>
      </w:r>
      <w:hyperlink w:anchor="ref-sterne2009">
        <w:r>
          <w:rPr>
            <w:rStyle w:val="Hyperlink"/>
            <w:vertAlign w:val="superscript"/>
          </w:rPr>
          <w:t xml:space="preserve">272</w:t>
        </w:r>
      </w:hyperlink>
      <w:r>
        <w:t xml:space="preserve"> </w:t>
      </w:r>
      <w:r>
        <w:t xml:space="preserve">Variables with missing observations were identified for inclusion in the imputation model. 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273</w:t>
        </w:r>
      </w:hyperlink>
      <w:r>
        <w:t xml:space="preserve"> </w:t>
      </w:r>
      <w:r>
        <w:t xml:space="preserve">Using the MICE (Multiple Imputation by Chained Equations) command in STATA16, 20 imputed datasets were created.</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271</w:t>
        </w:r>
      </w:hyperlink>
    </w:p>
    <w:p>
      <w:pPr>
        <w:pStyle w:val="BodyText"/>
      </w:pPr>
      <w:r>
        <w:t xml:space="preserve"> </w:t>
      </w:r>
      <w:r>
        <w:t xml:space="preserve"> </w:t>
      </w:r>
    </w:p>
    <w:bookmarkEnd w:id="172"/>
    <w:bookmarkStart w:id="173"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8</m:t>
          </m:r>
          <m:r>
            <m:rPr>
              <m:sty m:val="p"/>
            </m:rPr>
            <m:t>)</m:t>
          </m:r>
        </m:oMath>
      </m:oMathPara>
    </w:p>
    <w:p>
      <w:pPr>
        <w:pStyle w:val="FirstParagraph"/>
      </w:pPr>
      <w:r>
        <w:t xml:space="preserve">where:</w:t>
      </w:r>
    </w:p>
    <w:p>
      <w:pPr>
        <w:numPr>
          <w:ilvl w:val="0"/>
          <w:numId w:val="1010"/>
        </w:numPr>
        <w:pStyle w:val="Compact"/>
      </w:pPr>
      <m:oMath>
        <m:r>
          <m:t>t</m:t>
        </m:r>
      </m:oMath>
      <w:r>
        <w:t xml:space="preserve"> </w:t>
      </w:r>
      <w:r>
        <w:t xml:space="preserve">is the survival time;</w:t>
      </w:r>
    </w:p>
    <w:p>
      <w:pPr>
        <w:numPr>
          <w:ilvl w:val="0"/>
          <w:numId w:val="1010"/>
        </w:numPr>
        <w:pStyle w:val="Compact"/>
      </w:pPr>
      <m:oMath>
        <m:r>
          <m:t>h</m:t>
        </m:r>
        <m:r>
          <m:rPr>
            <m:sty m:val="p"/>
          </m:rPr>
          <m:t>(</m:t>
        </m:r>
        <m:r>
          <m:t>t</m:t>
        </m:r>
        <m:r>
          <m:rPr>
            <m:sty m:val="p"/>
          </m:rPr>
          <m:t>)</m:t>
        </m:r>
      </m:oMath>
      <w:r>
        <w:t xml:space="preserve"> </w:t>
      </w:r>
      <w:r>
        <w:t xml:space="preserve">is the hazard function; and</w:t>
      </w:r>
    </w:p>
    <w:p>
      <w:pPr>
        <w:numPr>
          <w:ilvl w:val="0"/>
          <w:numId w:val="1010"/>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0"/>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 Cox PR model was chosen for this analysis as it inherently accounts for the length of time participants spend in each exposure group. Using this approach, time-at-risk can be properly attributed to the appropriate exposure group, thus mitigating the impact of immortal time bias. This is discussed in detail in the following section.</w:t>
      </w:r>
    </w:p>
    <w:p>
      <w:pPr>
        <w:pStyle w:val="BodyText"/>
      </w:pPr>
      <w:r>
        <w:t xml:space="preserve"> </w:t>
      </w:r>
    </w:p>
    <w:bookmarkEnd w:id="173"/>
    <w:bookmarkStart w:id="175" w:name="cprd-immortal-time-bias"/>
    <w:p>
      <w:pPr>
        <w:pStyle w:val="Heading3"/>
      </w:pPr>
      <w:r>
        <w:t xml:space="preserve">Immortal time bias and time-varying treatment indicators</w:t>
      </w:r>
    </w:p>
    <w:p>
      <w:pPr>
        <w:pStyle w:val="FirstParagraph"/>
      </w:pPr>
      <w:r>
        <w:t xml:space="preserve">Immortal time bias describes two distinct but related types of bias. The first presentation, the selection bias aspect (Panel A, Figure</w:t>
      </w:r>
      <w:r>
        <w:t xml:space="preserve"> </w:t>
      </w:r>
      <w:r>
        <w:t xml:space="preserve">22</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274</w:t>
        </w:r>
      </w:hyperlink>
      <w:r>
        <w:t xml:space="preserve"> </w:t>
      </w:r>
      <w:r>
        <w:t xml:space="preserve">Following the example displayed in the figure, the unexposed group are followed from the date of a diagnosis, while the exposed group is followed from date of a prescription. In this scenario, the time between diangosis and prescription for the exposure group is missing, and any events that occur in the exposed group prior to the prescription will be inappropriately excluded from the analysis.</w:t>
      </w:r>
    </w:p>
    <w:p>
      <w:pPr>
        <w:pStyle w:val="BodyText"/>
      </w:pPr>
      <w:r>
        <w:t xml:space="preserve">The second presentation of immortal time bias is as a type of misclassification bias (Panel B, Figure</w:t>
      </w:r>
      <w:r>
        <w:t xml:space="preserve"> </w:t>
      </w:r>
      <w:r>
        <w:t xml:space="preserve">22</w:t>
      </w:r>
      <w:r>
        <w:t xml:space="preserve">). It occurs when the exposure time prior to the prescription, and any events occurring within it, is inappropriately assigned to the exposed group.</w:t>
      </w:r>
    </w:p>
    <w:p>
      <w:pPr>
        <w:pStyle w:val="BodyText"/>
      </w:pPr>
      <w:r>
        <w:t xml:space="preserve"> </w:t>
      </w:r>
    </w:p>
    <w:p>
      <w:pPr>
        <w:pStyle w:val="CaptionedFigure"/>
      </w:pPr>
      <w:r>
        <w:drawing>
          <wp:inline>
            <wp:extent cx="5943600" cy="3961601"/>
            <wp:effectExtent b="0" l="0" r="0" t="0"/>
            <wp:docPr descr="Figure 22: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74"/>
                    <a:stretch>
                      <a:fillRect/>
                    </a:stretch>
                  </pic:blipFill>
                  <pic:spPr bwMode="auto">
                    <a:xfrm>
                      <a:off x="0" y="0"/>
                      <a:ext cx="5943600" cy="3961601"/>
                    </a:xfrm>
                    <a:prstGeom prst="rect">
                      <a:avLst/>
                    </a:prstGeom>
                    <a:noFill/>
                    <a:ln w="9525">
                      <a:noFill/>
                      <a:headEnd/>
                      <a:tailEnd/>
                    </a:ln>
                  </pic:spPr>
                </pic:pic>
              </a:graphicData>
            </a:graphic>
          </wp:inline>
        </w:drawing>
      </w:r>
    </w:p>
    <w:p>
      <w:pPr>
        <w:pStyle w:val="ImageCaption"/>
      </w:pPr>
      <w:r>
        <w:t xml:space="preserve">Figure 22: Diagram illustrating the two presentations of immortal time bias, as a selection bias (Panel A) and a misclassification bias (Panal B).</w:t>
      </w:r>
    </w:p>
    <w:p>
      <w:pPr>
        <w:pStyle w:val="BodyText"/>
      </w:pPr>
      <w:r>
        <w:t xml:space="preserve"> </w:t>
      </w:r>
    </w:p>
    <w:p>
      <w:pPr>
        <w:pStyle w:val="BodyText"/>
      </w:pPr>
      <w:r>
        <w:t xml:space="preserve">This second presentation appears to be common in the existing literature, as several of the studies included in the systematic review presented in Chapter</w:t>
      </w:r>
      <w:r>
        <w:t xml:space="preserve"> </w:t>
      </w:r>
      <w:r>
        <w:t xml:space="preserve">??</w:t>
      </w:r>
      <w:r>
        <w:t xml:space="preserve"> </w:t>
      </w:r>
      <w:r>
        <w:t xml:space="preserve">were identified as being at risk of immortal time bias following formal risk of bias assessment using the ROBINS-I tool (see Section</w:t>
      </w:r>
      <w:r>
        <w:t xml:space="preserve"> </w:t>
      </w:r>
      <w:r>
        <w:t xml:space="preserve">??</w:t>
      </w:r>
      <w:r>
        <w:t xml:space="preserve">). Both presentations of immortal time bias appear in the literature on the relationship of statins and dementia, as identified by the systematic review presented in Chapters</w:t>
      </w:r>
      <w:r>
        <w:t xml:space="preserve"> </w:t>
      </w:r>
      <w:r>
        <w:t xml:space="preserve">3</w:t>
      </w:r>
      <w:r>
        <w:t xml:space="preserve">/</w:t>
      </w:r>
      <w:r>
        <w:t xml:space="preserve">4</w:t>
      </w:r>
    </w:p>
    <w:p>
      <w:pPr>
        <w:pStyle w:val="BodyText"/>
      </w:pPr>
      <w:r>
        <w:t xml:space="preserve">This analysis attempted to address this issue by following all participants from a common index date (defined as earliest of: (a) date of raised cholesterol test results; (b) hypercholesterolemeia diagnosis; or (c) LRA prescription). Following a recommended approach to addressing the second form of immortal time bias, I employed a time-varying indicator of treatment status to correctly allocate time-at-risk to the exposed and unexposed groups.</w:t>
      </w:r>
      <w:hyperlink w:anchor="ref-levesque2010">
        <w:r>
          <w:rPr>
            <w:rStyle w:val="Hyperlink"/>
            <w:vertAlign w:val="superscript"/>
          </w:rPr>
          <w:t xml:space="preserve">274</w:t>
        </w:r>
      </w:hyperlink>
    </w:p>
    <w:p>
      <w:pPr>
        <w:pStyle w:val="BodyText"/>
      </w:pPr>
      <w:r>
        <w:t xml:space="preserve">Under this approach, all patients start in the unexposed group and contribute time-at-risk until they are prescribed a lipid-regulating agent and move into the exposed group. Note, patients for whom prescription of a lipid-regulating agent was the index event only contribute time to the exposed group (i.e. they enter the cohort and move into the exposed group on the same day).</w:t>
      </w:r>
    </w:p>
    <w:p>
      <w:pPr>
        <w:pStyle w:val="BodyText"/>
      </w:pPr>
      <w:r>
        <w:t xml:space="preserve"> </w:t>
      </w:r>
    </w:p>
    <w:bookmarkEnd w:id="175"/>
    <w:bookmarkStart w:id="176" w:name="cprd-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275</w:t>
        </w:r>
      </w:hyperlink>
      <w:r>
        <w:rPr>
          <w:vertAlign w:val="superscript"/>
        </w:rPr>
        <w:t xml:space="preserve">–</w:t>
      </w:r>
      <w:hyperlink w:anchor="ref-pencina2007">
        <w:r>
          <w:rPr>
            <w:rStyle w:val="Hyperlink"/>
            <w:vertAlign w:val="superscript"/>
          </w:rPr>
          <w:t xml:space="preserve">277</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76"/>
    <w:bookmarkStart w:id="184" w:name="sensitivity-analyses"/>
    <w:p>
      <w:pPr>
        <w:pStyle w:val="Heading3"/>
      </w:pPr>
      <w:r>
        <w:t xml:space="preserve">Sensitivity analyses</w:t>
      </w:r>
    </w:p>
    <w:p>
      <w:pPr>
        <w:pStyle w:val="FirstParagraph"/>
      </w:pPr>
      <w:r>
        <w:t xml:space="preserve">The primary analysis examined the effect of a lipid-regulating agent on dementia risk, stratified by outcome and drug class. To assess the robustness of the results, a number of sensitivity analyses were performed. These are described in the following sections.</w:t>
      </w:r>
    </w:p>
    <w:p>
      <w:pPr>
        <w:pStyle w:val="BodyText"/>
      </w:pPr>
      <w:r>
        <w:t xml:space="preserve"> </w:t>
      </w:r>
    </w:p>
    <w:bookmarkStart w:id="177" w:name="complete-case-vs-imputed-data"/>
    <w:p>
      <w:pPr>
        <w:pStyle w:val="Heading4"/>
      </w:pPr>
      <w:r>
        <w:t xml:space="preserve">Complete case vs imputed data</w:t>
      </w:r>
    </w:p>
    <w:p>
      <w:pPr>
        <w:pStyle w:val="FirstParagraph"/>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278</w:t>
        </w:r>
      </w:hyperlink>
      <w:r>
        <w:t xml:space="preserve"> </w:t>
      </w:r>
      <w:r>
        <w:t xml:space="preserve">where participants missing any covariate are dropped from the dataset. As a recommended sensitivity analysis,</w:t>
      </w:r>
      <w:hyperlink w:anchor="ref-hughes2019">
        <w:r>
          <w:rPr>
            <w:rStyle w:val="Hyperlink"/>
            <w:vertAlign w:val="superscript"/>
          </w:rPr>
          <w:t xml:space="preserve">279</w:t>
        </w:r>
      </w:hyperlink>
      <w:r>
        <w:t xml:space="preserve"> </w:t>
      </w:r>
      <w:r>
        <w:t xml:space="preserve">I preformed and compared the results of both methods, to investigate the impact of multiple imputation on the results.</w:t>
      </w:r>
    </w:p>
    <w:p>
      <w:pPr>
        <w:pStyle w:val="BodyText"/>
      </w:pPr>
      <w:r>
        <w:t xml:space="preserve"> </w:t>
      </w:r>
    </w:p>
    <w:bookmarkEnd w:id="177"/>
    <w:bookmarkStart w:id="179"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three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280</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w:t>
      </w:r>
    </w:p>
    <w:p>
      <w:pPr>
        <w:pStyle w:val="BodyText"/>
      </w:pPr>
      <w:r>
        <w:t xml:space="preserve">Negative outcomes are defined as those without a likely causal path between the exposure and outcome (see Figure</w:t>
      </w:r>
      <w:r>
        <w:t xml:space="preserve"> </w:t>
      </w:r>
      <w:r>
        <w:t xml:space="preserve">23</w:t>
      </w:r>
      <w:r>
        <w:t xml:space="preserve"> </w:t>
      </w:r>
      <w:r>
        <w:t xml:space="preserve">for a directed acyclic graph, or DAG, describing an ideal negative outcome).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 Due to the wealth of data available on statins as a lipid-regulating agent, I chose three control outcomes were chosen in reference to this drug class: back pain (negative control), ischaemic heart disease (positive protective control), and Type 2 diabetes (positive harmful control).</w:t>
      </w:r>
    </w:p>
    <w:p>
      <w:pPr>
        <w:pStyle w:val="BodyText"/>
      </w:pPr>
      <w:r>
        <w:t xml:space="preserve"> </w:t>
      </w:r>
    </w:p>
    <w:p>
      <w:pPr>
        <w:pStyle w:val="BodyText"/>
      </w:pPr>
      <w:r>
        <w:drawing>
          <wp:inline>
            <wp:extent cx="4587290" cy="2752374"/>
            <wp:effectExtent b="0" l="0" r="0" t="0"/>
            <wp:docPr descr="Figure 23: Causal diagram (directed acyclic graph)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78"/>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r>
        <w:t xml:space="preserve"> </w:t>
      </w:r>
    </w:p>
    <w:p>
      <w:pPr>
        <w:pStyle w:val="BodyText"/>
      </w:pPr>
      <w:r>
        <w:t xml:space="preserve">Despite observational analyses suggesting a link between statins and muscular pain (as opposed to more serious complications such as myopathy),</w:t>
      </w:r>
      <w:hyperlink w:anchor="ref-selva-ocallaghan2018">
        <w:r>
          <w:rPr>
            <w:rStyle w:val="Hyperlink"/>
            <w:vertAlign w:val="superscript"/>
          </w:rPr>
          <w:t xml:space="preserve">281</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282</w:t>
        </w:r>
      </w:hyperlink>
      <w:r>
        <w:t xml:space="preserve"> </w:t>
      </w:r>
      <w:r>
        <w:t xml:space="preserve">have found little evidence supporting an effect. This suggests that muscular backpain would be suitable for use as a negative control outcome in this analysis. Under this approach, if statin use is found to be associated with muscular backpain in this analysis, this suggests the presence of residual confounding and reduces my confidence in the results for the dementia outcomes.</w:t>
      </w:r>
    </w:p>
    <w:p>
      <w:pPr>
        <w:pStyle w:val="BodyText"/>
      </w:pPr>
      <w:r>
        <w:t xml:space="preserve">Similarly, incident ischemic heart disease and Type 2 diabetes were included as a protective and harmful positive control outcome, respectively. The protective effect of lipid-lowering treatment, via statins, on the risk of ischemic heart disease is well-established,</w:t>
      </w:r>
      <w:hyperlink w:anchor="ref-collins2016a">
        <w:r>
          <w:rPr>
            <w:rStyle w:val="Hyperlink"/>
            <w:vertAlign w:val="superscript"/>
          </w:rPr>
          <w:t xml:space="preserve">30</w:t>
        </w:r>
      </w:hyperlink>
      <w:r>
        <w:t xml:space="preserve"> </w:t>
      </w:r>
      <w:r>
        <w:t xml:space="preserve">while there is growing evidence for an increased risk of Type 2 diabetes with statin use.</w:t>
      </w:r>
      <w:hyperlink w:anchor="ref-collins2016a">
        <w:r>
          <w:rPr>
            <w:rStyle w:val="Hyperlink"/>
            <w:vertAlign w:val="superscript"/>
          </w:rPr>
          <w:t xml:space="preserve">30</w:t>
        </w:r>
      </w:hyperlink>
      <w:r>
        <w:rPr>
          <w:vertAlign w:val="superscript"/>
        </w:rPr>
        <w:t xml:space="preserve">,</w:t>
      </w:r>
      <w:hyperlink w:anchor="ref-macedo2014">
        <w:r>
          <w:rPr>
            <w:rStyle w:val="Hyperlink"/>
            <w:vertAlign w:val="superscript"/>
          </w:rPr>
          <w:t xml:space="preserve">283</w:t>
        </w:r>
      </w:hyperlink>
      <w:r>
        <w:rPr>
          <w:vertAlign w:val="superscript"/>
        </w:rPr>
        <w:t xml:space="preserve">,</w:t>
      </w:r>
      <w:hyperlink w:anchor="ref-smit2020">
        <w:r>
          <w:rPr>
            <w:rStyle w:val="Hyperlink"/>
            <w:vertAlign w:val="superscript"/>
          </w:rPr>
          <w:t xml:space="preserve">284</w:t>
        </w:r>
      </w:hyperlink>
      <w:r>
        <w:t xml:space="preserve"> </w:t>
      </w:r>
      <w:r>
        <w:t xml:space="preserve">Similar to the negative outcome, if the analysis strategy can reproduce these known associations, this will provide evidence that potential confounders have been sufficiently adjusted for.</w:t>
      </w:r>
    </w:p>
    <w:p>
      <w:pPr>
        <w:pStyle w:val="BodyText"/>
      </w:pPr>
      <w:r>
        <w:t xml:space="preserve"> </w:t>
      </w:r>
    </w:p>
    <w:bookmarkEnd w:id="179"/>
    <w:bookmarkStart w:id="180" w:name="impact-of-additional-covariates"/>
    <w:p>
      <w:pPr>
        <w:pStyle w:val="Heading4"/>
      </w:pPr>
      <w:r>
        <w:t xml:space="preserve">Impact of additional covariates</w:t>
      </w:r>
    </w:p>
    <w:p>
      <w:pPr>
        <w:pStyle w:val="FirstParagraph"/>
      </w:pPr>
      <w:r>
        <w:t xml:space="preserve">To observe the effect of adjusting for additional covariates, I ran two additional models unadjusted except for: (a) age; and (b) age and gender. The results of these models was then compared the results with the fully adjusted model.</w:t>
      </w:r>
    </w:p>
    <w:p>
      <w:pPr>
        <w:pStyle w:val="BodyText"/>
      </w:pPr>
      <w:r>
        <w:t xml:space="preserve"> </w:t>
      </w:r>
    </w:p>
    <w:bookmarkEnd w:id="180"/>
    <w:bookmarkStart w:id="181"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to assess the robustness of the estimates, as statins are contraindicated in pregnancy.</w:t>
      </w:r>
      <w:hyperlink w:anchor="ref-karalis2016">
        <w:r>
          <w:rPr>
            <w:rStyle w:val="Hyperlink"/>
            <w:vertAlign w:val="superscript"/>
          </w:rPr>
          <w:t xml:space="preserve">285</w:t>
        </w:r>
      </w:hyperlink>
    </w:p>
    <w:p>
      <w:pPr>
        <w:pStyle w:val="BodyText"/>
      </w:pPr>
      <w:r>
        <w:t xml:space="preserve"> </w:t>
      </w:r>
    </w:p>
    <w:bookmarkEnd w:id="181"/>
    <w:bookmarkStart w:id="182"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1.4.2</w:t>
      </w:r>
      <w:r>
        <w:t xml:space="preserve">).</w:t>
      </w:r>
      <w:hyperlink w:anchor="ref-sierra2011">
        <w:r>
          <w:rPr>
            <w:rStyle w:val="Hyperlink"/>
            <w:vertAlign w:val="superscript"/>
          </w:rPr>
          <w:t xml:space="preserve">33</w:t>
        </w:r>
      </w:hyperlink>
      <w:r>
        <w:t xml:space="preserve"> </w:t>
      </w:r>
      <w:r>
        <w:t xml:space="preserve">To investigate this, I further stratified the statin exposure group into lipophilic (Atorvastatin, Lovastatin, Simvastatin, Cerivastatin) and hydrophilic (Pravastatin, Rosuvastatin, Fluvastatin) statins.</w:t>
      </w:r>
    </w:p>
    <w:p>
      <w:pPr>
        <w:pStyle w:val="BodyText"/>
      </w:pPr>
      <w:r>
        <w:t xml:space="preserve"> </w:t>
      </w:r>
    </w:p>
    <w:bookmarkEnd w:id="182"/>
    <w:bookmarkStart w:id="183" w:name="comparing-dementia-codelists"/>
    <w:p>
      <w:pPr>
        <w:pStyle w:val="Heading4"/>
      </w:pPr>
      <w:r>
        <w:t xml:space="preserve">Comparing dementia codelists</w:t>
      </w:r>
    </w:p>
    <w:p>
      <w:pPr>
        <w:pStyle w:val="FirstParagraph"/>
      </w:pPr>
      <w:r>
        <w:t xml:space="preserve">As part of an exploratory analysis of the effect of the choice of code lists on the analysis, I created an alternative Alzheimer’s disease and non-Alzheimer’s dementia outcome using code lists from a published study by Smeeth</w:t>
      </w:r>
      <w:r>
        <w:t xml:space="preserve"> </w:t>
      </w:r>
      <w:r>
        <w:rPr>
          <w:iCs/>
          <w:i/>
        </w:rPr>
        <w:t xml:space="preserve">et al</w:t>
      </w:r>
      <w:r>
        <w:t xml:space="preserve">.</w:t>
      </w:r>
      <w:hyperlink w:anchor="ref-smeeth2009">
        <w:r>
          <w:rPr>
            <w:rStyle w:val="Hyperlink"/>
            <w:vertAlign w:val="superscript"/>
          </w:rPr>
          <w:t xml:space="preserve">286</w:t>
        </w:r>
      </w:hyperlink>
    </w:p>
    <w:p>
      <w:pPr>
        <w:pStyle w:val="BodyText"/>
      </w:pPr>
      <w:r>
        <w:t xml:space="preserve">This previous analysis used a propensity matching approach to estimate the association of statins with a range of outcomes in The Health Improvement Network (THIN) database, a alternative source of English electronic health records which has substantial overlap with the CPRD.</w:t>
      </w:r>
      <w:hyperlink w:anchor="ref-carbonari2015">
        <w:r>
          <w:rPr>
            <w:rStyle w:val="Hyperlink"/>
            <w:vertAlign w:val="superscript"/>
          </w:rPr>
          <w:t xml:space="preserve">287</w:t>
        </w:r>
      </w:hyperlink>
      <w:r>
        <w:t xml:space="preserve"> </w:t>
      </w:r>
      <w:r>
        <w:t xml:space="preserve">The code lists used in this analysis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83"/>
    <w:bookmarkEnd w:id="184"/>
    <w:bookmarkEnd w:id="185"/>
    <w:bookmarkStart w:id="205" w:name="results-1"/>
    <w:p>
      <w:pPr>
        <w:pStyle w:val="Heading2"/>
      </w:pPr>
      <w:r>
        <w:t xml:space="preserve">Results</w:t>
      </w:r>
    </w:p>
    <w:bookmarkStart w:id="187"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24</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24: Attrition of CPRD participants as the eligibility criteria were applied. The largest cause of attrition was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86"/>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(inter-quartile range (IQR):48-67) and participants were followed up for a median of 5.9 years (IQR:2.7-9.7). During follow-up, an all-cause dementia diagnosis was recorded for 41,830 patients (12,647 probable AD, 9,954 possible AD, 8,466 vascular dementia, 10,763 other dementias).</w:t>
      </w:r>
    </w:p>
    <w:p>
      <w:pPr>
        <w:pStyle w:val="BodyText"/>
      </w:pPr>
      <w:r>
        <w:t xml:space="preserve">The number of events, time-at-risk and crude rates for each drug class, tabulated by dementia outcome, are shown in Table</w:t>
      </w:r>
      <w:r>
        <w:t xml:space="preserve"> </w:t>
      </w:r>
      <w:r>
        <w:t xml:space="preserve">12</w:t>
      </w:r>
      <w:r>
        <w:t xml:space="preserve">. 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(n=127) and</w:t>
      </w:r>
      <w:r>
        <w:t xml:space="preserve"> </w:t>
      </w:r>
      <w:r>
        <w:t xml:space="preserve">“</w:t>
      </w:r>
      <w:r>
        <w:t xml:space="preserve">Nicotinic acid groups</w:t>
      </w:r>
      <w:r>
        <w:t xml:space="preserve">”</w:t>
      </w:r>
      <w:r>
        <w:t xml:space="preserve"> </w:t>
      </w:r>
      <w:r>
        <w:t xml:space="preserve">(n= 165) classes from subsequent class-based subgroup analyses based on the extremely small number of participants in these groups.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TableCaption"/>
      </w:pPr>
      <w:r>
        <w:t xml:space="preserve">Table 12:</w:t>
      </w:r>
      <w:r>
        <w:t xml:space="preserve"> </w:t>
      </w:r>
      <w:bookmarkStart w:id="538ae229-3ba9-49a9-8906-cbfd1f43375a" w:name="tab:followUp-table"/>
      <w:r>
        <w:t xml:space="preserve">Summary of number of events, years at risk and crude rates per 100,000 participant-years-at-risk stratified by dementia outcome and drug class of interest.</w:t>
      </w:r>
      <w:bookmarkEnd w:id="538ae229-3ba9-49a9-8906-cbfd1f43375a"/>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PYAR</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18"/>
                <w:szCs w:val="18"/>
                <w:color w:val="000000"/>
              </w:rPr>
              <w:t xml:space="preserve">a</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5,872,717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5,818,047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5,800,964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5,811,594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5,808,285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4,871,568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4,758,526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4,753,437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4,755,258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4,747,237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FAGs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 + Statins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8"/>
                <w:szCs w:val="18"/>
                <w:color w:val="000000"/>
              </w:rPr>
              <w:t xml:space="preserve">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NAG</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1,403</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1,379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1,391</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1,389</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1,382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10,835,686</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10,666,205</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10,643,714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10,656,378</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10,644,999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r>
      <w:tr>
        <w:trPr>
          <w:cantSplit/>
          <w:trHeight w:val="360" w:hRule="auto"/>
        </w:trPr>
        <w:tc>
          <w:tcPr>
            <w:gridSpan w:val="1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Crude rate per 100,000 participant-years-at-risk</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One treatment containing both drugs, rather than the two classes being prescribed concurrently</w:t>
              <w:b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Abbreviations: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AD - Alzheimer's disease;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BAS - Bile acid sequestrants;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LRA - Lipid regulating agent;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NAG - Nicotinic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Omega-3 FAGs - Omega-3 fatty acid groups;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PYAR - Participant-years-at-risk.</w:t>
            </w:r>
          </w:p>
        </w:tc>
      </w:tr>
    </w:tbl>
    <w:p>
      <w:pPr>
        <w:pStyle w:val="TableCaption"/>
      </w:pPr>
      <w:r>
        <w:t xml:space="preserve">Table 13:</w:t>
      </w:r>
      <w:r>
        <w:t xml:space="preserve"> </w:t>
      </w:r>
      <w:bookmarkStart w:id="b3a2fc28-2f39-4a9b-96c8-e83f051ff8c0" w:name="tab:cprdCharacteristics-table"/>
      <w:r>
        <w:t xml:space="preserve">Patient characteristics by drug class. Summary statistics are presented as "% (N)" unless otherwise specified in the variable name.</w:t>
      </w:r>
      <w:bookmarkEnd w:id="b3a2fc28-2f39-4a9b-96c8-e83f051ff8c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Note: The 'Nicotinic acid groups' (n=165) and 'Ezetimibe and Statins' (n=127) subgroups are not shown, but are included in the whole sample column</w:t>
              <w:br/>
              <w:t xml:space="preserve"> Abbreviations: BMI - Body mass index; CAD - Coronary arterial disease; CBS - Coronary bypass surgery; CKD - Chronic kidney disease; CVD - Cardiovascular disease; IMD - Index of multiple deprivation; LRA - Lipid regulating agent; PAD - Peripheral arterial disease; SD - Standard deviation.</w:t>
            </w:r>
          </w:p>
        </w:tc>
      </w:tr>
    </w:tbl>
    <w:p>
      <w:pPr>
        <w:pStyle w:val="BodyText"/>
      </w:pPr>
      <w:r>
        <w:t xml:space="preserve">The distribution of baseline characteristics across the remaining seven drug classes can be seen in Table</w:t>
      </w:r>
      <w:r>
        <w:t xml:space="preserve"> </w:t>
      </w:r>
      <w:r>
        <w:t xml:space="preserve">13</w:t>
      </w:r>
      <w:r>
        <w:t xml:space="preserve">. Note due to the experimental design, the median year of entry is expected to be later for those not prescribed an LRA, as this exposure group is more likely to include those who entered into the cohort towards the end of study window (as these people had less follow-up time in which to be prescribed an LRA).</w:t>
      </w:r>
    </w:p>
    <w:p>
      <w:pPr>
        <w:pStyle w:val="BodyText"/>
      </w:pPr>
      <w:r>
        <w:t xml:space="preserve">The stopping, addition and switching of drug classes was common across all drug classes (Table</w:t>
      </w:r>
      <w:r>
        <w:t xml:space="preserve"> </w:t>
      </w:r>
      <w:r>
        <w:t xml:space="preserve">14</w:t>
      </w:r>
      <w:r>
        <w:t xml:space="preserve">).</w:t>
      </w:r>
    </w:p>
    <w:p>
      <w:pPr>
        <w:pStyle w:val="BodyText"/>
      </w:pPr>
      <w:r>
        <w:t xml:space="preserve"> </w:t>
      </w:r>
    </w:p>
    <w:p>
      <w:pPr>
        <w:pStyle w:val="TableCaption"/>
      </w:pPr>
      <w:r>
        <w:t xml:space="preserve">Table 14:</w:t>
      </w:r>
      <w:r>
        <w:t xml:space="preserve"> </w:t>
      </w:r>
      <w:bookmarkStart w:id="8a372f75-fb0a-4a43-9e8f-8c6b13714011" w:name="tab:cprdSSA-table"/>
      <w:r>
        <w:t xml:space="preserve">Participants who stopped, switched or added treatments by initial treatment type.</w:t>
      </w:r>
      <w:bookmarkEnd w:id="8a372f75-fb0a-4a43-9e8f-8c6b1371401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bookmarkEnd w:id="187"/>
    <w:bookmarkStart w:id="188"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88"/>
    <w:bookmarkStart w:id="190" w:name="primary-analysis"/>
    <w:p>
      <w:pPr>
        <w:pStyle w:val="Heading3"/>
      </w:pPr>
      <w:r>
        <w:t xml:space="preserve">Primary analysis</w:t>
      </w:r>
    </w:p>
    <w:p>
      <w:pPr>
        <w:pStyle w:val="FirstParagraph"/>
      </w:pPr>
      <w:r>
        <w:t xml:space="preserve">The results of the primary analysis using the fully adjusted Cox proportional hazards model with participant age as the time scale are presented for each drug/outcome combination in Figure</w:t>
      </w:r>
      <w:r>
        <w:t xml:space="preserve"> </w:t>
      </w:r>
      <w:r>
        <w:t xml:space="preserve">25</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25: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89"/>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to no treatment, with the sole exception of fibrates on probable Alzheimer’s disease (HR:1.52, 95%CI:1.13-2.03).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dementias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(HR:1.17, 95%CI:1.14-1.19), which lies between the associations for the Alzheimer and non-Alzheimer dementia outcomes as would be expected. There was also some evidence that fibrates were associated with increased risk of all-cause dementia (HR:1.28, 95%CI:1.08-1.52).</w:t>
      </w:r>
    </w:p>
    <w:p>
      <w:pPr>
        <w:pStyle w:val="BodyText"/>
      </w:pPr>
      <w:r>
        <w:t xml:space="preserve"> </w:t>
      </w:r>
    </w:p>
    <w:bookmarkEnd w:id="190"/>
    <w:bookmarkStart w:id="204" w:name="sensitivity-analyses-1"/>
    <w:p>
      <w:pPr>
        <w:pStyle w:val="Heading3"/>
      </w:pPr>
      <w:r>
        <w:t xml:space="preserve">Sensitivity analyses</w:t>
      </w:r>
    </w:p>
    <w:p>
      <w:pPr>
        <w:pStyle w:val="FirstParagraph"/>
      </w:pPr>
      <w:r>
        <w:t xml:space="preserve">The results of the series of sensitivity analyses performed are described in the following sections.</w:t>
      </w:r>
    </w:p>
    <w:bookmarkStart w:id="192"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272</w:t>
        </w:r>
      </w:hyperlink>
    </w:p>
    <w:p>
      <w:pPr>
        <w:pStyle w:val="BodyText"/>
      </w:pPr>
      <w:r>
        <w:t xml:space="preserve"> </w:t>
      </w:r>
    </w:p>
    <w:p>
      <w:pPr>
        <w:pStyle w:val="BodyText"/>
      </w:pPr>
      <w:r>
        <w:drawing>
          <wp:inline>
            <wp:extent cx="5943600" cy="4087549"/>
            <wp:effectExtent b="0" l="0" r="0" t="0"/>
            <wp:docPr descr="Figure 26: Comparison of analyses using the complete case versus imputed cohort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91"/>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2"/>
    <w:bookmarkStart w:id="194"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27</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 and Type 2 diabetes (HR: 1.50, 95%CI: 1.48-1.51).</w:t>
      </w:r>
    </w:p>
    <w:p>
      <w:pPr>
        <w:pStyle w:val="BodyText"/>
      </w:pPr>
      <w:r>
        <w:t xml:space="preserve"> </w:t>
      </w:r>
    </w:p>
    <w:p>
      <w:pPr>
        <w:pStyle w:val="BodyText"/>
      </w:pPr>
      <w:r>
        <w:drawing>
          <wp:inline>
            <wp:extent cx="5943600" cy="2135368"/>
            <wp:effectExtent b="0" l="0" r="0" t="0"/>
            <wp:docPr descr="Figure 27: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93"/>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94"/>
    <w:bookmarkStart w:id="196"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28</w:t>
      </w:r>
      <w:r>
        <w:t xml:space="preserve">. 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8: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95"/>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r>
        <w:t xml:space="preserve"> </w:t>
      </w:r>
    </w:p>
    <w:bookmarkEnd w:id="196"/>
    <w:bookmarkStart w:id="198"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29</w:t>
      </w:r>
      <w:r>
        <w:t xml:space="preserve">).</w:t>
      </w:r>
    </w:p>
    <w:p>
      <w:pPr>
        <w:pStyle w:val="BodyText"/>
      </w:pPr>
      <w:r>
        <w:t xml:space="preserve"> </w:t>
      </w:r>
    </w:p>
    <w:p>
      <w:pPr>
        <w:pStyle w:val="BodyText"/>
      </w:pPr>
      <w:r>
        <w:drawing>
          <wp:inline>
            <wp:extent cx="5943600" cy="6016570"/>
            <wp:effectExtent b="0" l="0" r="0" t="0"/>
            <wp:docPr descr="Figure 29: Analysis of any lipid-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97"/>
                    <a:stretch>
                      <a:fillRect/>
                    </a:stretch>
                  </pic:blipFill>
                  <pic:spPr bwMode="auto">
                    <a:xfrm>
                      <a:off x="0" y="0"/>
                      <a:ext cx="5943600" cy="601657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frequency of outcomes declines in more recent strata, likely due to the limited follow-up inherent to these groups, this decline in frequency is relatively constant across the dementia subtypes.</w:t>
      </w:r>
    </w:p>
    <w:p>
      <w:pPr>
        <w:pStyle w:val="BodyText"/>
      </w:pPr>
      <w:r>
        <w:t xml:space="preserve"> </w:t>
      </w:r>
    </w:p>
    <w:p>
      <w:pPr>
        <w:pStyle w:val="TableCaption"/>
      </w:pPr>
      <w:r>
        <w:t xml:space="preserve">Table 15:</w:t>
      </w:r>
      <w:r>
        <w:t xml:space="preserve"> </w:t>
      </w:r>
      <w:bookmarkStart w:id="f7c236dd-f081-4d59-9e6e-ea9553b04ae2" w:name="tab:diagnosisType-table"/>
      <w:r>
        <w:t xml:space="preserve">Frequency of diagnoses by grouped year of cohort entry</w:t>
      </w:r>
      <w:bookmarkEnd w:id="f7c236dd-f081-4d59-9e6e-ea9553b04ae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98"/>
    <w:bookmarkStart w:id="200"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30</w:t>
      </w:r>
      <w:r>
        <w:t xml:space="preserve">).</w:t>
      </w:r>
    </w:p>
    <w:p>
      <w:pPr>
        <w:pStyle w:val="BodyText"/>
      </w:pPr>
      <w:r>
        <w:t xml:space="preserve"> </w:t>
      </w:r>
    </w:p>
    <w:p>
      <w:pPr>
        <w:pStyle w:val="BodyText"/>
      </w:pPr>
      <w:r>
        <w:drawing>
          <wp:inline>
            <wp:extent cx="5943600" cy="4068214"/>
            <wp:effectExtent b="0" l="0" r="0" t="0"/>
            <wp:docPr descr="Figure 30: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99"/>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r>
        <w:t xml:space="preserve"> </w:t>
      </w:r>
    </w:p>
    <w:bookmarkEnd w:id="200"/>
    <w:bookmarkStart w:id="202"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4a02db08-7a3d-43ba-b22d-3bc07f522832" w:name="tab:statinTypeTable-table"/>
      <w:r>
        <w:t xml:space="preserve">Summary of statin properties (lipophilicity vs hydrophilicity) by grouped year of prescription.</w:t>
      </w:r>
      <w:bookmarkEnd w:id="4a02db08-7a3d-43ba-b22d-3bc07f52283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&lt;=2000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2001-2005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2006-2010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2010&lt;</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dementias outcomes compared to lipophilic statins (Figure</w:t>
      </w:r>
      <w:r>
        <w:t xml:space="preserve"> </w:t>
      </w:r>
      <w:r>
        <w:t xml:space="preserve">31</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31: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201"/>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202"/>
    <w:bookmarkStart w:id="203" w:name="comparing-codelists"/>
    <w:p>
      <w:pPr>
        <w:pStyle w:val="Heading4"/>
      </w:pPr>
      <w:r>
        <w:t xml:space="preserve">Impact of dementia code lists</w:t>
      </w:r>
    </w:p>
    <w:p>
      <w:pPr>
        <w:pStyle w:val="FirstParagraph"/>
      </w:pPr>
      <w:r>
        <w:t xml:space="preserve">When using the Smeeth</w:t>
      </w:r>
      <w:r>
        <w:t xml:space="preserve"> </w:t>
      </w:r>
      <w:r>
        <w:rPr>
          <w:iCs/>
          <w:i/>
        </w:rPr>
        <w:t xml:space="preserve">et al.</w:t>
      </w:r>
      <w:r>
        <w:t xml:space="preserve"> </w:t>
      </w:r>
      <w:r>
        <w:t xml:space="preserve">code lists to define dementia outcomes, effect estimates of HR: 1.19 (95%CI: 1.07-1.32) and HR: 1.33 (95%CI: 1.26-1.42) were obtained for the Alzheimer’s disease and non-Alzheimer’s (</w:t>
      </w:r>
      <w:r>
        <w:t xml:space="preserve">“</w:t>
      </w:r>
      <w:r>
        <w:t xml:space="preserve">other</w:t>
      </w:r>
      <w:r>
        <w:t xml:space="preserve">”</w:t>
      </w:r>
      <w:r>
        <w:t xml:space="preserve">) dementia outcomes, respectively.</w:t>
      </w:r>
    </w:p>
    <w:p>
      <w:pPr>
        <w:pStyle w:val="BodyText"/>
      </w:pPr>
      <w:r>
        <w:t xml:space="preserve"> </w:t>
      </w:r>
    </w:p>
    <w:bookmarkEnd w:id="203"/>
    <w:bookmarkEnd w:id="204"/>
    <w:bookmarkEnd w:id="205"/>
    <w:bookmarkStart w:id="216" w:name="discussion-2"/>
    <w:p>
      <w:pPr>
        <w:pStyle w:val="Heading2"/>
      </w:pPr>
      <w:r>
        <w:t xml:space="preserve">Discussion</w:t>
      </w:r>
    </w:p>
    <w:bookmarkStart w:id="206" w:name="summary-of-findings-1"/>
    <w:p>
      <w:pPr>
        <w:pStyle w:val="Heading3"/>
      </w:pPr>
      <w:r>
        <w:t xml:space="preserve">Summary of findings</w:t>
      </w:r>
    </w:p>
    <w:p>
      <w:pPr>
        <w:pStyle w:val="FirstParagraph"/>
      </w:pPr>
      <w:r>
        <w:t xml:space="preserve">Lipid-regulating agents showed little evidence of an association with probable and possible Alzheimer’s disease when compared to no treatment, but were associated with increased risk of an all-cause dementia, vascular dementia and other dementias diagnosis. The estimate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dementias,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dementias outcomes compared to lipophilic statins.</w:t>
      </w:r>
    </w:p>
    <w:p>
      <w:pPr>
        <w:pStyle w:val="BodyText"/>
      </w:pPr>
      <w:r>
        <w:t xml:space="preserve"> </w:t>
      </w:r>
    </w:p>
    <w:bookmarkEnd w:id="206"/>
    <w:bookmarkStart w:id="212"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detailed comparison of the result presented above with the existing evidence base identified by the systematic review (Chapter</w:t>
      </w:r>
      <w:r>
        <w:t xml:space="preserve"> </w:t>
      </w:r>
      <w:r>
        <w:t xml:space="preserve">??</w:t>
      </w:r>
      <w:r>
        <w:t xml:space="preserve">), see Chapter</w:t>
      </w:r>
      <w:r>
        <w:t xml:space="preserve"> </w:t>
      </w:r>
      <w:r>
        <w:t xml:space="preserve">7</w:t>
      </w:r>
      <w:r>
        <w:t xml:space="preserve">.</w:t>
      </w:r>
    </w:p>
    <w:p>
      <w:pPr>
        <w:pStyle w:val="BodyText"/>
      </w:pPr>
      <w:r>
        <w:rPr>
          <w:bCs/>
          <w:b/>
        </w:rPr>
        <w:t xml:space="preserve">[Feedback requested: How much should I be cross-referencing with the systematic review at this stage? Or should I keep it self-contained, and then provide a comparison across the review/CPRD/IPD analyses as the first part of the triangulation chapter?]</w:t>
      </w:r>
    </w:p>
    <w:p>
      <w:pPr>
        <w:pStyle w:val="BodyText"/>
      </w:pPr>
      <w:r>
        <w:t xml:space="preserve"> </w:t>
      </w:r>
    </w:p>
    <w:bookmarkStart w:id="208" w:name="confounding-by-indication"/>
    <w:p>
      <w:pPr>
        <w:pStyle w:val="Heading4"/>
      </w:pPr>
      <w:r>
        <w:t xml:space="preserve">Confounding by indication</w:t>
      </w:r>
    </w:p>
    <w:p>
      <w:pPr>
        <w:pStyle w:val="FirstParagraph"/>
      </w:pPr>
      <w:r>
        <w:t xml:space="preserve">A likely explanation for the observed increased risk of dementia outcomes with a vascular component (e.g. vascular and other dementias) with lipid-regulating agent use, and an important limitation of this analysis, is residual</w:t>
      </w:r>
      <w:r>
        <w:t xml:space="preserve"> </w:t>
      </w:r>
      <w:r>
        <w:t xml:space="preserve">“</w:t>
      </w:r>
      <w:r>
        <w:t xml:space="preserve">confounding by indication</w:t>
      </w:r>
      <w:r>
        <w:t xml:space="preserve">”</w:t>
      </w:r>
      <w:r>
        <w:t xml:space="preserve">. While the term has been used to describe different source of bias in epidemiological analyses,</w:t>
      </w:r>
      <w:hyperlink w:anchor="ref-salas1999">
        <w:r>
          <w:rPr>
            <w:rStyle w:val="Hyperlink"/>
            <w:vertAlign w:val="superscript"/>
          </w:rPr>
          <w:t xml:space="preserve">288</w:t>
        </w:r>
      </w:hyperlink>
      <w:r>
        <w:t xml:space="preserve"> </w:t>
      </w:r>
      <w:r>
        <w:t xml:space="preserve">it is used here to described the role of risk factors that both prompt treatment and increase the risk of the outcome, thus causing a distorted positive association between the treatment and outcome (see Figure</w:t>
      </w:r>
      <w:r>
        <w:t xml:space="preserve"> </w:t>
      </w:r>
      <w:r>
        <w:t xml:space="preserve">32</w:t>
      </w:r>
      <w:r>
        <w:t xml:space="preserve">). In causal inference nomenclature, statins and dementia are said to be</w:t>
      </w:r>
      <w:r>
        <w:t xml:space="preserve"> </w:t>
      </w:r>
      <w:r>
        <w:rPr>
          <w:iCs/>
          <w:i/>
        </w:rPr>
        <w:t xml:space="preserve">d</w:t>
      </w:r>
      <w:r>
        <w:t xml:space="preserve">-connected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289</w:t>
        </w:r>
      </w:hyperlink>
      <w:r>
        <w:t xml:space="preserve"> </w:t>
      </w:r>
      <w:r>
        <w:t xml:space="preserve">In the context of this analysis, the confounding variable (or, more likely, variables) would prompt prescription of statins but also represent a vascular risk factor that contributes to the development of the vascular dementia.</w:t>
      </w:r>
    </w:p>
    <w:p>
      <w:pPr>
        <w:pStyle w:val="BodyText"/>
      </w:pPr>
      <w:r>
        <w:t xml:space="preserve"> </w:t>
      </w:r>
    </w:p>
    <w:p>
      <w:pPr>
        <w:pStyle w:val="BodyText"/>
      </w:pPr>
      <w:r>
        <w:drawing>
          <wp:inline>
            <wp:extent cx="5943600" cy="2228849"/>
            <wp:effectExtent b="0" l="0" r="0" t="0"/>
            <wp:docPr descr="Figure 32: Causal diagram (directed acyclic graph) illustrating how confounding by indication could induce a positive association between statins and vascular dementia."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207"/>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r>
        <w:t xml:space="preserve"> </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The slight harmful effect for the backpain outcome is substantially smaller that that observed for the ischemic heart disease outcome, indicating that the majority of the uncontrolled confounding is likely related to vascular factors.</w:t>
      </w:r>
    </w:p>
    <w:p>
      <w:pPr>
        <w:pStyle w:val="BodyText"/>
      </w:pPr>
      <w:r>
        <w:t xml:space="preserve">In line with this, an increasingly harmful effect is observed when moving from the probable and possible Alzheimer’s disease outcome to the other dementias outcome, and finally to the vascular dementia outcomes. This pattern suggests that the strength of the residual confounding by indication increases as the proportion of cases with a vascular component in an outcome definition increases. Given confounding related to vascular factors, this pattern is also expected given the decision tree for assigning outcomes in the presence of greater than one dementia code. Under this system, the Alzheimer’s disease outcomes require a</w:t>
      </w:r>
      <w:r>
        <w:t xml:space="preserve"> </w:t>
      </w:r>
      <w:r>
        <w:t xml:space="preserve">“</w:t>
      </w:r>
      <w:r>
        <w:t xml:space="preserve">pure</w:t>
      </w:r>
      <w:r>
        <w:t xml:space="preserve">”</w:t>
      </w:r>
      <w:r>
        <w:t xml:space="preserve"> </w:t>
      </w:r>
      <w:r>
        <w:t xml:space="preserve">condition and the presence of any vascular or other dementias codes excludes participants from this group (Figure</w:t>
      </w:r>
      <w:r>
        <w:t xml:space="preserve"> </w:t>
      </w:r>
      <w:r>
        <w:t xml:space="preserve">21</w:t>
      </w:r>
      <w:r>
        <w:t xml:space="preserve">).</w:t>
      </w:r>
    </w:p>
    <w:p>
      <w:pPr>
        <w:pStyle w:val="BodyText"/>
      </w:pPr>
      <w:r>
        <w:t xml:space="preserve">A review of other available literature suggests that this observation (a harmful effect of lipid-regulating agents on vascular-related outcomes) is not unusual. Using a conventional epidemiological technique, a previous analysis also found an increased risk of coronary heart disease (analogous to the ischemic heart disease outcome used in this analysis) in those taking statins (HR: 1.31, 95%CI: 1.04-1.66).</w:t>
      </w:r>
      <w:hyperlink w:anchor="ref-danaei2013b">
        <w:r>
          <w:rPr>
            <w:rStyle w:val="Hyperlink"/>
            <w:vertAlign w:val="superscript"/>
          </w:rPr>
          <w:t xml:space="preserve">290</w:t>
        </w:r>
      </w:hyperlink>
      <w:r>
        <w:t xml:space="preserve"> </w:t>
      </w:r>
      <w:r>
        <w:t xml:space="preserve">Controlling for confounding by indication in that study through the use of a trial emulation analysis gave an estimate of 0.89 (95%CI: 0.73-1.09), a comparable though less precise estimate to that observed in RCTs of statin use (0.73, 95%CI: 0.67-0.80).</w:t>
      </w:r>
      <w:hyperlink w:anchor="ref-taylor2013">
        <w:r>
          <w:rPr>
            <w:rStyle w:val="Hyperlink"/>
            <w:vertAlign w:val="superscript"/>
          </w:rPr>
          <w:t xml:space="preserve">291</w:t>
        </w:r>
      </w:hyperlink>
    </w:p>
    <w:p>
      <w:pPr>
        <w:pStyle w:val="BodyText"/>
      </w:pPr>
      <w:r>
        <w:t xml:space="preserve">Given the absence of vascular dementia in the published literature, as highlighted in the previous chapter (see Section</w:t>
      </w:r>
      <w:r>
        <w:t xml:space="preserve"> </w:t>
      </w:r>
      <w:r>
        <w:t xml:space="preserve">??</w:t>
      </w:r>
      <w:r>
        <w:t xml:space="preserve">), the unexpected increase in vascular dementia risk with statin use is particularly interesting It is possible that previous research encountered similar methodological issues to this analysis, and via a publication bias mechanism where unexpected or assumedly incorrect results are less likely to be published, the results from these analyses did not make it into the evidence base.</w:t>
      </w:r>
    </w:p>
    <w:p>
      <w:pPr>
        <w:pStyle w:val="BodyText"/>
      </w:pPr>
      <w:r>
        <w:t xml:space="preserve"> </w:t>
      </w:r>
    </w:p>
    <w:p>
      <w:pPr>
        <w:pStyle w:val="BodyText"/>
      </w:pPr>
      <w:r>
        <w:t xml:space="preserve"> </w:t>
      </w:r>
    </w:p>
    <w:bookmarkEnd w:id="208"/>
    <w:bookmarkStart w:id="209" w:name="statin-properties-2"/>
    <w:p>
      <w:pPr>
        <w:pStyle w:val="Heading4"/>
      </w:pPr>
      <w:r>
        <w:t xml:space="preserve">Statin properties</w:t>
      </w:r>
    </w:p>
    <w:p>
      <w:pPr>
        <w:pStyle w:val="FirstParagraph"/>
      </w:pPr>
      <w:r>
        <w:t xml:space="preserve">This analysis found that hydrophilic statins were less harmful in the any, vascular and other dementias outcomes compared to lipophilic statins, and were associated with a small reduction in the risk of the probable and possible AD outcomes. The relative precision of the estimates in each group is expected, as the two most commonly prescribed statins are lipophilic (simvastatin and atorvastatin).</w:t>
      </w:r>
      <w:hyperlink w:anchor="ref-newman2019">
        <w:r>
          <w:rPr>
            <w:rStyle w:val="Hyperlink"/>
            <w:vertAlign w:val="superscript"/>
          </w:rPr>
          <w:t xml:space="preserve">292</w:t>
        </w:r>
      </w:hyperlink>
    </w:p>
    <w:p>
      <w:pPr>
        <w:pStyle w:val="BodyText"/>
      </w:pPr>
      <w:r>
        <w:t xml:space="preserve">A widely discussed concept in the literature surrounding statin use and cognitive outcomes is the fact that lipophilic statins are more likely to be able to cross the blood brain barrier, and so have a more potent protective effect by directly lowering brain cholesterol.</w:t>
      </w:r>
      <w:hyperlink w:anchor="ref-shepardson2011">
        <w:r>
          <w:rPr>
            <w:rStyle w:val="Hyperlink"/>
            <w:vertAlign w:val="superscript"/>
          </w:rPr>
          <w:t xml:space="preserve">293</w:t>
        </w:r>
      </w:hyperlink>
      <w:r>
        <w:t xml:space="preserve"> </w:t>
      </w:r>
      <w:r>
        <w:t xml:space="preserve">My findings that hydrophilic statins appear to be more protective/less harmful than their lipophilic counterparts runs counter to this assertion.</w:t>
      </w:r>
    </w:p>
    <w:p>
      <w:pPr>
        <w:pStyle w:val="BodyText"/>
      </w:pPr>
      <w:r>
        <w:t xml:space="preserve">An initial interpretation of the the different association observed in the two groups was that the lipophilic statins may be more potent, and so are prescribed to patients with a higher underlying vascular load, leading to increased confounding by indication in this group. However, the statin with the strongest lipid lowering effect that is available via the NHS, rosuvastatin, is hydrophobic.</w:t>
      </w:r>
    </w:p>
    <w:p>
      <w:pPr>
        <w:pStyle w:val="BodyText"/>
      </w:pPr>
      <w:r>
        <w:rPr>
          <w:bCs/>
          <w:b/>
        </w:rPr>
        <w:t xml:space="preserve">[Yoav, are there are particular indications/contraindications for statins with different properties? And any general comments on the interpretation of these findings would be welcome!]</w:t>
      </w:r>
    </w:p>
    <w:p>
      <w:pPr>
        <w:pStyle w:val="BodyText"/>
      </w:pPr>
      <w:r>
        <w:t xml:space="preserve"> </w:t>
      </w:r>
    </w:p>
    <w:bookmarkEnd w:id="209"/>
    <w:bookmarkStart w:id="211" w:name="impact-of-code-lists"/>
    <w:p>
      <w:pPr>
        <w:pStyle w:val="Heading4"/>
      </w:pPr>
      <w:r>
        <w:t xml:space="preserve">Impact of code lists</w:t>
      </w:r>
    </w:p>
    <w:p>
      <w:pPr>
        <w:pStyle w:val="FirstParagraph"/>
      </w:pPr>
      <w:r>
        <w:t xml:space="preserve">As part of a sensitivity analysis exploring the impact of outcome code-lists, I used definitions for Alzheimer’s disease and other dementias obtained from a previously published paper (Smeeth</w:t>
      </w:r>
      <w:r>
        <w:t xml:space="preserve"> </w:t>
      </w:r>
      <w:r>
        <w:rPr>
          <w:iCs/>
          <w:i/>
        </w:rPr>
        <w:t xml:space="preserve">et al.</w:t>
      </w:r>
      <w:r>
        <w:t xml:space="preserve">).</w:t>
      </w:r>
      <w:hyperlink w:anchor="ref-smeeth2009">
        <w:r>
          <w:rPr>
            <w:rStyle w:val="Hyperlink"/>
            <w:vertAlign w:val="superscript"/>
          </w:rPr>
          <w:t xml:space="preserve">286</w:t>
        </w:r>
      </w:hyperlink>
      <w:r>
        <w:t xml:space="preserve"> </w:t>
      </w:r>
      <w:r>
        <w:t xml:space="preserve">Using these lists in my analytical set-up, I found a harmful association of statin use with both outcomes.</w:t>
      </w:r>
    </w:p>
    <w:p>
      <w:pPr>
        <w:pStyle w:val="BodyText"/>
      </w:pPr>
      <w:r>
        <w:t xml:space="preserve">TThis finding disagrees with the results of the original analysis, which found evidence for a protective effect of statin use on all-cause dementia (HR: 0.81, 95%CI: 0.69-0.96) and non-AD dementia (HR: 0.82, 95%CI: 0.69-0.97), but little evidence of an effect on AD (HR: 0.81, 95%CI: 0.49-1.35).</w:t>
      </w:r>
    </w:p>
    <w:p>
      <w:pPr>
        <w:pStyle w:val="BodyText"/>
      </w:pPr>
      <w:r>
        <w:t xml:space="preserve">However, comparison of the results obtained using the two sets of code lists was deemed less useful following a detailed comparison of the codes used. While all of the codes used to define Alzheimer’s in the Smeeth</w:t>
      </w:r>
      <w:r>
        <w:t xml:space="preserve"> </w:t>
      </w:r>
      <w:r>
        <w:rPr>
          <w:iCs/>
          <w:i/>
        </w:rPr>
        <w:t xml:space="preserve">et al.</w:t>
      </w:r>
      <w:r>
        <w:t xml:space="preserve"> </w:t>
      </w:r>
      <w:r>
        <w:t xml:space="preserve">paper are included in the probable Alzheimer’s code-list (see Figure</w:t>
      </w:r>
      <w:r>
        <w:t xml:space="preserve"> </w:t>
      </w:r>
      <w:r>
        <w:t xml:space="preserve">33</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286</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33: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210"/>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used to define competing outcomes (e.g. AD vs non-AD dementia). This different codes used by Smeeth</w:t>
      </w:r>
      <w:r>
        <w:t xml:space="preserve"> </w:t>
      </w:r>
      <w:r>
        <w:rPr>
          <w:iCs/>
          <w:i/>
        </w:rPr>
        <w:t xml:space="preserve">et al.</w:t>
      </w:r>
      <w:r>
        <w:t xml:space="preserve">, in addition to an analytical approach that adjusted for covariates defined after the index date, may go some way to explaining why our analysis obtained different results despite the substantial overlap in the data sources used.</w:t>
      </w:r>
    </w:p>
    <w:p>
      <w:pPr>
        <w:pStyle w:val="BodyText"/>
      </w:pPr>
      <w:r>
        <w:t xml:space="preserve"> </w:t>
      </w:r>
    </w:p>
    <w:bookmarkEnd w:id="211"/>
    <w:bookmarkEnd w:id="212"/>
    <w:bookmarkStart w:id="213" w:name="strengths-and-limitations-1"/>
    <w:p>
      <w:pPr>
        <w:pStyle w:val="Heading3"/>
      </w:pPr>
      <w:r>
        <w:t xml:space="preserve">Strengths and limitations</w:t>
      </w:r>
    </w:p>
    <w:p>
      <w:pPr>
        <w:pStyle w:val="FirstParagraph"/>
      </w:pPr>
      <w:r>
        <w:t xml:space="preserve">The primary strength of this analysis is the relative size of the CPRD and length of follow-up. Having reviewed the existing literature, as identified by the systematic review in Chapter</w:t>
      </w:r>
      <w:r>
        <w:t xml:space="preserve"> </w:t>
      </w:r>
      <w:r>
        <w:t xml:space="preserve">??</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 Finally, it is one of the few that provide evidence on the association of lipid-regulating agent use and vascular and other dementias.</w:t>
      </w:r>
    </w:p>
    <w:p>
      <w:pPr>
        <w:pStyle w:val="BodyText"/>
      </w:pPr>
      <w:r>
        <w:t xml:space="preserve">However, the findings of this analysis are subject to several limitations in addition to the confounding by indication discussed above. There is a strong possibility of differential misclassification of dementia-related conditions based on the exposure.</w:t>
      </w:r>
      <w:hyperlink w:anchor="ref-porta2014dictionary">
        <w:r>
          <w:rPr>
            <w:rStyle w:val="Hyperlink"/>
            <w:vertAlign w:val="superscript"/>
          </w:rPr>
          <w:t xml:space="preserve">294</w:t>
        </w:r>
      </w:hyperlink>
      <w:r>
        <w:t xml:space="preserve"> </w:t>
      </w:r>
      <w:r>
        <w:t xml:space="preserve">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due to the varying positive predictive value of electronic health record code lists to identify dementia cases.</w:t>
      </w:r>
      <w:hyperlink w:anchor="ref-mcguinness2019validity">
        <w:r>
          <w:rPr>
            <w:rStyle w:val="Hyperlink"/>
            <w:vertAlign w:val="superscript"/>
          </w:rPr>
          <w:t xml:space="preserve">256</w:t>
        </w:r>
      </w:hyperlink>
      <w:r>
        <w:rPr>
          <w:vertAlign w:val="superscript"/>
        </w:rPr>
        <w:t xml:space="preserve">,</w:t>
      </w:r>
      <w:hyperlink w:anchor="ref-wilkinson2018">
        <w:r>
          <w:rPr>
            <w:rStyle w:val="Hyperlink"/>
            <w:vertAlign w:val="superscript"/>
          </w:rPr>
          <w:t xml:space="preserve">257</w:t>
        </w:r>
      </w:hyperlink>
      <w:r>
        <w:t xml:space="preserve"> </w:t>
      </w:r>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as illustrated by the discrepancy between the results when using the codes lists defined for this study and those used by Smeeth</w:t>
      </w:r>
      <w:r>
        <w:t xml:space="preserve"> </w:t>
      </w:r>
      <w:r>
        <w:rPr>
          <w:iCs/>
          <w:i/>
        </w:rPr>
        <w:t xml:space="preserve">et al</w:t>
      </w:r>
      <w:r>
        <w:t xml:space="preserve">. This presents a particular challenge in comparing research across different time-periods and coding systems, particularly the unexpected results I obtained for the vascular and other dementias outcomes.</w:t>
      </w:r>
    </w:p>
    <w:p>
      <w:pPr>
        <w:pStyle w:val="BodyText"/>
      </w:pPr>
      <w:r>
        <w:t xml:space="preserve">A further limitation stems from the possibility of uncontrolled confounding due to genetic factors. Number of ApoE</w:t>
      </w:r>
      <w:r>
        <w:t xml:space="preserve"> </w:t>
      </w:r>
      <m:oMath>
        <m:r>
          <m:t>ϵ</m:t>
        </m:r>
        <m:r>
          <m:t>4</m:t>
        </m:r>
      </m:oMath>
      <w:r>
        <w:t xml:space="preserve"> </w:t>
      </w:r>
      <w:r>
        <w:t xml:space="preserve">alleles represents the strongest genetic risk factor for Alzheimer’s disease, but also substantially increases LDL-c levels,</w:t>
      </w:r>
      <w:hyperlink w:anchor="ref-bennet2007">
        <w:r>
          <w:rPr>
            <w:rStyle w:val="Hyperlink"/>
            <w:vertAlign w:val="superscript"/>
          </w:rPr>
          <w:t xml:space="preserve">295</w:t>
        </w:r>
      </w:hyperlink>
      <w:r>
        <w:t xml:space="preserve"> </w:t>
      </w:r>
      <w:r>
        <w:t xml:space="preserve">potentially prompting treatment with a statin or other lipid regulating agent. I was unable to control for ApoE genotype in this analysis as I did not have access to genetic data on participants. As a result, any protective association between LRA use and the Alzheimer’s disease outcomes may be masked by residual negative confounding by ApoE.</w:t>
      </w:r>
    </w:p>
    <w:p>
      <w:pPr>
        <w:pStyle w:val="BodyText"/>
      </w:pPr>
      <w:r>
        <w:t xml:space="preserve">Finally, as with many studies of dementia, there is a risk of reverse causation in my analysis. Dementia and associated conditions have a long prodromal period, during which preclinical disease could cause indications for the prescription of a lipid-regulating agent.</w:t>
      </w:r>
    </w:p>
    <w:p>
      <w:pPr>
        <w:pStyle w:val="BodyText"/>
      </w:pPr>
      <w:r>
        <w:t xml:space="preserve"> </w:t>
      </w:r>
    </w:p>
    <w:bookmarkEnd w:id="213"/>
    <w:bookmarkStart w:id="214" w:name="cprd-data-avail"/>
    <w:p>
      <w:pPr>
        <w:pStyle w:val="Heading3"/>
      </w:pPr>
      <w:r>
        <w:t xml:space="preserve">Enabling easy synthesis of this analysis</w:t>
      </w:r>
    </w:p>
    <w:p>
      <w:pPr>
        <w:pStyle w:val="FirstParagraph"/>
      </w:pPr>
      <w:r>
        <w:t xml:space="preserve">The raw data supporting this analysis is not publicly available, as access to the CPRD data is controlled by a data monitoring committee. However, when data are not readily available, sharing the analysis code and summary statistics represents a way for readers to validate the findings.</w:t>
      </w:r>
      <w:hyperlink w:anchor="ref-goldacre2019c">
        <w:r>
          <w:rPr>
            <w:rStyle w:val="Hyperlink"/>
            <w:vertAlign w:val="superscript"/>
          </w:rPr>
          <w:t xml:space="preserve">296</w:t>
        </w:r>
      </w:hyperlink>
    </w:p>
    <w:p>
      <w:pPr>
        <w:pStyle w:val="BodyText"/>
      </w:pPr>
      <w:r>
        <w:t xml:space="preserve">In light of this and my own experiences in attempting to extract information for papers assessing preventative treatments, as documented in Section</w:t>
      </w:r>
      <w:r>
        <w:t xml:space="preserve"> </w:t>
      </w:r>
      <w:r>
        <w:t xml:space="preserve">3.5.5</w:t>
      </w:r>
      <w:r>
        <w:t xml:space="preserve">, the outputs from this analysis have been made readily available. All code, Read code lists and summary statistics (namely the tables presented in this chapter plus summary tables of effect estimates) can be downloaded in a machine readable format from the archived repository for this project (Zotero DOI:</w:t>
      </w:r>
      <w:r>
        <w:t xml:space="preserve"> </w:t>
      </w:r>
      <w:r>
        <w:rPr>
          <w:bCs/>
          <w:b/>
        </w:rPr>
        <w:t xml:space="preserve">TBC</w:t>
      </w:r>
      <w:r>
        <w:t xml:space="preserve">).</w:t>
      </w:r>
      <w:r>
        <w:t xml:space="preserve"> </w:t>
      </w:r>
      <w:r>
        <w:t xml:space="preserve"> </w:t>
      </w:r>
      <w:r>
        <w:t xml:space="preserve">This open approach should enable easy inclusion of this analysis in future evidence synthesis exercises, allowing new work to build on that presented here.</w:t>
      </w:r>
    </w:p>
    <w:p>
      <w:pPr>
        <w:pStyle w:val="BodyText"/>
      </w:pPr>
      <w:r>
        <w:t xml:space="preserve"> </w:t>
      </w:r>
    </w:p>
    <w:bookmarkEnd w:id="214"/>
    <w:bookmarkStart w:id="215" w:name="conclusions-1"/>
    <w:p>
      <w:pPr>
        <w:pStyle w:val="Heading3"/>
      </w:pPr>
      <w:r>
        <w:t xml:space="preserve">Conclusions</w:t>
      </w:r>
    </w:p>
    <w:p>
      <w:pPr>
        <w:pStyle w:val="FirstParagraph"/>
      </w:pPr>
      <w:r>
        <w:t xml:space="preserve">This chapter has provided new evidence on the association of lipid-regulating agents with incidence of all-cause dementia, Alzheimer’s disease, vascular dementia, and other dementia. It made use of a large scale electronic health record database, the CPRD, and employed a time-varying Cox proportional hazards model to account for potential immortal time bias.</w:t>
      </w:r>
    </w:p>
    <w:p>
      <w:pPr>
        <w:pStyle w:val="BodyText"/>
      </w:pPr>
      <w:r>
        <w:t xml:space="preserve">It found little evidence for an effect of lipid-regulating agents on probable or possible Alzheimer’s disease. However, lipid-regulating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The presence of bias is supported by our findings for the negative and positive control outcomes used, which provide some evidence of uncontrolled vascular confounders that may both prompt LRA prescription and increase risk of dementia outcomes with a vscular component.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290</w:t>
        </w:r>
      </w:hyperlink>
    </w:p>
    <w:p>
      <w:pPr>
        <w:pStyle w:val="BodyText"/>
      </w:pPr>
      <w:r>
        <w:t xml:space="preserve">Regardless, this analysis has provided an additional source of evidence for the triangulation exercise presented in Chapter</w:t>
      </w:r>
      <w:r>
        <w:t xml:space="preserve"> </w:t>
      </w:r>
      <w:r>
        <w:t xml:space="preserve">8</w:t>
      </w:r>
      <w:r>
        <w:t xml:space="preserve">. In the following Chapter, the dataset described here is incorporated along with several other datasets as part of an individual patient data analysis to investigate the association of blood lipid levels with incidence of dementia outcomes directly, rather than via the proxy of lipid-regulating treatment.</w:t>
      </w:r>
    </w:p>
    <w:p>
      <w:r>
        <w:br w:type="page"/>
      </w:r>
    </w:p>
    <w:bookmarkEnd w:id="215"/>
    <w:bookmarkEnd w:id="216"/>
    <w:bookmarkStart w:id="217" w:name="references-3"/>
    <w:p>
      <w:pPr>
        <w:pStyle w:val="Heading2"/>
      </w:pPr>
      <w:r>
        <w:t xml:space="preserve">References</w:t>
      </w:r>
    </w:p>
    <w:bookmarkEnd w:id="217"/>
    <w:bookmarkEnd w:id="218"/>
    <w:bookmarkStart w:id="267" w:name="ipd-heading"/>
    <w:p>
      <w:pPr>
        <w:pStyle w:val="Heading1"/>
      </w:pPr>
      <w:r>
        <w:t xml:space="preserve">Individual participant data meta-analysis</w:t>
      </w:r>
    </w:p>
    <w:p>
      <w:pPr>
        <w:pStyle w:val="FirstParagraph"/>
      </w:pPr>
    </w:p>
    <w:bookmarkStart w:id="219" w:name="lay-summary-4"/>
    <w:p>
      <w:pPr>
        <w:pStyle w:val="Heading2"/>
      </w:pPr>
      <w:r>
        <w:t xml:space="preserve">Lay Summary</w:t>
      </w:r>
    </w:p>
    <w:p>
      <w:pPr>
        <w:pStyle w:val="FirstParagraph"/>
      </w:pPr>
      <w:r>
        <w:t xml:space="preserve">As part of a broader investigation into the relationship between lipid levels and dementia risk, I applied for access to 37 unique data sources containing information on these variables. However, only a small proportion of these data sources (n = 3, 8.1%) provided me with access.</w:t>
      </w:r>
    </w:p>
    <w:p>
      <w:pPr>
        <w:pStyle w:val="BodyText"/>
      </w:pPr>
      <w:r>
        <w:t xml:space="preserve">The resulting analysis did not suggest an effect of any lipid fraction (total cholesterol, LDL-c, HDL-c, or triglycerides) on any dementia outcome. In addition, patients characteristics such as age and sex did not have any impact on the relationship of lipid fractions and dementia outcomes.</w:t>
      </w:r>
    </w:p>
    <w:p>
      <w:pPr>
        <w:pStyle w:val="BodyText"/>
      </w:pPr>
      <w:r>
        <w:t xml:space="preserve">Finally, the reasons for the low response rate are explored and future studies to investigate how data access rates could be improved are suggested.</w:t>
      </w:r>
    </w:p>
    <w:p>
      <w:pPr>
        <w:pStyle w:val="BodyText"/>
      </w:pPr>
      <w:r>
        <w:t xml:space="preserve"> </w:t>
      </w:r>
    </w:p>
    <w:bookmarkEnd w:id="219"/>
    <w:bookmarkStart w:id="220" w:name="introduction-2"/>
    <w:p>
      <w:pPr>
        <w:pStyle w:val="Heading2"/>
      </w:pPr>
      <w:r>
        <w:t xml:space="preserve">Introduction</w:t>
      </w:r>
    </w:p>
    <w:p>
      <w:pPr>
        <w:pStyle w:val="FirstParagraph"/>
      </w:pPr>
      <w:r>
        <w:t xml:space="preserve">Individual patient data meta-analyses are considered to be the gold standard form of evidence synthesis, allowing for the application of a common selection model and analytical approach across all identified cohorts. They are particularly useful for investigating the impact of patient-level characteristics, something that is not possible with aggregate data unless the results have been explicitly stratified by the characteristic of interest.</w:t>
      </w:r>
    </w:p>
    <w:p>
      <w:pPr>
        <w:pStyle w:val="BodyText"/>
      </w:pPr>
      <w:r>
        <w:t xml:space="preserve">While the systematic review presented in Chapter</w:t>
      </w:r>
      <w:r>
        <w:t xml:space="preserve"> </w:t>
      </w:r>
      <w:r>
        <w:t xml:space="preserve">??</w:t>
      </w:r>
      <w:r>
        <w:t xml:space="preserve"> </w:t>
      </w:r>
      <w:r>
        <w:t xml:space="preserve">did not provide strong evidence for an effect of age at lipid measurement or patient sex on the relationship between lipids and dementia, the number of included studies in the lipid fraction meta-analyses were very small, due to both the relatively small number of studies reporting on this exposure and the poor reporting of smmary statistics of patient characteristics.</w:t>
      </w:r>
    </w:p>
    <w:p>
      <w:pPr>
        <w:pStyle w:val="BodyText"/>
      </w:pPr>
      <w:r>
        <w:t xml:space="preserve">As such, the aims of this analysis were two fold: firstly, to perform a individual patient data meta-analysis across identified cohorts to examine the impact of patient age-at-measurement and sex on the effect of lipids on dementia; and secondly, to expand the evidence base for the effect of lipids on dementia outcomes by incorporating previously unanalysed cohorts contained in the Dementia Platform UK, a large consortia of dementia cohorts.</w:t>
      </w:r>
    </w:p>
    <w:p>
      <w:pPr>
        <w:pStyle w:val="BodyText"/>
      </w:pPr>
      <w:r>
        <w:t xml:space="preserve"> </w:t>
      </w:r>
    </w:p>
    <w:bookmarkEnd w:id="220"/>
    <w:bookmarkStart w:id="241" w:name="methods-2"/>
    <w:p>
      <w:pPr>
        <w:pStyle w:val="Heading2"/>
      </w:pPr>
      <w:r>
        <w:t xml:space="preserve">Methods</w:t>
      </w:r>
    </w:p>
    <w:bookmarkStart w:id="221" w:name="eligibility-criteria"/>
    <w:p>
      <w:pPr>
        <w:pStyle w:val="Heading3"/>
      </w:pPr>
      <w:r>
        <w:t xml:space="preserve">Eligibility criteria</w:t>
      </w:r>
    </w:p>
    <w:p>
      <w:pPr>
        <w:pStyle w:val="FirstParagraph"/>
      </w:pPr>
      <w:r>
        <w:t xml:space="preserve">Eligible data sources were defined as those that contained lipid measurements and lipids reported/available as a continuous measure, Data sources which were cross-sectional, either by design or due to the available data (e.g. a study conducted multiple waves, but onyl data from a single wave could be accessed) were excluded. Similarly, due to the limited time-frame, studies making use of population-level electronic health records, which often require an extensive project proposals in order to gain access to the data, were ineligible due to the time and cost involved in applying. The one exception to this was data from the CPRD, which I already had access to as part of the analysis reported in Chapter</w:t>
      </w:r>
      <w:r>
        <w:t xml:space="preserve"> </w:t>
      </w:r>
      <w:r>
        <w:t xml:space="preserve">(cprd-analysis-heading).</w:t>
      </w:r>
    </w:p>
    <w:bookmarkEnd w:id="221"/>
    <w:bookmarkStart w:id="224" w:name="applying-for-data-access"/>
    <w:p>
      <w:pPr>
        <w:pStyle w:val="Heading3"/>
      </w:pPr>
      <w:r>
        <w:t xml:space="preserve">Applying for data access</w:t>
      </w:r>
    </w:p>
    <w:p>
      <w:pPr>
        <w:pStyle w:val="FirstParagraph"/>
      </w:pPr>
      <w:r>
        <w:t xml:space="preserve">Potentially eligible data sources were identified via two mechanisms with a distinct focus. For each approach, the number of cohorts responding to the request, and where applciable, the reasons given for a lack of data sharing were recorded.</w:t>
      </w:r>
    </w:p>
    <w:bookmarkStart w:id="222" w:name="systematic-review"/>
    <w:p>
      <w:pPr>
        <w:pStyle w:val="Heading4"/>
      </w:pPr>
      <w:r>
        <w:t xml:space="preserve">Systematic review</w:t>
      </w:r>
    </w:p>
    <w:p>
      <w:pPr>
        <w:pStyle w:val="FirstParagraph"/>
      </w:pPr>
      <w:r>
        <w:t xml:space="preserve">The first approach focused on previously analysed data sources. The systematic review detailed in Chapter</w:t>
      </w:r>
      <w:r>
        <w:t xml:space="preserve"> </w:t>
      </w:r>
      <w:r>
        <w:t xml:space="preserve">??</w:t>
      </w:r>
      <w:r>
        <w:t xml:space="preserve"> </w:t>
      </w:r>
      <w:r>
        <w:t xml:space="preserve">identified several observational prospective cohort studies examining the effect of blood lipid levels on dementia outcomes. The data sources used in each of these cohort analyses were screened against the criteria listed in the previous section, and eligible cohorts were approached for data access. In the first instance, the first/corresponding author of the publication was emailed (see Appendix</w:t>
      </w:r>
      <w:r>
        <w:t xml:space="preserve"> </w:t>
      </w:r>
      <w:r>
        <w:t xml:space="preserve">10.5.1</w:t>
      </w:r>
      <w:r>
        <w:t xml:space="preserve"> </w:t>
      </w:r>
      <w:r>
        <w:t xml:space="preserve">for a copy of the text and documentation sent to potentially collaborators) in Autumn 2020. If this approach did not elicit a response within two months, the last author was contacted, on the basis that the first/corresponding author may have been a more junior member of the research group who has moved to a different institution.</w:t>
      </w:r>
    </w:p>
    <w:bookmarkEnd w:id="222"/>
    <w:bookmarkStart w:id="223" w:name="dementia-platform-uk"/>
    <w:p>
      <w:pPr>
        <w:pStyle w:val="Heading4"/>
      </w:pPr>
      <w:r>
        <w:t xml:space="preserve">Dementia Platform UK</w:t>
      </w:r>
    </w:p>
    <w:p>
      <w:pPr>
        <w:pStyle w:val="FirstParagraph"/>
      </w:pPr>
      <w:r>
        <w:t xml:space="preserve">The second approach focused on incorporating previously unanalysed data, thus providing additional evidence on the relationship between statins and dementia risk.</w:t>
      </w:r>
    </w:p>
    <w:p>
      <w:pPr>
        <w:pStyle w:val="BodyText"/>
      </w:pPr>
      <w:r>
        <w:t xml:space="preserve">This was achieved through the Dementia Platform UK (DPUK), a collaborative grouping of existing dementia cohorts established by the MRC which works with data owners to make their data readily accessible for secondary analysis.</w:t>
      </w:r>
      <w:hyperlink w:anchor="ref-bauermeister2020">
        <w:r>
          <w:rPr>
            <w:rStyle w:val="Hyperlink"/>
            <w:vertAlign w:val="superscript"/>
          </w:rPr>
          <w:t xml:space="preserve">99</w:t>
        </w:r>
      </w:hyperlink>
      <w:r>
        <w:t xml:space="preserve"> </w:t>
      </w:r>
      <w:r>
        <w:t xml:space="preserve">It provides access to 42 cohorts with over 3 million participants, and makes use of a central streamlined application processs for all cohorts with the intent of making it easier to access data from existing data sources.</w:t>
      </w:r>
    </w:p>
    <w:p>
      <w:pPr>
        <w:pStyle w:val="BodyText"/>
      </w:pPr>
      <w:r>
        <w:t xml:space="preserve">Cohorts included in the DPUK were assessed against the eligibility criteria, and in Autumn 2020, an application for access to a subset of 16 cohorts was made via the common-access procedure.</w:t>
      </w:r>
    </w:p>
    <w:p>
      <w:pPr>
        <w:pStyle w:val="BodyText"/>
      </w:pPr>
      <w:r>
        <w:t xml:space="preserve"> </w:t>
      </w:r>
    </w:p>
    <w:bookmarkEnd w:id="223"/>
    <w:bookmarkEnd w:id="224"/>
    <w:bookmarkStart w:id="225" w:name="risk-of-bias-assessment"/>
    <w:p>
      <w:pPr>
        <w:pStyle w:val="Heading3"/>
      </w:pPr>
      <w:r>
        <w:t xml:space="preserve">Risk of bias assessment</w:t>
      </w:r>
    </w:p>
    <w:p>
      <w:pPr>
        <w:pStyle w:val="FirstParagraph"/>
      </w:pPr>
      <w:r>
        <w:t xml:space="preserve">Risk of bias assessment was performed for each of the included cohorts using the risk-of-bias assessment tool for non-randomised studies of exposures introduced previously (for a more detailed discussion of this tool, see Section</w:t>
      </w:r>
      <w:r>
        <w:t xml:space="preserve"> </w:t>
      </w:r>
      <w:r>
        <w:t xml:space="preserve">3.3.7.2</w:t>
      </w:r>
      <w:r>
        <w:t xml:space="preserve">).</w:t>
      </w:r>
    </w:p>
    <w:p>
      <w:pPr>
        <w:pStyle w:val="BodyText"/>
      </w:pPr>
      <w:r>
        <w:t xml:space="preserve">Due to the inherent conflict of interest in assessing my own analysis, the result were also assessed by two independent reviewers.</w:t>
      </w:r>
    </w:p>
    <w:p>
      <w:pPr>
        <w:pStyle w:val="BodyText"/>
      </w:pPr>
      <w:r>
        <w:t xml:space="preserve"> </w:t>
      </w:r>
    </w:p>
    <w:bookmarkEnd w:id="225"/>
    <w:bookmarkStart w:id="226" w:name="missing-data-2"/>
    <w:p>
      <w:pPr>
        <w:pStyle w:val="Heading3"/>
      </w:pPr>
      <w:r>
        <w:t xml:space="preserve">Missing data</w:t>
      </w:r>
    </w:p>
    <w:p>
      <w:pPr>
        <w:pStyle w:val="FirstParagraph"/>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272</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273</w:t>
        </w:r>
      </w:hyperlink>
      <w:r>
        <w:t xml:space="preserve"> </w:t>
      </w:r>
      <w:r>
        <w:t xml:space="preserve">Imputation was performed using the MICE (Multiple Imputation by Chained Equations) using the XXX command in R.</w:t>
      </w:r>
    </w:p>
    <w:p>
      <w:pPr>
        <w:pStyle w:val="BodyText"/>
      </w:pPr>
      <w:r>
        <w:t xml:space="preserve"> </w:t>
      </w:r>
    </w:p>
    <w:bookmarkEnd w:id="226"/>
    <w:bookmarkStart w:id="230" w:name="variable-definition"/>
    <w:p>
      <w:pPr>
        <w:pStyle w:val="Heading3"/>
      </w:pPr>
      <w:r>
        <w:t xml:space="preserve">Variable definition</w:t>
      </w:r>
    </w:p>
    <w:bookmarkStart w:id="227" w:name="exposure"/>
    <w:p>
      <w:pPr>
        <w:pStyle w:val="Heading4"/>
      </w:pPr>
      <w:r>
        <w:t xml:space="preserve">Exposure</w:t>
      </w:r>
    </w:p>
    <w:p>
      <w:pPr>
        <w:pStyle w:val="FirstParagraph"/>
      </w:pPr>
      <w:r>
        <w:t xml:space="preserve">To aid interpretability of the outcome, all analyses were standardised to refer to a 1-standard deviation increase in the lipid fraction under investigation.</w:t>
      </w:r>
    </w:p>
    <w:bookmarkEnd w:id="227"/>
    <w:bookmarkStart w:id="228" w:name="outcomes"/>
    <w:p>
      <w:pPr>
        <w:pStyle w:val="Heading4"/>
      </w:pPr>
      <w:r>
        <w:t xml:space="preserve">Outcomes</w:t>
      </w:r>
    </w:p>
    <w:p>
      <w:pPr>
        <w:pStyle w:val="FirstParagraph"/>
      </w:pPr>
      <w:r>
        <w:t xml:space="preserve">Similar to the analyses presented in othe chapters, th endpoints in this analysis was incidience of dementia and related sub-types (AD, vascular dementia).</w:t>
      </w:r>
    </w:p>
    <w:bookmarkEnd w:id="228"/>
    <w:bookmarkStart w:id="229" w:name="covariates-1"/>
    <w:p>
      <w:pPr>
        <w:pStyle w:val="Heading4"/>
      </w:pPr>
      <w:r>
        <w:t xml:space="preserve">Covariates</w:t>
      </w:r>
    </w:p>
    <w:p>
      <w:pPr>
        <w:pStyle w:val="FirstParagraph"/>
      </w:pPr>
      <w:r>
        <w:t xml:space="preserve">Relevant covariates were adjusted for in all models. these included age, sex,education and comorbities. For information on how these were defined across cohorts, see Appendix</w:t>
      </w:r>
      <w:r>
        <w:t xml:space="preserve"> </w:t>
      </w:r>
      <w:r>
        <w:t xml:space="preserve">??</w:t>
      </w:r>
      <w:r>
        <w:t xml:space="preserve">.</w:t>
      </w:r>
    </w:p>
    <w:p>
      <w:pPr>
        <w:pStyle w:val="BodyText"/>
      </w:pPr>
      <w:r>
        <w:t xml:space="preserve"> </w:t>
      </w:r>
    </w:p>
    <w:bookmarkEnd w:id="229"/>
    <w:bookmarkEnd w:id="230"/>
    <w:bookmarkStart w:id="236" w:name="statistical-analysis"/>
    <w:p>
      <w:pPr>
        <w:pStyle w:val="Heading3"/>
      </w:pPr>
      <w:r>
        <w:t xml:space="preserve">Statistical analysis</w:t>
      </w:r>
    </w:p>
    <w:bookmarkStart w:id="231" w:name="descriptive-statistics"/>
    <w:p>
      <w:pPr>
        <w:pStyle w:val="Heading4"/>
      </w:pPr>
      <w:r>
        <w:t xml:space="preserve">Descriptive statistics</w:t>
      </w:r>
    </w:p>
    <w:p>
      <w:pPr>
        <w:pStyle w:val="FirstParagraph"/>
      </w:pPr>
      <w:r>
        <w:t xml:space="preserve">All IPD obtained was examined and recoded as necessary to ensure they comply with the coding guideline for the IPD database. As recommended , summary statistics for each data source were calculated and compared to publicly available statistics to ensure no errors were introduced in the data cleaning process.</w:t>
      </w:r>
      <w:hyperlink w:anchor="ref-levis2021">
        <w:r>
          <w:rPr>
            <w:rStyle w:val="Hyperlink"/>
            <w:vertAlign w:val="superscript"/>
          </w:rPr>
          <w:t xml:space="preserve">297</w:t>
        </w:r>
      </w:hyperlink>
      <w:r>
        <w:t xml:space="preserve"> </w:t>
      </w:r>
      <w:r>
        <w:t xml:space="preserve">Any discrepancies were investigated.</w:t>
      </w:r>
    </w:p>
    <w:bookmarkEnd w:id="231"/>
    <w:bookmarkStart w:id="232" w:name="data-cleaning-and-harmonisation"/>
    <w:p>
      <w:pPr>
        <w:pStyle w:val="Heading4"/>
      </w:pPr>
      <w:r>
        <w:t xml:space="preserve">Data cleaning and harmonisation</w:t>
      </w:r>
    </w:p>
    <w:p>
      <w:pPr>
        <w:pStyle w:val="FirstParagraph"/>
      </w:pPr>
      <w:r>
        <w:t xml:space="preserve">Across all cohorts, data cleaning was performed in a similar manner, using commonly named variables, so that a single model could be applied using functional programming. The one exception to this is the CPRD data, which was held in a different system to the rest. However, an identical model was applied within this cohort. The advantage of this approach is that it reduces the likelihood of errors in model mis-specification if needing to change variables names from cohort to cohort.</w:t>
      </w:r>
    </w:p>
    <w:bookmarkEnd w:id="232"/>
    <w:bookmarkStart w:id="233" w:name="individual-patient-data-analysis"/>
    <w:p>
      <w:pPr>
        <w:pStyle w:val="Heading4"/>
      </w:pPr>
      <w:r>
        <w:t xml:space="preserve">Individual patient data analysis</w:t>
      </w:r>
    </w:p>
    <w:p>
      <w:pPr>
        <w:pStyle w:val="FirstParagraph"/>
      </w:pPr>
      <w:r>
        <w:t xml:space="preserve">In this analysis, an two-stage individual patient data model was used out of necessity, with the one-stage model being precluded by the included datasets being in protected data silos. It also allows for each studys’ data to be analysed according to a common analysis plan, which is particularly important in this topic, due to the differing definitions between studies of the serum concentrations above or below which lipids are deemed to be at abnormal levels.</w:t>
      </w:r>
    </w:p>
    <w:p>
      <w:pPr>
        <w:pStyle w:val="BodyText"/>
      </w:pPr>
      <w:r>
        <w:t xml:space="preserve">Under a two-stage approach, estimates for the effect of each lipid fraction on available dementia outcomes in each study were first calculated for each data source. Effect estimates for the associations between lipid fractions and incident dementia, adjusted for identical covariates, were obtained by applying a common model to each data source. More specifically, hazard ratios were used to quantify the effect of a 1-SD lower exposure to a lipid fraction on dementia outcomes. A discrete proportional hazards model was employed to account for the interval censoring introduced by design of the longitudinal cohort studies.</w:t>
      </w:r>
      <w:hyperlink w:anchor="ref-wang2017">
        <w:r>
          <w:rPr>
            <w:rStyle w:val="Hyperlink"/>
            <w:vertAlign w:val="superscript"/>
          </w:rPr>
          <w:t xml:space="preserve">298</w:t>
        </w:r>
      </w:hyperlink>
      <w:r>
        <w:t xml:space="preserve"> </w:t>
      </w:r>
      <w:r>
        <w:t xml:space="preserve">An overall effect estimate was then produced by combining data-source-specific estimtes in a random-effects meta-analysis (see Section</w:t>
      </w:r>
      <w:r>
        <w:t xml:space="preserve"> </w:t>
      </w:r>
      <w:r>
        <w:t xml:space="preserve">??</w:t>
      </w:r>
      <w:r>
        <w:t xml:space="preserve"> </w:t>
      </w:r>
      <w:r>
        <w:t xml:space="preserve">in Chapter</w:t>
      </w:r>
      <w:r>
        <w:t xml:space="preserve"> </w:t>
      </w:r>
      <w:r>
        <w:t xml:space="preserve">??</w:t>
      </w:r>
      <w:r>
        <w:t xml:space="preserve"> </w:t>
      </w:r>
      <w:r>
        <w:t xml:space="preserve">for a broader discussion of meta-analysis methods). Following best practice, clustering within studies was accounted for.</w:t>
      </w:r>
      <w:hyperlink w:anchor="ref-abo-zaid2013">
        <w:r>
          <w:rPr>
            <w:rStyle w:val="Hyperlink"/>
            <w:vertAlign w:val="superscript"/>
          </w:rPr>
          <w:t xml:space="preserve">299</w:t>
        </w:r>
      </w:hyperlink>
    </w:p>
    <w:p>
      <w:pPr>
        <w:pStyle w:val="BodyText"/>
      </w:pPr>
      <w:r>
        <w:t xml:space="preserve"> </w:t>
      </w:r>
    </w:p>
    <w:bookmarkEnd w:id="233"/>
    <w:bookmarkStart w:id="234" w:name="Xe053a90f1dc06cdff8afb3c0fcf28e3d7583255"/>
    <w:p>
      <w:pPr>
        <w:pStyle w:val="Heading4"/>
      </w:pPr>
      <w:r>
        <w:t xml:space="preserve">Investigating effect of patient-level covariates</w:t>
      </w:r>
    </w:p>
    <w:p>
      <w:pPr>
        <w:pStyle w:val="FirstParagraph"/>
      </w:pPr>
      <w:r>
        <w:t xml:space="preserve">In order to investigate the interaction of patient-level characteristics with lipid levels, interaction terms for lipid-covariate terms were included in the model above. These were extracted and synthesised using a random effects meta-analysis.</w:t>
      </w:r>
    </w:p>
    <w:p>
      <w:pPr>
        <w:pStyle w:val="BodyText"/>
      </w:pPr>
      <w:r>
        <w:t xml:space="preserve"> </w:t>
      </w:r>
    </w:p>
    <w:bookmarkEnd w:id="234"/>
    <w:bookmarkStart w:id="235" w:name="Xa47f58ef8659a4897bfdd535e185e4ae70e2b7e"/>
    <w:p>
      <w:pPr>
        <w:pStyle w:val="Heading4"/>
      </w:pPr>
      <w:r>
        <w:t xml:space="preserve">Combining published aggregate data and individual participant data</w:t>
      </w:r>
    </w:p>
    <w:p>
      <w:pPr>
        <w:pStyle w:val="FirstParagraph"/>
      </w:pPr>
      <w:r>
        <w:t xml:space="preserve">Where a data source did not provided their individual participant data, but stratified by a patient characteristic of interest in the published data, the aggregate data and individual data were combined.</w:t>
      </w:r>
    </w:p>
    <w:p>
      <w:pPr>
        <w:pStyle w:val="BodyText"/>
      </w:pPr>
      <w:r>
        <w:t xml:space="preserve"> </w:t>
      </w:r>
    </w:p>
    <w:bookmarkEnd w:id="235"/>
    <w:bookmarkEnd w:id="236"/>
    <w:bookmarkStart w:id="237" w:name="comparison-with-published-findings"/>
    <w:p>
      <w:pPr>
        <w:pStyle w:val="Heading3"/>
      </w:pPr>
      <w:r>
        <w:t xml:space="preserve">Comparison with published findings</w:t>
      </w:r>
    </w:p>
    <w:p>
      <w:pPr>
        <w:pStyle w:val="FirstParagraph"/>
      </w:pPr>
      <w:r>
        <w:t xml:space="preserve">Where an included data source had previously been analysed and results for the association between lipid levels and dementia outcomes reported, these were compared to the results of this analysis. If discrepancies were identified, these were investigated.</w:t>
      </w:r>
    </w:p>
    <w:bookmarkEnd w:id="237"/>
    <w:bookmarkStart w:id="240" w:name="secondary-analyses"/>
    <w:p>
      <w:pPr>
        <w:pStyle w:val="Heading3"/>
      </w:pPr>
      <w:r>
        <w:t xml:space="preserve">Secondary analyses</w:t>
      </w:r>
    </w:p>
    <w:bookmarkStart w:id="238" w:name="amount-of-information-added"/>
    <w:p>
      <w:pPr>
        <w:pStyle w:val="Heading4"/>
      </w:pPr>
      <w:r>
        <w:t xml:space="preserve">Amount of information added</w:t>
      </w:r>
    </w:p>
    <w:p>
      <w:pPr>
        <w:pStyle w:val="FirstParagraph"/>
      </w:pPr>
      <w:r>
        <w:t xml:space="preserve">The proportion of new information added to the evidence base via incorporation of the unanalysed datasets was quantified, by addding the additional results to the lipid-dementia meta-analyses presented in Section</w:t>
      </w:r>
      <w:r>
        <w:t xml:space="preserve"> </w:t>
      </w:r>
      <w:r>
        <w:t xml:space="preserve">??</w:t>
      </w:r>
      <w:r>
        <w:t xml:space="preserve">, and extracting the combined weights assigned to the new data in a fixed-effect model.</w:t>
      </w:r>
    </w:p>
    <w:bookmarkEnd w:id="238"/>
    <w:bookmarkStart w:id="239" w:name="data-availability-statements"/>
    <w:p>
      <w:pPr>
        <w:pStyle w:val="Heading4"/>
      </w:pPr>
      <w:r>
        <w:t xml:space="preserve">Data availability statements</w:t>
      </w:r>
    </w:p>
    <w:p>
      <w:pPr>
        <w:pStyle w:val="FirstParagraph"/>
      </w:pPr>
      <w:r>
        <w:t xml:space="preserve">As a sensitivity analysis, I examined the data sharing statements for each using a predefined categories used in a similar previous analysis.</w:t>
      </w:r>
      <w:hyperlink w:anchor="ref-mcguinness2020DAScomparison">
        <w:r>
          <w:rPr>
            <w:rStyle w:val="Hyperlink"/>
            <w:vertAlign w:val="superscript"/>
          </w:rPr>
          <w:t xml:space="preserve">300</w:t>
        </w:r>
      </w:hyperlink>
    </w:p>
    <w:p>
      <w:pPr>
        <w:pStyle w:val="BodyText"/>
      </w:pPr>
      <w:r>
        <w:t xml:space="preserve"> </w:t>
      </w:r>
    </w:p>
    <w:bookmarkEnd w:id="239"/>
    <w:bookmarkEnd w:id="240"/>
    <w:bookmarkEnd w:id="241"/>
    <w:bookmarkStart w:id="257" w:name="results-2"/>
    <w:p>
      <w:pPr>
        <w:pStyle w:val="Heading2"/>
      </w:pPr>
      <w:r>
        <w:t xml:space="preserve">Results</w:t>
      </w:r>
    </w:p>
    <w:bookmarkStart w:id="243" w:name="data-access"/>
    <w:p>
      <w:pPr>
        <w:pStyle w:val="Heading3"/>
      </w:pPr>
      <w:r>
        <w:t xml:space="preserve">Data access</w:t>
      </w:r>
    </w:p>
    <w:p>
      <w:pPr>
        <w:pStyle w:val="FirstParagraph"/>
      </w:pPr>
      <w:r>
        <w:t xml:space="preserve">Of the 37 studies to which I applied for data access, only three (8.1%) provided data and were included in the analysis. Figure</w:t>
      </w:r>
      <w:r>
        <w:t xml:space="preserve"> </w:t>
      </w:r>
      <w:r>
        <w:t xml:space="preserve">34</w:t>
      </w:r>
      <w:r>
        <w:t xml:space="preserve"> </w:t>
      </w:r>
      <w:r>
        <w:t xml:space="preserve">details whether the cohorts eventually included in the review were identified by the systematic review or via DPUK portal. In addition, the reasons for cohorts not being included in the analysis are presented, stratified by application approach.</w:t>
      </w:r>
    </w:p>
    <w:p>
      <w:pPr>
        <w:pStyle w:val="BodyText"/>
      </w:pPr>
      <w:r>
        <w:t xml:space="preserve">In summary, the requests for data from cohorts identified by the systematic review was characterised by a very low response rate. For the minority who did respond, common reasons given by corresponding authors for not sharing the data included that they no longer worked with the same group and did not know if the data were available or how to obtain it, had access to the data, or that they were currently or intended to perform a similar analysis as the one proposed.</w:t>
      </w:r>
    </w:p>
    <w:p>
      <w:pPr>
        <w:pStyle w:val="BodyText"/>
      </w:pPr>
      <w:r>
        <w:t xml:space="preserve">With respect to the application to DPUK cohorts, where a dedicated project manager liaises with data owners on the applicants’ behalf, the overall response rate was higher resulting in eventual access to three cohorts (one of which was also identified by the systematic review). However, even using this streamlined approach, a response was obtained for only half of the approach cohorts.</w:t>
      </w:r>
    </w:p>
    <w:p>
      <w:pPr>
        <w:pStyle w:val="BodyText"/>
      </w:pPr>
      <w:r>
        <w:drawing>
          <wp:inline>
            <wp:extent cx="5943600" cy="4592781"/>
            <wp:effectExtent b="0" l="0" r="0" t="0"/>
            <wp:docPr descr="Figure 34: Flowchart of included cohorts, stratified by identification method (systematic review vs DPUK)." title="" id="1" name="Picture"/>
            <a:graphic>
              <a:graphicData uri="http://schemas.openxmlformats.org/drawingml/2006/picture">
                <pic:pic>
                  <pic:nvPicPr>
                    <pic:cNvPr descr="figures/ipd/cohortFlowchart.png" id="0" name="Picture"/>
                    <pic:cNvPicPr>
                      <a:picLocks noChangeArrowheads="1" noChangeAspect="1"/>
                    </pic:cNvPicPr>
                  </pic:nvPicPr>
                  <pic:blipFill>
                    <a:blip r:embed="rId242"/>
                    <a:stretch>
                      <a:fillRect/>
                    </a:stretch>
                  </pic:blipFill>
                  <pic:spPr bwMode="auto">
                    <a:xfrm>
                      <a:off x="0" y="0"/>
                      <a:ext cx="5943600" cy="4592781"/>
                    </a:xfrm>
                    <a:prstGeom prst="rect">
                      <a:avLst/>
                    </a:prstGeom>
                    <a:noFill/>
                    <a:ln w="9525">
                      <a:noFill/>
                      <a:headEnd/>
                      <a:tailEnd/>
                    </a:ln>
                  </pic:spPr>
                </pic:pic>
              </a:graphicData>
            </a:graphic>
          </wp:inline>
        </w:drawing>
      </w:r>
      <w:r>
        <w:t xml:space="preserve"> </w:t>
      </w:r>
    </w:p>
    <w:p>
      <w:pPr>
        <w:pStyle w:val="BodyText"/>
      </w:pPr>
      <w:r>
        <w:t xml:space="preserve">As highlighted in Figure</w:t>
      </w:r>
      <w:r>
        <w:t xml:space="preserve"> </w:t>
      </w:r>
      <w:r>
        <w:t xml:space="preserve">34</w:t>
      </w:r>
      <w:r>
        <w:t xml:space="preserve">, there was little overlap between cohorts identified by the systematic review and those contained in the DPUK (n = 1, 2.7%), indicating that the DPUK is a useful source of unanalysed data with respect to this question.</w:t>
      </w:r>
    </w:p>
    <w:p>
      <w:pPr>
        <w:pStyle w:val="BodyText"/>
      </w:pPr>
      <w:r>
        <w:t xml:space="preserve"> </w:t>
      </w:r>
    </w:p>
    <w:bookmarkEnd w:id="243"/>
    <w:bookmarkStart w:id="249" w:name="included-data-sources"/>
    <w:p>
      <w:pPr>
        <w:pStyle w:val="Heading3"/>
      </w:pPr>
      <w:r>
        <w:t xml:space="preserve">Included data sources</w:t>
      </w:r>
    </w:p>
    <w:p>
      <w:pPr>
        <w:pStyle w:val="FirstParagraph"/>
      </w:pPr>
      <w:r>
        <w:t xml:space="preserve">The four data sources used in this analysis are summarised in Table</w:t>
      </w:r>
      <w:r>
        <w:t xml:space="preserve"> </w:t>
      </w:r>
      <w:r>
        <w:t xml:space="preserve">17</w:t>
      </w:r>
      <w:r>
        <w:t xml:space="preserve"> </w:t>
      </w:r>
      <w:r>
        <w:t xml:space="preserve">and are described in detail in the following sections. Of note, all included data sources were based in the United Kingdom. This is likely due to the majority of included datasets coming from the Dementia Platform UK route (Figure</w:t>
      </w:r>
      <w:r>
        <w:t xml:space="preserve"> </w:t>
      </w:r>
      <w:r>
        <w:t xml:space="preserve">34</w:t>
      </w:r>
      <w:r>
        <w:t xml:space="preserve">), which as implied by the name, has a geographical focus on cohorts performed in the United Kingdom.</w:t>
      </w:r>
      <w:hyperlink w:anchor="ref-bauermeister2020">
        <w:r>
          <w:rPr>
            <w:rStyle w:val="Hyperlink"/>
            <w:vertAlign w:val="superscript"/>
          </w:rPr>
          <w:t xml:space="preserve">99</w:t>
        </w:r>
      </w:hyperlink>
    </w:p>
    <w:p>
      <w:pPr>
        <w:pStyle w:val="BodyText"/>
      </w:pPr>
      <w:r>
        <w:t xml:space="preserve"> </w:t>
      </w:r>
    </w:p>
    <w:p>
      <w:pPr>
        <w:pStyle w:val="TableCaption"/>
      </w:pPr>
      <w:r>
        <w:t xml:space="preserve">Table 17:</w:t>
      </w:r>
      <w:r>
        <w:t xml:space="preserve"> </w:t>
      </w:r>
      <w:bookmarkStart w:id="3b7357bd-32d3-4f8c-9e33-1ac229cf7890" w:name="tab:cohortOverview-table"/>
      <w:r>
        <w:t xml:space="preserve">Summary of cohorts for which data were available</w:t>
      </w:r>
      <w:bookmarkEnd w:id="3b7357bd-32d3-4f8c-9e33-1ac229cf789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Dementia events (all-cause)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(mean)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Male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CaPS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CPRD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X</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Whitehall II</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8022</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r>
    </w:tbl>
    <w:p>
      <w:pPr>
        <w:pStyle w:val="BodyText"/>
      </w:pPr>
      <w:r>
        <w:t xml:space="preserve"> </w:t>
      </w:r>
    </w:p>
    <w:p>
      <w:pPr>
        <w:pStyle w:val="BodyText"/>
      </w:pPr>
      <w:r>
        <w:t xml:space="preserve"> </w:t>
      </w:r>
    </w:p>
    <w:bookmarkStart w:id="244" w:name="caerphilly-prospective-study"/>
    <w:p>
      <w:pPr>
        <w:pStyle w:val="Heading4"/>
      </w:pPr>
      <w:r>
        <w:t xml:space="preserve">Caerphilly Prospective Study</w:t>
      </w:r>
    </w:p>
    <w:p>
      <w:pPr>
        <w:pStyle w:val="FirstParagraph"/>
      </w:pPr>
      <w:r>
        <w:t xml:space="preserve">The Caerphilly</w:t>
      </w:r>
      <w:r>
        <w:t xml:space="preserve"> </w:t>
      </w:r>
      <w:r>
        <w:t xml:space="preserve"> </w:t>
      </w:r>
      <w:r>
        <w:t xml:space="preserve">Prospective Study is a longitudinal study of men in the</w:t>
      </w:r>
    </w:p>
    <w:p>
      <w:pPr>
        <w:pStyle w:val="BodyText"/>
      </w:pPr>
      <w:r>
        <w:t xml:space="preserve">Cholesterol measures (total, LDL-c, HDL-c and triglyceride) were measured at baseline in 1979-1983.</w:t>
      </w:r>
      <w:r>
        <w:t xml:space="preserve"> </w:t>
      </w:r>
      <w:r>
        <w:t xml:space="preserve">As the study population has aged, additional outcomes. Of particular relevance to this analysis, from Phase III (1989-1993) onwards, a battery of cognitive tests were introduced.</w:t>
      </w:r>
    </w:p>
    <w:p>
      <w:pPr>
        <w:pStyle w:val="BodyText"/>
      </w:pPr>
      <w:r>
        <w:t xml:space="preserve"> </w:t>
      </w:r>
    </w:p>
    <w:bookmarkEnd w:id="244"/>
    <w:bookmarkStart w:id="245"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263</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263</w:t>
        </w:r>
      </w:hyperlink>
      <w:r>
        <w:rPr>
          <w:vertAlign w:val="superscript"/>
        </w:rPr>
        <w:t xml:space="preserve">,</w:t>
      </w:r>
      <w:hyperlink w:anchor="ref-mathur2014">
        <w:r>
          <w:rPr>
            <w:rStyle w:val="Hyperlink"/>
            <w:vertAlign w:val="superscript"/>
          </w:rPr>
          <w:t xml:space="preserve">266</w:t>
        </w:r>
      </w:hyperlink>
    </w:p>
    <w:p>
      <w:pPr>
        <w:pStyle w:val="BodyText"/>
      </w:pPr>
      <w:r>
        <w:t xml:space="preserve">The CPRD is introduced more fully in Chapter @ref().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other number of participants is larger in this analysis as there is no restriction on the level which lipids should be in order to be included in the analysis.</w:t>
      </w:r>
    </w:p>
    <w:p>
      <w:pPr>
        <w:pStyle w:val="BodyText"/>
      </w:pPr>
      <w:r>
        <w:t xml:space="preserve">the</w:t>
      </w:r>
    </w:p>
    <w:p>
      <w:pPr>
        <w:pStyle w:val="BodyText"/>
      </w:pPr>
      <w:r>
        <w:t xml:space="preserve"> </w:t>
      </w:r>
    </w:p>
    <w:bookmarkEnd w:id="245"/>
    <w:bookmarkStart w:id="246"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301</w:t>
        </w:r>
      </w:hyperlink>
      <w:r>
        <w:rPr>
          <w:vertAlign w:val="superscript"/>
        </w:rPr>
        <w:t xml:space="preserve">,</w:t>
      </w:r>
      <w:hyperlink w:anchor="ref-riboli2002">
        <w:r>
          <w:rPr>
            <w:rStyle w:val="Hyperlink"/>
            <w:vertAlign w:val="superscript"/>
          </w:rPr>
          <w:t xml:space="preserve">302</w:t>
        </w:r>
      </w:hyperlink>
    </w:p>
    <w:p>
      <w:pPr>
        <w:pStyle w:val="BodyText"/>
      </w:pPr>
      <w:r>
        <w:t xml:space="preserve">The added evidental value of the EPIC cohort is small, given the relatively small number of participants and the fact that the cohort has only 8 dementia events.</w:t>
      </w:r>
    </w:p>
    <w:p>
      <w:pPr>
        <w:pStyle w:val="BodyText"/>
      </w:pPr>
      <w:r>
        <w:t xml:space="preserve"> </w:t>
      </w:r>
    </w:p>
    <w:bookmarkEnd w:id="246"/>
    <w:bookmarkStart w:id="248"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47">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This data source was analysed in one of the included studies identified by the systematic review presented in Chapter</w:t>
      </w:r>
      <w:r>
        <w:t xml:space="preserve"> </w:t>
      </w:r>
      <w:r>
        <w:t xml:space="preserve">??</w:t>
      </w:r>
      <w:r>
        <w:t xml:space="preserve">,</w:t>
      </w:r>
      <w:hyperlink w:anchor="ref-tynkkynen2018">
        <w:r>
          <w:rPr>
            <w:rStyle w:val="Hyperlink"/>
            <w:vertAlign w:val="superscript"/>
          </w:rPr>
          <w:t xml:space="preserve">219</w:t>
        </w:r>
      </w:hyperlink>
      <w:r>
        <w:t xml:space="preserve"> </w:t>
      </w:r>
      <w:r>
        <w:t xml:space="preserve">meaning that a comparison between the published result and the analysis reported here was was possible.</w:t>
      </w:r>
    </w:p>
    <w:p>
      <w:pPr>
        <w:pStyle w:val="BodyText"/>
      </w:pPr>
      <w:r>
        <w:t xml:space="preserve"> </w:t>
      </w:r>
    </w:p>
    <w:bookmarkEnd w:id="248"/>
    <w:bookmarkEnd w:id="249"/>
    <w:bookmarkStart w:id="254" w:name="excluded-data-sources"/>
    <w:p>
      <w:pPr>
        <w:pStyle w:val="Heading3"/>
      </w:pPr>
      <w:r>
        <w:t xml:space="preserve">Excluded data sources</w:t>
      </w:r>
    </w:p>
    <w:bookmarkStart w:id="250" w:name="X21956c5bb1220e1050675bc21f8db7a8b7dcfce"/>
    <w:p>
      <w:pPr>
        <w:pStyle w:val="Heading4"/>
      </w:pPr>
      <w:r>
        <w:t xml:space="preserve">Cohorts identified the systematic review but excluded from the IPD analysis</w:t>
      </w:r>
    </w:p>
    <w:p>
      <w:pPr>
        <w:pStyle w:val="FirstParagraph"/>
      </w:pPr>
      <w:r>
        <w:t xml:space="preserve">The main reason for exclusion within this records was use of an electronic health record database. Examples included the Taiwan National Health Insurance database and studies run in the US making use of Medicare data.</w:t>
      </w:r>
    </w:p>
    <w:p>
      <w:pPr>
        <w:pStyle w:val="BodyText"/>
      </w:pPr>
      <w:r>
        <w:t xml:space="preserve"> </w:t>
      </w:r>
    </w:p>
    <w:bookmarkEnd w:id="250"/>
    <w:bookmarkStart w:id="251" w:name="X7c5d35d5c36dc4ca51650e927c54faff052b227"/>
    <w:p>
      <w:pPr>
        <w:pStyle w:val="Heading4"/>
      </w:pPr>
      <w:r>
        <w:t xml:space="preserve">Cohorts identified in the DPUK but excluded from the IPD analysis</w:t>
      </w:r>
    </w:p>
    <w:p>
      <w:pPr>
        <w:pStyle w:val="FirstParagraph"/>
      </w:pPr>
      <w:r>
        <w:t xml:space="preserve">Several additional cohorts are present in the DPUK collection but were not formally approached with a request for data access. This was primarily due to the information obtained via the online data dictionary system or via initial contact with the cohort owners indicating that the study was relatively new (and so was yet to collect more than 1 wave of data) or that the exposure variables of interest were not recorded.</w:t>
      </w:r>
    </w:p>
    <w:p>
      <w:pPr>
        <w:pStyle w:val="BodyText"/>
      </w:pPr>
      <w:r>
        <w:t xml:space="preserve"> </w:t>
      </w:r>
    </w:p>
    <w:bookmarkEnd w:id="251"/>
    <w:bookmarkStart w:id="252" w:name="X7e47c7380e72975e23f42d5481f1710588c830f"/>
    <w:p>
      <w:pPr>
        <w:pStyle w:val="Heading4"/>
      </w:pPr>
      <w:r>
        <w:t xml:space="preserve">Cohorts providing data but ultimately excluded</w:t>
      </w:r>
    </w:p>
    <w:p>
      <w:pPr>
        <w:pStyle w:val="FirstParagraph"/>
      </w:pPr>
      <w:r>
        <w:t xml:space="preserve">As highlighted in Figure</w:t>
      </w:r>
      <w:r>
        <w:t xml:space="preserve"> </w:t>
      </w:r>
      <w:r>
        <w:t xml:space="preserve">34</w:t>
      </w:r>
      <w:r>
        <w:t xml:space="preserve">, several cohorts from the DPUK responding positively but on inspection of data provided these cohorts were excluded for a range of reason. The exclusion reason for each cohort for which data were provided is illustrated in Table</w:t>
      </w:r>
      <w:r>
        <w:t xml:space="preserve"> </w:t>
      </w:r>
      <w:r>
        <w:t xml:space="preserve">18</w:t>
      </w:r>
      <w:r>
        <w:t xml:space="preserve">.</w:t>
      </w:r>
    </w:p>
    <w:p>
      <w:pPr>
        <w:pStyle w:val="BodyText"/>
      </w:pPr>
      <w:r>
        <w:t xml:space="preserve"> </w:t>
      </w:r>
    </w:p>
    <w:p>
      <w:pPr>
        <w:pStyle w:val="BodyText"/>
      </w:pPr>
      <w:r>
        <w:t xml:space="preserve">"</w:t>
      </w:r>
      <w:r>
        <w:t xml:space="preserve">“</w:t>
      </w:r>
      <w:r>
        <w:t xml:space="preserve">,</w:t>
      </w:r>
      <w:r>
        <w:t xml:space="preserve">”</w:t>
      </w:r>
      <w:r>
        <w:t xml:space="preserve">Cohort</w:t>
      </w:r>
      <w:r>
        <w:t xml:space="preserve">“</w:t>
      </w:r>
      <w:r>
        <w:t xml:space="preserve">,</w:t>
      </w:r>
      <w:r>
        <w:t xml:space="preserve">”</w:t>
      </w:r>
      <w:r>
        <w:t xml:space="preserve">Reason"</w:t>
      </w:r>
      <w:r>
        <w:t xml:space="preserve"> </w:t>
      </w:r>
      <w:r>
        <w:t xml:space="preserve">“</w:t>
      </w:r>
      <w:r>
        <w:t xml:space="preserve">1</w:t>
      </w:r>
      <w:r>
        <w:t xml:space="preserve">”</w:t>
      </w:r>
      <w:r>
        <w:t xml:space="preserve">,</w:t>
      </w:r>
      <w:r>
        <w:t xml:space="preserve">“</w:t>
      </w:r>
      <w:r>
        <w:t xml:space="preserve">NICOLA</w:t>
      </w:r>
      <w:r>
        <w:t xml:space="preserve">”</w:t>
      </w:r>
      <w:r>
        <w:t xml:space="preserve">,</w:t>
      </w:r>
      <w:r>
        <w:t xml:space="preserve">“</w:t>
      </w:r>
      <w:r>
        <w:t xml:space="preserve">Cross-sectional - only one wave of data available</w:t>
      </w:r>
      <w:r>
        <w:t xml:space="preserve">”</w:t>
      </w:r>
      <w:r>
        <w:t xml:space="preserve"> </w:t>
      </w:r>
      <w:r>
        <w:t xml:space="preserve">“</w:t>
      </w:r>
      <w:r>
        <w:t xml:space="preserve">2</w:t>
      </w:r>
      <w:r>
        <w:t xml:space="preserve">”</w:t>
      </w:r>
      <w:r>
        <w:t xml:space="preserve">,</w:t>
      </w:r>
      <w:r>
        <w:t xml:space="preserve">“</w:t>
      </w:r>
      <w:r>
        <w:t xml:space="preserve">TRACK HD</w:t>
      </w:r>
      <w:r>
        <w:t xml:space="preserve">”</w:t>
      </w:r>
      <w:r>
        <w:t xml:space="preserve">,</w:t>
      </w:r>
      <w:r>
        <w:t xml:space="preserve">“</w:t>
      </w:r>
      <w:r>
        <w:t xml:space="preserve">Participants carried HTT gene (i.e. premanifest Huntington’s Disease). Cohort owners indicated that this is likely to overshadw</w:t>
      </w:r>
      <w:r>
        <w:t xml:space="preserve">”</w:t>
      </w:r>
    </w:p>
    <w:p>
      <w:pPr>
        <w:pStyle w:val="TableCaption"/>
      </w:pPr>
      <w:r>
        <w:t xml:space="preserve">Table 18:</w:t>
      </w:r>
      <w:r>
        <w:t xml:space="preserve"> </w:t>
      </w:r>
      <w:bookmarkStart w:id="2fdb2304-2223-4ad4-9f76-a2868c64ca81" w:name="tab:dataExcluded-table"/>
      <w:r>
        <w:t xml:space="preserve">Exclusion reasons for cohorts providing data</w:t>
      </w:r>
      <w:bookmarkEnd w:id="2fdb2304-2223-4ad4-9f76-a2868c64ca8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Cohort</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Reason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NICOLA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Cross-sectional - only one wave of data available</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TRACK HD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Participants carried HTT gene (i.e. premanifest Huntington's Disease). Cohort owners indicated that this is likely to overshadw</w:t>
            </w:r>
          </w:p>
        </w:tc>
      </w:tr>
    </w:tbl>
    <w:p>
      <w:pPr>
        <w:pStyle w:val="BodyText"/>
      </w:pPr>
      <w:r>
        <w:t xml:space="preserve"> </w:t>
      </w:r>
    </w:p>
    <w:p>
      <w:pPr>
        <w:pStyle w:val="BodyText"/>
      </w:pPr>
      <w:r>
        <w:t xml:space="preserve">BRACE is a memory-complaint-based cohort, suggesting that it is unlikely they were dementia-free at baseline).</w:t>
      </w:r>
      <w:r>
        <w:t xml:space="preserve"> </w:t>
      </w:r>
      <w:r>
        <w:t xml:space="preserve"> </w:t>
      </w:r>
      <w:r>
        <w:t xml:space="preserve">Similarly, the Memento study was excluded as it’s criteria for entry required participants to be outpatients from a memory clinic.</w:t>
      </w:r>
      <w:r>
        <w:t xml:space="preserve"> </w:t>
      </w:r>
      <w:r>
        <w:t xml:space="preserve"> </w:t>
      </w:r>
      <w:r>
        <w:t xml:space="preserve">The Generation Scotland provided only cross-sectional data only for the variables of interest, as did the the NICOLA study.</w:t>
      </w:r>
      <w:r>
        <w:t xml:space="preserve"> </w:t>
      </w:r>
      <w:r>
        <w:t xml:space="preserve"> </w:t>
      </w:r>
      <w:r>
        <w:t xml:space="preserve">Finally, the ELSA study was excluded based on the definition of the exposure variable. This study provided a</w:t>
      </w:r>
      <w:r>
        <w:t xml:space="preserve"> </w:t>
      </w:r>
      <w:r>
        <w:t xml:space="preserve">“</w:t>
      </w:r>
      <w:r>
        <w:t xml:space="preserve">high cholesterol</w:t>
      </w:r>
      <w:r>
        <w:t xml:space="preserve">”</w:t>
      </w:r>
      <w:r>
        <w:t xml:space="preserve"> </w:t>
      </w:r>
      <w:r>
        <w:t xml:space="preserve">a binary variable rather than the raw continuous lipid measurement data.</w:t>
      </w:r>
      <w:r>
        <w:t xml:space="preserve"> </w:t>
      </w:r>
    </w:p>
    <w:p>
      <w:pPr>
        <w:pStyle w:val="BodyText"/>
      </w:pPr>
      <w:r>
        <w:t xml:space="preserve"> </w:t>
      </w:r>
    </w:p>
    <w:bookmarkEnd w:id="252"/>
    <w:bookmarkStart w:id="253" w:name="cohorts-approach-but-received-no-answer"/>
    <w:p>
      <w:pPr>
        <w:pStyle w:val="Heading4"/>
      </w:pPr>
      <w:r>
        <w:t xml:space="preserve">Cohorts approach but received no answer</w:t>
      </w:r>
    </w:p>
    <w:p>
      <w:pPr>
        <w:pStyle w:val="FirstParagraph"/>
      </w:pPr>
      <w:r>
        <w:t xml:space="preserve">This was particularly common among the cohorts identified via the systematic review and included studies with a dedicated access process or data access committee. A cohort of particular interest, having been used in multiple studies identified by the systematic review, is the Three City Study in France. Despite multiple attempts to contact the team, there was no response received.</w:t>
      </w:r>
      <w:r>
        <w:t xml:space="preserve"> </w:t>
      </w:r>
      <w:r>
        <w:t xml:space="preserve"> </w:t>
      </w:r>
      <w:r>
        <w:t xml:space="preserve">This study was approach at multiple points over the curse of this analysis, and no answer was received.</w:t>
      </w:r>
    </w:p>
    <w:p>
      <w:pPr>
        <w:pStyle w:val="BodyText"/>
      </w:pPr>
      <w:r>
        <w:t xml:space="preserve">This was also a problem for cohorts approach via the DPUK - half of the cohorts applied to did not respond to the application within a year.</w:t>
      </w:r>
    </w:p>
    <w:bookmarkEnd w:id="253"/>
    <w:bookmarkEnd w:id="254"/>
    <w:bookmarkStart w:id="256" w:name="analytical-results"/>
    <w:p>
      <w:pPr>
        <w:pStyle w:val="Heading3"/>
      </w:pPr>
      <w:r>
        <w:t xml:space="preserve">Analytical results</w:t>
      </w:r>
    </w:p>
    <w:p>
      <w:pPr>
        <w:pStyle w:val="FirstParagraph"/>
      </w:pPr>
      <w:r>
        <w:t xml:space="preserve">There was no evidence for an effect of any lipid fraction on any dementia outcome (Figure</w:t>
      </w:r>
      <w:r>
        <w:t xml:space="preserve"> </w:t>
      </w:r>
      <w:r>
        <w:t xml:space="preserve">35</w:t>
      </w:r>
      <w:r>
        <w:t xml:space="preserve">). Additionally, meta-analysis of the interaction coefficients for age-at-lipid-measurement and participant sex did not reveal an evidence for an varying effect across these variables.</w:t>
      </w:r>
    </w:p>
    <w:p>
      <w:pPr>
        <w:pStyle w:val="BodyText"/>
      </w:pPr>
      <w:r>
        <w:t xml:space="preserve"> </w:t>
      </w:r>
    </w:p>
    <w:p>
      <w:pPr>
        <w:pStyle w:val="BodyText"/>
      </w:pPr>
      <w:r>
        <w:drawing>
          <wp:inline>
            <wp:extent cx="5943600" cy="1867988"/>
            <wp:effectExtent b="0" l="0" r="0" t="0"/>
            <wp:docPr descr="Figure 35: Random effects meta-analysis of estimates from included data sources:" title="" id="1" name="Picture"/>
            <a:graphic>
              <a:graphicData uri="http://schemas.openxmlformats.org/drawingml/2006/picture">
                <pic:pic>
                  <pic:nvPicPr>
                    <pic:cNvPr descr="figures/ipd/TC.png" id="0" name="Picture"/>
                    <pic:cNvPicPr>
                      <a:picLocks noChangeArrowheads="1" noChangeAspect="1"/>
                    </pic:cNvPicPr>
                  </pic:nvPicPr>
                  <pic:blipFill>
                    <a:blip r:embed="rId255"/>
                    <a:stretch>
                      <a:fillRect/>
                    </a:stretch>
                  </pic:blipFill>
                  <pic:spPr bwMode="auto">
                    <a:xfrm>
                      <a:off x="0" y="0"/>
                      <a:ext cx="5943600" cy="1867988"/>
                    </a:xfrm>
                    <a:prstGeom prst="rect">
                      <a:avLst/>
                    </a:prstGeom>
                    <a:noFill/>
                    <a:ln w="9525">
                      <a:noFill/>
                      <a:headEnd/>
                      <a:tailEnd/>
                    </a:ln>
                  </pic:spPr>
                </pic:pic>
              </a:graphicData>
            </a:graphic>
          </wp:inline>
        </w:drawing>
      </w:r>
      <w:r>
        <w:t xml:space="preserve"> </w:t>
      </w:r>
    </w:p>
    <w:p>
      <w:pPr>
        <w:pStyle w:val="BodyText"/>
      </w:pPr>
      <w:r>
        <w:t xml:space="preserve"> </w:t>
      </w:r>
    </w:p>
    <w:bookmarkEnd w:id="256"/>
    <w:bookmarkEnd w:id="257"/>
    <w:bookmarkStart w:id="264" w:name="discussion-3"/>
    <w:p>
      <w:pPr>
        <w:pStyle w:val="Heading2"/>
      </w:pPr>
      <w:r>
        <w:t xml:space="preserve">Discussion</w:t>
      </w:r>
    </w:p>
    <w:bookmarkStart w:id="258" w:name="summary-of-findings-2"/>
    <w:p>
      <w:pPr>
        <w:pStyle w:val="Heading3"/>
      </w:pPr>
      <w:r>
        <w:t xml:space="preserve">Summary of findings</w:t>
      </w:r>
    </w:p>
    <w:p>
      <w:pPr>
        <w:pStyle w:val="FirstParagraph"/>
      </w:pPr>
      <w:r>
        <w:t xml:space="preserve">This analysis requested data from 37 data sources, but only obtained data from n = 3, 8.1%, all of which were based in the United Kingdom. No evidence for an effect of lipids on the risk of dementia or related outcomes was identified. Similalarly, there was no evidence for an effect of age-at-measurement or sex on the lipid-dementia relationship.</w:t>
      </w:r>
    </w:p>
    <w:p>
      <w:pPr>
        <w:pStyle w:val="BodyText"/>
      </w:pPr>
      <w:r>
        <w:t xml:space="preserve">Additionally analyses revealed that authors of cohorts indentified by the systematic review rarely stated that the data underpinning their analyses would be freely available, while a review of corresponding authors of these publications demonstrated that for many, the institutional email address provided was out of date.</w:t>
      </w:r>
    </w:p>
    <w:bookmarkEnd w:id="258"/>
    <w:bookmarkStart w:id="261" w:name="limitations-1"/>
    <w:p>
      <w:pPr>
        <w:pStyle w:val="Heading3"/>
      </w:pPr>
      <w:r>
        <w:t xml:space="preserve">Limitations</w:t>
      </w:r>
    </w:p>
    <w:bookmarkStart w:id="259" w:name="low-response-rate-to-request-for-data"/>
    <w:p>
      <w:pPr>
        <w:pStyle w:val="Heading4"/>
      </w:pPr>
      <w:r>
        <w:t xml:space="preserve">Low response rate to request for data</w:t>
      </w:r>
    </w:p>
    <w:p>
      <w:pPr>
        <w:pStyle w:val="FirstParagraph"/>
      </w:pPr>
      <w:r>
        <w:rPr>
          <w:iCs/>
          <w:i/>
        </w:rPr>
        <w:t xml:space="preserve">(although, in hindsight, the form of contact used (email) has been shown to be less successful in eliciting responses from authors when compared with telephoning</w:t>
      </w:r>
      <w:hyperlink w:anchor="ref-danko2019">
        <w:r>
          <w:rPr>
            <w:rStyle w:val="Hyperlink"/>
            <w:vertAlign w:val="superscript"/>
            <w:iCs/>
            <w:i/>
          </w:rPr>
          <w:t xml:space="preserve">303</w:t>
        </w:r>
      </w:hyperlink>
      <w:r>
        <w:rPr>
          <w:iCs/>
          <w:i/>
        </w:rPr>
        <w:t xml:space="preserve">)</w:t>
      </w:r>
    </w:p>
    <w:p>
      <w:pPr>
        <w:pStyle w:val="BodyText"/>
      </w:pPr>
      <w:r>
        <w:t xml:space="preserve">A key limitation of this analysis is the very low response rate to requests for data access. This finding is not unexpected however, given that a review of IPD studies published between 1987 and 2015 found that fewer than half managed to obtained data from greater than 80% of studies,</w:t>
      </w:r>
      <w:r>
        <w:t xml:space="preserve"> </w:t>
      </w:r>
      <w:r>
        <w:t xml:space="preserve"> </w:t>
      </w:r>
      <w:r>
        <w:t xml:space="preserve">and that in many cases, the exact percentage of studies for which data were obtained was not accurately reported.</w:t>
      </w:r>
    </w:p>
    <w:p>
      <w:pPr>
        <w:pStyle w:val="BodyText"/>
      </w:pPr>
      <w:r>
        <w:t xml:space="preserve">There are likely several likely reasons for this low response rate. In general terms, there are a several well-documented reasons why data are not made readily available, including concerns regarding participant privacy, concerns around scoping or</w:t>
      </w:r>
      <w:r>
        <w:t xml:space="preserve"> </w:t>
      </w:r>
      <w:r>
        <w:t xml:space="preserve">“</w:t>
      </w:r>
      <w:r>
        <w:t xml:space="preserve">parasitic</w:t>
      </w:r>
      <w:r>
        <w:t xml:space="preserve">”</w:t>
      </w:r>
      <w:r>
        <w:t xml:space="preserve"> </w:t>
      </w:r>
      <w:r>
        <w:t xml:space="preserve">behaviour, and a lack of trust between primary and secondary researchers.</w:t>
      </w:r>
      <w:r>
        <w:t xml:space="preserve"> </w:t>
      </w:r>
    </w:p>
    <w:p>
      <w:pPr>
        <w:pStyle w:val="BodyText"/>
      </w:pPr>
      <w:r>
        <w:t xml:space="preserve">More specific to this analysis, 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94</w:t>
        </w:r>
      </w:hyperlink>
      <w:r>
        <w:t xml:space="preserve"> </w:t>
      </w:r>
      <w:r>
        <w:t xml:space="preserve">Additionally, while no evidence is available on whether the characteristics of the researcher requesting data access influences the response rate and eventual decision, there is the possibility that my position as a PhD student meant I was less likely to elicit the response rate than a well-known professor might. The timing of the requests for data access, coinciding with a global pandemic, may also have affected the response rate as researchers prioritised other work.</w:t>
      </w:r>
    </w:p>
    <w:p>
      <w:pPr>
        <w:pStyle w:val="BodyText"/>
      </w:pPr>
      <w:r>
        <w:rPr>
          <w:iCs/>
          <w:i/>
        </w:rPr>
        <w:t xml:space="preserve">Many authors claim that their data can be made</w:t>
      </w:r>
      <w:r>
        <w:rPr>
          <w:iCs/>
          <w:i/>
        </w:rPr>
        <w:t xml:space="preserve"> </w:t>
      </w:r>
      <w:r>
        <w:rPr>
          <w:iCs/>
          <w:i/>
        </w:rPr>
        <w:t xml:space="preserve">“</w:t>
      </w:r>
      <w:r>
        <w:rPr>
          <w:iCs/>
          <w:i/>
        </w:rPr>
        <w:t xml:space="preserve">available on request</w:t>
      </w:r>
      <w:r>
        <w:rPr>
          <w:iCs/>
          <w:i/>
        </w:rPr>
        <w:t xml:space="preserve">”</w:t>
      </w:r>
      <w:r>
        <w:rPr>
          <w:iCs/>
          <w:i/>
        </w:rPr>
        <w:t xml:space="preserve">, despite previous work establishing that these statements are demonstrably untrue in the majority of cases - that when data is requested, it is not actually made available.</w:t>
      </w:r>
      <w:hyperlink w:anchor="ref-krawczyk2012">
        <w:r>
          <w:rPr>
            <w:rStyle w:val="Hyperlink"/>
            <w:vertAlign w:val="superscript"/>
            <w:iCs/>
            <w:i/>
          </w:rPr>
          <w:t xml:space="preserve">304</w:t>
        </w:r>
      </w:hyperlink>
      <w:r>
        <w:rPr>
          <w:vertAlign w:val="superscript"/>
          <w:iCs/>
          <w:i/>
        </w:rPr>
        <w:t xml:space="preserve">–</w:t>
      </w:r>
      <w:hyperlink w:anchor="ref-naudet2018">
        <w:r>
          <w:rPr>
            <w:rStyle w:val="Hyperlink"/>
            <w:vertAlign w:val="superscript"/>
            <w:iCs/>
            <w:i/>
          </w:rPr>
          <w:t xml:space="preserve">306</w:t>
        </w:r>
      </w:hyperlink>
      <w:r>
        <w:rPr>
          <w:iCs/>
          <w:i/>
        </w:rPr>
        <w:t xml:space="preserve"> </w:t>
      </w:r>
      <w:r>
        <w:rPr>
          <w:iCs/>
          <w:i/>
        </w:rPr>
        <w:t xml:space="preserve">Additionally, previous work found that the availability of data</w:t>
      </w:r>
      <w:r>
        <w:rPr>
          <w:iCs/>
          <w:i/>
        </w:rPr>
        <w:t xml:space="preserve"> </w:t>
      </w:r>
      <w:r>
        <w:rPr>
          <w:iCs/>
          <w:i/>
        </w:rPr>
        <w:t xml:space="preserve">“</w:t>
      </w:r>
      <w:r>
        <w:rPr>
          <w:iCs/>
          <w:i/>
        </w:rPr>
        <w:t xml:space="preserve">available on request</w:t>
      </w:r>
      <w:r>
        <w:rPr>
          <w:iCs/>
          <w:i/>
        </w:rPr>
        <w:t xml:space="preserve">”</w:t>
      </w:r>
      <w:r>
        <w:rPr>
          <w:iCs/>
          <w:i/>
        </w:rPr>
        <w:t xml:space="preserve"> </w:t>
      </w:r>
      <w:r>
        <w:rPr>
          <w:iCs/>
          <w:i/>
        </w:rPr>
        <w:t xml:space="preserve">declines with article age, indicating that this approach is not a valid long term option for data sharing.</w:t>
      </w:r>
      <w:hyperlink w:anchor="ref-vines2014">
        <w:r>
          <w:rPr>
            <w:rStyle w:val="Hyperlink"/>
            <w:vertAlign w:val="superscript"/>
            <w:iCs/>
            <w:i/>
          </w:rPr>
          <w:t xml:space="preserve">97</w:t>
        </w:r>
      </w:hyperlink>
      <w:r>
        <w:rPr>
          <w:iCs/>
          <w:i/>
        </w:rPr>
        <w:t xml:space="preserve"> </w:t>
      </w:r>
      <w:r>
        <w:rPr>
          <w:iCs/>
          <w:i/>
        </w:rPr>
        <w:t xml:space="preserve">Several of the included studies are greater than 10 years old, and so obtaining data from these cohorts is less likely compared with more recently published studies.</w:t>
      </w:r>
      <w:r>
        <w:t xml:space="preserve"> </w:t>
      </w:r>
    </w:p>
    <w:p>
      <w:pPr>
        <w:pStyle w:val="BodyText"/>
      </w:pPr>
      <w:r>
        <w:t xml:space="preserve">One of the reasons for this may be that the email addresses reported on publications are more likely to be out of date for older publications. Qualitatively, investigation of a subset of cohorts revealed that several corresponding/first authors were no longer at the same institution as when the study was reported, and as a result, were unlikely to have access to the institutional email address listed on the study publication.</w:t>
      </w:r>
      <w:r>
        <w:t xml:space="preserve"> </w:t>
      </w:r>
    </w:p>
    <w:p>
      <w:pPr>
        <w:pStyle w:val="BodyText"/>
      </w:pPr>
      <w:r>
        <w:t xml:space="preserve">These challenges are in theory what the DPUK was built to address. However, even with the help of the streamlined application process afforded by the DPUK, accessing sufficient data was a challenge. The response rate among DPUK cohorts a year after application was just 50%. In addition, some cohorts responded that that the proposed study question was already under investigation by another group, and that they would not share the data on this basis. In light of this, a centralised database of ongoing analysis being performed in DPUK would be of enormous help. Finally, the DPUK should more clearly distinguish between those cohorts that are</w:t>
      </w:r>
      <w:r>
        <w:t xml:space="preserve"> </w:t>
      </w:r>
      <w:r>
        <w:t xml:space="preserve">“</w:t>
      </w:r>
      <w:r>
        <w:t xml:space="preserve">DPUK native</w:t>
      </w:r>
      <w:r>
        <w:t xml:space="preserve">”</w:t>
      </w:r>
      <w:r>
        <w:t xml:space="preserve"> </w:t>
      </w:r>
      <w:r>
        <w:t xml:space="preserve">versus externally hosted, as the response time for externally hosted cohorts is likely to be much longer.</w:t>
      </w:r>
    </w:p>
    <w:p>
      <w:pPr>
        <w:pStyle w:val="BodyText"/>
      </w:pPr>
      <w:r>
        <w:t xml:space="preserve">Whether or not to press ahead with an IPD analysis in the absence of all (or even most) data is a personal decision, and some previous analyses have highlighted where they decided not to pursue an IPD study.</w:t>
      </w:r>
      <w:hyperlink w:anchor="ref-jaspers2014">
        <w:r>
          <w:rPr>
            <w:rStyle w:val="Hyperlink"/>
            <w:vertAlign w:val="superscript"/>
          </w:rPr>
          <w:t xml:space="preserve">307</w:t>
        </w:r>
      </w:hyperlink>
    </w:p>
    <w:p>
      <w:pPr>
        <w:pStyle w:val="BodyText"/>
      </w:pPr>
      <w:r>
        <w:t xml:space="preserve">For the purposes of this thesis, conducting the IPD analysis was useful as it afforded me the opportunity to gain experience in applying the methodology. In addition, it allowed me to analysed two addition previously unanalysed cohort studies which were then utilised in the triangulation study detailed in Chapter</w:t>
      </w:r>
      <w:r>
        <w:t xml:space="preserve"> </w:t>
      </w:r>
      <w:r>
        <w:t xml:space="preserve">7</w:t>
      </w:r>
      <w:r>
        <w:t xml:space="preserve">.</w:t>
      </w:r>
    </w:p>
    <w:p>
      <w:pPr>
        <w:pStyle w:val="BodyText"/>
      </w:pPr>
      <w:r>
        <w:t xml:space="preserve"> </w:t>
      </w:r>
    </w:p>
    <w:bookmarkEnd w:id="259"/>
    <w:bookmarkStart w:id="260" w:name="risk-of-bias-assessment-1"/>
    <w:p>
      <w:pPr>
        <w:pStyle w:val="Heading4"/>
      </w:pPr>
      <w:r>
        <w:t xml:space="preserve">Risk of bias assessment</w:t>
      </w:r>
    </w:p>
    <w:p>
      <w:pPr>
        <w:pStyle w:val="FirstParagraph"/>
      </w:pPr>
      <w:r>
        <w:t xml:space="preserve">There is some concerns about performing risk of bias assessments on your own analysis, and so two secondary reviewers</w:t>
      </w:r>
    </w:p>
    <w:p>
      <w:pPr>
        <w:pStyle w:val="BodyText"/>
      </w:pPr>
      <w:r>
        <w:t xml:space="preserve"> </w:t>
      </w:r>
    </w:p>
    <w:bookmarkEnd w:id="260"/>
    <w:bookmarkEnd w:id="261"/>
    <w:bookmarkStart w:id="262" w:name="strengths-1"/>
    <w:p>
      <w:pPr>
        <w:pStyle w:val="Heading3"/>
      </w:pPr>
      <w:r>
        <w:t xml:space="preserve">Strengths</w:t>
      </w:r>
    </w:p>
    <w:p>
      <w:pPr>
        <w:pStyle w:val="FirstParagraph"/>
      </w:pPr>
      <w:r>
        <w:t xml:space="preserve">While this analysis did not manage to systematically obtain and analyse a large proportion of identified data, it did enable an analysis of two previously unanalysed datasets - the CaPS study and the EPIC Norfolk study - providing additional data that is incorporated into the triangulation exercise reported in Chapter</w:t>
      </w:r>
      <w:r>
        <w:t xml:space="preserve"> </w:t>
      </w:r>
      <w:r>
        <w:t xml:space="preserve">7</w:t>
      </w:r>
      <w:r>
        <w:t xml:space="preserve">.</w:t>
      </w:r>
    </w:p>
    <w:p>
      <w:pPr>
        <w:pStyle w:val="BodyText"/>
      </w:pPr>
      <w:r>
        <w:t xml:space="preserve"> </w:t>
      </w:r>
    </w:p>
    <w:p>
      <w:pPr>
        <w:pStyle w:val="BodyText"/>
      </w:pPr>
      <w:r>
        <w:t xml:space="preserve"> </w:t>
      </w:r>
    </w:p>
    <w:bookmarkEnd w:id="262"/>
    <w:bookmarkStart w:id="263" w:name="reflections-on-the-process"/>
    <w:p>
      <w:pPr>
        <w:pStyle w:val="Heading3"/>
      </w:pPr>
      <w:r>
        <w:t xml:space="preserve">Reflections on the process</w:t>
      </w:r>
    </w:p>
    <w:p>
      <w:pPr>
        <w:pStyle w:val="FirstParagraph"/>
      </w:pPr>
      <w:r>
        <w:t xml:space="preserve">In hindsight, attempting to undertake a large-scale IPD meta-analysis as part of a larger PhD project may have been overly ambitious. Data harmonization between cohorts in an IPD analysis is an often under-appreciated challenge,</w:t>
      </w:r>
      <w:hyperlink w:anchor="ref-levis2021">
        <w:r>
          <w:rPr>
            <w:rStyle w:val="Hyperlink"/>
            <w:vertAlign w:val="superscript"/>
          </w:rPr>
          <w:t xml:space="preserve">297</w:t>
        </w:r>
      </w:hyperlink>
      <w:r>
        <w:t xml:space="preserve"> </w:t>
      </w:r>
      <w:r>
        <w:t xml:space="preserve">and in line with this, data cleaning for this analysis took substantially longer than expected.</w:t>
      </w:r>
    </w:p>
    <w:p>
      <w:pPr>
        <w:pStyle w:val="BodyText"/>
      </w:pPr>
      <w:r>
        <w:t xml:space="preserve"> </w:t>
      </w:r>
    </w:p>
    <w:bookmarkEnd w:id="263"/>
    <w:bookmarkEnd w:id="264"/>
    <w:bookmarkStart w:id="265" w:name="conclusion"/>
    <w:p>
      <w:pPr>
        <w:pStyle w:val="Heading2"/>
      </w:pPr>
      <w:r>
        <w:t xml:space="preserve">Conclusion</w:t>
      </w:r>
    </w:p>
    <w:p>
      <w:pPr>
        <w:pStyle w:val="FirstParagraph"/>
      </w:pPr>
      <w:r>
        <w:t xml:space="preserve">This analysis provided very weak evidence for an effect of lipid fractions on dementia outcomes. However, it does provide an analysis two previous unanalysed data sources that are subsequently used in Chapter</w:t>
      </w:r>
      <w:r>
        <w:t xml:space="preserve"> </w:t>
      </w:r>
      <w:r>
        <w:t xml:space="preserve">7</w:t>
      </w:r>
      <w:r>
        <w:t xml:space="preserve">.</w:t>
      </w:r>
    </w:p>
    <w:p>
      <w:r>
        <w:br w:type="page"/>
      </w:r>
    </w:p>
    <w:bookmarkEnd w:id="265"/>
    <w:bookmarkStart w:id="266" w:name="references-4"/>
    <w:p>
      <w:pPr>
        <w:pStyle w:val="Heading2"/>
      </w:pPr>
      <w:r>
        <w:t xml:space="preserve">References</w:t>
      </w:r>
    </w:p>
    <w:bookmarkEnd w:id="266"/>
    <w:bookmarkEnd w:id="267"/>
    <w:bookmarkStart w:id="311" w:name="tri-heading"/>
    <w:p>
      <w:pPr>
        <w:pStyle w:val="Heading1"/>
      </w:pPr>
      <w:r>
        <w:t xml:space="preserve">Aetiological triangulation across new and existing evidence sources</w:t>
      </w:r>
    </w:p>
    <w:p>
      <w:pPr>
        <w:pStyle w:val="FirstParagraph"/>
      </w:pPr>
    </w:p>
    <w:bookmarkStart w:id="268" w:name="lay-summary-5"/>
    <w:p>
      <w:pPr>
        <w:pStyle w:val="Heading2"/>
      </w:pPr>
      <w:r>
        <w:t xml:space="preserve">Lay summary</w:t>
      </w:r>
    </w:p>
    <w:p>
      <w:pPr>
        <w:pStyle w:val="FirstParagraph"/>
      </w:pPr>
      <w:r>
        <w:t xml:space="preserve">Triangulation is the practice of using multiple sources of evidence to provide more reliable answers to a research question. Different sources of evidence will have different limitations. If the result from each source points towards the same answer, this improves our confidence in the conclusion.</w:t>
      </w:r>
    </w:p>
    <w:p>
      <w:pPr>
        <w:pStyle w:val="BodyText"/>
      </w:pPr>
      <w:r>
        <w:t xml:space="preserve"> </w:t>
      </w:r>
    </w:p>
    <w:p>
      <w:r>
        <w:br w:type="page"/>
      </w:r>
    </w:p>
    <w:bookmarkEnd w:id="268"/>
    <w:bookmarkStart w:id="271"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w:t>
      </w:r>
      <w:r>
        <w:t xml:space="preserve">, with the the results from the analysis of CPRD data (Chapter</w:t>
      </w:r>
      <w:r>
        <w:t xml:space="preserve"> </w:t>
      </w:r>
      <w:r>
        <w:t xml:space="preserve">??</w:t>
      </w:r>
      <w:r>
        <w:t xml:space="preserve"> </w:t>
      </w:r>
      <w:r>
        <w:t xml:space="preserve">and IPD</w:t>
      </w:r>
      <w:r>
        <w:t xml:space="preserve"> </w:t>
      </w:r>
      <w:r>
        <w:t xml:space="preserve">6</w:t>
      </w:r>
      <w:r>
        <w:t xml:space="preserve">.</w:t>
      </w:r>
    </w:p>
    <w:p>
      <w:pPr>
        <w:pStyle w:val="BodyText"/>
      </w:pPr>
      <w:r>
        <w:t xml:space="preserve"> </w:t>
      </w:r>
    </w:p>
    <w:p>
      <w:r>
        <w:br w:type="page"/>
      </w:r>
    </w:p>
    <w:bookmarkStart w:id="269" w:name="triangulation-overview"/>
    <w:p>
      <w:pPr>
        <w:pStyle w:val="Heading3"/>
      </w:pPr>
      <w:r>
        <w:t xml:space="preserve">Overview of triangulation</w:t>
      </w:r>
    </w:p>
    <w:p>
      <w:pPr>
        <w:pStyle w:val="FirstParagraph"/>
      </w:pPr>
      <w:r>
        <w:t xml:space="preserve">Aetiological triangulation, or simply triangulation, is the process of comparing and contrasting across result in order to .</w:t>
      </w:r>
    </w:p>
    <w:p>
      <w:pPr>
        <w:pStyle w:val="BodyText"/>
      </w:pPr>
      <w:r>
        <w:t xml:space="preserve">It has been widely used in the literature, and is comparable to Bradford-Hill’s criteria of</w:t>
      </w:r>
      <w:r>
        <w:t xml:space="preserve"> </w:t>
      </w:r>
      <w:r>
        <w:t xml:space="preserve">“</w:t>
      </w:r>
      <w:r>
        <w:t xml:space="preserve">consistency</w:t>
      </w:r>
      <w:r>
        <w:t xml:space="preserve">”</w:t>
      </w:r>
      <w:r>
        <w:t xml:space="preserve">, that is the replication of an observed relationship across several different contexts.</w:t>
      </w:r>
      <w:hyperlink w:anchor="ref-hill1965">
        <w:r>
          <w:rPr>
            <w:rStyle w:val="Hyperlink"/>
            <w:vertAlign w:val="superscript"/>
          </w:rPr>
          <w:t xml:space="preserve">308</w:t>
        </w:r>
      </w:hyperlink>
      <w:r>
        <w:t xml:space="preserve"> </w:t>
      </w:r>
      <w:r>
        <w:t xml:space="preserve">A good working definition of the triangulation is:</w:t>
      </w:r>
    </w:p>
    <w:p>
      <w:pPr>
        <w:pStyle w:val="BlockText"/>
      </w:pPr>
      <w:r>
        <w:t xml:space="preserve">The practice of strengthening causal inferences by integrating results from several different approaches, where each approach has different (and assumed to be largely unrelated) key sources of potential bias.</w:t>
      </w:r>
      <w:hyperlink w:anchor="ref-lawlor2016">
        <w:r>
          <w:rPr>
            <w:rStyle w:val="Hyperlink"/>
            <w:vertAlign w:val="superscript"/>
          </w:rPr>
          <w:t xml:space="preserve">309</w:t>
        </w:r>
      </w:hyperlink>
    </w:p>
    <w:p>
      <w:pPr>
        <w:pStyle w:val="FirstParagraph"/>
      </w:pPr>
      <w:r>
        <w:t xml:space="preserve">This represents a significant step forward from the current evidence synthesis practice of synthesising evidence from only one approach (e.g. RCT, observational study, etc.).</w:t>
      </w:r>
    </w:p>
    <w:p>
      <w:pPr>
        <w:pStyle w:val="BodyText"/>
      </w:pPr>
      <w:r>
        <w:t xml:space="preserve">However, previous attempts at triangulation have ignored the potential for varying and opposing sources of bias within an approach, assigning a level and direction of bias to entire categories of studies.</w:t>
      </w:r>
    </w:p>
    <w:p>
      <w:pPr>
        <w:pStyle w:val="BodyText"/>
      </w:pPr>
      <w:r>
        <w:t xml:space="preserve">Recent development in bias assessment have a allowed fro a much more granular consideration of the threats to the internal validity of a result.</w:t>
      </w:r>
    </w:p>
    <w:p>
      <w:pPr>
        <w:pStyle w:val="BodyText"/>
      </w:pPr>
      <w:r>
        <w:t xml:space="preserve">For example, while it may be true that all non-randomised studies share some</w:t>
      </w:r>
      <w:r>
        <w:t xml:space="preserve"> </w:t>
      </w:r>
      <w:r>
        <w:rPr>
          <w:iCs/>
          <w:i/>
        </w:rPr>
        <w:t xml:space="preserve">minimal level</w:t>
      </w:r>
      <w:r>
        <w:t xml:space="preserve"> </w:t>
      </w:r>
      <w:r>
        <w:t xml:space="preserve">of bias, investigation of the biases applicable to each individual result gives useful additional information, and is essential for any attempt at quantitative triangulation.</w:t>
      </w:r>
    </w:p>
    <w:p>
      <w:pPr>
        <w:pStyle w:val="BodyText"/>
      </w:pPr>
      <w:r>
        <w:t xml:space="preserve">This chapter, in addition to providing a narrative comparison of the existing and new evidence identified in this thesis, attempts to combine the results numerically by building on existing work on this topic.</w:t>
      </w:r>
    </w:p>
    <w:p>
      <w:pPr>
        <w:pStyle w:val="BodyText"/>
      </w:pPr>
      <w:r>
        <w:t xml:space="preserve">In the following section, I define important terms used throughout this chapter.</w:t>
      </w:r>
    </w:p>
    <w:p>
      <w:pPr>
        <w:pStyle w:val="BodyText"/>
      </w:pPr>
      <w:r>
        <w:t xml:space="preserve"> </w:t>
      </w:r>
    </w:p>
    <w:p>
      <w:r>
        <w:br w:type="page"/>
      </w:r>
    </w:p>
    <w:bookmarkEnd w:id="269"/>
    <w:bookmarkStart w:id="270" w:name="tri-terminology"/>
    <w:p>
      <w:pPr>
        <w:pStyle w:val="Heading3"/>
      </w:pPr>
      <w:r>
        <w:t xml:space="preserve">Terminology</w:t>
      </w:r>
    </w:p>
    <w:p>
      <w:pPr>
        <w:pStyle w:val="FirstParagraph"/>
      </w:pPr>
      <w:r>
        <w:rPr>
          <w:bCs/>
          <w:b/>
        </w:rPr>
        <w:t xml:space="preserve">Different types of triangulation</w:t>
      </w:r>
    </w:p>
    <w:p>
      <w:pPr>
        <w:pStyle w:val="BodyText"/>
      </w:pPr>
      <w:r>
        <w:t xml:space="preserve">Triangulation exercises can be characterised as either qualitative or quantitative.</w:t>
      </w:r>
    </w:p>
    <w:p>
      <w:pPr>
        <w:pStyle w:val="BodyText"/>
      </w:pPr>
      <w:r>
        <w:rPr>
          <w:iCs/>
          <w:i/>
        </w:rPr>
        <w:t xml:space="preserve">Qualitative</w:t>
      </w:r>
      <w:r>
        <w:t xml:space="preserve"> </w:t>
      </w:r>
      <w:r>
        <w:t xml:space="preserve">triangulation is describing the different results. It regularly appears though not under that name, in the discussion of results section under the name</w:t>
      </w:r>
      <w:r>
        <w:t xml:space="preserve"> </w:t>
      </w:r>
      <w:r>
        <w:t xml:space="preserve">“</w:t>
      </w:r>
      <w:r>
        <w:t xml:space="preserve">comparison with other literature</w:t>
      </w:r>
      <w:r>
        <w:t xml:space="preserve">”</w:t>
      </w:r>
      <w:r>
        <w:t xml:space="preserve">.</w:t>
      </w:r>
    </w:p>
    <w:p>
      <w:pPr>
        <w:pStyle w:val="BodyText"/>
      </w:pPr>
      <w:r>
        <w:t xml:space="preserve">In contrast,</w:t>
      </w:r>
      <w:r>
        <w:t xml:space="preserve"> </w:t>
      </w:r>
      <w:r>
        <w:rPr>
          <w:iCs/>
          <w:i/>
        </w:rPr>
        <w:t xml:space="preserve">quantitative triangulation</w:t>
      </w:r>
      <w:r>
        <w:t xml:space="preserve"> </w:t>
      </w:r>
      <w:r>
        <w:t xml:space="preserve">attempts to obtain a overall numerical result by synthesising the different types of evidence. This method is in its infancy, given important methodological challenges that are illustrated in this Chapter.</w:t>
      </w:r>
    </w:p>
    <w:p>
      <w:pPr>
        <w:pStyle w:val="BodyText"/>
      </w:pPr>
      <w:r>
        <w:t xml:space="preserve">Both</w:t>
      </w:r>
    </w:p>
    <w:p>
      <w:pPr>
        <w:pStyle w:val="BodyText"/>
      </w:pPr>
      <w:r>
        <w:t xml:space="preserve">Bias (or internal bias) in the result is defined as systematic deviation from result the</w:t>
      </w:r>
      <w:r>
        <w:t xml:space="preserve"> </w:t>
      </w:r>
      <w:r>
        <w:t xml:space="preserve">“</w:t>
      </w:r>
      <w:r>
        <w:t xml:space="preserve">idealised</w:t>
      </w:r>
      <w:r>
        <w:t xml:space="preserve">”</w:t>
      </w:r>
      <w:r>
        <w:t xml:space="preserve"> </w:t>
      </w:r>
      <w:r>
        <w:t xml:space="preserve">version of the study (that is, )</w:t>
      </w:r>
    </w:p>
    <w:p>
      <w:pPr>
        <w:pStyle w:val="BodyText"/>
      </w:pPr>
      <w:r>
        <w:t xml:space="preserve">In contrast, the indirectness of the result (also called generalisability or applicability) is defined here as the discrepancy between the research question addressed by the</w:t>
      </w:r>
      <w:r>
        <w:t xml:space="preserve"> </w:t>
      </w:r>
      <w:r>
        <w:t xml:space="preserve">“</w:t>
      </w:r>
      <w:r>
        <w:t xml:space="preserve">idealised</w:t>
      </w:r>
      <w:r>
        <w:t xml:space="preserve">”</w:t>
      </w:r>
      <w:r>
        <w:t xml:space="preserve"> </w:t>
      </w:r>
      <w:r>
        <w:t xml:space="preserve">study and the causal question of interest. Problems with indirectness can be arise from differences in population, intervention/exposure, outcomes and</w:t>
      </w:r>
    </w:p>
    <w:p>
      <w:pPr>
        <w:pStyle w:val="BodyText"/>
      </w:pPr>
      <w:r>
        <w:t xml:space="preserve">Of note, the original method employed in this chapter refers indirectness as</w:t>
      </w:r>
      <w:r>
        <w:t xml:space="preserve"> </w:t>
      </w:r>
      <w:r>
        <w:t xml:space="preserve">“</w:t>
      </w:r>
      <w:r>
        <w:t xml:space="preserve">external bias</w:t>
      </w:r>
      <w:r>
        <w:t xml:space="preserve">”</w:t>
      </w:r>
      <w:r>
        <w:t xml:space="preserve"> </w:t>
      </w:r>
      <w:r>
        <w:t xml:space="preserve">- however. This distinction is important, as bias and indirectness describe two different issues, and referring to both as bias</w:t>
      </w:r>
    </w:p>
    <w:p>
      <w:pPr>
        <w:pStyle w:val="BodyText"/>
      </w:pPr>
      <w:r>
        <w:t xml:space="preserve">In addition, indirectness is the widely used term, including by widely-adopted methods such as the GRADE framework.</w:t>
      </w:r>
      <w:hyperlink w:anchor="ref-guyatt2011">
        <w:r>
          <w:rPr>
            <w:rStyle w:val="Hyperlink"/>
            <w:vertAlign w:val="superscript"/>
          </w:rPr>
          <w:t xml:space="preserve">310</w:t>
        </w:r>
      </w:hyperlink>
    </w:p>
    <w:p>
      <w:pPr>
        <w:pStyle w:val="BodyText"/>
      </w:pPr>
      <w:r>
        <w:rPr>
          <w:bCs/>
          <w:b/>
        </w:rPr>
        <w:t xml:space="preserve">Additive vs proportional effects</w:t>
      </w:r>
    </w:p>
    <w:p>
      <w:pPr>
        <w:pStyle w:val="BodyText"/>
      </w:pPr>
      <w:r>
        <w:t xml:space="preserve">The effects of both bias and indirectness can be either additive or propotional.</w:t>
      </w:r>
    </w:p>
    <w:p>
      <w:pPr>
        <w:pStyle w:val="BodyText"/>
      </w:pPr>
      <w:r>
        <w:t xml:space="preserve">Additive bias/indirectness is</w:t>
      </w:r>
    </w:p>
    <w:p>
      <w:pPr>
        <w:pStyle w:val="BodyText"/>
      </w:pPr>
      <w:r>
        <w:t xml:space="preserve">Both bias and indirectness can be defined as additive or propotional. Additive bias/indirectness is that which can shift the p</w:t>
      </w:r>
    </w:p>
    <w:p>
      <w:pPr>
        <w:pStyle w:val="BodyText"/>
      </w:pPr>
      <w:r>
        <w:t xml:space="preserve"> </w:t>
      </w:r>
    </w:p>
    <w:p>
      <w:r>
        <w:br w:type="page"/>
      </w:r>
    </w:p>
    <w:bookmarkEnd w:id="270"/>
    <w:bookmarkEnd w:id="271"/>
    <w:bookmarkStart w:id="283" w:name="methods-3"/>
    <w:p>
      <w:pPr>
        <w:pStyle w:val="Heading2"/>
      </w:pPr>
      <w:r>
        <w:t xml:space="preserve">Methods</w:t>
      </w:r>
    </w:p>
    <w:bookmarkStart w:id="272" w:name="tri-data-sources"/>
    <w:p>
      <w:pPr>
        <w:pStyle w:val="Heading3"/>
      </w:pPr>
      <w:r>
        <w:t xml:space="preserve">Data sources</w:t>
      </w:r>
    </w:p>
    <w:p>
      <w:pPr>
        <w:pStyle w:val="FirstParagraph"/>
      </w:pPr>
      <w:r>
        <w:t xml:space="preserve">As outlined in the thesis overview presented in Section</w:t>
      </w:r>
      <w:r>
        <w:t xml:space="preserve"> </w:t>
      </w:r>
      <w:r>
        <w:t xml:space="preserve">1.7</w:t>
      </w:r>
      <w:r>
        <w:t xml:space="preserve">, this triangulation exercise draws on the research produced in each of the preceding chapters. More specifically, this chapter builds on the comprehensive systematic review presented in chapter @re(sys-rev-heading), and incorporates the results of the analyses presented in Chapters</w:t>
      </w:r>
      <w:r>
        <w:t xml:space="preserve"> </w:t>
      </w:r>
      <w:r>
        <w:t xml:space="preserve">??</w:t>
      </w:r>
      <w:r>
        <w:t xml:space="preserve"> </w:t>
      </w:r>
      <w:r>
        <w:t xml:space="preserve">(assocation of statins with dementia outcomes in the CPRD) &amp;</w:t>
      </w:r>
      <w:r>
        <w:t xml:space="preserve"> </w:t>
      </w:r>
      <w:r>
        <w:t xml:space="preserve">6</w:t>
      </w:r>
      <w:r>
        <w:t xml:space="preserve"> </w:t>
      </w:r>
      <w:r>
        <w:t xml:space="preserve">(association of lipids with dementia outcomes in IPD).</w:t>
      </w:r>
    </w:p>
    <w:p>
      <w:pPr>
        <w:pStyle w:val="BodyText"/>
      </w:pPr>
      <w:r>
        <w:t xml:space="preserve">Table</w:t>
      </w:r>
      <w:r>
        <w:t xml:space="preserve"> </w:t>
      </w:r>
      <w:r>
        <w:t xml:space="preserve">19</w:t>
      </w:r>
      <w:r>
        <w:t xml:space="preserve"> </w:t>
      </w:r>
      <w:r>
        <w:t xml:space="preserve">illustrates the causal question each approach has attempted to address, along with the exposures and outcomes for each.</w:t>
      </w:r>
    </w:p>
    <w:p>
      <w:pPr>
        <w:pStyle w:val="BodyText"/>
      </w:pPr>
      <w:r>
        <w:t xml:space="preserve">Table 19: Summary of studies included in this thesis, and used as evidence sources in the triangulation exercise. Note, Chapter</w:t>
      </w:r>
      <w:r>
        <w:t xml:space="preserve"> </w:t>
      </w:r>
      <w:r>
        <w:t xml:space="preserve">2</w:t>
      </w:r>
      <w:r>
        <w:t xml:space="preserve"> </w:t>
      </w:r>
      <w:r>
        <w:t xml:space="preserve">is intentionally not included in this table, as it describes a tool rather than a research study.</w:t>
      </w:r>
    </w:p>
    <w:p>
      <w:pPr>
        <w:pStyle w:val="BodyText"/>
      </w:pPr>
      <w:r>
        <w:t xml:space="preserve">Chapter</w:t>
      </w:r>
    </w:p>
    <w:p>
      <w:pPr>
        <w:pStyle w:val="BodyText"/>
      </w:pPr>
      <w:r>
        <w:t xml:space="preserve">Research Question</w:t>
      </w:r>
    </w:p>
    <w:p>
      <w:pPr>
        <w:pStyle w:val="BodyText"/>
      </w:pPr>
      <w:r>
        <w:t xml:space="preserve">Exposure/ Intervention</w:t>
      </w:r>
    </w:p>
    <w:p>
      <w:pPr>
        <w:pStyle w:val="BodyText"/>
      </w:pPr>
      <w:r>
        <w:t xml:space="preserve">Outcome</w:t>
      </w:r>
    </w:p>
    <w:p>
      <w:pPr>
        <w:pStyle w:val="BodyText"/>
      </w:pPr>
      <w:r>
        <w:t xml:space="preserve">Contibution to evidence synthesis framework</w:t>
      </w:r>
    </w:p>
    <w:p>
      <w:pPr>
        <w:pStyle w:val="BodyText"/>
      </w:pPr>
      <w:r>
        <w:t xml:space="preserve">Chapter 3/4</w:t>
      </w:r>
    </w:p>
    <w:p>
      <w:pPr>
        <w:pStyle w:val="BodyTex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p>
      <w:pPr>
        <w:pStyle w:val="BodyText"/>
      </w:pPr>
      <w:r>
        <w:t xml:space="preserve">Lipids (HDL-c, LDL-c, TC, TG),</w:t>
      </w:r>
      <w:r>
        <w:t xml:space="preserve"> </w:t>
      </w:r>
      <w:r>
        <w:t xml:space="preserve">Lipid regulating agents (statins, ezetimibe, fibrates, etc.)</w:t>
      </w:r>
    </w:p>
    <w:p>
      <w:pPr>
        <w:pStyle w:val="BodyText"/>
      </w:pPr>
      <w:r>
        <w:t xml:space="preserve">Dementia, stratified by subtype</w:t>
      </w:r>
    </w:p>
    <w:p>
      <w:pPr>
        <w:pStyle w:val="BodyText"/>
      </w:pPr>
      <w:r>
        <w:t xml:space="preserve">Provides overview of existing evidence</w:t>
      </w:r>
    </w:p>
    <w:p>
      <w:pPr>
        <w:pStyle w:val="BodyText"/>
      </w:pPr>
      <w:r>
        <w:t xml:space="preserve">Chapter 5</w:t>
      </w:r>
    </w:p>
    <w:p>
      <w:pPr>
        <w:pStyle w:val="BodyText"/>
      </w:pPr>
      <w:r>
        <w:t xml:space="preserve">Are lipid regulating agents associated with dementia risk in a large scale electonic health record database?</w:t>
      </w:r>
      <w:r>
        <w:t xml:space="preserve"> </w:t>
      </w:r>
    </w:p>
    <w:p>
      <w:pPr>
        <w:pStyle w:val="BodyText"/>
      </w:pPr>
      <w:r>
        <w:t xml:space="preserve">Seven classes of lipid regulating agents</w:t>
      </w:r>
    </w:p>
    <w:p>
      <w:pPr>
        <w:pStyle w:val="BodyText"/>
      </w:pPr>
      <w:r>
        <w:t xml:space="preserve">Dementia, stratified by subtype</w:t>
      </w:r>
    </w:p>
    <w:p>
      <w:pPr>
        <w:pStyle w:val="BodyTex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p>
      <w:pPr>
        <w:pStyle w:val="BodyText"/>
      </w:pPr>
      <w:r>
        <w:t xml:space="preserve">Chapter 6</w:t>
      </w:r>
    </w:p>
    <w:p>
      <w:pPr>
        <w:pStyle w:val="BodyText"/>
      </w:pPr>
      <w:r>
        <w:t xml:space="preserve">Are lipid levels associated with dementia risk in an individual participant data meta-analysis?</w:t>
      </w:r>
      <w:r>
        <w:t xml:space="preserve"> </w:t>
      </w:r>
    </w:p>
    <w:p>
      <w:pPr>
        <w:pStyle w:val="BodyText"/>
      </w:pPr>
      <w:r>
        <w:t xml:space="preserve">Lipids (HDL-c, LDL-c, TC, TG)</w:t>
      </w:r>
    </w:p>
    <w:p>
      <w:pPr>
        <w:pStyle w:val="BodyText"/>
      </w:pPr>
      <w:r>
        <w:t xml:space="preserve">Dementia, stratified by subtype</w:t>
      </w:r>
    </w:p>
    <w:p>
      <w:pPr>
        <w:pStyle w:val="BodyText"/>
      </w:pPr>
      <w:r>
        <w:t xml:space="preserve">Provides additional evidence from unanalysed datasets</w:t>
      </w:r>
      <w:r>
        <w:t xml:space="preserve"> </w:t>
      </w:r>
      <w:r>
        <w:t xml:space="preserve">Allows for stratification of effect by variables of interest (e.g. sex)</w:t>
      </w:r>
    </w:p>
    <w:bookmarkEnd w:id="272"/>
    <w:bookmarkStart w:id="273" w:name="qualitative-triangulation"/>
    <w:p>
      <w:pPr>
        <w:pStyle w:val="Heading3"/>
      </w:pPr>
      <w:r>
        <w:t xml:space="preserve">Qualitative triangulation</w:t>
      </w:r>
    </w:p>
    <w:p>
      <w:pPr>
        <w:pStyle w:val="FirstParagraph"/>
      </w:pPr>
      <w:r>
        <w:t xml:space="preserve">As a first step to triangulating the available evidence, all information sources were grouped by outcome, and systematically compared and contrasted. Potential reasons for heterogeneity between study designs were examined with specific reference to the risk-of-bias assessments performed.</w:t>
      </w:r>
    </w:p>
    <w:p>
      <w:pPr>
        <w:pStyle w:val="BodyText"/>
      </w:pPr>
      <w:r>
        <w:t xml:space="preserve">This analysis built on the detailed risk of bias assessments performed and presented as part of the systematic review (Chapter @ref()/@ref()). Similarly, risk-of-bias assessments were performed for each new source of evidence presented in this thesis, details of which are available in Appendix @ref(?).</w:t>
      </w:r>
    </w:p>
    <w:p>
      <w:pPr>
        <w:pStyle w:val="BodyText"/>
      </w:pPr>
      <w:r>
        <w:t xml:space="preserve"> </w:t>
      </w:r>
    </w:p>
    <w:bookmarkEnd w:id="273"/>
    <w:bookmarkStart w:id="282" w:name="quantitative-triangulation"/>
    <w:p>
      <w:pPr>
        <w:pStyle w:val="Heading3"/>
      </w:pPr>
      <w:r>
        <w:t xml:space="preserve">Quantitative triangulation</w:t>
      </w:r>
    </w:p>
    <w:p>
      <w:pPr>
        <w:pStyle w:val="FirstParagraph"/>
      </w:pPr>
      <w:r>
        <w:t xml:space="preserve">In addition to the qualitative discussion of evidence, I attempted to integrate the numerical results of the multiple approaches. This proof-of-concept approach incorporated advancements in the way that bias in results is assessed (domain-based assessment tools) and existing methods for bias-adjusted meta-analysis</w:t>
      </w:r>
      <w:hyperlink w:anchor="ref-turner2009">
        <w:r>
          <w:rPr>
            <w:rStyle w:val="Hyperlink"/>
            <w:vertAlign w:val="superscript"/>
          </w:rPr>
          <w:t xml:space="preserve">311</w:t>
        </w:r>
      </w:hyperlink>
      <w:r>
        <w:t xml:space="preserve"> </w:t>
      </w:r>
      <w:r>
        <w:t xml:space="preserve">to to illustrate how causal questions could be addressed under this quantitative triangulation framework.</w:t>
      </w:r>
    </w:p>
    <w:p>
      <w:pPr>
        <w:pStyle w:val="BodyText"/>
      </w:pPr>
      <w:r>
        <w:t xml:space="preserve">Several steps were used to accomplish this approach, as described in the following sections. In summary these steps are:</w:t>
      </w:r>
    </w:p>
    <w:p>
      <w:pPr>
        <w:numPr>
          <w:ilvl w:val="0"/>
          <w:numId w:val="1011"/>
        </w:numPr>
        <w:pStyle w:val="Compact"/>
      </w:pPr>
      <w:r>
        <w:t xml:space="preserve">Define the causal question of interest</w:t>
      </w:r>
    </w:p>
    <w:p>
      <w:pPr>
        <w:numPr>
          <w:ilvl w:val="0"/>
          <w:numId w:val="1011"/>
        </w:numPr>
        <w:pStyle w:val="Compact"/>
      </w:pPr>
      <w:r>
        <w:t xml:space="preserve">Identify of relevant evidence sources</w:t>
      </w:r>
    </w:p>
    <w:p>
      <w:pPr>
        <w:numPr>
          <w:ilvl w:val="0"/>
          <w:numId w:val="1011"/>
        </w:numPr>
        <w:pStyle w:val="Compact"/>
      </w:pPr>
      <w:r>
        <w:t xml:space="preserve">Assess(and visualise) the extent and direction of bias in each result</w:t>
      </w:r>
    </w:p>
    <w:p>
      <w:pPr>
        <w:numPr>
          <w:ilvl w:val="0"/>
          <w:numId w:val="1011"/>
        </w:numPr>
        <w:pStyle w:val="Compact"/>
      </w:pPr>
      <w:r>
        <w:t xml:space="preserve">Define modifying terms for bias and indirectness in each result</w:t>
      </w:r>
    </w:p>
    <w:p>
      <w:pPr>
        <w:numPr>
          <w:ilvl w:val="0"/>
          <w:numId w:val="1011"/>
        </w:numPr>
        <w:pStyle w:val="Compact"/>
      </w:pPr>
      <w:r>
        <w:t xml:space="preserve">Perform bias-adjusted meta-analysis using bias-adjusted results</w:t>
      </w:r>
    </w:p>
    <w:p>
      <w:pPr>
        <w:pStyle w:val="FirstParagraph"/>
      </w:pPr>
      <w:r>
        <w:t xml:space="preserve">The approach was implemented for two causal questions of interest, as defined below.</w:t>
      </w:r>
    </w:p>
    <w:p>
      <w:pPr>
        <w:pStyle w:val="BodyText"/>
      </w:pPr>
      <w:r>
        <w:t xml:space="preserve"> </w:t>
      </w:r>
    </w:p>
    <w:bookmarkStart w:id="274" w:name="Xbf1cd1ab4deda7fa53d92992e4b9113c65dbf8e"/>
    <w:p>
      <w:pPr>
        <w:pStyle w:val="Heading4"/>
      </w:pPr>
      <w:r>
        <w:t xml:space="preserve">Definition of the causal questions of interest (case-studies)</w:t>
      </w:r>
    </w:p>
    <w:p>
      <w:pPr>
        <w:pStyle w:val="FirstParagraph"/>
      </w:pPr>
      <w:r>
        <w:t xml:space="preserve">This was also guided by the forthcoming ROBINS-E tool, which has</w:t>
      </w:r>
    </w:p>
    <w:p>
      <w:pPr>
        <w:numPr>
          <w:ilvl w:val="0"/>
          <w:numId w:val="1012"/>
        </w:numPr>
        <w:pStyle w:val="Compact"/>
      </w:pPr>
      <w:r>
        <w:t xml:space="preserve">Effect of average exposure to LDL-c during midlife on AD</w:t>
      </w:r>
    </w:p>
    <w:p>
      <w:pPr>
        <w:numPr>
          <w:ilvl w:val="0"/>
          <w:numId w:val="1012"/>
        </w:numPr>
        <w:pStyle w:val="Compact"/>
      </w:pPr>
      <w:r>
        <w:t xml:space="preserve">Effect of late-life LDL-c on all-cause dementia</w:t>
      </w:r>
    </w:p>
    <w:p>
      <w:pPr>
        <w:pStyle w:val="FirstParagraph"/>
      </w:pPr>
      <w:r>
        <w:t xml:space="preserve"> </w:t>
      </w:r>
    </w:p>
    <w:p>
      <w:pPr>
        <w:pStyle w:val="BodyText"/>
      </w:pPr>
      <w:r>
        <w:t xml:space="preserve"> </w:t>
      </w:r>
    </w:p>
    <w:bookmarkEnd w:id="274"/>
    <w:bookmarkStart w:id="275" w:name="identify-relevant-studies"/>
    <w:p>
      <w:pPr>
        <w:pStyle w:val="Heading4"/>
      </w:pPr>
      <w:r>
        <w:t xml:space="preserve">Identify relevant studies</w:t>
      </w:r>
    </w:p>
    <w:p>
      <w:pPr>
        <w:pStyle w:val="FirstParagraph"/>
      </w:pPr>
      <w:r>
        <w:t xml:space="preserve">Once the causal question of interest had been defined, studies related to it were</w:t>
      </w:r>
    </w:p>
    <w:p>
      <w:pPr>
        <w:pStyle w:val="BodyText"/>
      </w:pPr>
      <w:r>
        <w:t xml:space="preserve">individual results were obtained from the general evidence sources described in Section</w:t>
      </w:r>
      <w:r>
        <w:t xml:space="preserve"> </w:t>
      </w:r>
      <w:r>
        <w:t xml:space="preserve">7.3.1</w:t>
      </w:r>
    </w:p>
    <w:p>
      <w:pPr>
        <w:pStyle w:val="BodyText"/>
      </w:pPr>
      <w:r>
        <w:t xml:space="preserve">In order to illustrate the bias-/indirectness adjustment process detailed in the subsequent sections, the process for calculating the adjusted estimate for a single study is described in detail for a single study. Following this, the process was applied to the two subsets of studies related to the causal questions of interest.</w:t>
      </w:r>
    </w:p>
    <w:p>
      <w:pPr>
        <w:pStyle w:val="BodyText"/>
      </w:pPr>
      <w:r>
        <w:t xml:space="preserve"> </w:t>
      </w:r>
    </w:p>
    <w:bookmarkEnd w:id="275"/>
    <w:bookmarkStart w:id="276" w:name="X9a324d01978004b306d2eef148ccb0b15bb4bcc"/>
    <w:p>
      <w:pPr>
        <w:pStyle w:val="Heading4"/>
      </w:pPr>
      <w:r>
        <w:t xml:space="preserve">Assess risk and direction of bias in each result</w:t>
      </w:r>
    </w:p>
    <w:p>
      <w:pPr>
        <w:pStyle w:val="FirstParagraph"/>
      </w:pPr>
      <w:r>
        <w:t xml:space="preserve">The risk of bias tools used to assess each result are described in detail in Section</w:t>
      </w:r>
      <w:r>
        <w:t xml:space="preserve"> </w:t>
      </w:r>
      <w:r>
        <w:t xml:space="preserve">3.3.7</w:t>
      </w:r>
      <w:r>
        <w:t xml:space="preserve">. In summary, randomized controlled trials were assessed using the RoB 2 tool;</w:t>
      </w:r>
      <w:hyperlink w:anchor="ref-sterne2019">
        <w:r>
          <w:rPr>
            <w:rStyle w:val="Hyperlink"/>
            <w:vertAlign w:val="superscript"/>
          </w:rPr>
          <w:t xml:space="preserve">143</w:t>
        </w:r>
      </w:hyperlink>
      <w:r>
        <w:t xml:space="preserve"> </w:t>
      </w:r>
      <w:r>
        <w:t xml:space="preserve">non-randomised studies of interventions (NRSI), were assessed using the ROBINS-I tool;</w:t>
      </w:r>
      <w:hyperlink w:anchor="ref-sterne2016">
        <w:r>
          <w:rPr>
            <w:rStyle w:val="Hyperlink"/>
            <w:vertAlign w:val="superscript"/>
          </w:rPr>
          <w:t xml:space="preserve">140</w:t>
        </w:r>
      </w:hyperlink>
    </w:p>
    <w:p>
      <w:pPr>
        <w:pStyle w:val="BodyText"/>
      </w:pPr>
      <w:r>
        <w:t xml:space="preserve">For the sake of consistency, I mapped the different acceptable judgements in each risk-of-bias tool to a harmonised set of judgements:</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w:t>
      </w:r>
      <w:r>
        <w:t xml:space="preserve">High</w:t>
      </w:r>
      <w:r>
        <w:t xml:space="preserve">”</w:t>
      </w:r>
      <w:r>
        <w:t xml:space="preserve">. The exact mapping can be seen in Table</w:t>
      </w:r>
      <w:r>
        <w:t xml:space="preserve"> </w:t>
      </w:r>
      <w:r>
        <w:t xml:space="preserve">20</w:t>
      </w:r>
      <w:r>
        <w:t xml:space="preserve">. Of note, no mapping was performed for the critical risk-of-bias levels present in the tools for non-randomised studies. This is because current best practice in evidence synthesis is to exclude all studies at critical risk of bias for further quantitative synthesis.</w:t>
      </w:r>
      <w:r>
        <w:t xml:space="preserve"> </w:t>
      </w:r>
    </w:p>
    <w:p>
      <w:pPr>
        <w:pStyle w:val="BodyText"/>
      </w:pPr>
      <w:r>
        <w:t xml:space="preserve"> </w:t>
      </w:r>
    </w:p>
    <w:p>
      <w:pPr>
        <w:pStyle w:val="TableCaption"/>
      </w:pPr>
      <w:r>
        <w:t xml:space="preserve">Table 20:</w:t>
      </w:r>
      <w:r>
        <w:t xml:space="preserve"> </w:t>
      </w:r>
      <w:bookmarkStart w:id="968d646e-58cc-409d-8940-078b3408075b" w:name="tab:robLevelsMapping-table"/>
      <w:r>
        <w:t xml:space="preserve">robLevelsMapping</w:t>
      </w:r>
      <w:bookmarkEnd w:id="968d646e-58cc-409d-8940-078b3408075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Harmonised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RoB2</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ROBINS-I / ROBINS-E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MR</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Low</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Some concerns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Moderate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Serious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Critical</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bl>
    <w:p>
      <w:pPr>
        <w:pStyle w:val="BodyText"/>
      </w:pPr>
      <w:r>
        <w:t xml:space="preserve"> </w:t>
      </w:r>
    </w:p>
    <w:p>
      <w:pPr>
        <w:pStyle w:val="BodyText"/>
      </w:pPr>
      <w:r>
        <w:t xml:space="preserve">In addition to assessing the extent of bias in each domain, as defined by the three levels detailed above, I attempted to records the direction of the bias, so that it could feed into the triangulation.</w:t>
      </w:r>
    </w:p>
    <w:p>
      <w:pPr>
        <w:pStyle w:val="BodyText"/>
      </w:pPr>
      <w:r>
        <w:t xml:space="preserve">This was achieved via an additional question at the end of each bias domain, which asked assessors to predict the expected direction of bias in that domain. Note that this question is only apply to existing tools (ROB2/ROBINS-I/ROBINS-E), but I employed an identical approach during assessment of Mendelian randomisation studies. This optional question response were:</w:t>
      </w:r>
    </w:p>
    <w:p>
      <w:pPr>
        <w:numPr>
          <w:ilvl w:val="0"/>
          <w:numId w:val="1013"/>
        </w:numPr>
        <w:pStyle w:val="Compact"/>
      </w:pP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(additive bias)</w:t>
      </w:r>
    </w:p>
    <w:p>
      <w:pPr>
        <w:numPr>
          <w:ilvl w:val="0"/>
          <w:numId w:val="1013"/>
        </w:numPr>
        <w:pStyle w:val="Compact"/>
      </w:pPr>
      <w:r>
        <w:t xml:space="preserve">“</w:t>
      </w:r>
      <w:r>
        <w:t xml:space="preserve">Towards null</w:t>
      </w:r>
      <w:r>
        <w:t xml:space="preserve">”</w:t>
      </w:r>
      <w:r>
        <w:t xml:space="preserve">/</w:t>
      </w:r>
      <w:r>
        <w:t xml:space="preserve">“</w:t>
      </w:r>
      <w:r>
        <w:t xml:space="preserve">Away from null</w:t>
      </w:r>
      <w:r>
        <w:t xml:space="preserve">”</w:t>
      </w:r>
      <w:r>
        <w:t xml:space="preserve"> </w:t>
      </w:r>
      <w:r>
        <w:t xml:space="preserve">(proportional bias)</w:t>
      </w:r>
    </w:p>
    <w:p>
      <w:pPr>
        <w:numPr>
          <w:ilvl w:val="0"/>
          <w:numId w:val="1013"/>
        </w:numPr>
        <w:pStyle w:val="Compact"/>
      </w:pPr>
      <w:r>
        <w:t xml:space="preserve">“</w:t>
      </w:r>
      <w:r>
        <w:t xml:space="preserve">Unpredictable</w:t>
      </w:r>
      <w:r>
        <w:t xml:space="preserve">”</w:t>
      </w:r>
    </w:p>
    <w:p>
      <w:pPr>
        <w:pStyle w:val="FirstParagraph"/>
      </w:pPr>
      <w:r>
        <w:t xml:space="preserve">As indicated in the options above, the response t this prompt is used both to define the direction and type (additive or proportional) of bias (see ).</w:t>
      </w:r>
    </w:p>
    <w:p>
      <w:pPr>
        <w:pStyle w:val="BodyText"/>
      </w:pPr>
      <w:r>
        <w:t xml:space="preserve">Additive biases (identified by a</w:t>
      </w:r>
      <w:r>
        <w:t xml:space="preserve"> </w:t>
      </w:r>
      <w:r>
        <w:t xml:space="preserve">“</w:t>
      </w:r>
      <w:r>
        <w:t xml:space="preserve">Favours experimental</w:t>
      </w:r>
      <w:r>
        <w:t xml:space="preserve">”</w:t>
      </w:r>
      <w:r>
        <w:t xml:space="preserve">/</w:t>
      </w:r>
      <w:r>
        <w:t xml:space="preserve">“</w:t>
      </w:r>
      <w:r>
        <w:t xml:space="preserve">Favours comparator</w:t>
      </w:r>
      <w:r>
        <w:t xml:space="preserve">”</w:t>
      </w:r>
      <w:r>
        <w:t xml:space="preserve"> </w:t>
      </w:r>
      <w:r>
        <w:t xml:space="preserve">response) are XXXX. A key example of additive bias is immortal time bias, which will always favour the intervention.</w:t>
      </w:r>
    </w:p>
    <w:p>
      <w:pPr>
        <w:pStyle w:val="BodyText"/>
      </w:pPr>
      <w:r>
        <w:t xml:space="preserve">Proportional biases (identified by a</w:t>
      </w:r>
      <w:r>
        <w:t xml:space="preserve"> </w:t>
      </w:r>
      <w:r>
        <w:t xml:space="preserve">“</w:t>
      </w:r>
      <w:r>
        <w:t xml:space="preserve">Towards null</w:t>
      </w:r>
      <w:r>
        <w:t xml:space="preserve">”</w:t>
      </w:r>
      <w:r>
        <w:t xml:space="preserve">/</w:t>
      </w:r>
      <w:r>
        <w:t xml:space="preserve">“</w:t>
      </w:r>
      <w:r>
        <w:t xml:space="preserve">Away from null</w:t>
      </w:r>
      <w:r>
        <w:t xml:space="preserve">”</w:t>
      </w:r>
      <w:r>
        <w:t xml:space="preserve"> </w:t>
      </w:r>
      <w:r>
        <w:t xml:space="preserve">response) are those related to the magnitude of the effect. A key example of this type of bias is non-differential misclassification bias, which will bias the effect estimate towards the null.</w:t>
      </w:r>
    </w:p>
    <w:p>
      <w:pPr>
        <w:pStyle w:val="BodyText"/>
      </w:pPr>
      <w:r>
        <w:t xml:space="preserve">When predicting the direction of effect</w:t>
      </w:r>
    </w:p>
    <w:p>
      <w:pPr>
        <w:pStyle w:val="BodyText"/>
      </w:pPr>
      <w:r>
        <w:t xml:space="preserve">From these response the direction of effect was calculated. For additive biases, this was simply a case of shifting the effect estimate to the left or right. For proportional biases, decide</w:t>
      </w:r>
    </w:p>
    <w:p>
      <w:pPr>
        <w:pStyle w:val="BodyText"/>
      </w:pPr>
      <w:r>
        <w:t xml:space="preserve">For example, the direction of the bias when the direction of bias is thought to favour the intervention/exposure will be be same regardless of the position of the point estimate. The same is not true for the</w:t>
      </w:r>
      <w:r>
        <w:t xml:space="preserve"> </w:t>
      </w:r>
      <w:r>
        <w:t xml:space="preserve">“</w:t>
      </w:r>
      <w:r>
        <w:t xml:space="preserve">Towards the null</w:t>
      </w:r>
      <w:r>
        <w:t xml:space="preserve">”</w:t>
      </w:r>
      <w:r>
        <w:t xml:space="preserve">/</w:t>
      </w:r>
      <w:r>
        <w:t xml:space="preserve">“</w:t>
      </w:r>
      <w:r>
        <w:t xml:space="preserve">Away from the null</w:t>
      </w:r>
      <w:r>
        <w:t xml:space="preserve">”</w:t>
      </w:r>
      <w:r>
        <w:t xml:space="preserve"> </w:t>
      </w:r>
      <w:r>
        <w:t xml:space="preserve">options.</w:t>
      </w:r>
    </w:p>
    <w:p>
      <w:pPr>
        <w:pStyle w:val="BodyText"/>
      </w:pPr>
      <w:r>
        <w:t xml:space="preserve">For example, if the effect estimate represents a protective effect (below the null), then bias towards the null would be represented by a right pointing arrow (Figure</w:t>
      </w:r>
      <w:r>
        <w:t xml:space="preserve"> </w:t>
      </w:r>
      <w:r>
        <w:t xml:space="preserve">??</w:t>
      </w:r>
      <w:r>
        <w:t xml:space="preserve">). In contrast, if the effect of the intervention is harmful (effect estimate above the null), bias towards the null will be represented by a right-pointing arrow. The program to create these figures thus requires knowledge of both the predicted direction of bias and the effect estimate.</w:t>
      </w:r>
    </w:p>
    <w:p>
      <w:pPr>
        <w:pStyle w:val="BodyText"/>
      </w:pPr>
      <w:r>
        <w:t xml:space="preserve">However,</w:t>
      </w:r>
    </w:p>
    <w:p>
      <w:pPr>
        <w:pStyle w:val="BodyText"/>
      </w:pPr>
      <w:r>
        <w:t xml:space="preserve">S</w:t>
      </w:r>
    </w:p>
    <w:p>
      <w:pPr>
        <w:pStyle w:val="BodyText"/>
      </w:pPr>
      <w:r>
        <w:t xml:space="preserve">Highlight that this is slightly different for the confounding domain in non-randomised studies, which only allows for the</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 and</w:t>
      </w:r>
      <w:r>
        <w:t xml:space="preserve"> </w:t>
      </w:r>
      <w:r>
        <w:t xml:space="preserve">“</w:t>
      </w:r>
      <w:r>
        <w:t xml:space="preserve">Unpredictable</w:t>
      </w:r>
      <w:r>
        <w:t xml:space="preserve">”</w:t>
      </w:r>
      <w:r>
        <w:t xml:space="preserve"> </w:t>
      </w:r>
      <w:r>
        <w:t xml:space="preserve">options.</w:t>
      </w:r>
    </w:p>
    <w:p>
      <w:pPr>
        <w:pStyle w:val="BodyText"/>
      </w:pPr>
      <w:r>
        <w:t xml:space="preserve">Of note, the guidance for the tools suggests that if assessors are not able to articulate why the bias in a given domain will</w:t>
      </w:r>
      <w:r>
        <w:t xml:space="preserve"> </w:t>
      </w:r>
      <w:r>
        <w:t xml:space="preserve">“</w:t>
      </w:r>
      <w:r>
        <w:t xml:space="preserve">pull</w:t>
      </w:r>
      <w:r>
        <w:t xml:space="preserve">”</w:t>
      </w:r>
      <w:r>
        <w:t xml:space="preserve"> </w:t>
      </w:r>
      <w:r>
        <w:t xml:space="preserve">the observed estimate in a specific direction, they should not try to guess.</w:t>
      </w:r>
    </w:p>
    <w:p>
      <w:pPr>
        <w:pStyle w:val="BodyText"/>
      </w:pPr>
      <w:r>
        <w:t xml:space="preserve">To assess the usefulness of this system, the number of domains for which bias was expected (i.e. judged to be a more than Low risk of bias) but for which no expected direction could be identified were expressed as a percentage. If this percentage is high, the helpfulness of the approach is</w:t>
      </w:r>
    </w:p>
    <w:p>
      <w:pPr>
        <w:pStyle w:val="BodyText"/>
      </w:pPr>
      <w:r>
        <w:t xml:space="preserve"> </w:t>
      </w:r>
    </w:p>
    <w:bookmarkEnd w:id="276"/>
    <w:bookmarkStart w:id="277" w:name="X1195b314c396a2a953d38d090671ff29095f74d"/>
    <w:p>
      <w:pPr>
        <w:pStyle w:val="Heading4"/>
      </w:pPr>
      <w:r>
        <w:t xml:space="preserve">Visualisation of extent and direction of bias</w:t>
      </w:r>
    </w:p>
    <w:p>
      <w:pPr>
        <w:pStyle w:val="FirstParagraph"/>
      </w:pPr>
      <w:r>
        <w:t xml:space="preserve">To aid with the triangulation exercise and to act as, I created a new method of presentation of the extent/direction bias asessment results to enable detailed comparison across different studies contributing to the synthesis. While these figures do not</w:t>
      </w:r>
    </w:p>
    <w:p>
      <w:pPr>
        <w:pStyle w:val="BodyText"/>
      </w:pPr>
      <w:r>
        <w:t xml:space="preserve">Similar to the standard paired forest plots introduced in Chapter</w:t>
      </w:r>
      <w:r>
        <w:t xml:space="preserve"> </w:t>
      </w:r>
      <w:r>
        <w:t xml:space="preserve">??</w:t>
      </w:r>
      <w:r>
        <w:t xml:space="preserve">, the level of bias across the domains in each study is reported using coloured blocks. However, in contrast to the previous plots, arrows are used in place to illustrate the predicted direction of bias in that domain, categorised as pulling towards the left or the right.</w:t>
      </w:r>
    </w:p>
    <w:p>
      <w:pPr>
        <w:pStyle w:val="BodyText"/>
      </w:pPr>
      <w:r>
        <w:t xml:space="preserve">This second aspect required some additional consideration, given the distinct and competing options available to assessors.</w:t>
      </w:r>
    </w:p>
    <w:p>
      <w:pPr>
        <w:pStyle w:val="BodyText"/>
      </w:pPr>
      <w:r>
        <w:t xml:space="preserve">Tha</w:t>
      </w:r>
    </w:p>
    <w:p>
      <w:pPr>
        <w:pStyle w:val="BodyText"/>
      </w:pPr>
      <w:r>
        <w:t xml:space="preserve">Helper functions in the forthcoming</w:t>
      </w:r>
      <w:r>
        <w:t xml:space="preserve"> </w:t>
      </w:r>
      <w:r>
        <w:rPr>
          <w:rStyle w:val="VerbatimChar"/>
        </w:rPr>
        <w:t xml:space="preserve">triangulate</w:t>
      </w:r>
      <w:r>
        <w:t xml:space="preserve"> </w:t>
      </w:r>
      <w:r>
        <w:t xml:space="preserve">package - see Appendix @ref() - help to preprocess risk of bias data for use with both bias-direction plots and adjusted meta-analyses. These bias direction plots themselves were created using the risk of bias isualisation tool described in Appendix</w:t>
      </w:r>
      <w:r>
        <w:t xml:space="preserve"> </w:t>
      </w:r>
      <w:r>
        <w:t xml:space="preserve">().</w:t>
      </w:r>
    </w:p>
    <w:p>
      <w:pPr>
        <w:pStyle w:val="BodyText"/>
      </w:pPr>
      <w:r>
        <w:t xml:space="preserve">Where the direction of bias was unclear/could not be determined from the report, this is indicated by a dash.</w:t>
      </w:r>
    </w:p>
    <w:p>
      <w:pPr>
        <w:pStyle w:val="BodyText"/>
      </w:pPr>
      <w:r>
        <w:t xml:space="preserve"> </w:t>
      </w:r>
    </w:p>
    <w:bookmarkEnd w:id="277"/>
    <w:bookmarkStart w:id="278" w:name="Xf309e4012b82e4836ce2bde824f3f232fac5ff8"/>
    <w:p>
      <w:pPr>
        <w:pStyle w:val="Heading4"/>
      </w:pPr>
      <w:r>
        <w:t xml:space="preserve">Assign modifying values to risk/direction of bias</w:t>
      </w:r>
    </w:p>
    <w:p>
      <w:pPr>
        <w:pStyle w:val="FirstParagraph"/>
      </w:pPr>
      <w:r>
        <w:t xml:space="preserve">For example, for a</w:t>
      </w:r>
      <w:r>
        <w:t xml:space="preserve"> </w:t>
      </w:r>
      <w:r>
        <w:t xml:space="preserve">“</w:t>
      </w:r>
      <w:r>
        <w:t xml:space="preserve">High</w:t>
      </w:r>
      <w:r>
        <w:t xml:space="preserve">”</w:t>
      </w:r>
      <w:r>
        <w:t xml:space="preserve"> </w:t>
      </w:r>
      <w:r>
        <w:t xml:space="preserve">additive bias in</w:t>
      </w:r>
      <w:r>
        <w:t xml:space="preserve"> </w:t>
      </w:r>
      <m:oMath>
        <m:r>
          <m:t>j</m:t>
        </m:r>
      </m:oMath>
      <w:r>
        <w:t xml:space="preserve">th domain of the</w:t>
      </w:r>
      <w:r>
        <w:t xml:space="preserve"> </w:t>
      </w:r>
      <m:oMath>
        <m:r>
          <m:t>i</m:t>
        </m:r>
      </m:oMath>
      <w:r>
        <w:t xml:space="preserve">th study is deifined as</w:t>
      </w:r>
      <w:r>
        <w:t xml:space="preserve"> </w:t>
      </w:r>
      <m:oMath>
        <m:sSubSup>
          <m:e>
            <m:r>
              <m:t>δ</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and uncertainty around this estimate is given by a distribution</w:t>
      </w:r>
    </w:p>
    <w:p>
      <w:pPr>
        <w:pStyle w:val="BodyText"/>
      </w:pPr>
      <m:oMathPara>
        <m:oMathParaPr>
          <m:jc m:val="center"/>
        </m:oMathParaPr>
        <m:oMath>
          <m:sSubSup>
            <m:e>
              <m:r>
                <m:t>δ</m:t>
              </m:r>
            </m:e>
            <m:sub>
              <m:r>
                <m:t>i</m:t>
              </m:r>
              <m:r>
                <m:rPr>
                  <m:sty m:val="p"/>
                </m:rPr>
                <m:t>,</m:t>
              </m:r>
              <m:r>
                <m:t>j</m:t>
              </m:r>
            </m:sub>
            <m:sup>
              <m:r>
                <m:rPr>
                  <m:sty m:val="p"/>
                </m:rPr>
                <m:t>H</m:t>
              </m:r>
              <m:r>
                <m:rPr>
                  <m:sty m:val="p"/>
                </m:rPr>
                <m:t>i</m:t>
              </m:r>
              <m:r>
                <m:rPr>
                  <m:sty m:val="p"/>
                </m:rPr>
                <m:t>g</m:t>
              </m:r>
              <m:r>
                <m:rPr>
                  <m:sty m:val="p"/>
                </m:rPr>
                <m:t>h</m:t>
              </m:r>
            </m:sup>
          </m:sSubSup>
          <m:r>
            <m:rPr>
              <m:sty m:val="p"/>
            </m:rPr>
            <m:t>=</m:t>
          </m:r>
          <m:r>
            <m:t>f</m:t>
          </m:r>
          <m:r>
            <m:rPr>
              <m:sty m:val="p"/>
            </m:rPr>
            <m:t>(</m:t>
          </m:r>
          <m:sSubSup>
            <m:e>
              <m:r>
                <m:t>μ</m:t>
              </m:r>
            </m:e>
            <m:sub>
              <m:r>
                <m:t>i</m:t>
              </m:r>
              <m:r>
                <m:rPr>
                  <m:sty m:val="p"/>
                </m:rPr>
                <m:t>,</m:t>
              </m:r>
              <m:r>
                <m:t>j</m:t>
              </m:r>
            </m:sub>
            <m:sup>
              <m:r>
                <m:rPr>
                  <m:sty m:val="p"/>
                </m:rPr>
                <m:t>H</m:t>
              </m:r>
              <m:r>
                <m:rPr>
                  <m:sty m:val="p"/>
                </m:rPr>
                <m:t>i</m:t>
              </m:r>
              <m:r>
                <m:rPr>
                  <m:sty m:val="p"/>
                </m:rPr>
                <m:t>g</m:t>
              </m:r>
              <m:r>
                <m:rPr>
                  <m:sty m:val="p"/>
                </m:rPr>
                <m:t>h</m:t>
              </m:r>
            </m:sup>
          </m:sSubSup>
          <m:r>
            <m:rPr>
              <m:sty m:val="p"/>
            </m:rPr>
            <m:t>,</m:t>
          </m:r>
          <m:sSubSup>
            <m:e>
              <m:r>
                <m:t>σ</m:t>
              </m:r>
            </m:e>
            <m:sub>
              <m:r>
                <m:t>i</m:t>
              </m:r>
              <m:r>
                <m:rPr>
                  <m:sty m:val="p"/>
                </m:rPr>
                <m:t>,</m:t>
              </m:r>
              <m:r>
                <m:t>j</m:t>
              </m:r>
            </m:sub>
            <m:sup>
              <m:r>
                <m:rPr>
                  <m:sty m:val="p"/>
                </m:rPr>
                <m:t>H</m:t>
              </m:r>
              <m:r>
                <m:rPr>
                  <m:sty m:val="p"/>
                </m:rPr>
                <m:t>i</m:t>
              </m:r>
              <m:r>
                <m:rPr>
                  <m:sty m:val="p"/>
                </m:rPr>
                <m:t>g</m:t>
              </m:r>
              <m:r>
                <m:rPr>
                  <m:sty m:val="p"/>
                </m:rPr>
                <m:t>h</m:t>
              </m:r>
            </m:sup>
          </m:sSubSup>
          <m:r>
            <m:rPr>
              <m:sty m:val="p"/>
            </m:rPr>
            <m:t>)</m:t>
          </m:r>
          <m:r>
            <m:t>  </m:t>
          </m:r>
          <m:r>
            <m:rPr>
              <m:sty m:val="p"/>
            </m:rPr>
            <m:t>(</m:t>
          </m:r>
          <m:r>
            <m:t>9</m:t>
          </m:r>
          <m:r>
            <m:rPr>
              <m:sty m:val="p"/>
            </m:rPr>
            <m:t>)</m:t>
          </m:r>
        </m:oMath>
      </m:oMathPara>
    </w:p>
    <w:p>
      <w:pPr>
        <w:pStyle w:val="FirstParagraph"/>
      </w:pPr>
      <w:r>
        <w:t xml:space="preserve">The sign of</w:t>
      </w:r>
      <w:r>
        <w:t xml:space="preserve"> </w:t>
      </w:r>
      <m:oMath>
        <m:sSubSup>
          <m:e>
            <m:r>
              <m:t>μ</m:t>
            </m:r>
          </m:e>
          <m:sub>
            <m:r>
              <m:t>i</m:t>
            </m:r>
            <m:r>
              <m:rPr>
                <m:sty m:val="p"/>
              </m:rPr>
              <m:t>,</m:t>
            </m:r>
            <m:r>
              <m:t>j</m:t>
            </m:r>
          </m:sub>
          <m:sup>
            <m:r>
              <m:rPr>
                <m:sty m:val="p"/>
              </m:rPr>
              <m:t>H</m:t>
            </m:r>
            <m:r>
              <m:rPr>
                <m:sty m:val="p"/>
              </m:rPr>
              <m:t>i</m:t>
            </m:r>
            <m:r>
              <m:rPr>
                <m:sty m:val="p"/>
              </m:rPr>
              <m:t>g</m:t>
            </m:r>
            <m:r>
              <m:rPr>
                <m:sty m:val="p"/>
              </m:rPr>
              <m:t>h</m:t>
            </m:r>
          </m:sup>
        </m:sSubSup>
      </m:oMath>
      <w:r>
        <w:t xml:space="preserve"> </w:t>
      </w:r>
      <w:r>
        <w:t xml:space="preserve">is defined by the relative direction of the bias in relation to the point estimate. If the bias is expected to pull the effect to the left, the position is given a negative sign, and if it is expected to pull the effect to the right, it is given a positive sign.</w:t>
      </w:r>
    </w:p>
    <w:p>
      <w:pPr>
        <w:pStyle w:val="BodyText"/>
      </w:pPr>
      <w:r>
        <w:t xml:space="preserve">One key feature of the domain-based risk-of-bias domains is that the domains are considered interchangeable - i.e. a</w:t>
      </w:r>
      <w:r>
        <w:t xml:space="preserve"> </w:t>
      </w:r>
      <w:r>
        <w:t xml:space="preserve">“</w:t>
      </w:r>
      <w:r>
        <w:t xml:space="preserve">high</w:t>
      </w:r>
      <w:r>
        <w:t xml:space="preserve">”</w:t>
      </w:r>
      <w:r>
        <w:t xml:space="preserve"> </w:t>
      </w:r>
      <w:r>
        <w:t xml:space="preserve">bias in one domain is equivalent to a</w:t>
      </w:r>
      <w:r>
        <w:t xml:space="preserve"> </w:t>
      </w:r>
      <w:r>
        <w:t xml:space="preserve">“</w:t>
      </w:r>
      <w:r>
        <w:t xml:space="preserve">high</w:t>
      </w:r>
      <w:r>
        <w:t xml:space="preserve">”</w:t>
      </w:r>
      <w:r>
        <w:t xml:space="preserve"> </w:t>
      </w:r>
      <w:r>
        <w:t xml:space="preserve">bias in any other. As such, for this analysis, I assumed that the distributions assigned to each level of bias are identical across all values of</w:t>
      </w:r>
      <w:r>
        <w:t xml:space="preserve"> </w:t>
      </w:r>
      <m:oMath>
        <m:r>
          <m:t>j</m:t>
        </m:r>
      </m:oMath>
      <w:r>
        <w:t xml:space="preserve">, that is, are identical for all domains in the risk of bias assessment tool.</w:t>
      </w:r>
    </w:p>
    <w:p>
      <w:pPr>
        <w:pStyle w:val="BodyText"/>
      </w:pPr>
      <m:oMathPara>
        <m:oMathParaPr>
          <m:jc m:val="center"/>
        </m:oMathParaPr>
        <m:oMath>
          <m:sSubSup>
            <m:e>
              <m:r>
                <m:t>δ</m:t>
              </m:r>
            </m:e>
            <m:sub>
              <m:r>
                <m:t>i</m:t>
              </m:r>
              <m:r>
                <m:rPr>
                  <m:sty m:val="p"/>
                </m:rPr>
                <m:t>,</m:t>
              </m:r>
              <m:r>
                <m:t>1</m:t>
              </m:r>
            </m:sub>
            <m:sup>
              <m:r>
                <m:rPr>
                  <m:sty m:val="p"/>
                </m:rPr>
                <m:t>H</m:t>
              </m:r>
              <m:r>
                <m:rPr>
                  <m:sty m:val="p"/>
                </m:rPr>
                <m:t>i</m:t>
              </m:r>
              <m:r>
                <m:rPr>
                  <m:sty m:val="p"/>
                </m:rPr>
                <m:t>g</m:t>
              </m:r>
              <m:r>
                <m:rPr>
                  <m:sty m:val="p"/>
                </m:rPr>
                <m:t>h</m:t>
              </m:r>
            </m:sup>
          </m:sSubSup>
          <m:r>
            <m:rPr>
              <m:sty m:val="p"/>
            </m:rPr>
            <m:t>=</m:t>
          </m:r>
          <m:sSubSup>
            <m:e>
              <m:r>
                <m:t>δ</m:t>
              </m:r>
            </m:e>
            <m:sub>
              <m:r>
                <m:t>i</m:t>
              </m:r>
              <m:r>
                <m:rPr>
                  <m:sty m:val="p"/>
                </m:rPr>
                <m:t>,</m:t>
              </m:r>
              <m:r>
                <m:t>2</m:t>
              </m:r>
            </m:sub>
            <m:sup>
              <m:r>
                <m:rPr>
                  <m:sty m:val="p"/>
                </m:rPr>
                <m:t>H</m:t>
              </m:r>
              <m:r>
                <m:rPr>
                  <m:sty m:val="p"/>
                </m:rPr>
                <m:t>i</m:t>
              </m:r>
              <m:r>
                <m:rPr>
                  <m:sty m:val="p"/>
                </m:rPr>
                <m:t>g</m:t>
              </m:r>
              <m:r>
                <m:rPr>
                  <m:sty m:val="p"/>
                </m:rPr>
                <m:t>h</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H</m:t>
              </m:r>
              <m:r>
                <m:rPr>
                  <m:sty m:val="p"/>
                </m:rPr>
                <m:t>i</m:t>
              </m:r>
              <m:r>
                <m:rPr>
                  <m:sty m:val="p"/>
                </m:rPr>
                <m:t>g</m:t>
              </m:r>
              <m:r>
                <m:rPr>
                  <m:sty m:val="p"/>
                </m:rPr>
                <m:t>h</m:t>
              </m:r>
            </m:sup>
          </m:sSubSup>
        </m:oMath>
      </m:oMathPara>
    </w:p>
    <w:p>
      <w:pPr>
        <w:pStyle w:val="FirstParagraph"/>
      </w:pPr>
      <w:r>
        <w:t xml:space="preserve">and similarly</w:t>
      </w:r>
    </w:p>
    <w:p>
      <w:pPr>
        <w:pStyle w:val="BodyText"/>
      </w:pPr>
      <m:oMathPara>
        <m:oMathParaPr>
          <m:jc m:val="center"/>
        </m:oMathParaPr>
        <m:oMath>
          <m:sSubSup>
            <m:e>
              <m:r>
                <m:t>δ</m:t>
              </m:r>
            </m:e>
            <m:sub>
              <m:r>
                <m:t>i</m:t>
              </m:r>
              <m:r>
                <m:rPr>
                  <m:sty m:val="p"/>
                </m:rPr>
                <m:t>,</m:t>
              </m:r>
              <m:r>
                <m:t>1</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sSubSup>
            <m:e>
              <m:r>
                <m:t>δ</m:t>
              </m:r>
            </m:e>
            <m:sub>
              <m:r>
                <m:t>i</m:t>
              </m:r>
              <m:r>
                <m:rPr>
                  <m:sty m:val="p"/>
                </m:rPr>
                <m:t>,</m:t>
              </m:r>
              <m:r>
                <m:t>2</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r>
            <m:rPr>
              <m:sty m:val="p"/>
            </m:rPr>
            <m:t>=</m:t>
          </m:r>
          <m:r>
            <m:rPr>
              <m:sty m:val="p"/>
            </m:rPr>
            <m:t>.</m:t>
          </m:r>
          <m:r>
            <m:rPr>
              <m:sty m:val="p"/>
            </m:rPr>
            <m:t>.</m:t>
          </m:r>
          <m:r>
            <m:rPr>
              <m:sty m:val="p"/>
            </m:rPr>
            <m:t>.</m:t>
          </m:r>
          <m:r>
            <m:rPr>
              <m:sty m:val="p"/>
            </m:rPr>
            <m:t>=</m:t>
          </m:r>
          <m:sSubSup>
            <m:e>
              <m:r>
                <m:t>δ</m:t>
              </m:r>
            </m:e>
            <m:sub>
              <m:r>
                <m:t>i</m:t>
              </m:r>
              <m:r>
                <m:rPr>
                  <m:sty m:val="p"/>
                </m:rPr>
                <m:t>,</m:t>
              </m:r>
              <m:r>
                <m:t>j</m:t>
              </m:r>
            </m:sub>
            <m:sup>
              <m:r>
                <m:rPr>
                  <m:sty m:val="p"/>
                </m:rPr>
                <m:t>M</m:t>
              </m:r>
              <m:r>
                <m:rPr>
                  <m:sty m:val="p"/>
                </m:rPr>
                <m:t>o</m:t>
              </m:r>
              <m:r>
                <m:rPr>
                  <m:sty m:val="p"/>
                </m:rPr>
                <m:t>d</m:t>
              </m:r>
              <m:r>
                <m:rPr>
                  <m:sty m:val="p"/>
                </m:rPr>
                <m:t>e</m:t>
              </m:r>
              <m:r>
                <m:rPr>
                  <m:sty m:val="p"/>
                </m:rPr>
                <m:t>r</m:t>
              </m:r>
              <m:r>
                <m:rPr>
                  <m:sty m:val="p"/>
                </m:rPr>
                <m:t>a</m:t>
              </m:r>
              <m:r>
                <m:rPr>
                  <m:sty m:val="p"/>
                </m:rPr>
                <m:t>t</m:t>
              </m:r>
              <m:r>
                <m:rPr>
                  <m:sty m:val="p"/>
                </m:rPr>
                <m:t>e</m:t>
              </m:r>
            </m:sup>
          </m:sSubSup>
        </m:oMath>
      </m:oMathPara>
    </w:p>
    <w:p>
      <w:pPr>
        <w:pStyle w:val="FirstParagraph"/>
      </w:pPr>
      <w:r>
        <w:t xml:space="preserve"> </w:t>
      </w:r>
    </w:p>
    <w:p>
      <w:pPr>
        <w:pStyle w:val="TableCaption"/>
      </w:pPr>
      <w:r>
        <w:t xml:space="preserve">Table 21:</w:t>
      </w:r>
      <w:r>
        <w:t xml:space="preserve"> </w:t>
      </w:r>
      <w:bookmarkStart w:id="a29d8160-987e-48a9-aa15-af807b39fba9" w:name="tab:priorsAdd-table"/>
      <w:r>
        <w:t xml:space="preserve">Distributions for additive bias assigned to each bias judgement under two sensitivity scenarios, on the log scale.</w:t>
      </w:r>
      <w:bookmarkEnd w:id="a29d8160-987e-48a9-aa15-af807b39fba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Bias 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1</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Scenario 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Moderate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N(.08, .05)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High</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N(.16, .12)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N(.4, .29)</w:t>
            </w:r>
          </w:p>
        </w:tc>
      </w:tr>
    </w:tbl>
    <w:p>
      <w:pPr>
        <w:pStyle w:val="BodyText"/>
      </w:pPr>
      <w:r>
        <w:t xml:space="preserve"> </w:t>
      </w:r>
    </w:p>
    <w:p>
      <w:pPr>
        <w:pStyle w:val="BodyText"/>
      </w:pPr>
      <w:r>
        <w:t xml:space="preserve">For the purposes of this illustrative analysis and to highlight the generalised nature of the code used to perform the analysis (see Section</w:t>
      </w:r>
      <w:r>
        <w:t xml:space="preserve"> </w:t>
      </w:r>
      <w:r>
        <w:t xml:space="preserve">7.3.3.8</w:t>
      </w:r>
      <w:r>
        <w:t xml:space="preserve">), I defined two sets of modifying distributions (Table 1). In the first scenario, the relationship between the position assigned to each judgement is linear. In the second scenario, . In both cases, the variance of the</w:t>
      </w:r>
      <w:r>
        <w:t xml:space="preserve"> </w:t>
      </w:r>
      <w:r>
        <w:t xml:space="preserve">“</w:t>
      </w:r>
      <w:r>
        <w:t xml:space="preserve">High</w:t>
      </w:r>
      <w:r>
        <w:t xml:space="preserve">”</w:t>
      </w:r>
      <w:r>
        <w:t xml:space="preserve"> </w:t>
      </w:r>
      <w:r>
        <w:t xml:space="preserve">risk of bias judgement was defined to be great than the</w:t>
      </w:r>
      <w:r>
        <w:t xml:space="preserve"> </w:t>
      </w:r>
      <w:r>
        <w:t xml:space="preserve">“</w:t>
      </w:r>
      <w:r>
        <w:t xml:space="preserve">Moderate</w:t>
      </w:r>
      <w:r>
        <w:t xml:space="preserve">”</w:t>
      </w:r>
      <w:r>
        <w:t xml:space="preserve"> </w:t>
      </w:r>
      <w:r>
        <w:t xml:space="preserve">risk of bias judgement. The two scenarios are illustrated in Figure</w:t>
      </w:r>
      <w:r>
        <w:t xml:space="preserve"> </w:t>
      </w:r>
      <w:r>
        <w:t xml:space="preserve">??</w:t>
      </w:r>
      <w:r>
        <w:t xml:space="preserve">.</w:t>
      </w:r>
    </w:p>
    <w:p>
      <w:pPr>
        <w:pStyle w:val="BodyText"/>
      </w:pPr>
      <w:r>
        <w:t xml:space="preserve">Reasonable values for the position and spread of the distributions were informed by calculating the mean and maximum adjustment values as defined by the original elicitation exercise (see Appendix @ref(?) for more details on how these were calculated).</w:t>
      </w:r>
      <w:hyperlink w:anchor="ref-turner2009">
        <w:r>
          <w:rPr>
            <w:rStyle w:val="Hyperlink"/>
            <w:vertAlign w:val="superscript"/>
          </w:rPr>
          <w:t xml:space="preserve">311</w:t>
        </w:r>
      </w:hyperlink>
      <w:r>
        <w:t xml:space="preserve"> </w:t>
      </w:r>
    </w:p>
    <w:p>
      <w:pPr>
        <w:pStyle w:val="BodyText"/>
      </w:pPr>
      <w:r>
        <w:t xml:space="preserve">Where the direction of bias in a domain was unpredictable for a given result, the mean of the adjustment distribution for that domain, but the appropriate variance for (i.e. no predicted direction, but increased uncretainty in line with judgement).</w:t>
      </w:r>
    </w:p>
    <w:p>
      <w:pPr>
        <w:pStyle w:val="BodyText"/>
      </w:pPr>
      <w:r>
        <w:t xml:space="preserve"> </w:t>
      </w:r>
    </w:p>
    <w:bookmarkEnd w:id="278"/>
    <w:bookmarkStart w:id="279" w:name="Xedfb1b1503efa067f27cf36232275a7f0a6da26"/>
    <w:p>
      <w:pPr>
        <w:pStyle w:val="Heading4"/>
      </w:pPr>
      <w:r>
        <w:t xml:space="preserve">Assessing and assigning modifying values to indirectness</w:t>
      </w:r>
    </w:p>
    <w:p>
      <w:pPr>
        <w:pStyle w:val="FirstParagraph"/>
      </w:pPr>
      <w:r>
        <w:t xml:space="preserve">A similar approach was used to define prior distributions for external bias or indirectness. I used a similar enforced scale of</w:t>
      </w:r>
      <w:r>
        <w:t xml:space="preserve"> </w:t>
      </w:r>
      <w:r>
        <w:t xml:space="preserve">“</w:t>
      </w:r>
      <w:r>
        <w:t xml:space="preserve">Low/</w:t>
      </w:r>
      <w:r>
        <w:t xml:space="preserve">”</w:t>
      </w:r>
      <w:r>
        <w:t xml:space="preserve">Moderate</w:t>
      </w:r>
      <w:r>
        <w:t xml:space="preserve">“</w:t>
      </w:r>
      <w:r>
        <w:t xml:space="preserve">/</w:t>
      </w:r>
      <w:r>
        <w:t xml:space="preserve">”</w:t>
      </w:r>
      <w:r>
        <w:t xml:space="preserve">High" indirectness versus each of the 4 aspects of the target causal question. (recap).</w:t>
      </w:r>
    </w:p>
    <w:p>
      <w:pPr>
        <w:pStyle w:val="BodyText"/>
      </w:pPr>
      <w:r>
        <w:t xml:space="preserve">In the original method, this was assessed against 4 categories of external bias (population/intervention/control/outcome)</w:t>
      </w:r>
    </w:p>
    <w:p>
      <w:pPr>
        <w:pStyle w:val="BodyText"/>
      </w:pPr>
      <w:r>
        <w:t xml:space="preserve">In this</w:t>
      </w:r>
    </w:p>
    <w:p>
      <w:pPr>
        <w:pStyle w:val="BodyText"/>
      </w:pPr>
      <w:r>
        <w:t xml:space="preserve">A key example here is that</w:t>
      </w:r>
    </w:p>
    <w:p>
      <w:pPr>
        <w:pStyle w:val="BodyText"/>
      </w:pPr>
      <w:r>
        <w:t xml:space="preserve">All indirectness bias were defined as being proportional. As described i</w:t>
      </w:r>
    </w:p>
    <w:p>
      <w:pPr>
        <w:pStyle w:val="BodyText"/>
      </w:pPr>
      <w:r>
        <w:t xml:space="preserve">This is also in line with previous efforts to assess the adjustment needed due to indirectness</w:t>
      </w:r>
    </w:p>
    <w:p>
      <w:pPr>
        <w:pStyle w:val="BodyText"/>
      </w:pPr>
      <w:r>
        <w:t xml:space="preserve">As crude example focusing on the intervention , versus the causal question of the effect of LDL-c in mid-life on Alzheimer’s disease, studies of lipids levels in this time period would require minial adjustment, whereas studies</w:t>
      </w:r>
      <w:r>
        <w:t xml:space="preserve"> </w:t>
      </w:r>
      <w:r>
        <w:t xml:space="preserve">…</w:t>
      </w:r>
    </w:p>
    <w:p>
      <w:pPr>
        <w:pStyle w:val="BodyText"/>
      </w:pPr>
      <w:r>
        <w:t xml:space="preserve"> </w:t>
      </w:r>
    </w:p>
    <w:bookmarkEnd w:id="279"/>
    <w:bookmarkStart w:id="280" w:name="combine-in-a-bias-adjusted-meta-analysis"/>
    <w:p>
      <w:pPr>
        <w:pStyle w:val="Heading4"/>
      </w:pPr>
      <w:r>
        <w:t xml:space="preserve">Combine in a bias-adjusted meta-analysis</w:t>
      </w:r>
    </w:p>
    <w:p>
      <w:pPr>
        <w:pStyle w:val="FirstParagraph"/>
      </w:pPr>
      <w:r>
        <w:t xml:space="preserve">Once the total additive and proportional biases for each result were computed, they were used to define an adjusted estimate for each result included in the synthesis.</w:t>
      </w:r>
    </w:p>
    <w:p>
      <w:pPr>
        <w:pStyle w:val="BodyText"/>
      </w:pPr>
      <w:r>
        <w:t xml:space="preserve">Using the method defined in Turner</w:t>
      </w:r>
      <w:r>
        <w:t xml:space="preserve"> </w:t>
      </w:r>
      <w:r>
        <w:rPr>
          <w:iCs/>
          <w:i/>
        </w:rPr>
        <w:t xml:space="preserve">et al</w:t>
      </w:r>
      <w:r>
        <w:t xml:space="preserve">,</w:t>
      </w:r>
      <w:hyperlink w:anchor="ref-turner2009">
        <w:r>
          <w:rPr>
            <w:rStyle w:val="Hyperlink"/>
            <w:vertAlign w:val="superscript"/>
          </w:rPr>
          <w:t xml:space="preserve">311</w:t>
        </w:r>
      </w:hyperlink>
      <w:r>
        <w:t xml:space="preserve"> </w:t>
      </w:r>
      <w:r>
        <w:t xml:space="preserve">the adjusted estimate for each result,</w:t>
      </w:r>
      <w:r>
        <w:t xml:space="preserve"> </w:t>
      </w:r>
      <m:oMath>
        <m:acc>
          <m:accPr>
            <m:chr m:val="̂"/>
          </m:accPr>
          <m:e>
            <m:r>
              <m:t>θ</m:t>
            </m:r>
          </m:e>
        </m:acc>
      </m:oMath>
      <w:r>
        <w:t xml:space="preserve">, is defined as:</w:t>
      </w:r>
    </w:p>
    <w:p>
      <w:pPr>
        <w:pStyle w:val="BodyText"/>
      </w:pPr>
      <m:oMathPara>
        <m:oMathParaPr>
          <m:jc m:val="center"/>
        </m:oMathParaPr>
        <m:oMath>
          <m:acc>
            <m:accPr>
              <m:chr m:val="̂"/>
            </m:accPr>
            <m:e>
              <m:r>
                <m:t>θ</m:t>
              </m:r>
            </m:e>
          </m:acc>
          <m:r>
            <m:rPr>
              <m:sty m:val="p"/>
            </m:rPr>
            <m:t>=</m:t>
          </m:r>
          <m:f>
            <m:fPr>
              <m:type m:val="bar"/>
            </m:fPr>
            <m:num>
              <m:sSub>
                <m:e>
                  <m:r>
                    <m:t>y</m:t>
                  </m:r>
                </m:e>
                <m:sub>
                  <m:r>
                    <m:t>i</m:t>
                  </m:r>
                </m:sub>
              </m:sSub>
              <m:r>
                <m:rPr>
                  <m:sty m:val="p"/>
                </m:rPr>
                <m:t>−</m:t>
              </m:r>
              <m:sSubSup>
                <m:e>
                  <m:r>
                    <m:t>μ</m:t>
                  </m:r>
                </m:e>
                <m:sub>
                  <m:r>
                    <m:t>i</m:t>
                  </m:r>
                  <m:r>
                    <m:t>β</m:t>
                  </m:r>
                </m:sub>
                <m:sup>
                  <m:r>
                    <m:rPr>
                      <m:sty m:val="p"/>
                    </m:rPr>
                    <m:t>I</m:t>
                  </m:r>
                  <m:r>
                    <m:rPr>
                      <m:sty m:val="p"/>
                    </m:rPr>
                    <m:t>n</m:t>
                  </m:r>
                </m:sup>
              </m:sSubSup>
              <m:sSubSup>
                <m:e>
                  <m:r>
                    <m:t>μ</m:t>
                  </m:r>
                </m:e>
                <m:sub>
                  <m:r>
                    <m:t>i</m:t>
                  </m:r>
                  <m:r>
                    <m:t>δ</m:t>
                  </m:r>
                </m:sub>
                <m:sup>
                  <m:r>
                    <m:rPr>
                      <m:sty m:val="p"/>
                    </m:rPr>
                    <m:t>I</m:t>
                  </m:r>
                  <m:r>
                    <m:rPr>
                      <m:sty m:val="p"/>
                    </m:rPr>
                    <m:t>n</m:t>
                  </m:r>
                </m:sup>
              </m:sSubSup>
              <m:r>
                <m:rPr>
                  <m:sty m:val="p"/>
                </m:rPr>
                <m:t>−</m:t>
              </m:r>
              <m:sSubSup>
                <m:e>
                  <m:r>
                    <m:t>μ</m:t>
                  </m:r>
                </m:e>
                <m:sub>
                  <m:r>
                    <m:t>i</m:t>
                  </m:r>
                  <m:r>
                    <m:t>δ</m:t>
                  </m:r>
                </m:sub>
                <m:sup>
                  <m:r>
                    <m:rPr>
                      <m:sty m:val="p"/>
                    </m:rPr>
                    <m:t>B</m:t>
                  </m:r>
                </m:sup>
              </m:sSubSup>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r>
            <m:t>  </m:t>
          </m:r>
          <m:r>
            <m:rPr>
              <m:sty m:val="p"/>
            </m:rPr>
            <m:t>(</m:t>
          </m:r>
          <m:r>
            <m:t>10</m:t>
          </m:r>
          <m:r>
            <m:rPr>
              <m:sty m:val="p"/>
            </m:rPr>
            <m:t>)</m:t>
          </m:r>
        </m:oMath>
      </m:oMathPara>
    </w:p>
    <w:p>
      <w:pPr>
        <w:pStyle w:val="FirstParagraph"/>
      </w:pPr>
      <w:r>
        <w:t xml:space="preserve">where</w:t>
      </w:r>
      <w:r>
        <w:t xml:space="preserve"> </w:t>
      </w:r>
      <m:oMath>
        <m:sSub>
          <m:e>
            <m:r>
              <m:t>μ</m:t>
            </m:r>
          </m:e>
          <m:sub>
            <m:r>
              <m:t>i</m:t>
            </m:r>
            <m:r>
              <m:t>δ</m:t>
            </m:r>
          </m:sub>
        </m:sSub>
      </m:oMath>
      <w:r>
        <w:t xml:space="preserve"> </w:t>
      </w:r>
      <w:r>
        <w:t xml:space="preserve">denotes total additive and</w:t>
      </w:r>
      <w:r>
        <w:t xml:space="preserve"> </w:t>
      </w:r>
      <m:oMath>
        <m:sSub>
          <m:e>
            <m:r>
              <m:t>μ</m:t>
            </m:r>
          </m:e>
          <m:sub>
            <m:r>
              <m:t>i</m:t>
            </m:r>
            <m:r>
              <m:t>β</m:t>
            </m:r>
          </m:sub>
        </m:sSub>
      </m:oMath>
      <w:r>
        <w:t xml:space="preserve"> </w:t>
      </w:r>
      <w:r>
        <w:t xml:space="preserve">the total proportional adjustment, and the</w:t>
      </w:r>
      <w:r>
        <w:t xml:space="preserve"> </w:t>
      </w:r>
      <m:oMath>
        <m:sSup>
          <m:e>
            <m:r>
              <m:t>​</m:t>
            </m:r>
          </m:e>
          <m:sup>
            <m:r>
              <m:rPr>
                <m:sty m:val="p"/>
              </m:rPr>
              <m:t>B</m:t>
            </m:r>
          </m:sup>
        </m:sSup>
      </m:oMath>
      <w:r>
        <w:t xml:space="preserve"> </w:t>
      </w:r>
      <w:r>
        <w:t xml:space="preserve">and</w:t>
      </w:r>
      <w:r>
        <w:t xml:space="preserve"> </w:t>
      </w:r>
      <m:oMath>
        <m:sSup>
          <m:e>
            <m:r>
              <m:t>​</m:t>
            </m:r>
          </m:e>
          <m:sup>
            <m:r>
              <m:rPr>
                <m:sty m:val="p"/>
              </m:rPr>
              <m:t>I</m:t>
            </m:r>
            <m:r>
              <m:rPr>
                <m:sty m:val="p"/>
              </m:rPr>
              <m:t>n</m:t>
            </m:r>
          </m:sup>
        </m:sSup>
      </m:oMath>
      <w:r>
        <w:t xml:space="preserve"> </w:t>
      </w:r>
      <w:r>
        <w:t xml:space="preserve">superscripts denote wether the adjustment relates to internal bias or indirectness respectively.</w:t>
      </w:r>
    </w:p>
    <w:p>
      <w:pPr>
        <w:pStyle w:val="BodyText"/>
      </w:pPr>
      <w:r>
        <w:t xml:space="preserve">Using the same terms, the standard error of this estimate,</w:t>
      </w:r>
      <w:r>
        <w:t xml:space="preserve"> </w:t>
      </w:r>
      <m:oMath>
        <m:acc>
          <m:accPr>
            <m:chr m:val="̂"/>
          </m:accPr>
          <m:e>
            <m:r>
              <m:t>θ</m:t>
            </m:r>
          </m:e>
        </m:acc>
      </m:oMath>
      <w:r>
        <w:t xml:space="preserve">, is then calculated as:</w:t>
      </w:r>
    </w:p>
    <w:p>
      <w:pPr>
        <w:pStyle w:val="BodyText"/>
      </w:pPr>
      <m:oMathPara>
        <m:oMathParaPr>
          <m:jc m:val="center"/>
        </m:oMathParaPr>
        <m:oMath>
          <m:r>
            <m:rPr>
              <m:sty m:val="p"/>
            </m:rPr>
            <m:t>S</m:t>
          </m:r>
          <m:r>
            <m:rPr>
              <m:sty m:val="p"/>
            </m:rPr>
            <m:t>E</m:t>
          </m:r>
          <m:r>
            <m:rPr>
              <m:sty m:val="p"/>
            </m:rPr>
            <m:t>(</m:t>
          </m:r>
          <m:acc>
            <m:accPr>
              <m:chr m:val="̂"/>
            </m:accPr>
            <m:e>
              <m:r>
                <m:t>θ</m:t>
              </m:r>
            </m:e>
          </m:acc>
          <m:r>
            <m:rPr>
              <m:sty m:val="p"/>
            </m:rPr>
            <m:t>)</m:t>
          </m:r>
          <m:r>
            <m:rPr>
              <m:sty m:val="p"/>
            </m:rPr>
            <m:t>=</m:t>
          </m:r>
          <m:sSup>
            <m:e>
              <m:d>
                <m:dPr>
                  <m:begChr m:val="("/>
                  <m:endChr m:val=")"/>
                  <m:grow/>
                </m:dPr>
                <m:e>
                  <m:f>
                    <m:fPr>
                      <m:type m:val="bar"/>
                    </m:fPr>
                    <m:num>
                      <m:r>
                        <m:t>1</m:t>
                      </m:r>
                    </m:num>
                    <m:den>
                      <m:sSubSup>
                        <m:e>
                          <m:r>
                            <m:t>μ</m:t>
                          </m:r>
                        </m:e>
                        <m:sub>
                          <m:r>
                            <m:t>i</m:t>
                          </m:r>
                          <m:r>
                            <m:t>β</m:t>
                          </m:r>
                        </m:sub>
                        <m:sup>
                          <m:r>
                            <m:rPr>
                              <m:sty m:val="p"/>
                            </m:rPr>
                            <m:t>B</m:t>
                          </m:r>
                        </m:sup>
                      </m:sSubSup>
                      <m:sSubSup>
                        <m:e>
                          <m:r>
                            <m:t>μ</m:t>
                          </m:r>
                        </m:e>
                        <m:sub>
                          <m:r>
                            <m:t>i</m:t>
                          </m:r>
                          <m:r>
                            <m:t>β</m:t>
                          </m:r>
                        </m:sub>
                        <m:sup>
                          <m:r>
                            <m:rPr>
                              <m:sty m:val="p"/>
                            </m:rPr>
                            <m:t>I</m:t>
                          </m:r>
                          <m:r>
                            <m:rPr>
                              <m:sty m:val="p"/>
                            </m:rPr>
                            <m:t>n</m:t>
                          </m:r>
                        </m:sup>
                      </m:sSubSup>
                    </m:den>
                  </m:f>
                </m:e>
              </m:d>
            </m:e>
            <m:sup>
              <m:r>
                <m:t>2</m:t>
              </m:r>
            </m:sup>
          </m:sSup>
          <m:d>
            <m:dPr>
              <m:begChr m:val="("/>
              <m:endChr m:val=")"/>
              <m:grow/>
            </m:dPr>
            <m:e>
              <m:sSubSup>
                <m:e>
                  <m:r>
                    <m:t>s</m:t>
                  </m:r>
                </m:e>
                <m:sub>
                  <m:r>
                    <m:t>i</m:t>
                  </m:r>
                </m:sub>
                <m:sup>
                  <m:r>
                    <m:t>2</m:t>
                  </m:r>
                </m:sup>
              </m:sSubSup>
              <m:r>
                <m:rPr>
                  <m:sty m:val="p"/>
                </m:rPr>
                <m:t>+</m:t>
              </m:r>
              <m:d>
                <m:dPr>
                  <m:begChr m:val="("/>
                  <m:endChr m:val=")"/>
                  <m:grow/>
                </m:dPr>
                <m:e>
                  <m:sSubSup>
                    <m:e>
                      <m:r>
                        <m:t>μ</m:t>
                      </m:r>
                    </m:e>
                    <m:sub>
                      <m:r>
                        <m:t>i</m:t>
                      </m:r>
                      <m:r>
                        <m:t>β</m:t>
                      </m:r>
                    </m:sub>
                    <m:sup>
                      <m:r>
                        <m:rPr>
                          <m:sty m:val="p"/>
                        </m:rPr>
                        <m:t>B</m:t>
                      </m:r>
                    </m:sup>
                  </m:sSubSup>
                  <m:r>
                    <m:t>2</m:t>
                  </m:r>
                  <m:r>
                    <m:rPr>
                      <m:sty m:val="p"/>
                    </m:rPr>
                    <m:t>+</m:t>
                  </m:r>
                  <m:sSubSup>
                    <m:e>
                      <m:r>
                        <m:t>σ</m:t>
                      </m:r>
                    </m:e>
                    <m:sub>
                      <m:r>
                        <m:t>i</m:t>
                      </m:r>
                      <m:r>
                        <m:t>β</m:t>
                      </m:r>
                    </m:sub>
                    <m:sup>
                      <m:r>
                        <m:rPr>
                          <m:sty m:val="p"/>
                        </m:rPr>
                        <m:t>B</m:t>
                      </m:r>
                    </m:sup>
                  </m:sSubSup>
                </m:e>
              </m:d>
              <m:d>
                <m:dPr>
                  <m:begChr m:val="("/>
                  <m:endChr m:val=")"/>
                  <m:grow/>
                </m:dPr>
                <m:e>
                  <m:sSup>
                    <m:e>
                      <m:acc>
                        <m:accPr>
                          <m:chr m:val="̂"/>
                        </m:accPr>
                        <m:e>
                          <m:r>
                            <m:t>θ</m:t>
                          </m:r>
                        </m:e>
                      </m:acc>
                    </m:e>
                    <m:sup>
                      <m:r>
                        <m:t>2</m:t>
                      </m:r>
                    </m:sup>
                  </m:sSup>
                  <m:sSubSup>
                    <m:e>
                      <m:r>
                        <m:t>σ</m:t>
                      </m:r>
                    </m:e>
                    <m:sub>
                      <m:r>
                        <m:t>i</m:t>
                      </m:r>
                      <m:r>
                        <m:t>β</m:t>
                      </m:r>
                    </m:sub>
                    <m:sup>
                      <m:r>
                        <m:rPr>
                          <m:sty m:val="p"/>
                        </m:rPr>
                        <m:t>I</m:t>
                      </m:r>
                      <m:r>
                        <m:rPr>
                          <m:sty m:val="p"/>
                        </m:rPr>
                        <m:t>n</m:t>
                      </m:r>
                      <m:r>
                        <m:t>2</m:t>
                      </m:r>
                    </m:sup>
                  </m:sSubSup>
                  <m:r>
                    <m:rPr>
                      <m:sty m:val="p"/>
                    </m:rPr>
                    <m:t>+</m:t>
                  </m:r>
                  <m:sSubSup>
                    <m:e>
                      <m:r>
                        <m:t>σ</m:t>
                      </m:r>
                    </m:e>
                    <m:sub>
                      <m:r>
                        <m:t>i</m:t>
                      </m:r>
                      <m:r>
                        <m:t>δ</m:t>
                      </m:r>
                    </m:sub>
                    <m:sup>
                      <m:r>
                        <m:rPr>
                          <m:sty m:val="p"/>
                        </m:rPr>
                        <m:t>I</m:t>
                      </m:r>
                      <m:r>
                        <m:rPr>
                          <m:sty m:val="p"/>
                        </m:rPr>
                        <m:t>n</m:t>
                      </m:r>
                      <m:r>
                        <m:t>2</m:t>
                      </m:r>
                    </m:sup>
                  </m:sSubSup>
                </m:e>
              </m:d>
              <m:r>
                <m:rPr>
                  <m:sty m:val="p"/>
                </m:rPr>
                <m:t>+</m:t>
              </m:r>
              <m:sSubSup>
                <m:e>
                  <m:r>
                    <m:t>σ</m:t>
                  </m:r>
                </m:e>
                <m:sub>
                  <m:r>
                    <m:t>i</m:t>
                  </m:r>
                  <m:r>
                    <m:t>β</m:t>
                  </m:r>
                </m:sub>
                <m:sup>
                  <m:r>
                    <m:rPr>
                      <m:sty m:val="p"/>
                    </m:rPr>
                    <m:t>B</m:t>
                  </m:r>
                </m:sup>
              </m:sSubSup>
              <m:sSup>
                <m:e>
                  <m:d>
                    <m:dPr>
                      <m:begChr m:val="("/>
                      <m:endChr m:val=")"/>
                      <m:grow/>
                    </m:dPr>
                    <m:e>
                      <m:acc>
                        <m:accPr>
                          <m:chr m:val="̂"/>
                        </m:accPr>
                        <m:e>
                          <m:r>
                            <m:t>θ</m:t>
                          </m:r>
                        </m:e>
                      </m:acc>
                      <m:sSubSup>
                        <m:e>
                          <m:r>
                            <m:t>μ</m:t>
                          </m:r>
                        </m:e>
                        <m:sub>
                          <m:r>
                            <m:t>i</m:t>
                          </m:r>
                          <m:r>
                            <m:t>β</m:t>
                          </m:r>
                        </m:sub>
                        <m:sup>
                          <m:r>
                            <m:rPr>
                              <m:sty m:val="p"/>
                            </m:rPr>
                            <m:t>I</m:t>
                          </m:r>
                          <m:r>
                            <m:rPr>
                              <m:sty m:val="p"/>
                            </m:rPr>
                            <m:t>n</m:t>
                          </m:r>
                        </m:sup>
                      </m:sSubSup>
                      <m:r>
                        <m:rPr>
                          <m:sty m:val="p"/>
                        </m:rPr>
                        <m:t>+</m:t>
                      </m:r>
                      <m:sSubSup>
                        <m:e>
                          <m:r>
                            <m:t>μ</m:t>
                          </m:r>
                        </m:e>
                        <m:sub>
                          <m:r>
                            <m:t>i</m:t>
                          </m:r>
                          <m:r>
                            <m:t>δ</m:t>
                          </m:r>
                        </m:sub>
                        <m:sup>
                          <m:r>
                            <m:rPr>
                              <m:sty m:val="p"/>
                            </m:rPr>
                            <m:t>I</m:t>
                          </m:r>
                          <m:r>
                            <m:rPr>
                              <m:sty m:val="p"/>
                            </m:rPr>
                            <m:t>n</m:t>
                          </m:r>
                        </m:sup>
                      </m:sSubSup>
                    </m:e>
                  </m:d>
                </m:e>
                <m:sup>
                  <m:r>
                    <m:t>2</m:t>
                  </m:r>
                </m:sup>
              </m:sSup>
              <m:r>
                <m:rPr>
                  <m:sty m:val="p"/>
                </m:rPr>
                <m:t>+</m:t>
              </m:r>
              <m:sSubSup>
                <m:e>
                  <m:r>
                    <m:t>σ</m:t>
                  </m:r>
                </m:e>
                <m:sub>
                  <m:r>
                    <m:t>i</m:t>
                  </m:r>
                  <m:r>
                    <m:t>δ</m:t>
                  </m:r>
                </m:sub>
                <m:sup>
                  <m:r>
                    <m:rPr>
                      <m:sty m:val="p"/>
                    </m:rPr>
                    <m:t>B</m:t>
                  </m:r>
                  <m:r>
                    <m:t>2</m:t>
                  </m:r>
                </m:sup>
              </m:sSubSup>
            </m:e>
          </m:d>
          <m:r>
            <m:t>  </m:t>
          </m:r>
          <m:r>
            <m:rPr>
              <m:sty m:val="p"/>
            </m:rPr>
            <m:t>(</m:t>
          </m:r>
          <m:r>
            <m:t>11</m:t>
          </m:r>
          <m:r>
            <m:rPr>
              <m:sty m:val="p"/>
            </m:rPr>
            <m:t>)</m:t>
          </m:r>
        </m:oMath>
      </m:oMathPara>
    </w:p>
    <w:p>
      <w:pPr>
        <w:pStyle w:val="FirstParagraph"/>
      </w:pPr>
      <w:r>
        <w:t xml:space="preserve">Once each individual result has been adjusted, they are combined n a standard random-effects meta-analysis</w:t>
      </w:r>
      <w:r>
        <w:t xml:space="preserve"> </w:t>
      </w:r>
    </w:p>
    <w:p>
      <w:pPr>
        <w:pStyle w:val="BodyText"/>
      </w:pPr>
      <w:r>
        <w:t xml:space="preserve"> </w:t>
      </w:r>
    </w:p>
    <w:bookmarkEnd w:id="280"/>
    <w:bookmarkStart w:id="281" w:name="tri-software"/>
    <w:p>
      <w:pPr>
        <w:pStyle w:val="Heading4"/>
      </w:pPr>
      <w:r>
        <w:t xml:space="preserve">Software</w:t>
      </w:r>
    </w:p>
    <w:p>
      <w:pPr>
        <w:pStyle w:val="FirstParagraph"/>
      </w:pPr>
      <w:r>
        <w:t xml:space="preserve">Personal communication with the authors of the original method resulted in the STATA code to implement the</w:t>
      </w:r>
    </w:p>
    <w:p>
      <w:pPr>
        <w:pStyle w:val="BodyText"/>
      </w:pPr>
      <w:r>
        <w:t xml:space="preserve">As detailed in the introduction to this section, the model for defining bias-indirectness-adjusted results was available as STATA code. The has since been generalised as part of the</w:t>
      </w:r>
      <w:r>
        <w:t xml:space="preserve"> </w:t>
      </w:r>
      <w:r>
        <w:rPr>
          <w:rStyle w:val="VerbatimChar"/>
        </w:rPr>
        <w:t xml:space="preserve">triangulate</w:t>
      </w:r>
      <w:r>
        <w:t xml:space="preserve"> </w:t>
      </w:r>
      <w:r>
        <w:t xml:space="preserve">R package to allow for users to apply the approach detailed here.</w:t>
      </w:r>
    </w:p>
    <w:p>
      <w:pPr>
        <w:pStyle w:val="BodyText"/>
      </w:pPr>
      <w:r>
        <w:t xml:space="preserve">The package allows for preprocessing of domain-based risk-of-bias data to correctly identify the direction of the bias relative to the effect estimate, calculate bias/indirectness-adjusted estimates for each result, and synthesise these adjusted results in a standard random-effects meta-analysis.</w:t>
      </w:r>
    </w:p>
    <w:p>
      <w:pPr>
        <w:pStyle w:val="BodyText"/>
      </w:pPr>
      <w:r>
        <w:t xml:space="preserve">All meta-analyses conducted within the package are implemented using the</w:t>
      </w:r>
      <w:r>
        <w:t xml:space="preserve"> </w:t>
      </w:r>
      <w:r>
        <w:rPr>
          <w:rStyle w:val="VerbatimChar"/>
        </w:rPr>
        <w:t xml:space="preserve">metafor</w:t>
      </w:r>
      <w:r>
        <w:t xml:space="preserve"> </w:t>
      </w:r>
      <w:r>
        <w:t xml:space="preserve">R package.</w:t>
      </w:r>
    </w:p>
    <w:p>
      <w:pPr>
        <w:pStyle w:val="BodyText"/>
      </w:pPr>
      <w:r>
        <w:t xml:space="preserve"> </w:t>
      </w:r>
    </w:p>
    <w:bookmarkEnd w:id="281"/>
    <w:bookmarkEnd w:id="282"/>
    <w:bookmarkEnd w:id="283"/>
    <w:bookmarkStart w:id="294" w:name="results-3"/>
    <w:p>
      <w:pPr>
        <w:pStyle w:val="Heading2"/>
      </w:pPr>
      <w:r>
        <w:t xml:space="preserve">Results</w:t>
      </w:r>
    </w:p>
    <w:bookmarkStart w:id="287" w:name="qualitative-triangulation-1"/>
    <w:p>
      <w:pPr>
        <w:pStyle w:val="Heading3"/>
      </w:pPr>
      <w:r>
        <w:t xml:space="preserve">Qualitative triangulation</w:t>
      </w:r>
    </w:p>
    <w:bookmarkStart w:id="284" w:name="all-cause-dementia"/>
    <w:p>
      <w:pPr>
        <w:pStyle w:val="Heading4"/>
      </w:pPr>
      <w:r>
        <w:t xml:space="preserve">All-cause dementia</w:t>
      </w:r>
    </w:p>
    <w:p>
      <w:pPr>
        <w:pStyle w:val="FirstParagraph"/>
      </w:pPr>
      <w:r>
        <w:rPr>
          <w:bCs/>
          <w:b/>
        </w:rPr>
        <w:t xml:space="preserve">Statins and all-cause dementia</w:t>
      </w:r>
    </w:p>
    <w:p>
      <w:pPr>
        <w:pStyle w:val="BodyText"/>
      </w:pPr>
      <w:r>
        <w:t xml:space="preserve">This conflicts with the findings of our analysis, where statin use was associated with an increased risk of all-cause dementia (HR:1.17, 95%CI:1.14-1.19). Some of the included studies in the meta-analysis specifically exclude vascular dementia from the definition of all-cause dementia,</w:t>
      </w:r>
      <w:hyperlink w:anchor="ref-chao2015">
        <w:r>
          <w:rPr>
            <w:rStyle w:val="Hyperlink"/>
            <w:vertAlign w:val="superscript"/>
          </w:rPr>
          <w:t xml:space="preserve">312</w:t>
        </w:r>
      </w:hyperlink>
      <w:r>
        <w:t xml:space="preserve"> </w:t>
      </w:r>
      <w:r>
        <w:t xml:space="preserve">which may limit the ability for comparison with our findings for the all-cause dementia outcome.</w:t>
      </w:r>
    </w:p>
    <w:p>
      <w:pPr>
        <w:pStyle w:val="BodyText"/>
      </w:pPr>
      <w:r>
        <w:t xml:space="preserve">Additionally, a previous analysis of the THIN EHR database using a propensity-score matched analysis found a protective effect of statins on all-cause dementia (HR:0.81, 95%CI:0.69-0.96)</w:t>
      </w:r>
      <w:hyperlink w:anchor="ref-smeeth2009">
        <w:r>
          <w:rPr>
            <w:rStyle w:val="Hyperlink"/>
            <w:vertAlign w:val="superscript"/>
          </w:rPr>
          <w:t xml:space="preserve">286</w:t>
        </w:r>
      </w:hyperlink>
      <w:r>
        <w:t xml:space="preserve">.</w:t>
      </w:r>
    </w:p>
    <w:p>
      <w:pPr>
        <w:pStyle w:val="BodyText"/>
      </w:pPr>
      <w:r>
        <w:t xml:space="preserve"> </w:t>
      </w:r>
    </w:p>
    <w:bookmarkEnd w:id="284"/>
    <w:bookmarkStart w:id="285" w:name="alzheimers-disease"/>
    <w:p>
      <w:pPr>
        <w:pStyle w:val="Heading4"/>
      </w:pPr>
      <w:r>
        <w:t xml:space="preserve">Alzheimer’s disease</w:t>
      </w:r>
    </w:p>
    <w:p>
      <w:pPr>
        <w:pStyle w:val="FirstParagraph"/>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with stronger evidence than observed in our analysis.</w:t>
      </w:r>
      <w:hyperlink w:anchor="ref-poly2020">
        <w:r>
          <w:rPr>
            <w:rStyle w:val="Hyperlink"/>
            <w:vertAlign w:val="superscript"/>
          </w:rPr>
          <w:t xml:space="preserve">241</w:t>
        </w:r>
      </w:hyperlink>
      <w:r>
        <w:t xml:space="preserve"> </w:t>
      </w:r>
      <w:r>
        <w:t xml:space="preserve">This review included case-control studies and analyses likely to be at risk of immortal time bias, which may account for the discrepancy with our findings. Additionally, a recent Mendelian randomization study examining the effect of genetic inhibition of HMGCR on Alzheimer’s disease (a genetic proxy for statin treatment) provided equivocal evidence (OR: 0.91, 95%CI: 0.63-1.31) but was consistent with our results.</w:t>
      </w:r>
      <w:hyperlink w:anchor="ref-williams2020">
        <w:r>
          <w:rPr>
            <w:rStyle w:val="Hyperlink"/>
            <w:vertAlign w:val="superscript"/>
          </w:rPr>
          <w:t xml:space="preserve">313</w:t>
        </w:r>
      </w:hyperlink>
    </w:p>
    <w:p>
      <w:pPr>
        <w:pStyle w:val="BodyText"/>
      </w:pPr>
      <w:r>
        <w:t xml:space="preserve">Our additional analyses stratified by statin properties found little evidence of differences in associations of lipophilic and hydrophilic statins and incidence of Alzheimer’s disease, consistent with a recent meta-analysis of observational studies.</w:t>
      </w:r>
      <w:hyperlink w:anchor="ref-chu2018">
        <w:r>
          <w:rPr>
            <w:rStyle w:val="Hyperlink"/>
            <w:vertAlign w:val="superscript"/>
          </w:rPr>
          <w:t xml:space="preserve">57</w:t>
        </w:r>
      </w:hyperlink>
    </w:p>
    <w:p>
      <w:pPr>
        <w:pStyle w:val="BodyText"/>
      </w:pPr>
      <w:r>
        <w:t xml:space="preserve"> </w:t>
      </w:r>
    </w:p>
    <w:bookmarkEnd w:id="285"/>
    <w:bookmarkStart w:id="286" w:name="vascular-dementia"/>
    <w:p>
      <w:pPr>
        <w:pStyle w:val="Heading4"/>
      </w:pPr>
      <w:r>
        <w:t xml:space="preserve">Vascular dementia</w:t>
      </w:r>
    </w:p>
    <w:p>
      <w:pPr>
        <w:pStyle w:val="FirstParagraph"/>
      </w:pPr>
      <w:r>
        <w:rPr>
          <w:bCs/>
          <w:b/>
        </w:rPr>
        <w:t xml:space="preserve">Statins and vascular/other dementia</w:t>
      </w:r>
    </w:p>
    <w:p>
      <w:pPr>
        <w:pStyle w:val="BodyText"/>
      </w:pPr>
      <w:r>
        <w:t xml:space="preserve">Far fewer studies have tested the association between lipid-regulating agents and vascular dementia or other dementias. A recent review found four observational studies examining the association of statins and vascular dementia found limited evidence for an effect (RR:0.93, 95% CI 0.74–1.16).</w:t>
      </w:r>
      <w:hyperlink w:anchor="ref-poly2020">
        <w:r>
          <w:rPr>
            <w:rStyle w:val="Hyperlink"/>
            <w:vertAlign w:val="superscript"/>
          </w:rPr>
          <w:t xml:space="preserve">241</w:t>
        </w:r>
      </w:hyperlink>
      <w:r>
        <w:t xml:space="preserve"> </w:t>
      </w:r>
      <w:r>
        <w:t xml:space="preserve">This contrasts with the harmful association found in our analysis (HR:1.81, 95%CI:1.73-1.89). When stratifying by lipid properties,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(Chapter</w:t>
      </w:r>
      <w:r>
        <w:t xml:space="preserve"> </w:t>
      </w:r>
      <w:r>
        <w:t xml:space="preserve">3</w:t>
      </w:r>
      <w:r>
        <w:t xml:space="preserve">/</w:t>
      </w:r>
      <w:r>
        <w:t xml:space="preserve">4</w:t>
      </w:r>
      <w:r>
        <w:t xml:space="preserve">).</w:t>
      </w:r>
    </w:p>
    <w:p>
      <w:pPr>
        <w:pStyle w:val="BodyText"/>
      </w:pPr>
      <w:r>
        <w:t xml:space="preserve">One of the few classes for which a evidence was available were fibrates, which found little evidence of an association with all-cause dementia was identified,</w:t>
      </w:r>
      <w:hyperlink w:anchor="ref-ancelin2012">
        <w:r>
          <w:rPr>
            <w:rStyle w:val="Hyperlink"/>
            <w:vertAlign w:val="superscript"/>
          </w:rPr>
          <w:t xml:space="preserve">156</w:t>
        </w:r>
      </w:hyperlink>
      <w:r>
        <w:t xml:space="preserve"> </w:t>
      </w:r>
      <w:r>
        <w:t xml:space="preserve">inconsistent with our finding that patients prescribed fibrates had higher all-cause dementia risk than those prescribed other lipid lowering agents.</w:t>
      </w:r>
    </w:p>
    <w:p>
      <w:pPr>
        <w:pStyle w:val="BodyText"/>
      </w:pPr>
      <w:r>
        <w:t xml:space="preserve">A previous Mendelian randomization study found little evidence that genetic variants that proxy for ezetimibe affect risk of Alzheimer’s disease (OR: 1.17, 95%CI: 0.73-1.87),</w:t>
      </w:r>
      <w:hyperlink w:anchor="ref-williams2020">
        <w:r>
          <w:rPr>
            <w:rStyle w:val="Hyperlink"/>
            <w:vertAlign w:val="superscript"/>
          </w:rPr>
          <w:t xml:space="preserve">313</w:t>
        </w:r>
      </w:hyperlink>
      <w:r>
        <w:t xml:space="preserve"> </w:t>
      </w:r>
      <w:r>
        <w:t xml:space="preserve">consistent with our findings. Note that this study was published in 2020 and so was not included in the review.</w:t>
      </w:r>
    </w:p>
    <w:p>
      <w:pPr>
        <w:pStyle w:val="BodyText"/>
      </w:pPr>
      <w:r>
        <w:t xml:space="preserve"> </w:t>
      </w:r>
    </w:p>
    <w:bookmarkEnd w:id="286"/>
    <w:bookmarkEnd w:id="287"/>
    <w:bookmarkStart w:id="293" w:name="quantitative-triangulation-1"/>
    <w:p>
      <w:pPr>
        <w:pStyle w:val="Heading3"/>
      </w:pPr>
      <w:r>
        <w:t xml:space="preserve">Quantitative triangulation</w:t>
      </w:r>
    </w:p>
    <w:bookmarkStart w:id="288" w:name="single-study"/>
    <w:p>
      <w:pPr>
        <w:pStyle w:val="Heading4"/>
      </w:pPr>
      <w:r>
        <w:t xml:space="preserve">Single study</w:t>
      </w:r>
    </w:p>
    <w:p>
      <w:pPr>
        <w:pStyle w:val="FirstParagraph"/>
      </w:pPr>
      <w:r>
        <w:t xml:space="preserve">Explain how example study was chosen</w:t>
      </w:r>
    </w:p>
    <w:p>
      <w:pPr>
        <w:pStyle w:val="BodyText"/>
      </w:pPr>
      <w:r>
        <w:t xml:space="preserve">Show result and bias</w:t>
      </w:r>
    </w:p>
    <w:p>
      <w:pPr>
        <w:pStyle w:val="BodyText"/>
      </w:pPr>
      <w:r>
        <w:t xml:space="preserve">Reproduce version of Table 2 rom the</w:t>
      </w:r>
      <w:r>
        <w:t xml:space="preserve"> </w:t>
      </w:r>
      <w:r>
        <w:t xml:space="preserve">“</w:t>
      </w:r>
      <w:r>
        <w:t xml:space="preserve">proposed method</w:t>
      </w:r>
      <w:r>
        <w:t xml:space="preserve">”</w:t>
      </w:r>
      <w:r>
        <w:t xml:space="preserve"> </w:t>
      </w:r>
      <w:r>
        <w:t xml:space="preserve">paper for indirectness</w:t>
      </w:r>
    </w:p>
    <w:p>
      <w:pPr>
        <w:pStyle w:val="BodyText"/>
      </w:pPr>
      <w:r>
        <w:t xml:space="preserve">Calculate internal-bias adjusted</w:t>
      </w:r>
    </w:p>
    <w:p>
      <w:pPr>
        <w:pStyle w:val="BodyText"/>
      </w:pPr>
      <w:r>
        <w:t xml:space="preserve">Calculate both-adjusted</w:t>
      </w:r>
    </w:p>
    <w:p>
      <w:pPr>
        <w:pStyle w:val="BodyText"/>
      </w:pPr>
      <w:r>
        <w:t xml:space="preserve"> </w:t>
      </w:r>
    </w:p>
    <w:bookmarkEnd w:id="288"/>
    <w:bookmarkStart w:id="290" w:name="causal-question-1"/>
    <w:p>
      <w:pPr>
        <w:pStyle w:val="Heading4"/>
      </w:pPr>
      <w:r>
        <w:t xml:space="preserve">Causal question #1</w:t>
      </w:r>
    </w:p>
    <w:p>
      <w:pPr>
        <w:pStyle w:val="FirstParagraph"/>
      </w:pPr>
      <w:r>
        <w:t xml:space="preserve">Midlife LDL-c on Alzheimer’s disease</w:t>
      </w:r>
    </w:p>
    <w:p>
      <w:pPr>
        <w:pStyle w:val="BodyText"/>
      </w:pPr>
      <w:r>
        <w:t xml:space="preserve"> </w:t>
      </w:r>
    </w:p>
    <w:p>
      <w:pPr>
        <w:pStyle w:val="BodyText"/>
      </w:pPr>
      <w:r>
        <w:t xml:space="preserve">(ref:ldlAdBiasDirection-scap) Bias direction plot, summarising internal biases related to the</w:t>
      </w:r>
    </w:p>
    <w:p>
      <w:pPr>
        <w:pStyle w:val="BodyText"/>
      </w:pPr>
      <w:r>
        <w:drawing>
          <wp:inline>
            <wp:extent cx="5943600" cy="4075611"/>
            <wp:effectExtent b="0" l="0" r="0" t="0"/>
            <wp:docPr descr="Figure 36: Bias direction plot, summarising internal biases related to effect of LDL-c on Alzheimer’s disease :" title="" id="1" name="Picture"/>
            <a:graphic>
              <a:graphicData uri="http://schemas.openxmlformats.org/drawingml/2006/picture">
                <pic:pic>
                  <pic:nvPicPr>
                    <pic:cNvPr descr="figures/tri/midlife_AD.png" id="0" name="Picture"/>
                    <pic:cNvPicPr>
                      <a:picLocks noChangeArrowheads="1" noChangeAspect="1"/>
                    </pic:cNvPicPr>
                  </pic:nvPicPr>
                  <pic:blipFill>
                    <a:blip r:embed="rId289"/>
                    <a:stretch>
                      <a:fillRect/>
                    </a:stretch>
                  </pic:blipFill>
                  <pic:spPr bwMode="auto">
                    <a:xfrm>
                      <a:off x="0" y="0"/>
                      <a:ext cx="5943600" cy="4075611"/>
                    </a:xfrm>
                    <a:prstGeom prst="rect">
                      <a:avLst/>
                    </a:prstGeom>
                    <a:noFill/>
                    <a:ln w="9525">
                      <a:noFill/>
                      <a:headEnd/>
                      <a:tailEnd/>
                    </a:ln>
                  </pic:spPr>
                </pic:pic>
              </a:graphicData>
            </a:graphic>
          </wp:inline>
        </w:drawing>
      </w:r>
      <w:r>
        <w:t xml:space="preserve"> </w:t>
      </w:r>
      <w:r>
        <w:t xml:space="preserve"> </w:t>
      </w:r>
    </w:p>
    <w:p>
      <w:pPr>
        <w:pStyle w:val="BodyText"/>
      </w:pPr>
      <w:r>
        <w:t xml:space="preserve">Including sensitivity analyses</w:t>
      </w:r>
    </w:p>
    <w:p>
      <w:pPr>
        <w:pStyle w:val="BodyText"/>
      </w:pPr>
      <w:r>
        <w:t xml:space="preserve">and citations of studies - going to be a bit of pain</w:t>
      </w:r>
    </w:p>
    <w:p>
      <w:pPr>
        <w:pStyle w:val="BodyText"/>
      </w:pPr>
      <w:r>
        <w:t xml:space="preserve">As expected</w:t>
      </w:r>
    </w:p>
    <w:p>
      <w:pPr>
        <w:pStyle w:val="BodyText"/>
      </w:pPr>
      <w:r>
        <w:t xml:space="preserve"> </w:t>
      </w:r>
    </w:p>
    <w:bookmarkEnd w:id="290"/>
    <w:bookmarkStart w:id="292" w:name="causal-question-2"/>
    <w:p>
      <w:pPr>
        <w:pStyle w:val="Heading4"/>
      </w:pPr>
      <w:r>
        <w:t xml:space="preserve">Causal question #2</w:t>
      </w:r>
    </w:p>
    <w:p>
      <w:pPr>
        <w:pStyle w:val="FirstParagraph"/>
      </w:pPr>
      <w:r>
        <w:drawing>
          <wp:inline>
            <wp:extent cx="1447800" cy="1739900"/>
            <wp:effectExtent b="0" l="0" r="0" t="0"/>
            <wp:docPr descr="(#fig:ldlDemBiasDirection)Effect of LDL-c on All-cause dementia in late life:" title="" id="1" name="Picture"/>
            <a:graphic>
              <a:graphicData uri="http://schemas.openxmlformats.org/drawingml/2006/picture">
                <pic:pic>
                  <pic:nvPicPr>
                    <pic:cNvPr descr="figures/misc/UoBcrest.pdf" id="0" name="Picture"/>
                    <pic:cNvPicPr>
                      <a:picLocks noChangeArrowheads="1" noChangeAspect="1"/>
                    </pic:cNvPicPr>
                  </pic:nvPicPr>
                  <pic:blipFill>
                    <a:blip r:embed="rId291"/>
                    <a:stretch>
                      <a:fillRect/>
                    </a:stretch>
                  </pic:blipFill>
                  <pic:spPr bwMode="auto">
                    <a:xfrm>
                      <a:off x="0" y="0"/>
                      <a:ext cx="1447800" cy="1739900"/>
                    </a:xfrm>
                    <a:prstGeom prst="rect">
                      <a:avLst/>
                    </a:prstGeom>
                    <a:noFill/>
                    <a:ln w="9525">
                      <a:noFill/>
                      <a:headEnd/>
                      <a:tailEnd/>
                    </a:ln>
                  </pic:spPr>
                </pic:pic>
              </a:graphicData>
            </a:graphic>
          </wp:inline>
        </w:drawing>
      </w:r>
      <w:r>
        <w:t xml:space="preserve"> </w:t>
      </w:r>
    </w:p>
    <w:p>
      <w:pPr>
        <w:pStyle w:val="BodyText"/>
      </w:pPr>
      <w:r>
        <w:t xml:space="preserve"> </w:t>
      </w:r>
    </w:p>
    <w:bookmarkEnd w:id="292"/>
    <w:bookmarkEnd w:id="293"/>
    <w:bookmarkEnd w:id="294"/>
    <w:bookmarkStart w:id="308" w:name="discussion-4"/>
    <w:p>
      <w:pPr>
        <w:pStyle w:val="Heading2"/>
      </w:pPr>
      <w:r>
        <w:t xml:space="preserve">Discussion</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Main takeaway is that heterogeneity between study designs is substantially reduced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Start w:id="295" w:name="summary-of-findings-3"/>
    <w:p>
      <w:pPr>
        <w:pStyle w:val="Heading3"/>
      </w:pPr>
      <w:r>
        <w:t xml:space="preserve">Summary of findings</w:t>
      </w:r>
    </w:p>
    <w:p>
      <w:pPr>
        <w:pStyle w:val="FirstParagraph"/>
      </w:pPr>
      <w:r>
        <w:t xml:space="preserve">Thsi chapter has narratiely synthesised the exsiting and new evidence from the previous chapters, highlighting the lim</w:t>
      </w:r>
    </w:p>
    <w:p>
      <w:pPr>
        <w:pStyle w:val="BodyText"/>
      </w:pPr>
      <w:r>
        <w:t xml:space="preserve">In addition, it has sought to provide a generalised framework for quantitative triangulation, building on existing methods for systematic domain-based risk of bias assessment and bias-/indirectness-adjusted meta-analysis.</w:t>
      </w:r>
    </w:p>
    <w:p>
      <w:pPr>
        <w:pStyle w:val="BodyText"/>
      </w:pPr>
      <w:r>
        <w:t xml:space="preserve">Future quantitative triangulation should move beyond the concept of comparing results at the approach level, and instead focus on the inherent threats to internal validity present in each specific result relevant to the causal question. While this makes the process both more labour intensive and complex, to assume that, for example, all retrospective studies are equally at risk is to overlook.</w:t>
      </w:r>
    </w:p>
    <w:p>
      <w:pPr>
        <w:pStyle w:val="BodyText"/>
      </w:pPr>
      <w:r>
        <w:t xml:space="preserve"> </w:t>
      </w:r>
    </w:p>
    <w:bookmarkEnd w:id="295"/>
    <w:bookmarkStart w:id="303" w:name="limitations-and-strengths"/>
    <w:p>
      <w:pPr>
        <w:pStyle w:val="Heading3"/>
      </w:pPr>
      <w:r>
        <w:t xml:space="preserve">Limitations and strengths</w:t>
      </w:r>
    </w:p>
    <w:bookmarkStart w:id="296" w:name="Xd55a0a1ef4c96b3ce7c7fef2ab10fa6ef756309"/>
    <w:p>
      <w:pPr>
        <w:pStyle w:val="Heading4"/>
      </w:pPr>
      <w:r>
        <w:t xml:space="preserve">Problems with quantitative triangulation approach</w:t>
      </w:r>
    </w:p>
    <w:p>
      <w:pPr>
        <w:pStyle w:val="FirstParagraph"/>
      </w:pPr>
      <w:r>
        <w:t xml:space="preserve">Missing natural variation obtained from elicitation approach. Trade-off between systematic approach presented here and personal variation obtained from several reviewers.</w:t>
      </w:r>
    </w:p>
    <w:p>
      <w:pPr>
        <w:pStyle w:val="BodyText"/>
      </w:pPr>
      <w:r>
        <w:t xml:space="preserve">A potential combination between the two would be to use the variation in risk-of-bias assessments</w:t>
      </w:r>
    </w:p>
    <w:p>
      <w:pPr>
        <w:pStyle w:val="BodyText"/>
      </w:pPr>
      <w:r>
        <w:t xml:space="preserve">Elicitation and bias-adjusted not as favoured versus weighting</w:t>
      </w:r>
      <w:hyperlink w:anchor="ref-stone2020">
        <w:r>
          <w:rPr>
            <w:rStyle w:val="Hyperlink"/>
            <w:vertAlign w:val="superscript"/>
          </w:rPr>
          <w:t xml:space="preserve">314</w:t>
        </w:r>
      </w:hyperlink>
      <w:r>
        <w:t xml:space="preserve"> </w:t>
      </w:r>
      <w:r>
        <w:t xml:space="preserve"> </w:t>
      </w:r>
      <w:r>
        <w:t xml:space="preserve">though weighting at the overall risk-of-bias level loses some of the information contained in domain-level based assessments.</w:t>
      </w:r>
    </w:p>
    <w:p>
      <w:pPr>
        <w:pStyle w:val="BodyText"/>
      </w:pPr>
      <w:r>
        <w:t xml:space="preserve">No good information on what the potential distributions for different levels of bias (High vs Moderate vs Low) should be.</w:t>
      </w:r>
    </w:p>
    <w:p>
      <w:pPr>
        <w:pStyle w:val="BodyText"/>
      </w:pPr>
      <w:r>
        <w:t xml:space="preserve">Meta-epidemiological studies on the effect of different methodological issues on results exist for randomised controlled trials,</w:t>
      </w:r>
      <w:hyperlink w:anchor="ref-amer2021">
        <w:r>
          <w:rPr>
            <w:rStyle w:val="Hyperlink"/>
            <w:vertAlign w:val="superscript"/>
          </w:rPr>
          <w:t xml:space="preserve">315</w:t>
        </w:r>
      </w:hyperlink>
      <w:r>
        <w:rPr>
          <w:vertAlign w:val="superscript"/>
        </w:rPr>
        <w:t xml:space="preserve">,</w:t>
      </w:r>
      <w:hyperlink w:anchor="ref-page2016">
        <w:r>
          <w:rPr>
            <w:rStyle w:val="Hyperlink"/>
            <w:vertAlign w:val="superscript"/>
          </w:rPr>
          <w:t xml:space="preserve">316</w:t>
        </w:r>
      </w:hyperlink>
      <w:r>
        <w:t xml:space="preserve"> </w:t>
      </w:r>
      <w:r>
        <w:t xml:space="preserve">suggesting that X, Y and Z.</w:t>
      </w:r>
    </w:p>
    <w:p>
      <w:pPr>
        <w:pStyle w:val="BodyText"/>
      </w:pPr>
      <w:r>
        <w:t xml:space="preserve">However, there is substantially less , arguably because of the absence of clear</w:t>
      </w:r>
      <w:r>
        <w:t xml:space="preserve"> </w:t>
      </w:r>
      <w:r>
        <w:t xml:space="preserve">Many meta-epi studies of non-randomised studies assume bias at the study-design level, similar to the early triangulation frame-work, rather than considering the actual biases deemed to be present in a given result. In this scenario, study</w:t>
      </w:r>
    </w:p>
    <w:p>
      <w:pPr>
        <w:pStyle w:val="BodyText"/>
      </w:pPr>
      <w:r>
        <w:t xml:space="preserve">Potential future meta-epidemiology studies should begin to create these datasets.</w:t>
      </w:r>
    </w:p>
    <w:p>
      <w:pPr>
        <w:pStyle w:val="BodyText"/>
      </w:pPr>
      <w:r>
        <w:t xml:space="preserve">A key example of a useful future study in this domain would be the mining of maximally adjusted vs. unadjusted estimates from abstracts from primary studies to assess the impact of insufficient confounding by topic. However, these datasets could also be built from systematic reviews of a topic, as they would already be gruped by reserach domain and provided the risk of bias data is shared, provide a ready source of information</w:t>
      </w:r>
    </w:p>
    <w:p>
      <w:pPr>
        <w:pStyle w:val="BodyText"/>
      </w:pPr>
      <w:r>
        <w:t xml:space="preserve">For example, if it was . New software for performing risk of bias assessments, being developed by the Bristol Appraisal and Review of Research group has this as a secondary methodological aim.</w:t>
      </w:r>
    </w:p>
    <w:p>
      <w:pPr>
        <w:pStyle w:val="BodyText"/>
      </w:pPr>
      <w:r>
        <w:t xml:space="preserve">This approach has a number of advantages. One of the key ones is modifying distributions of each level of bias could be defined</w:t>
      </w:r>
      <w:r>
        <w:t xml:space="preserve"> </w:t>
      </w:r>
      <w:r>
        <w:rPr>
          <w:iCs/>
          <w:i/>
        </w:rPr>
        <w:t xml:space="preserve">a priori</w:t>
      </w:r>
      <w:r>
        <w:t xml:space="preserve"> </w:t>
      </w:r>
      <w:r>
        <w:t xml:space="preserve">in contrast to the .</w:t>
      </w:r>
    </w:p>
    <w:p>
      <w:pPr>
        <w:pStyle w:val="BodyText"/>
      </w:pPr>
      <w:r>
        <w:t xml:space="preserve">In addition, the generalised framework will allow for</w:t>
      </w:r>
    </w:p>
    <w:p>
      <w:pPr>
        <w:pStyle w:val="BodyText"/>
      </w:pPr>
      <w:r>
        <w:t xml:space="preserve">Appreciation that both the risk of bias and indirectness of a result should be assessed is growing. Indeed, some existing risk of bias for the assessment of diagnostic test accurary</w:t>
      </w:r>
      <w:hyperlink w:anchor="ref-whiting2011a">
        <w:r>
          <w:rPr>
            <w:rStyle w:val="Hyperlink"/>
            <w:vertAlign w:val="superscript"/>
          </w:rPr>
          <w:t xml:space="preserve">317</w:t>
        </w:r>
      </w:hyperlink>
      <w:r>
        <w:t xml:space="preserve"> </w:t>
      </w:r>
      <w:r>
        <w:t xml:space="preserve">and prediction models</w:t>
      </w:r>
      <w:hyperlink w:anchor="ref-moons2019">
        <w:r>
          <w:rPr>
            <w:rStyle w:val="Hyperlink"/>
            <w:vertAlign w:val="superscript"/>
          </w:rPr>
          <w:t xml:space="preserve">318</w:t>
        </w:r>
      </w:hyperlink>
      <w:r>
        <w:t xml:space="preserve"> </w:t>
      </w:r>
      <w:r>
        <w:t xml:space="preserve">consider indirectness (termed applicability in these tools) alongside the assessment of bias.</w:t>
      </w:r>
      <w:r>
        <w:t xml:space="preserve"> </w:t>
      </w:r>
    </w:p>
    <w:p>
      <w:pPr>
        <w:pStyle w:val="BodyText"/>
      </w:pPr>
      <w:r>
        <w:t xml:space="preserve"> </w:t>
      </w:r>
    </w:p>
    <w:bookmarkEnd w:id="296"/>
    <w:bookmarkStart w:id="297" w:name="subjectivity-of-risk-of-bias-assessments"/>
    <w:p>
      <w:pPr>
        <w:pStyle w:val="Heading4"/>
      </w:pPr>
      <w:r>
        <w:t xml:space="preserve">Subjectivity of risk of bias assessments</w:t>
      </w:r>
    </w:p>
    <w:p>
      <w:pPr>
        <w:pStyle w:val="FirstParagraph"/>
      </w:pPr>
      <w:r>
        <w:t xml:space="preserve">By definition, . In this case of this proof-of-concept analysis, the direction of bias was assessed by a single assessor. If attempting to impact policy, the</w:t>
      </w:r>
    </w:p>
    <w:p>
      <w:pPr>
        <w:pStyle w:val="BodyText"/>
      </w:pPr>
      <w:r>
        <w:t xml:space="preserve"> </w:t>
      </w:r>
    </w:p>
    <w:bookmarkEnd w:id="297"/>
    <w:bookmarkStart w:id="298" w:name="X1d53158c6e382e184bc3f30cf807213237a4617"/>
    <w:p>
      <w:pPr>
        <w:pStyle w:val="Heading4"/>
      </w:pPr>
      <w:r>
        <w:t xml:space="preserve">Defining appropriate values for bias/indirectness adjustment</w:t>
      </w:r>
    </w:p>
    <w:p>
      <w:pPr>
        <w:pStyle w:val="FirstParagraph"/>
      </w:pPr>
      <w:r>
        <w:t xml:space="preserve">Much of the attention to date has been on assessing the impact of different sources of bias on effect estimates has focused predominantly on randomised controlled trials.</w:t>
      </w:r>
    </w:p>
    <w:p>
      <w:pPr>
        <w:pStyle w:val="BodyText"/>
      </w:pPr>
      <w:r>
        <w:t xml:space="preserve">For example, a study examining the effect of found that only a subset of domains appear to impact the result, and that this effect is modest (10% change).</w:t>
      </w:r>
      <w:hyperlink w:anchor="ref-savovic2018">
        <w:r>
          <w:rPr>
            <w:rStyle w:val="Hyperlink"/>
            <w:vertAlign w:val="superscript"/>
          </w:rPr>
          <w:t xml:space="preserve">319</w:t>
        </w:r>
      </w:hyperlink>
      <w:r>
        <w:t xml:space="preserve"> </w:t>
      </w:r>
      <w:r>
        <w:t xml:space="preserve">However, this work examined RCTs, and these findings may not hold for other non-randomised study designs.</w:t>
      </w:r>
      <w:r>
        <w:t xml:space="preserve"> </w:t>
      </w:r>
    </w:p>
    <w:p>
      <w:pPr>
        <w:pStyle w:val="BodyText"/>
      </w:pPr>
      <w:r>
        <w:t xml:space="preserve">A further issue is the</w:t>
      </w:r>
      <w:r>
        <w:t xml:space="preserve"> </w:t>
      </w:r>
      <w:r>
        <w:t xml:space="preserve">“</w:t>
      </w:r>
      <w:r>
        <w:t xml:space="preserve">Low</w:t>
      </w:r>
      <w:r>
        <w:t xml:space="preserve">”</w:t>
      </w:r>
      <w:r>
        <w:t xml:space="preserve"> </w:t>
      </w:r>
      <w:r>
        <w:t xml:space="preserve">risk of bias domain. In this proof-of-concept analysis, I assumed that domains at</w:t>
      </w:r>
      <w:r>
        <w:t xml:space="preserve"> </w:t>
      </w:r>
      <w:r>
        <w:t xml:space="preserve">“</w:t>
      </w:r>
      <w:r>
        <w:t xml:space="preserve">Low</w:t>
      </w:r>
      <w:r>
        <w:t xml:space="preserve">”</w:t>
      </w:r>
      <w:r>
        <w:t xml:space="preserve"> </w:t>
      </w:r>
      <w:r>
        <w:t xml:space="preserve">risk of bias did not require any adjustment. However,</w:t>
      </w:r>
      <w:r>
        <w:t xml:space="preserve"> </w:t>
      </w:r>
      <w:r>
        <w:t xml:space="preserve">“</w:t>
      </w:r>
      <w:r>
        <w:t xml:space="preserve">Low</w:t>
      </w:r>
      <w:r>
        <w:t xml:space="preserve">”</w:t>
      </w:r>
      <w:r>
        <w:t xml:space="preserve"> </w:t>
      </w:r>
      <w:r>
        <w:t xml:space="preserve">risk of bias is not equivalent to the absence of bias, and potentially should still be adjusted for. In this case, defining the predicted direction of bias would be challenging in the absence of obvious sources of bias (particularly given how challenging it can be when sources of bias are evident within a domain).</w:t>
      </w:r>
    </w:p>
    <w:p>
      <w:pPr>
        <w:pStyle w:val="BodyText"/>
      </w:pPr>
      <w:r>
        <w:t xml:space="preserve">In previous attempts at bias/indirectness-adjusted meta-analysis, the extent to each was assessed via a elicitation process using a number of experts. This approach is potentially subject to misclassification of the impact of bias on the basis of the results, as there is no way to ensure that results at a similar level of bias for confounding (for example) are being adjusted by the same amount. For example, if experts are influenced by the absolute effect estimate, then a result demonstrating a stronger protective effect may receive greater modification than a study at the same</w:t>
      </w:r>
      <w:r>
        <w:t xml:space="preserve"> </w:t>
      </w:r>
      <w:r>
        <w:t xml:space="preserve">“</w:t>
      </w:r>
      <w:r>
        <w:t xml:space="preserve">risk</w:t>
      </w:r>
      <w:r>
        <w:t xml:space="preserve">”</w:t>
      </w:r>
      <w:r>
        <w:t xml:space="preserve"> </w:t>
      </w:r>
      <w:r>
        <w:t xml:space="preserve">of confounding but with a more modest effect. This is particular true where experts have preconceived ideas about the true effectiveness of the intervention.</w:t>
      </w:r>
    </w:p>
    <w:p>
      <w:pPr>
        <w:pStyle w:val="BodyText"/>
      </w:pPr>
      <w:r>
        <w:t xml:space="preserve">In this case, separating the assessment of bias from the assignment of modifying values to each level of bias will limit the potential for. Alternatively, reasonable modifying distributions for each level of bias could be defined</w:t>
      </w:r>
      <w:r>
        <w:t xml:space="preserve"> </w:t>
      </w:r>
      <w:r>
        <w:rPr>
          <w:iCs/>
          <w:i/>
        </w:rPr>
        <w:t xml:space="preserve">a priori</w:t>
      </w:r>
      <w:r>
        <w:t xml:space="preserve"> </w:t>
      </w:r>
      <w:r>
        <w:t xml:space="preserve">by the study team, similar to how important confounders and co-interventions are defined in advance when performing ROBINS-I/ROBINS-E assessments.</w:t>
      </w:r>
    </w:p>
    <w:p>
      <w:pPr>
        <w:pStyle w:val="BodyText"/>
      </w:pPr>
      <w:r>
        <w:t xml:space="preserve">In the mean time, the extent of the impact of knowledge of the results could be analysed using existing data. For example, a re-analysis of the data presented in a recent paper where both expert eliciation and structured</w:t>
      </w:r>
    </w:p>
    <w:p>
      <w:pPr>
        <w:pStyle w:val="BodyText"/>
      </w:pPr>
      <w:r>
        <w:t xml:space="preserve">Similar there are several examples of usmeta to define priors for other statistical terms in meta-analysis. For example, previous work has looked at het</w:t>
      </w:r>
    </w:p>
    <w:p>
      <w:pPr>
        <w:pStyle w:val="BodyText"/>
      </w:pPr>
      <w:r>
        <w:t xml:space="preserve">Like other studies examining the prior distributions of heterogeneity across different topic areas</w:t>
      </w:r>
      <w:r>
        <w:t xml:space="preserve"> </w:t>
      </w:r>
    </w:p>
    <w:p>
      <w:pPr>
        <w:pStyle w:val="BodyText"/>
      </w:pPr>
      <w:r>
        <w:t xml:space="preserve">Talk about different ways to define bias terms, using expert-elicitation vs .</w:t>
      </w:r>
      <w:hyperlink w:anchor="ref-rhodes2020">
        <w:r>
          <w:rPr>
            <w:rStyle w:val="Hyperlink"/>
            <w:vertAlign w:val="superscript"/>
          </w:rPr>
          <w:t xml:space="preserve">320</w:t>
        </w:r>
      </w:hyperlink>
    </w:p>
    <w:p>
      <w:pPr>
        <w:pStyle w:val="BodyText"/>
      </w:pPr>
      <w:r>
        <w:t xml:space="preserve">Also, talk about the fact that much of the bias-adjusted analysis work to date has been done on trials. Describe reasons for this but highlight that for triangulation, there needs to be better coverage of</w:t>
      </w:r>
    </w:p>
    <w:p>
      <w:pPr>
        <w:pStyle w:val="BodyText"/>
      </w:pPr>
      <w:r>
        <w:t xml:space="preserve"> </w:t>
      </w:r>
    </w:p>
    <w:bookmarkEnd w:id="298"/>
    <w:bookmarkStart w:id="299" w:name="X0d160a63e4109bd2c86d6323b8df73470cc06b8"/>
    <w:p>
      <w:pPr>
        <w:pStyle w:val="Heading4"/>
      </w:pPr>
      <w:r>
        <w:t xml:space="preserve">Exclusion of studies at critical risk of bias</w:t>
      </w:r>
    </w:p>
    <w:p>
      <w:pPr>
        <w:pStyle w:val="FirstParagraph"/>
      </w:pPr>
      <w:r>
        <w:t xml:space="preserve">As illustrated in Table</w:t>
      </w:r>
      <w:r>
        <w:t xml:space="preserve"> </w:t>
      </w:r>
      <w:r>
        <w:t xml:space="preserve">20</w:t>
      </w:r>
      <w:r>
        <w:t xml:space="preserve">, studies at critical risk of bias were not included in the analysis.</w:t>
      </w:r>
    </w:p>
    <w:p>
      <w:pPr>
        <w:pStyle w:val="BodyText"/>
      </w:pPr>
      <w:r>
        <w:t xml:space="preserve">one potential limitation of the - however, the estimation of an appropriate adjustment value for these studies would be substantially more challenging.</w:t>
      </w:r>
    </w:p>
    <w:p>
      <w:pPr>
        <w:pStyle w:val="BodyText"/>
      </w:pPr>
      <w:r>
        <w:t xml:space="preserve">In any case, it represented a small number of studies.s</w:t>
      </w:r>
    </w:p>
    <w:p>
      <w:pPr>
        <w:pStyle w:val="BodyText"/>
      </w:pPr>
      <w:r>
        <w:t xml:space="preserve"> </w:t>
      </w:r>
    </w:p>
    <w:bookmarkEnd w:id="299"/>
    <w:bookmarkStart w:id="300" w:name="X162037864558da9e20a3d5693aabc7e3fe248a8"/>
    <w:p>
      <w:pPr>
        <w:pStyle w:val="Heading4"/>
      </w:pPr>
      <w:r>
        <w:t xml:space="preserve">Type of bias (proportional vs additive) not shown on bias direction plot</w:t>
      </w:r>
    </w:p>
    <w:p>
      <w:pPr>
        <w:pStyle w:val="FirstParagraph"/>
      </w:pPr>
      <w:r>
        <w:t xml:space="preserve">In contrast</w:t>
      </w:r>
    </w:p>
    <w:p>
      <w:pPr>
        <w:pStyle w:val="BodyText"/>
      </w:pPr>
      <w:r>
        <w:t xml:space="preserve">The graphics shown in Section @ref() do not show the type of bias (additive or proportional), only the direction. While this is acceptable, future work could assess, potentially by using different arrow types to denote the different types of bias.</w:t>
      </w:r>
    </w:p>
    <w:p>
      <w:pPr>
        <w:pStyle w:val="BodyText"/>
      </w:pPr>
      <w:r>
        <w:t xml:space="preserve">A key strength of this project is the development of a standardised way of capturing bias domains and converting the.</w:t>
      </w:r>
    </w:p>
    <w:p>
      <w:pPr>
        <w:pStyle w:val="BodyText"/>
      </w:pPr>
      <w:r>
        <w:t xml:space="preserve">Helper functions in the triangulate package convert risk-of-bias assessment</w:t>
      </w:r>
    </w:p>
    <w:p>
      <w:pPr>
        <w:pStyle w:val="BodyText"/>
      </w:pPr>
      <w:r>
        <w:t xml:space="preserve"> </w:t>
      </w:r>
    </w:p>
    <w:bookmarkEnd w:id="300"/>
    <w:bookmarkStart w:id="301" w:name="challenges-of-real-life-data"/>
    <w:p>
      <w:pPr>
        <w:pStyle w:val="Heading4"/>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p>
      <w:pPr>
        <w:pStyle w:val="BodyText"/>
      </w:pPr>
      <w:r>
        <w:t xml:space="preserve">I hope this presents step forward in how researchers think about and visualise triangulation at the result level, rather than simply saying that certain</w:t>
      </w:r>
    </w:p>
    <w:p>
      <w:pPr>
        <w:pStyle w:val="BodyText"/>
      </w:pPr>
      <w:r>
        <w:t xml:space="preserve"> </w:t>
      </w:r>
    </w:p>
    <w:bookmarkEnd w:id="301"/>
    <w:bookmarkStart w:id="302" w:name="standardisation-across-study-designs"/>
    <w:p>
      <w:pPr>
        <w:pStyle w:val="Heading4"/>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different measures</w:t>
      </w:r>
    </w:p>
    <w:p>
      <w:pPr>
        <w:pStyle w:val="BodyText"/>
      </w:pPr>
      <w:r>
        <w:t xml:space="preserve">Fixing directions of effect - get everything pointing the same way</w:t>
      </w:r>
    </w:p>
    <w:p>
      <w:pPr>
        <w:pStyle w:val="BodyText"/>
      </w:pPr>
      <w:r>
        <w:t xml:space="preserve"> </w:t>
      </w:r>
    </w:p>
    <w:bookmarkEnd w:id="302"/>
    <w:bookmarkEnd w:id="303"/>
    <w:bookmarkStart w:id="304" w:name="related-approaches"/>
    <w:p>
      <w:pPr>
        <w:pStyle w:val="Heading3"/>
      </w:pPr>
      <w:r>
        <w:t xml:space="preserve">Related approaches</w:t>
      </w:r>
    </w:p>
    <w:p>
      <w:pPr>
        <w:pStyle w:val="FirstParagraph"/>
      </w:pPr>
      <w:r>
        <w:t xml:space="preserve"> </w:t>
      </w:r>
    </w:p>
    <w:p>
      <w:r>
        <w:br w:type="page"/>
      </w:r>
    </w:p>
    <w:bookmarkEnd w:id="304"/>
    <w:bookmarkStart w:id="305" w:name="need-for-new-method"/>
    <w:p>
      <w:pPr>
        <w:pStyle w:val="Heading3"/>
      </w:pPr>
      <w:r>
        <w:t xml:space="preserve">Need for new method</w:t>
      </w:r>
    </w:p>
    <w:p>
      <w:pPr>
        <w:pStyle w:val="FirstParagraph"/>
      </w:pPr>
      <w:r>
        <w:t xml:space="preserve">As the need and appetite for synthesis of different, future iterations of the risk of bias tools should take this into account. Simple steps like harmonising the risk of bias levels across tools would be a good first move towards a more integrate suite of tools. Similarly, software that implements the risk-of-bias tools should both allow for direction of bias question and carefully consider how this data will be exported.</w:t>
      </w:r>
    </w:p>
    <w:p>
      <w:pPr>
        <w:pStyle w:val="BodyText"/>
      </w:pPr>
      <w:r>
        <w:t xml:space="preserve">Can I suggest any empirical studies that need to be performed? Average strength of immortal time bias/etc?</w:t>
      </w:r>
    </w:p>
    <w:p>
      <w:pPr>
        <w:pStyle w:val="BodyText"/>
      </w:pPr>
      <w:r>
        <w:t xml:space="preserve">While the limitations inherent to this method are important, and limit the , they reflect a more detailed appreciation of the complexities of risk of bias assessment and triangulation as whole (i.e. not applying expected directions of effects to an entire category of studies ).</w:t>
      </w:r>
    </w:p>
    <w:p>
      <w:pPr>
        <w:pStyle w:val="BodyText"/>
      </w:pPr>
      <w:r>
        <w:t xml:space="preserve">This approach also builds on existing approaches employed previously by</w:t>
      </w:r>
      <w:r>
        <w:t xml:space="preserve"> </w:t>
      </w:r>
      <w:r>
        <w:t xml:space="preserve">“</w:t>
      </w:r>
      <w:r>
        <w:t xml:space="preserve">exploding out</w:t>
      </w:r>
      <w:r>
        <w:t xml:space="preserve">”</w:t>
      </w:r>
      <w:r>
        <w:t xml:space="preserve"> </w:t>
      </w:r>
      <w:r>
        <w:t xml:space="preserve">the results of a systematic review/meta-analysis and considering the effects of bias in each individual result separately. This more granular approach is to be preferred over assigning a bias judgement and direction to the summary effect produced by a meta-analysis, which may mask the different biases applicable to each unique result.</w:t>
      </w:r>
    </w:p>
    <w:p>
      <w:pPr>
        <w:pStyle w:val="BodyText"/>
      </w:pPr>
      <w:r>
        <w:t xml:space="preserve"> </w:t>
      </w:r>
    </w:p>
    <w:bookmarkEnd w:id="305"/>
    <w:bookmarkStart w:id="306" w:name="filling-in-the-gaps"/>
    <w:p>
      <w:pPr>
        <w:pStyle w:val="Heading3"/>
      </w:pPr>
      <w:r>
        <w:t xml:space="preserve">Filling in the gaps</w:t>
      </w:r>
    </w:p>
    <w:p>
      <w:pPr>
        <w:pStyle w:val="FirstParagraph"/>
      </w:pPr>
      <w:r>
        <w:t xml:space="preserve">Triangulation, both qualitative and quantitative, should be considered an extension of evidence synthesis, and so. Triangulation exercises should be based on comprehensive systematic reviews to create. If needed, evidence gaps can be addressed through additional studies, as in the case of this analysis,</w:t>
      </w:r>
    </w:p>
    <w:bookmarkEnd w:id="306"/>
    <w:bookmarkStart w:id="307" w:name="outputs"/>
    <w:p>
      <w:pPr>
        <w:pStyle w:val="Heading3"/>
      </w:pPr>
      <w:r>
        <w:t xml:space="preserve">Outputs</w:t>
      </w:r>
    </w:p>
    <w:p>
      <w:pPr>
        <w:pStyle w:val="FirstParagraph"/>
      </w:pPr>
      <w:r>
        <w:t xml:space="preserve">Software</w:t>
      </w:r>
    </w:p>
    <w:p>
      <w:pPr>
        <w:pStyle w:val="BodyText"/>
      </w:pPr>
      <w:r>
        <w:t xml:space="preserve">Annotated example dataset</w:t>
      </w:r>
    </w:p>
    <w:p>
      <w:pPr>
        <w:pStyle w:val="BodyText"/>
      </w:pPr>
      <w:r>
        <w:t xml:space="preserve">this ties in with the open data sharing of the by-assessor elictation data from, which i sued in this analysis to frame the modifying values assigned to</w:t>
      </w:r>
    </w:p>
    <w:p>
      <w:pPr>
        <w:pStyle w:val="BodyText"/>
      </w:pPr>
      <w:r>
        <w:t xml:space="preserve">Generalised version of code, allowing for different distributions in each domain of bias (which will be handy once we get a better idea of what they should be).</w:t>
      </w:r>
    </w:p>
    <w:p>
      <w:pPr>
        <w:pStyle w:val="BodyText"/>
      </w:pPr>
      <w:r>
        <w:t xml:space="preserve"> </w:t>
      </w:r>
    </w:p>
    <w:bookmarkEnd w:id="307"/>
    <w:bookmarkEnd w:id="308"/>
    <w:bookmarkStart w:id="309" w:name="conclusion-1"/>
    <w:p>
      <w:pPr>
        <w:pStyle w:val="Heading2"/>
      </w:pPr>
      <w:r>
        <w:t xml:space="preserve">Conclusion</w:t>
      </w:r>
    </w:p>
    <w:p>
      <w:pPr>
        <w:pStyle w:val="FirstParagraph"/>
      </w:pPr>
      <w:r>
        <w:t xml:space="preserve">Triangulation is a promising developing field, somewhat hamstrung by the limited understanding of the impact of biases at the meta-epidemiological level.</w:t>
      </w:r>
    </w:p>
    <w:p>
      <w:pPr>
        <w:pStyle w:val="BodyText"/>
      </w:pPr>
      <w:r>
        <w:t xml:space="preserve">In this chapter, I have presented a new method of visualising both the level and expected direction of bias inherent to each result, and suggested how this could be incorporated with a bias-adjusted meta-analysis approach to work towards a generalised quantitative triangulation framework.</w:t>
      </w:r>
    </w:p>
    <w:p>
      <w:pPr>
        <w:pStyle w:val="BodyText"/>
      </w:pPr>
      <w:r>
        <w:t xml:space="preserve">Finally, I’ve highlighted the limitations of this method, as the correct distributions of modifying values in each risk-of-bias domain should be driven by meta-epidemiological studies which do not yet exist, framing them as opportunities for future research.</w:t>
      </w:r>
    </w:p>
    <w:p>
      <w:pPr>
        <w:pStyle w:val="BodyText"/>
      </w:pPr>
      <w:r>
        <w:t xml:space="preserve">This chapter has demonstrated a repurposed framework for quantitative triangulation, exploiting existing methods in evidence synthesis and developments in the assessment of different risks of bias.</w:t>
      </w:r>
    </w:p>
    <w:p>
      <w:pPr>
        <w:pStyle w:val="BodyText"/>
      </w:pPr>
      <w:r>
        <w:t xml:space="preserve">It also introduce a new way to visualise the biases at work in a particular result, rather than making assumptions about the type and directions of bias at the study design level as suggested by previous work on this topic.</w:t>
      </w:r>
    </w:p>
    <w:p>
      <w:pPr>
        <w:pStyle w:val="BodyText"/>
      </w:pPr>
      <w:r>
        <w:t xml:space="preserve">Finally, it highlighted the limitations of current methods for triangulation in the absence of informative priors for the impact of biases across the</w:t>
      </w:r>
    </w:p>
    <w:p>
      <w:pPr>
        <w:pStyle w:val="BodyText"/>
      </w:pPr>
      <w:r>
        <w:t xml:space="preserve">The implications of this work to clinical practice, public health and future research is considered in the following chapter.</w:t>
      </w:r>
    </w:p>
    <w:p>
      <w:r>
        <w:br w:type="page"/>
      </w:r>
    </w:p>
    <w:bookmarkEnd w:id="309"/>
    <w:bookmarkStart w:id="310" w:name="references-5"/>
    <w:p>
      <w:pPr>
        <w:pStyle w:val="Heading2"/>
      </w:pPr>
      <w:r>
        <w:t xml:space="preserve">References</w:t>
      </w:r>
    </w:p>
    <w:p>
      <w:pPr>
        <w:pStyle w:val="FirstParagraph"/>
      </w:pPr>
      <w:r>
        <w:t xml:space="preserve">— Hold — Hold</w:t>
      </w:r>
    </w:p>
    <w:bookmarkEnd w:id="310"/>
    <w:bookmarkEnd w:id="311"/>
    <w:bookmarkStart w:id="331" w:name="discussion-heading"/>
    <w:p>
      <w:pPr>
        <w:pStyle w:val="Heading1"/>
      </w:pPr>
      <w:r>
        <w:t xml:space="preserve">Discussion</w:t>
      </w:r>
    </w:p>
    <w:p>
      <w:pPr>
        <w:pStyle w:val="FirstParagraph"/>
      </w:pPr>
    </w:p>
    <w:p>
      <w:pPr>
        <w:pStyle w:val="BodyText"/>
      </w:pPr>
      <w:r>
        <w:t xml:space="preserve"> </w:t>
      </w:r>
    </w:p>
    <w:bookmarkStart w:id="312" w:name="lay-summary-6"/>
    <w:p>
      <w:pPr>
        <w:pStyle w:val="Heading2"/>
      </w:pPr>
      <w:r>
        <w:t xml:space="preserve">Lay summary</w:t>
      </w:r>
    </w:p>
    <w:p>
      <w:pPr>
        <w:pStyle w:val="FirstParagraph"/>
      </w:pPr>
      <w:r>
        <w:t xml:space="preserve">This chapter</w:t>
      </w:r>
    </w:p>
    <w:bookmarkEnd w:id="312"/>
    <w:bookmarkStart w:id="313" w:name="chapter-overview"/>
    <w:p>
      <w:pPr>
        <w:pStyle w:val="Heading2"/>
      </w:pPr>
      <w:r>
        <w:t xml:space="preserve">Chapter overview</w:t>
      </w:r>
    </w:p>
    <w:p>
      <w:pPr>
        <w:pStyle w:val="FirstParagraph"/>
      </w:pPr>
      <w:r>
        <w:t xml:space="preserve">In this chapter I will summarise the principal findings from my thesis,</w:t>
      </w:r>
    </w:p>
    <w:p>
      <w:pPr>
        <w:pStyle w:val="BodyText"/>
      </w:pPr>
      <w:r>
        <w:t xml:space="preserve">assess the unique contributions of this thesis to the field of research,</w:t>
      </w:r>
    </w:p>
    <w:p>
      <w:pPr>
        <w:pStyle w:val="BodyText"/>
      </w:pPr>
      <w:r>
        <w:t xml:space="preserve">discuss the implications for both clinical and public health policy,</w:t>
      </w:r>
    </w:p>
    <w:p>
      <w:pPr>
        <w:pStyle w:val="BodyText"/>
      </w:pPr>
      <w:r>
        <w:t xml:space="preserve">describe the overall strengths and limitations of this thesis as a whole,</w:t>
      </w:r>
    </w:p>
    <w:p>
      <w:pPr>
        <w:pStyle w:val="BodyText"/>
      </w:pPr>
      <w:r>
        <w:t xml:space="preserve">suggest avenues for impactful future research based on my findings and experiences.</w:t>
      </w:r>
    </w:p>
    <w:p>
      <w:pPr>
        <w:pStyle w:val="BodyText"/>
      </w:pPr>
      <w:r>
        <w:t xml:space="preserve"> </w:t>
      </w:r>
    </w:p>
    <w:bookmarkEnd w:id="313"/>
    <w:bookmarkStart w:id="314" w:name="summary-of-principal-findings"/>
    <w:p>
      <w:pPr>
        <w:pStyle w:val="Heading2"/>
      </w:pPr>
      <w:r>
        <w:t xml:space="preserve">Summary of principal findings</w:t>
      </w:r>
    </w:p>
    <w:p>
      <w:pPr>
        <w:pStyle w:val="FirstParagraph"/>
      </w:pPr>
      <w:r>
        <w:t xml:space="preserve">Given the detailed discussion</w:t>
      </w:r>
    </w:p>
    <w:p>
      <w:pPr>
        <w:pStyle w:val="BodyText"/>
      </w:pPr>
      <w:r>
        <w:t xml:space="preserve"> </w:t>
      </w:r>
    </w:p>
    <w:bookmarkEnd w:id="314"/>
    <w:bookmarkStart w:id="315" w:name="new-evidence"/>
    <w:p>
      <w:pPr>
        <w:pStyle w:val="Heading2"/>
      </w:pPr>
      <w:r>
        <w:t xml:space="preserve">New evidence</w:t>
      </w:r>
    </w:p>
    <w:p>
      <w:pPr>
        <w:pStyle w:val="FirstParagraph"/>
      </w:pPr>
      <w:r>
        <w:t xml:space="preserve">Found slight raised risk of dementia in CPRD patients () with higher LDL-c measured at midlife, driven by the finding for Alzheimer’s disease.</w:t>
      </w:r>
      <w:hyperlink w:anchor="ref-iwagami2021">
        <w:r>
          <w:rPr>
            <w:rStyle w:val="Hyperlink"/>
            <w:vertAlign w:val="superscript"/>
          </w:rPr>
          <w:t xml:space="preserve">321</w:t>
        </w:r>
      </w:hyperlink>
      <w:r>
        <w:t xml:space="preserve"> Not inconsistent with the findings presented in this thesis</w:t>
      </w:r>
    </w:p>
    <w:bookmarkEnd w:id="315"/>
    <w:bookmarkStart w:id="316" w:name="lessons-learned"/>
    <w:p>
      <w:pPr>
        <w:pStyle w:val="Heading2"/>
      </w:pPr>
      <w:r>
        <w:t xml:space="preserve">Lessons learned</w:t>
      </w:r>
    </w:p>
    <w:p>
      <w:pPr>
        <w:pStyle w:val="FirstParagraph"/>
      </w:pPr>
      <w:r>
        <w:t xml:space="preserve">There are</w:t>
      </w:r>
    </w:p>
    <w:p>
      <w:pPr>
        <w:pStyle w:val="BodyText"/>
      </w:pPr>
      <w:r>
        <w:t xml:space="preserve"> </w:t>
      </w:r>
    </w:p>
    <w:bookmarkEnd w:id="316"/>
    <w:bookmarkStart w:id="317" w:name="overall-strengths-and-limitations"/>
    <w:p>
      <w:pPr>
        <w:pStyle w:val="Heading2"/>
      </w:pPr>
      <w:r>
        <w:t xml:space="preserve">Overall strengths and limitations</w:t>
      </w:r>
    </w:p>
    <w:p>
      <w:pPr>
        <w:pStyle w:val="FirstParagraph"/>
      </w:pPr>
      <w:r>
        <w:t xml:space="preserve">This thesis has used multiple sources of evidence to examine the relationship between blood lipids levels and cholesterol risk.</w:t>
      </w:r>
    </w:p>
    <w:p>
      <w:pPr>
        <w:pStyle w:val="BodyText"/>
      </w:pPr>
      <w:r>
        <w:t xml:space="preserve">It has highlighted the importance of including preprints in systematic review, and provided a tool to enable researchers to easily do so.</w:t>
      </w:r>
    </w:p>
    <w:p>
      <w:pPr>
        <w:pStyle w:val="BodyText"/>
      </w:pPr>
      <w:r>
        <w:t xml:space="preserve">It has analysed two previously unanalysed datasets, adding useful information to the evidence base.</w:t>
      </w:r>
    </w:p>
    <w:p>
      <w:pPr>
        <w:pStyle w:val="BodyText"/>
      </w:pPr>
      <w:r>
        <w:t xml:space="preserve">However, the thesis as a whole is subject to some strong limitations.</w:t>
      </w:r>
    </w:p>
    <w:p>
      <w:pPr>
        <w:pStyle w:val="BodyText"/>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322</w:t>
        </w:r>
      </w:hyperlink>
    </w:p>
    <w:p>
      <w:pPr>
        <w:pStyle w:val="BodyText"/>
      </w:pPr>
      <w:r>
        <w:t xml:space="preserve">This thesis is limited by the low response rate to data access requests, and the</w:t>
      </w:r>
    </w:p>
    <w:p>
      <w:pPr>
        <w:pStyle w:val="BodyText"/>
      </w:pPr>
      <w:r>
        <w:t xml:space="preserve">The lack of large, precise studies made comparison across different types of evidence difficult, while the low number of eligible studies for a</w:t>
      </w:r>
    </w:p>
    <w:p>
      <w:pPr>
        <w:pStyle w:val="BodyText"/>
      </w:pPr>
      <w:r>
        <w:t xml:space="preserve"> </w:t>
      </w:r>
    </w:p>
    <w:bookmarkEnd w:id="317"/>
    <w:bookmarkStart w:id="320" w:name="implications-of-this-research"/>
    <w:p>
      <w:pPr>
        <w:pStyle w:val="Heading2"/>
      </w:pPr>
      <w:r>
        <w:t xml:space="preserve">Implications of this research</w:t>
      </w:r>
    </w:p>
    <w:bookmarkStart w:id="318" w:name="clinical-practice"/>
    <w:p>
      <w:pPr>
        <w:pStyle w:val="Heading3"/>
      </w:pPr>
      <w:r>
        <w:t xml:space="preserve">Clinical practice</w:t>
      </w:r>
    </w:p>
    <w:p>
      <w:pPr>
        <w:pStyle w:val="FirstParagraph"/>
      </w:pPr>
      <w:r>
        <w:t xml:space="preserve">Across multiple sources of evidence, there was no consistent effect of blood lipids, or . Some</w:t>
      </w:r>
    </w:p>
    <w:p>
      <w:pPr>
        <w:pStyle w:val="BodyText"/>
      </w:pPr>
      <w:r>
        <w:t xml:space="preserve">The clinical recommendations that can be drawn from the work in this thesis are limited, due to the low strength of evidence related to the</w:t>
      </w:r>
    </w:p>
    <w:p>
      <w:pPr>
        <w:pStyle w:val="BodyText"/>
      </w:pPr>
      <w:r>
        <w:t xml:space="preserve">There was very we. Conversely however, there was an absence of evidence for a harmful effect of statins on. Given the reality that given the choice, given the conflicting evidence</w:t>
      </w:r>
    </w:p>
    <w:p>
      <w:pPr>
        <w:pStyle w:val="BodyText"/>
      </w:pPr>
      <w:r>
        <w:t xml:space="preserve">Patients must live to a sufficient age to be at risk of dementia outcomes, which is substantially less like if high lipid levels in mid-life.</w:t>
      </w:r>
    </w:p>
    <w:p>
      <w:pPr>
        <w:pStyle w:val="BodyText"/>
      </w:pPr>
      <w:r>
        <w:t xml:space="preserve">The role of lipid-lowering</w:t>
      </w:r>
    </w:p>
    <w:p>
      <w:pPr>
        <w:pStyle w:val="BodyText"/>
      </w:pPr>
      <w:r>
        <w:t xml:space="preserve">As with many many studies of dementia outcomes, a key limiting factor of any analysis is the absence of a detailed pathological mechanism for Alzheimer’s disease. It could well be that statins do have a true effect independently of lipid levels, though based on the certainty of evidence in NRSI, this is unlikely.</w:t>
      </w:r>
    </w:p>
    <w:p>
      <w:pPr>
        <w:pStyle w:val="BodyText"/>
      </w:pPr>
      <w:r>
        <w:t xml:space="preserve">However, based on the available evidence</w:t>
      </w:r>
    </w:p>
    <w:p>
      <w:pPr>
        <w:pStyle w:val="BodyText"/>
      </w:pPr>
      <w:r>
        <w:t xml:space="preserve">For other dementia outcomes,</w:t>
      </w:r>
    </w:p>
    <w:p>
      <w:pPr>
        <w:pStyle w:val="BodyText"/>
      </w:pPr>
      <w:r>
        <w:t xml:space="preserve"> </w:t>
      </w:r>
    </w:p>
    <w:bookmarkEnd w:id="318"/>
    <w:bookmarkStart w:id="319" w:name="public-health"/>
    <w:p>
      <w:pPr>
        <w:pStyle w:val="Heading3"/>
      </w:pPr>
      <w:r>
        <w:t xml:space="preserve">Public health</w:t>
      </w:r>
    </w:p>
    <w:p>
      <w:pPr>
        <w:pStyle w:val="FirstParagraph"/>
      </w:pPr>
      <w:r>
        <w:t xml:space="preserve"> </w:t>
      </w:r>
    </w:p>
    <w:bookmarkEnd w:id="319"/>
    <w:bookmarkEnd w:id="320"/>
    <w:bookmarkStart w:id="321"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p>
    <w:bookmarkEnd w:id="321"/>
    <w:bookmarkStart w:id="322" w:name="disc-PPI"/>
    <w:p>
      <w:pPr>
        <w:pStyle w:val="Heading2"/>
      </w:pPr>
      <w:r>
        <w:t xml:space="preserve">Public involvement and engagement</w:t>
      </w:r>
    </w:p>
    <w:p>
      <w:pPr>
        <w:pStyle w:val="FirstParagraph"/>
      </w:pPr>
      <w:r>
        <w:t xml:space="preserve">Involving and engaging the public and patients has been a central theme to this thesis.</w:t>
      </w:r>
      <w:r>
        <w:t xml:space="preserve"> </w:t>
      </w:r>
      <w:r>
        <w:t xml:space="preserve">Public engagement activities included</w:t>
      </w:r>
    </w:p>
    <w:p>
      <w:pPr>
        <w:pStyle w:val="BodyText"/>
      </w:pPr>
      <w:r>
        <w:t xml:space="preserve">Public involvement also steered the creation of the topic</w:t>
      </w:r>
    </w:p>
    <w:p>
      <w:pPr>
        <w:pStyle w:val="BodyText"/>
      </w:pPr>
      <w:r>
        <w:t xml:space="preserve"> </w:t>
      </w:r>
      <w:r>
        <w:t xml:space="preserve"> </w:t>
      </w:r>
    </w:p>
    <w:bookmarkEnd w:id="322"/>
    <w:bookmarkStart w:id="329" w:name="future-work"/>
    <w:p>
      <w:pPr>
        <w:pStyle w:val="Heading2"/>
      </w:pPr>
      <w:r>
        <w:t xml:space="preserve">Future work</w:t>
      </w:r>
    </w:p>
    <w:p>
      <w:pPr>
        <w:pStyle w:val="FirstParagraph"/>
      </w:pPr>
      <w:r>
        <w:t xml:space="preserve">Several avenues for future research, buiding on the work presented here,</w:t>
      </w:r>
    </w:p>
    <w:bookmarkStart w:id="323" w:name="section"/>
    <w:p>
      <w:pPr>
        <w:pStyle w:val="Heading3"/>
      </w:pPr>
    </w:p>
    <w:bookmarkEnd w:id="323"/>
    <w:bookmarkStart w:id="324" w:name="inclusion-of-preprints-1"/>
    <w:p>
      <w:pPr>
        <w:pStyle w:val="Heading3"/>
      </w:pPr>
      <w:r>
        <w:t xml:space="preserve">Inclusion of preprints</w:t>
      </w:r>
    </w:p>
    <w:p>
      <w:pPr>
        <w:pStyle w:val="FirstParagraph"/>
      </w:pPr>
      <w:r>
        <w:t xml:space="preserve">Normalisation of inclusion of preprints in systematic reviews. Wider assessment of the evidence base that exists solely as preprinted literature ()</w:t>
      </w:r>
    </w:p>
    <w:p>
      <w:pPr>
        <w:pStyle w:val="BodyText"/>
      </w:pPr>
      <w:r>
        <w:t xml:space="preserve">Studying of factors which influence eventual publication would also help to identify the extent and strength of publication bias by providing a</w:t>
      </w:r>
    </w:p>
    <w:p>
      <w:pPr>
        <w:pStyle w:val="BodyText"/>
      </w:pPr>
      <w:r>
        <w:t xml:space="preserve">Preprints also represent a key oppportunity to assess the impact of peer review on qualitivative changes within</w:t>
      </w:r>
    </w:p>
    <w:p>
      <w:pPr>
        <w:pStyle w:val="BodyText"/>
      </w:pPr>
      <w:r>
        <w:t xml:space="preserve"> </w:t>
      </w:r>
    </w:p>
    <w:bookmarkEnd w:id="324"/>
    <w:bookmarkStart w:id="325" w:name="evidence-on-vascular-dementia"/>
    <w:p>
      <w:pPr>
        <w:pStyle w:val="Heading3"/>
      </w:pPr>
      <w:r>
        <w:t xml:space="preserve">Evidence on vascular dementia</w:t>
      </w:r>
    </w:p>
    <w:p>
      <w:pPr>
        <w:pStyle w:val="FirstParagraph"/>
      </w:pPr>
      <w:r>
        <w:t xml:space="preserve">As discussed, there is an absence of evidence on vascular dementia across the evidence base, potentially driven y</w:t>
      </w:r>
    </w:p>
    <w:p>
      <w:pPr>
        <w:pStyle w:val="BodyText"/>
      </w:pPr>
      <w:r>
        <w:t xml:space="preserve">large-scale GWAS of vascular dementia should be performed, to identify associated loci that future Mendelian randomisation studies can make use of. While this is methodologically challenging, given the difficult in diagnosing</w:t>
      </w:r>
      <w:r>
        <w:t xml:space="preserve"> </w:t>
      </w:r>
      <w:r>
        <w:t xml:space="preserve">“</w:t>
      </w:r>
      <w:r>
        <w:t xml:space="preserve">pure</w:t>
      </w:r>
      <w:r>
        <w:t xml:space="preserve">”</w:t>
      </w:r>
      <w:r>
        <w:t xml:space="preserve"> </w:t>
      </w:r>
      <w:r>
        <w:t xml:space="preserve">vascular dementia, it would be a worthwhile endeavour, and would allow for the assessment of many genetically driven risk factors beyond those considered in this thesis.</w:t>
      </w:r>
    </w:p>
    <w:p>
      <w:pPr>
        <w:pStyle w:val="BodyText"/>
      </w:pPr>
    </w:p>
    <w:p>
      <w:pPr>
        <w:pStyle w:val="BodyText"/>
      </w:pPr>
      <w:r>
        <w:t xml:space="preserve"> </w:t>
      </w:r>
    </w:p>
    <w:bookmarkEnd w:id="325"/>
    <w:bookmarkStart w:id="326" w:name="Xffcb1b8313fbc31a837e5be524cfa3ae58477f9"/>
    <w:p>
      <w:pPr>
        <w:pStyle w:val="Heading3"/>
      </w:pPr>
      <w:r>
        <w:t xml:space="preserve">Reviewing of Mendelian randomisation studies</w:t>
      </w:r>
    </w:p>
    <w:p>
      <w:pPr>
        <w:pStyle w:val="FirstParagraph"/>
      </w:pPr>
      <w:r>
        <w:t xml:space="preserve">As a field, and as noted in Chapter</w:t>
      </w:r>
      <w:r>
        <w:t xml:space="preserve"> </w:t>
      </w:r>
      <w:r>
        <w:t xml:space="preserve">??</w:t>
      </w:r>
      <w:r>
        <w:t xml:space="preserve">, the evidence synthesis theory and methods have not been sufficient developed for Mendelian randomisation studies. Future work should aim to validate search strategies for this study design, paying particular attention to the range of terms used to define it (e.g. genetic instrumental variable analysis.)</w:t>
      </w:r>
    </w:p>
    <w:p>
      <w:pPr>
        <w:pStyle w:val="BodyText"/>
      </w:pPr>
      <w:r>
        <w:t xml:space="preserve">Work is ongoing in this field, and new methodological work such as the release of teh MR-STROBE guidelines will aid in the future assessing by helping to improve the reporting of Mendelian randomisation studies.</w:t>
      </w:r>
    </w:p>
    <w:p>
      <w:pPr>
        <w:pStyle w:val="BodyText"/>
      </w:pPr>
      <w:r>
        <w:t xml:space="preserve">Problems with reporting of MR studies will hopefully</w:t>
      </w:r>
    </w:p>
    <w:p>
      <w:pPr>
        <w:pStyle w:val="BodyText"/>
      </w:pPr>
      <w:r>
        <w:t xml:space="preserve"> </w:t>
      </w:r>
    </w:p>
    <w:bookmarkEnd w:id="326"/>
    <w:bookmarkStart w:id="327" w:name="empirical-estimates-of-bias"/>
    <w:p>
      <w:pPr>
        <w:pStyle w:val="Heading3"/>
      </w:pPr>
      <w:r>
        <w:t xml:space="preserve">Empirical estimates of bias</w:t>
      </w:r>
    </w:p>
    <w:p>
      <w:pPr>
        <w:pStyle w:val="FirstParagraph"/>
      </w:pPr>
      <w:r>
        <w:t xml:space="preserve">Finally, substantial future work should be directed towards the conduct of meta-epidemiological studies to assess the impact of different bias in non-observational studies. While frameworks such as the one employed in Chapter</w:t>
      </w:r>
      <w:r>
        <w:t xml:space="preserve"> </w:t>
      </w:r>
      <w:r>
        <w:t xml:space="preserve">7</w:t>
      </w:r>
      <w:r>
        <w:t xml:space="preserve"> </w:t>
      </w:r>
      <w:r>
        <w:t xml:space="preserve">exist to allow for the production of bias-adjusted and triangulated estimates.</w:t>
      </w:r>
    </w:p>
    <w:p>
      <w:pPr>
        <w:pStyle w:val="BodyText"/>
      </w:pPr>
      <w:r>
        <w:t xml:space="preserve"> </w:t>
      </w:r>
    </w:p>
    <w:bookmarkEnd w:id="327"/>
    <w:bookmarkStart w:id="328" w:name="imporved-analytical-designs"/>
    <w:p>
      <w:pPr>
        <w:pStyle w:val="Heading3"/>
      </w:pPr>
      <w:r>
        <w:t xml:space="preserve">Imporved analytical designs</w:t>
      </w:r>
    </w:p>
    <w:p>
      <w:pPr>
        <w:pStyle w:val="FirstParagraph"/>
      </w:pPr>
      <w:r>
        <w:t xml:space="preserve">Use of the real-world evidence approach needs to be traded off against the important limitations that t</w:t>
      </w:r>
    </w:p>
    <w:p>
      <w:pPr>
        <w:pStyle w:val="BodyText"/>
      </w:pPr>
      <w:r>
        <w:t xml:space="preserve">Talk about the problems with real world evidence, and highlight that even when using these techniques, you still don’t get the correct answers.</w:t>
      </w:r>
    </w:p>
    <w:p>
      <w:pPr>
        <w:pStyle w:val="BodyText"/>
      </w:pPr>
      <w:r>
        <w:t xml:space="preserve">Tie in with GDS comments on off-targets effect.</w:t>
      </w:r>
    </w:p>
    <w:p>
      <w:pPr>
        <w:pStyle w:val="BodyText"/>
      </w:pPr>
      <w:r>
        <w:t xml:space="preserve"> </w:t>
      </w:r>
      <w:r>
        <w:t xml:space="preserve"> </w:t>
      </w:r>
    </w:p>
    <w:bookmarkEnd w:id="328"/>
    <w:bookmarkEnd w:id="329"/>
    <w:bookmarkStart w:id="330" w:name="overall-conclusions"/>
    <w:p>
      <w:pPr>
        <w:pStyle w:val="Heading2"/>
      </w:pPr>
      <w:r>
        <w:t xml:space="preserve">Overall conclusions</w:t>
      </w:r>
    </w:p>
    <w:p>
      <w:pPr>
        <w:pStyle w:val="FirstParagraph"/>
      </w:pPr>
      <w:r>
        <w:t xml:space="preserve">This thesis has made unique and novel contributions to the</w:t>
      </w:r>
    </w:p>
    <w:p>
      <w:pPr>
        <w:pStyle w:val="BodyText"/>
      </w:pPr>
      <w:r>
        <w:t xml:space="preserve">Illustrating that commonly employed approaches to address</w:t>
      </w:r>
    </w:p>
    <w:p>
      <w:pPr>
        <w:pStyle w:val="BodyText"/>
      </w:pPr>
      <w:r>
        <w:t xml:space="preserve">Definition of covariates adjusted for in the full-adjusted model. The codelists used to define the majority of these covariates were originally created for use in a previously published analysis.</w:t>
      </w:r>
      <w:hyperlink w:anchor="ref-walker2020">
        <w:r>
          <w:rPr>
            <w:rStyle w:val="Hyperlink"/>
            <w:vertAlign w:val="superscript"/>
          </w:rPr>
          <w:t xml:space="preserve">323</w:t>
        </w:r>
      </w:hyperlink>
      <w:r>
        <w:t xml:space="preserve"> </w:t>
      </w:r>
      <w:r>
        <w:t xml:space="preserve">while others were built on or adapted from previous published work,</w:t>
      </w:r>
      <w:hyperlink w:anchor="ref-khan2010">
        <w:r>
          <w:rPr>
            <w:rStyle w:val="Hyperlink"/>
            <w:vertAlign w:val="superscript"/>
          </w:rPr>
          <w:t xml:space="preserve">324</w:t>
        </w:r>
      </w:hyperlink>
      <w:r>
        <w:rPr>
          <w:vertAlign w:val="superscript"/>
        </w:rPr>
        <w:t xml:space="preserve">–</w:t>
      </w:r>
      <w:hyperlink w:anchor="ref-wright2017">
        <w:r>
          <w:rPr>
            <w:rStyle w:val="Hyperlink"/>
            <w:vertAlign w:val="superscript"/>
          </w:rPr>
          <w:t xml:space="preserve">326</w:t>
        </w:r>
      </w:hyperlink>
      <w:r>
        <w:t xml:space="preserve">. Definition of covariates adjusted for in the full-adjusted model. The codelists used to define the majority of these covariates were originally created for use in a previously published analysis.</w:t>
      </w:r>
      <w:hyperlink w:anchor="ref-walker2020">
        <w:r>
          <w:rPr>
            <w:rStyle w:val="Hyperlink"/>
            <w:vertAlign w:val="superscript"/>
          </w:rPr>
          <w:t xml:space="preserve">323</w:t>
        </w:r>
      </w:hyperlink>
      <w:r>
        <w:t xml:space="preserve"> </w:t>
      </w:r>
      <w:r>
        <w:t xml:space="preserve">while others were built on or adapted from previous published work.</w:t>
      </w:r>
      <w:hyperlink w:anchor="ref-khan2010">
        <w:r>
          <w:rPr>
            <w:rStyle w:val="Hyperlink"/>
            <w:vertAlign w:val="superscript"/>
          </w:rPr>
          <w:t xml:space="preserve">324</w:t>
        </w:r>
      </w:hyperlink>
      <w:r>
        <w:rPr>
          <w:vertAlign w:val="superscript"/>
        </w:rPr>
        <w:t xml:space="preserve">–</w:t>
      </w:r>
      <w:hyperlink w:anchor="ref-wright2017">
        <w:r>
          <w:rPr>
            <w:rStyle w:val="Hyperlink"/>
            <w:vertAlign w:val="superscript"/>
          </w:rPr>
          <w:t xml:space="preserve">326</w:t>
        </w:r>
      </w:hyperlink>
    </w:p>
    <w:p>
      <w:pPr>
        <w:pStyle w:val="BodyText"/>
      </w:pPr>
      <w:r>
        <w:t xml:space="preserve">Covariates adjusted for. Covariates adjusted for.</w:t>
      </w:r>
    </w:p>
    <w:p>
      <w:pPr>
        <w:pStyle w:val="BodyText"/>
      </w:pPr>
      <w:r>
        <w:t xml:space="preserve">Charlson index implemented using Read code lists.</w:t>
      </w:r>
      <w:hyperlink w:anchor="ref-khan2010">
        <w:r>
          <w:rPr>
            <w:rStyle w:val="Hyperlink"/>
            <w:vertAlign w:val="superscript"/>
          </w:rPr>
          <w:t xml:space="preserve">324</w:t>
        </w:r>
      </w:hyperlink>
      <w:r>
        <w:t xml:space="preserve"> </w:t>
      </w:r>
      <w:r>
        <w:t xml:space="preserve">Code lists based on those by Taylor et al.</w:t>
      </w:r>
      <w:hyperlink w:anchor="ref-taylor2016">
        <w:r>
          <w:rPr>
            <w:rStyle w:val="Hyperlink"/>
            <w:vertAlign w:val="superscript"/>
          </w:rPr>
          <w:t xml:space="preserve">325</w:t>
        </w:r>
      </w:hyperlink>
      <w:r>
        <w:t xml:space="preserve"> </w:t>
      </w:r>
      <w:r>
        <w:t xml:space="preserve">Charlson index implemented using Read code lists.</w:t>
      </w:r>
      <w:hyperlink w:anchor="ref-khan2010">
        <w:r>
          <w:rPr>
            <w:rStyle w:val="Hyperlink"/>
            <w:vertAlign w:val="superscript"/>
          </w:rPr>
          <w:t xml:space="preserve">324</w:t>
        </w:r>
      </w:hyperlink>
      <w:r>
        <w:t xml:space="preserve"> </w:t>
      </w:r>
      <w:r>
        <w:t xml:space="preserve">Code lists based on those by Taylor et al.</w:t>
      </w:r>
      <w:hyperlink w:anchor="ref-taylor2016">
        <w:r>
          <w:rPr>
            <w:rStyle w:val="Hyperlink"/>
            <w:vertAlign w:val="superscript"/>
          </w:rPr>
          <w:t xml:space="preserve">325</w:t>
        </w:r>
      </w:hyperlink>
    </w:p>
    <w:p>
      <w:pPr>
        <w:pStyle w:val="BodyText"/>
      </w:pPr>
      <w:r>
        <w:t xml:space="preserve">Most recent of recorded value (current, former or never) or Read code indicating a recorded value. Code lists based on those by Wright et al.</w:t>
      </w:r>
      <w:hyperlink w:anchor="ref-wright2017">
        <w:r>
          <w:rPr>
            <w:rStyle w:val="Hyperlink"/>
            <w:vertAlign w:val="superscript"/>
          </w:rPr>
          <w:t xml:space="preserve">326</w:t>
        </w:r>
      </w:hyperlink>
      <w:r>
        <w:t xml:space="preserve"> </w:t>
      </w:r>
      <w:r>
        <w:t xml:space="preserve">Most recent of recorded value (current, former or never) or Read code indicating a recorded value. Code lists based on those by Wright et al.</w:t>
      </w:r>
      <w:hyperlink w:anchor="ref-wright2017">
        <w:r>
          <w:rPr>
            <w:rStyle w:val="Hyperlink"/>
            <w:vertAlign w:val="superscript"/>
          </w:rPr>
          <w:t xml:space="preserve">326</w:t>
        </w:r>
      </w:hyperlink>
    </w:p>
    <w:p>
      <w:pPr>
        <w:pStyle w:val="TableCaption"/>
      </w:pPr>
      <w:r>
        <w:t xml:space="preserve">Table 11:</w:t>
      </w:r>
      <w:r>
        <w:t xml:space="preserve"> </w:t>
      </w:r>
      <w:bookmarkStart w:id="983a0274-edee-4d24-bd54-5b557394952c" w:name="tab:covariateDef-table"/>
      <w:r>
        <w:t xml:space="preserve">Definition of covariates adjusted for in the full-adjusted model. The codelists used to define the majority of these covariates were originally created for use in a previously published analysis.[@walker2020] while others were built on or adapted from previous published work,[@khan2010; @taylor2016; @wright2017].</w:t>
      </w:r>
      <w:bookmarkEnd w:id="983a0274-edee-4d24-bd54-5b557394952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Covariate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How was the covariate defined?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arterial disease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coronary bypass surgery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Previous history of cerebrovascular disease (including stroke)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illness, including cancer and arthritis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Charlson index implemented using Read code lists. (2) Code lists based on those by Taylor et al.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Socioeconomic position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2010 English Index of Multiple Deprivation (IMD) at the twentile level, where 1 represents the least deprived and 20 the most deprived.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Calculated by dividing the total number of clinic visits by the length of the patient record prior to the index date to give an average annual rate.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status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(current, former or never).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status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Most recent of recorded value (current, former or never) or Read code indicating a recorded value. Code lists based on those by Wright et al. (4)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Body Mass Index</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Recorded value if available, or a calculated value using the last recorded height and weight measurements. Measurements taken before the age of 25 were excluded to ensure adult measurements were used.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Peripheral arterial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total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("enttype==163 &amp; test_data1==3")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Baseline LDL cholesterol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Continuous value recorded as test result ("enttype==177 &amp; test_data1==3")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Chronic kidney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Presence of one or more relevant Read codes on record.</w:t>
            </w:r>
          </w:p>
        </w:tc>
      </w:tr>
    </w:tbl>
    <w:bookmarkEnd w:id="330"/>
    <w:bookmarkEnd w:id="331"/>
    <w:bookmarkStart w:id="332" w:name="bibliography"/>
    <w:p>
      <w:pPr>
        <w:pStyle w:val="Heading1"/>
      </w:pPr>
      <w:r>
        <w:t xml:space="preserve">Bibliography</w:t>
      </w:r>
    </w:p>
    <w:bookmarkEnd w:id="332"/>
    <w:bookmarkStart w:id="682" w:name="bibliography-1"/>
    <w:p>
      <w:pPr>
        <w:pStyle w:val="Heading1"/>
      </w:pPr>
      <w:r>
        <w:t xml:space="preserve">Bibliography</w:t>
      </w:r>
    </w:p>
    <w:bookmarkStart w:id="681" w:name="refs"/>
    <w:bookmarkStart w:id="333"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333"/>
    <w:bookmarkStart w:id="334"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334"/>
    <w:bookmarkStart w:id="335"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335"/>
    <w:bookmarkStart w:id="336"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336"/>
    <w:bookmarkStart w:id="337"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337"/>
    <w:bookmarkStart w:id="338"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338"/>
    <w:bookmarkStart w:id="339"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 A review of the evidence.</w:t>
      </w:r>
      <w:r>
        <w:t xml:space="preserve"> </w:t>
      </w:r>
      <w:r>
        <w:rPr>
          <w:iCs/>
          <w:i/>
        </w:rPr>
        <w:t xml:space="preserve">Dementia &amp; Neuropsychologia</w:t>
      </w:r>
      <w:r>
        <w:t xml:space="preserve"> </w:t>
      </w:r>
      <w:r>
        <w:rPr>
          <w:bCs/>
          <w:b/>
        </w:rPr>
        <w:t xml:space="preserve">11</w:t>
      </w:r>
      <w:r>
        <w:t xml:space="preserve">, 364–370 (2017).</w:t>
      </w:r>
    </w:p>
    <w:bookmarkEnd w:id="339"/>
    <w:bookmarkStart w:id="340"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340"/>
    <w:bookmarkStart w:id="341"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341"/>
    <w:bookmarkStart w:id="342"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342"/>
    <w:bookmarkStart w:id="343"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343"/>
    <w:bookmarkStart w:id="344"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344"/>
    <w:bookmarkStart w:id="345"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345"/>
    <w:bookmarkStart w:id="346"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346"/>
    <w:bookmarkStart w:id="347"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347"/>
    <w:bookmarkStart w:id="348"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348"/>
    <w:bookmarkStart w:id="350"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349">
        <w:r>
          <w:rPr>
            <w:rStyle w:val="Hyperlink"/>
          </w:rPr>
          <w:t xml:space="preserve">10.1016/j.neuropharm.2020.108352</w:t>
        </w:r>
      </w:hyperlink>
    </w:p>
    <w:bookmarkEnd w:id="350"/>
    <w:bookmarkStart w:id="351"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351"/>
    <w:bookmarkStart w:id="352"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352"/>
    <w:bookmarkStart w:id="353"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353"/>
    <w:bookmarkStart w:id="354"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354"/>
    <w:bookmarkStart w:id="355"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355"/>
    <w:bookmarkStart w:id="356"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356"/>
    <w:bookmarkStart w:id="357"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 A</w:t>
      </w:r>
      <w:r>
        <w:t xml:space="preserve"> </w:t>
      </w:r>
      <w:r>
        <w:t xml:space="preserve">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357"/>
    <w:bookmarkStart w:id="358"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358"/>
    <w:bookmarkStart w:id="359"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359"/>
    <w:bookmarkStart w:id="360"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360"/>
    <w:bookmarkStart w:id="361"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361"/>
    <w:bookmarkStart w:id="362"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62"/>
    <w:bookmarkStart w:id="363"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63"/>
    <w:bookmarkStart w:id="364"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364"/>
    <w:bookmarkStart w:id="365"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65"/>
    <w:bookmarkStart w:id="366"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66"/>
    <w:bookmarkStart w:id="367"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67"/>
    <w:bookmarkStart w:id="368"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68"/>
    <w:bookmarkStart w:id="369"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 A new era of lipid lowering therapy.</w:t>
      </w:r>
      <w:r>
        <w:t xml:space="preserve"> </w:t>
      </w:r>
      <w:r>
        <w:rPr>
          <w:iCs/>
          <w:i/>
        </w:rPr>
        <w:t xml:space="preserve">World Journal of Cardiology</w:t>
      </w:r>
      <w:r>
        <w:t xml:space="preserve"> </w:t>
      </w:r>
      <w:r>
        <w:rPr>
          <w:bCs/>
          <w:b/>
        </w:rPr>
        <w:t xml:space="preserve">9</w:t>
      </w:r>
      <w:r>
        <w:t xml:space="preserve">, 76–91 (2017).</w:t>
      </w:r>
    </w:p>
    <w:bookmarkEnd w:id="369"/>
    <w:bookmarkStart w:id="370"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70"/>
    <w:bookmarkStart w:id="371"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 A</w:t>
      </w:r>
      <w:r>
        <w:t xml:space="preserve"> </w:t>
      </w:r>
      <w:r>
        <w:t xml:space="preserve">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71"/>
    <w:bookmarkStart w:id="372"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72"/>
    <w:bookmarkStart w:id="373"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73"/>
    <w:bookmarkStart w:id="374"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74"/>
    <w:bookmarkStart w:id="375"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75"/>
    <w:bookmarkStart w:id="376"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76"/>
    <w:bookmarkStart w:id="377"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77"/>
    <w:bookmarkStart w:id="378"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78"/>
    <w:bookmarkStart w:id="379"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79"/>
    <w:bookmarkStart w:id="380"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80"/>
    <w:bookmarkStart w:id="381"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81"/>
    <w:bookmarkStart w:id="382"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82"/>
    <w:bookmarkStart w:id="383"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83"/>
    <w:bookmarkStart w:id="384"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84"/>
    <w:bookmarkStart w:id="385"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85"/>
    <w:bookmarkStart w:id="386"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86"/>
    <w:bookmarkStart w:id="387"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87"/>
    <w:bookmarkStart w:id="388"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88"/>
    <w:bookmarkStart w:id="389"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 Review 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89"/>
    <w:bookmarkStart w:id="390"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 A systematic review and meta-analysis.</w:t>
      </w:r>
      <w:r>
        <w:t xml:space="preserve"> </w:t>
      </w:r>
      <w:r>
        <w:rPr>
          <w:iCs/>
          <w:i/>
        </w:rPr>
        <w:t xml:space="preserve">Scientific Reports</w:t>
      </w:r>
      <w:r>
        <w:t xml:space="preserve"> </w:t>
      </w:r>
      <w:r>
        <w:rPr>
          <w:bCs/>
          <w:b/>
        </w:rPr>
        <w:t xml:space="preserve">8</w:t>
      </w:r>
      <w:r>
        <w:t xml:space="preserve">, 5804 (2018).</w:t>
      </w:r>
    </w:p>
    <w:bookmarkEnd w:id="390"/>
    <w:bookmarkStart w:id="391"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91"/>
    <w:bookmarkStart w:id="392"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92"/>
    <w:bookmarkStart w:id="393"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93"/>
    <w:bookmarkStart w:id="394"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94"/>
    <w:bookmarkStart w:id="395"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95"/>
    <w:bookmarkStart w:id="396"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396"/>
    <w:bookmarkStart w:id="397"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 A</w:t>
      </w:r>
      <w:r>
        <w:t xml:space="preserve"> </w:t>
      </w:r>
      <w:r>
        <w:t xml:space="preserve">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97"/>
    <w:bookmarkStart w:id="398"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98"/>
    <w:bookmarkStart w:id="399"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rPr>
          <w:bCs/>
          <w:b/>
        </w:rPr>
        <w:t xml:space="preserve">357</w:t>
      </w:r>
      <w:r>
        <w:t xml:space="preserve">, j1648 (2017).</w:t>
      </w:r>
    </w:p>
    <w:bookmarkEnd w:id="399"/>
    <w:bookmarkStart w:id="400"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400"/>
    <w:bookmarkStart w:id="401" w:name="ref-chandler2019chapter"/>
    <w:p>
      <w:pPr>
        <w:pStyle w:val="Bibliography"/>
      </w:pPr>
      <w:r>
        <w:t xml:space="preserve">68.</w:t>
      </w:r>
      <w:r>
        <w:t xml:space="preserve"> </w:t>
      </w:r>
      <w:r>
        <w:t xml:space="preserve">	</w:t>
      </w:r>
      <w:r>
        <w:t xml:space="preserve">Chandler, J., Higgins, J., Deeks, J., Davenport, C. &amp; Clarke, M. J. Chapter 1: introduction.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401"/>
    <w:bookmarkStart w:id="402"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402"/>
    <w:bookmarkStart w:id="403"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403"/>
    <w:bookmarkStart w:id="405"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404">
        <w:r>
          <w:rPr>
            <w:rStyle w:val="Hyperlink"/>
          </w:rPr>
          <w:t xml:space="preserve">10.1002/14651858.MR000010.pub3</w:t>
        </w:r>
      </w:hyperlink>
    </w:p>
    <w:bookmarkEnd w:id="405"/>
    <w:bookmarkStart w:id="406"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 Searching 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406"/>
    <w:bookmarkStart w:id="407"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 preprints</w:t>
      </w:r>
      <w:r>
        <w:t xml:space="preserve">. (2018).</w:t>
      </w:r>
    </w:p>
    <w:bookmarkEnd w:id="407"/>
    <w:bookmarkStart w:id="408"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408"/>
    <w:bookmarkStart w:id="410" w:name="ref-fraser2020preprinting"/>
    <w:p>
      <w:pPr>
        <w:pStyle w:val="Bibliography"/>
      </w:pPr>
      <w:r>
        <w:t xml:space="preserve">75.</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409">
        <w:r>
          <w:rPr>
            <w:rStyle w:val="Hyperlink"/>
          </w:rPr>
          <w:t xml:space="preserve">10.1101/2020.05.22.111294</w:t>
        </w:r>
      </w:hyperlink>
    </w:p>
    <w:bookmarkEnd w:id="410"/>
    <w:bookmarkStart w:id="411" w:name="ref-rosenthal1979"/>
    <w:p>
      <w:pPr>
        <w:pStyle w:val="Bibliography"/>
      </w:pPr>
      <w:r>
        <w:t xml:space="preserve">76.</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411"/>
    <w:bookmarkStart w:id="412" w:name="ref-maslove2018"/>
    <w:p>
      <w:pPr>
        <w:pStyle w:val="Bibliography"/>
      </w:pPr>
      <w:r>
        <w:t xml:space="preserve">77.</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412"/>
    <w:bookmarkStart w:id="413" w:name="ref-schalkwyk2020"/>
    <w:p>
      <w:pPr>
        <w:pStyle w:val="Bibliography"/>
      </w:pPr>
      <w:r>
        <w:t xml:space="preserve">78.</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413"/>
    <w:bookmarkStart w:id="414" w:name="ref-mahood2014"/>
    <w:p>
      <w:pPr>
        <w:pStyle w:val="Bibliography"/>
      </w:pPr>
      <w:r>
        <w:t xml:space="preserve">79.</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414"/>
    <w:bookmarkStart w:id="415" w:name="ref-klein2019"/>
    <w:p>
      <w:pPr>
        <w:pStyle w:val="Bibliography"/>
      </w:pPr>
      <w:r>
        <w:t xml:space="preserve">80.</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415"/>
    <w:bookmarkStart w:id="417" w:name="ref-nicholson2021"/>
    <w:p>
      <w:pPr>
        <w:pStyle w:val="Bibliography"/>
      </w:pPr>
      <w:r>
        <w:t xml:space="preserve">81.</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416">
        <w:r>
          <w:rPr>
            <w:rStyle w:val="Hyperlink"/>
          </w:rPr>
          <w:t xml:space="preserve">10.1101/2021.03.04.433874</w:t>
        </w:r>
      </w:hyperlink>
    </w:p>
    <w:bookmarkEnd w:id="417"/>
    <w:bookmarkStart w:id="418" w:name="ref-munafo2018"/>
    <w:p>
      <w:pPr>
        <w:pStyle w:val="Bibliography"/>
      </w:pPr>
      <w:r>
        <w:t xml:space="preserve">82.</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418"/>
    <w:bookmarkStart w:id="419" w:name="ref-page2021"/>
    <w:p>
      <w:pPr>
        <w:pStyle w:val="Bibliography"/>
      </w:pPr>
      <w:r>
        <w:t xml:space="preserve">83.</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419"/>
    <w:bookmarkStart w:id="420" w:name="ref-mcguinness2018"/>
    <w:p>
      <w:pPr>
        <w:pStyle w:val="Bibliography"/>
      </w:pPr>
      <w:r>
        <w:t xml:space="preserve">84.</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420"/>
    <w:bookmarkStart w:id="421" w:name="ref-riley2010"/>
    <w:p>
      <w:pPr>
        <w:pStyle w:val="Bibliography"/>
      </w:pPr>
      <w:r>
        <w:t xml:space="preserve">85.</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421"/>
    <w:bookmarkStart w:id="422" w:name="ref-stewart1993"/>
    <w:p>
      <w:pPr>
        <w:pStyle w:val="Bibliography"/>
      </w:pPr>
      <w:r>
        <w:t xml:space="preserve">86.</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422"/>
    <w:bookmarkStart w:id="423" w:name="ref-arain2009"/>
    <w:p>
      <w:pPr>
        <w:pStyle w:val="Bibliography"/>
      </w:pPr>
      <w:r>
        <w:t xml:space="preserve">87.</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423"/>
    <w:bookmarkStart w:id="424" w:name="ref-clayton2018"/>
    <w:p>
      <w:pPr>
        <w:pStyle w:val="Bibliography"/>
      </w:pPr>
      <w:r>
        <w:t xml:space="preserve">88.</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424"/>
    <w:bookmarkStart w:id="425" w:name="ref-mccartney2016"/>
    <w:p>
      <w:pPr>
        <w:pStyle w:val="Bibliography"/>
      </w:pPr>
      <w:r>
        <w:t xml:space="preserve">89.</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425"/>
    <w:bookmarkStart w:id="426" w:name="ref-letenneur1999"/>
    <w:p>
      <w:pPr>
        <w:pStyle w:val="Bibliography"/>
      </w:pPr>
      <w:r>
        <w:t xml:space="preserve">90.</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 Incidence 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426"/>
    <w:bookmarkStart w:id="427" w:name="ref-riley2020"/>
    <w:p>
      <w:pPr>
        <w:pStyle w:val="Bibliography"/>
      </w:pPr>
      <w:r>
        <w:t xml:space="preserve">91.</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 Statistical 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427"/>
    <w:bookmarkStart w:id="428" w:name="ref-stewart2002"/>
    <w:p>
      <w:pPr>
        <w:pStyle w:val="Bibliography"/>
      </w:pPr>
      <w:r>
        <w:t xml:space="preserve">92.</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 Advantages 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428"/>
    <w:bookmarkStart w:id="429" w:name="ref-tugwell2010"/>
    <w:p>
      <w:pPr>
        <w:pStyle w:val="Bibliography"/>
      </w:pPr>
      <w:r>
        <w:t xml:space="preserve">93.</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429"/>
    <w:bookmarkStart w:id="430" w:name="ref-nevitt2017a"/>
    <w:p>
      <w:pPr>
        <w:pStyle w:val="Bibliography"/>
      </w:pPr>
      <w:r>
        <w:t xml:space="preserve">94.</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430"/>
    <w:bookmarkStart w:id="431" w:name="ref-ventresca2020"/>
    <w:p>
      <w:pPr>
        <w:pStyle w:val="Bibliography"/>
      </w:pPr>
      <w:r>
        <w:t xml:space="preserve">95.</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431"/>
    <w:bookmarkStart w:id="432" w:name="ref-alsheikh-ali2011"/>
    <w:p>
      <w:pPr>
        <w:pStyle w:val="Bibliography"/>
      </w:pPr>
      <w:r>
        <w:t xml:space="preserve">96.</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432"/>
    <w:bookmarkStart w:id="433" w:name="ref-vines2014"/>
    <w:p>
      <w:pPr>
        <w:pStyle w:val="Bibliography"/>
      </w:pPr>
      <w:r>
        <w:t xml:space="preserve">97.</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433"/>
    <w:bookmarkStart w:id="434" w:name="ref-wartenberg2010"/>
    <w:p>
      <w:pPr>
        <w:pStyle w:val="Bibliography"/>
      </w:pPr>
      <w:r>
        <w:t xml:space="preserve">98.</w:t>
      </w:r>
      <w:r>
        <w:t xml:space="preserve"> </w:t>
      </w:r>
      <w:r>
        <w:t xml:space="preserve">	</w:t>
      </w:r>
      <w:r>
        <w:t xml:space="preserve">Wartenberg, D. &amp; Thompson, W. D. Privacy</w:t>
      </w:r>
      <w:r>
        <w:t xml:space="preserve"> </w:t>
      </w:r>
      <w:r>
        <w:t xml:space="preserve">Versus Public Health</w:t>
      </w:r>
      <w:r>
        <w:t xml:space="preserve">: The</w:t>
      </w:r>
      <w:r>
        <w:t xml:space="preserve"> </w:t>
      </w:r>
      <w:r>
        <w:t xml:space="preserve">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434"/>
    <w:bookmarkStart w:id="435" w:name="ref-bauermeister2020"/>
    <w:p>
      <w:pPr>
        <w:pStyle w:val="Bibliography"/>
      </w:pPr>
      <w:r>
        <w:t xml:space="preserve">99.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435"/>
    <w:bookmarkStart w:id="436" w:name="ref-rawlinson2019"/>
    <w:p>
      <w:pPr>
        <w:pStyle w:val="Bibliography"/>
      </w:pPr>
      <w:r>
        <w:t xml:space="preserve">100.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436"/>
    <w:bookmarkStart w:id="438" w:name="ref-sever2019"/>
    <w:p>
      <w:pPr>
        <w:pStyle w:val="Bibliography"/>
      </w:pPr>
      <w:r>
        <w:t xml:space="preserve">101.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437">
        <w:r>
          <w:rPr>
            <w:rStyle w:val="Hyperlink"/>
          </w:rPr>
          <w:t xml:space="preserve">10.1101/833400</w:t>
        </w:r>
      </w:hyperlink>
    </w:p>
    <w:bookmarkEnd w:id="438"/>
    <w:bookmarkStart w:id="439" w:name="ref-bramer2018a"/>
    <w:p>
      <w:pPr>
        <w:pStyle w:val="Bibliography"/>
      </w:pPr>
      <w:r>
        <w:t xml:space="preserve">102.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439"/>
    <w:bookmarkStart w:id="440" w:name="ref-gusenbauer2020"/>
    <w:p>
      <w:pPr>
        <w:pStyle w:val="Bibliography"/>
      </w:pPr>
      <w:r>
        <w:t xml:space="preserve">103.</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40"/>
    <w:bookmarkStart w:id="441" w:name="ref-zotero-15029"/>
    <w:p>
      <w:pPr>
        <w:pStyle w:val="Bibliography"/>
      </w:pPr>
      <w:r>
        <w:t xml:space="preserve">104.</w:t>
      </w:r>
      <w:r>
        <w:t xml:space="preserve"> </w:t>
      </w:r>
      <w:r>
        <w:t xml:space="preserve">	</w:t>
      </w:r>
      <w:r>
        <w:t xml:space="preserve">Ropensci/medrxivr: Access 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441"/>
    <w:bookmarkStart w:id="442" w:name="ref-wateridge1995"/>
    <w:p>
      <w:pPr>
        <w:pStyle w:val="Bibliography"/>
      </w:pPr>
      <w:r>
        <w:t xml:space="preserve">105.</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442"/>
    <w:bookmarkStart w:id="443" w:name="ref-abdill2019"/>
    <w:p>
      <w:pPr>
        <w:pStyle w:val="Bibliography"/>
      </w:pPr>
      <w:r>
        <w:t xml:space="preserve">106.</w:t>
      </w:r>
      <w:r>
        <w:t xml:space="preserve"> </w:t>
      </w:r>
      <w:r>
        <w:t xml:space="preserve">	</w:t>
      </w:r>
      <w:r>
        <w:t xml:space="preserve">Abdill, R. J. &amp; Blekhman, R. Rxivist.org: Sorting 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443"/>
    <w:bookmarkStart w:id="444" w:name="ref-zotero-15027"/>
    <w:p>
      <w:pPr>
        <w:pStyle w:val="Bibliography"/>
      </w:pPr>
      <w:r>
        <w:t xml:space="preserve">107.</w:t>
      </w:r>
      <w:r>
        <w:t xml:space="preserve"> </w:t>
      </w:r>
      <w:r>
        <w:t xml:space="preserve">	</w:t>
      </w:r>
      <w:r>
        <w:t xml:space="preserve">Rxivist: Explore popular biology preprints.</w:t>
      </w:r>
    </w:p>
    <w:bookmarkEnd w:id="444"/>
    <w:bookmarkStart w:id="445" w:name="ref-iwema2016"/>
    <w:p>
      <w:pPr>
        <w:pStyle w:val="Bibliography"/>
      </w:pPr>
      <w:r>
        <w:t xml:space="preserve">108.</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445"/>
    <w:bookmarkStart w:id="447" w:name="ref-shaw2002"/>
    <w:p>
      <w:pPr>
        <w:pStyle w:val="Bibliography"/>
      </w:pPr>
      <w:r>
        <w:t xml:space="preserve">109.</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446">
        <w:r>
          <w:rPr>
            <w:rStyle w:val="Hyperlink"/>
          </w:rPr>
          <w:t xml:space="preserve">10.1145/582128.582152</w:t>
        </w:r>
      </w:hyperlink>
    </w:p>
    <w:bookmarkEnd w:id="447"/>
    <w:bookmarkStart w:id="448" w:name="ref-laprie1992"/>
    <w:p>
      <w:pPr>
        <w:pStyle w:val="Bibliography"/>
      </w:pPr>
      <w:r>
        <w:t xml:space="preserve">110.</w:t>
      </w:r>
      <w:r>
        <w:t xml:space="preserve"> </w:t>
      </w:r>
      <w:r>
        <w:t xml:space="preserve">	</w:t>
      </w:r>
      <w:r>
        <w:t xml:space="preserve">Laprie, J. C. Dependability: Basic</w:t>
      </w:r>
      <w:r>
        <w:t xml:space="preserve"> </w:t>
      </w:r>
      <w:r>
        <w:t xml:space="preserve">Concepts</w:t>
      </w:r>
      <w:r>
        <w:t xml:space="preserve"> </w:t>
      </w:r>
      <w:r>
        <w:t xml:space="preserve">and</w:t>
      </w:r>
      <w:r>
        <w:t xml:space="preserve"> </w:t>
      </w:r>
      <w:r>
        <w:t xml:space="preserve">Terminology</w:t>
      </w:r>
      <w:r>
        <w:t xml:space="preserve">. in</w:t>
      </w:r>
      <w:r>
        <w:t xml:space="preserve"> </w:t>
      </w:r>
      <w:r>
        <w:rPr>
          <w:iCs/>
          <w:i/>
        </w:rPr>
        <w:t xml:space="preserve">Dependability: Basic</w:t>
      </w:r>
      <w:r>
        <w:rPr>
          <w:iCs/>
          <w:i/>
        </w:rPr>
        <w:t xml:space="preserve"> </w:t>
      </w:r>
      <w:r>
        <w:rPr>
          <w:iCs/>
          <w:i/>
        </w:rPr>
        <w:t xml:space="preserve">Concepts</w:t>
      </w:r>
      <w:r>
        <w:rPr>
          <w:iCs/>
          <w:i/>
        </w:rPr>
        <w:t xml:space="preserve"> </w:t>
      </w:r>
      <w:r>
        <w:rPr>
          <w:iCs/>
          <w:i/>
        </w:rPr>
        <w:t xml:space="preserve">and</w:t>
      </w:r>
      <w:r>
        <w:rPr>
          <w:iCs/>
          <w:i/>
        </w:rPr>
        <w:t xml:space="preserve"> </w:t>
      </w:r>
      <w:r>
        <w:rPr>
          <w:iCs/>
          <w:i/>
        </w:rPr>
        <w:t xml:space="preserve">Terminology</w:t>
      </w:r>
      <w:r>
        <w:rPr>
          <w:iCs/>
          <w:i/>
        </w:rPr>
        <w:t xml:space="preserve">: In</w:t>
      </w:r>
      <w:r>
        <w:rPr>
          <w:iCs/>
          <w:i/>
        </w:rPr>
        <w:t xml:space="preserve"> </w:t>
      </w:r>
      <w:r>
        <w:rPr>
          <w:iCs/>
          <w:i/>
        </w:rPr>
        <w:t xml:space="preserve">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448"/>
    <w:bookmarkStart w:id="449" w:name="ref-rcoreteam2019"/>
    <w:p>
      <w:pPr>
        <w:pStyle w:val="Bibliography"/>
      </w:pPr>
      <w:r>
        <w:t xml:space="preserve">111.</w:t>
      </w:r>
      <w:r>
        <w:t xml:space="preserve"> </w:t>
      </w:r>
      <w:r>
        <w:t xml:space="preserve">	</w:t>
      </w:r>
      <w:r>
        <w:t xml:space="preserve">R Core Team.</w:t>
      </w:r>
      <w:r>
        <w:t xml:space="preserve"> </w:t>
      </w:r>
      <w:r>
        <w:rPr>
          <w:iCs/>
          <w:i/>
        </w:rPr>
        <w:t xml:space="preserve">R: A language and environment for statistical computing</w:t>
      </w:r>
      <w:r>
        <w:t xml:space="preserve">. (</w:t>
      </w:r>
      <w:r>
        <w:t xml:space="preserve">R Foundation for Statistical Computing</w:t>
      </w:r>
      <w:r>
        <w:t xml:space="preserve">, 2019).</w:t>
      </w:r>
    </w:p>
    <w:bookmarkEnd w:id="449"/>
    <w:bookmarkStart w:id="450" w:name="ref-zotero-15031"/>
    <w:p>
      <w:pPr>
        <w:pStyle w:val="Bibliography"/>
      </w:pPr>
      <w:r>
        <w:t xml:space="preserve">112.</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450"/>
    <w:bookmarkStart w:id="451" w:name="ref-rethlefsen2021prisma"/>
    <w:p>
      <w:pPr>
        <w:pStyle w:val="Bibliography"/>
      </w:pPr>
      <w:r>
        <w:t xml:space="preserve">113.</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451"/>
    <w:bookmarkStart w:id="452" w:name="ref-bramer2018"/>
    <w:p>
      <w:pPr>
        <w:pStyle w:val="Bibliography"/>
      </w:pPr>
      <w:r>
        <w:t xml:space="preserve">114.</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452"/>
    <w:bookmarkStart w:id="454" w:name="ref-kodvanj2020"/>
    <w:p>
      <w:pPr>
        <w:pStyle w:val="Bibliography"/>
      </w:pPr>
      <w:r>
        <w:t xml:space="preserve">115.</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453">
        <w:r>
          <w:rPr>
            <w:rStyle w:val="Hyperlink"/>
          </w:rPr>
          <w:t xml:space="preserve">10.1101/2020.11.23.394577</w:t>
        </w:r>
      </w:hyperlink>
    </w:p>
    <w:bookmarkEnd w:id="454"/>
    <w:bookmarkStart w:id="455" w:name="ref-noone2020"/>
    <w:p>
      <w:pPr>
        <w:pStyle w:val="Bibliography"/>
      </w:pPr>
      <w:r>
        <w:t xml:space="preserve">116.</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455"/>
    <w:bookmarkStart w:id="456" w:name="ref-grassly2020"/>
    <w:p>
      <w:pPr>
        <w:pStyle w:val="Bibliography"/>
      </w:pPr>
      <w:r>
        <w:t xml:space="preserve">117.</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456"/>
    <w:bookmarkStart w:id="457" w:name="ref-boettiger2015"/>
    <w:p>
      <w:pPr>
        <w:pStyle w:val="Bibliography"/>
      </w:pPr>
      <w:r>
        <w:t xml:space="preserve">118.</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 Lessons 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457"/>
    <w:bookmarkStart w:id="458" w:name="ref-zotero-15016"/>
    <w:p>
      <w:pPr>
        <w:pStyle w:val="Bibliography"/>
      </w:pPr>
      <w:r>
        <w:t xml:space="preserve">119.</w:t>
      </w:r>
      <w:r>
        <w:t xml:space="preserve"> </w:t>
      </w:r>
      <w:r>
        <w:t xml:space="preserve">	</w:t>
      </w:r>
      <w:r>
        <w:t xml:space="preserve">Issue #380 - medrxivr: Accessing 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458"/>
    <w:bookmarkStart w:id="459" w:name="ref-abdill2019b"/>
    <w:p>
      <w:pPr>
        <w:pStyle w:val="Bibliography"/>
      </w:pPr>
      <w:r>
        <w:t xml:space="preserve">120.</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459"/>
    <w:bookmarkStart w:id="461" w:name="ref-bong2019"/>
    <w:p>
      <w:pPr>
        <w:pStyle w:val="Bibliography"/>
      </w:pPr>
      <w:r>
        <w:t xml:space="preserve">121.</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460">
        <w:r>
          <w:rPr>
            <w:rStyle w:val="Hyperlink"/>
          </w:rPr>
          <w:t xml:space="preserve">10.1101/19000265</w:t>
        </w:r>
      </w:hyperlink>
    </w:p>
    <w:bookmarkEnd w:id="461"/>
    <w:bookmarkStart w:id="462" w:name="ref-song2010"/>
    <w:p>
      <w:pPr>
        <w:pStyle w:val="Bibliography"/>
      </w:pPr>
      <w:r>
        <w:t xml:space="preserve">122.</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462"/>
    <w:bookmarkStart w:id="464" w:name="ref-vuorre2020"/>
    <w:p>
      <w:pPr>
        <w:pStyle w:val="Bibliography"/>
      </w:pPr>
      <w:r>
        <w:t xml:space="preserve">123.</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463">
        <w:r>
          <w:rPr>
            <w:rStyle w:val="Hyperlink"/>
          </w:rPr>
          <w:t xml:space="preserve">10.3758/s13428-020-01436-x</w:t>
        </w:r>
      </w:hyperlink>
    </w:p>
    <w:bookmarkEnd w:id="464"/>
    <w:bookmarkStart w:id="466" w:name="ref-mcguinnessluke2020"/>
    <w:p>
      <w:pPr>
        <w:pStyle w:val="Bibliography"/>
      </w:pPr>
      <w:r>
        <w:t xml:space="preserve">124.</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465">
        <w:r>
          <w:rPr>
            <w:rStyle w:val="Hyperlink"/>
          </w:rPr>
          <w:t xml:space="preserve">10.17605/OSF.IO/VTW5Y</w:t>
        </w:r>
      </w:hyperlink>
    </w:p>
    <w:bookmarkEnd w:id="466"/>
    <w:bookmarkStart w:id="467" w:name="ref-gusenbauer2020a"/>
    <w:p>
      <w:pPr>
        <w:pStyle w:val="Bibliography"/>
      </w:pPr>
      <w:r>
        <w:t xml:space="preserve">125.</w:t>
      </w:r>
      <w:r>
        <w:t xml:space="preserve"> </w:t>
      </w:r>
      <w:r>
        <w:t xml:space="preserve">	</w:t>
      </w:r>
      <w:r>
        <w:t xml:space="preserve">Gusenbauer, M. &amp; Haddaway, N. R. Which academic search systems are suitable for systematic reviews or meta-analyses? Evaluating 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67"/>
    <w:bookmarkStart w:id="468" w:name="ref-bramer2016"/>
    <w:p>
      <w:pPr>
        <w:pStyle w:val="Bibliography"/>
      </w:pPr>
      <w:r>
        <w:t xml:space="preserve">126.</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68"/>
    <w:bookmarkStart w:id="469" w:name="ref-hupe2019"/>
    <w:p>
      <w:pPr>
        <w:pStyle w:val="Bibliography"/>
      </w:pPr>
      <w:r>
        <w:t xml:space="preserve">127.</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69"/>
    <w:bookmarkStart w:id="470" w:name="ref-ouzzani2016"/>
    <w:p>
      <w:pPr>
        <w:pStyle w:val="Bibliography"/>
      </w:pPr>
      <w:r>
        <w:t xml:space="preserve">128.</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70"/>
    <w:bookmarkStart w:id="471" w:name="ref-organizationwho1993"/>
    <w:p>
      <w:pPr>
        <w:pStyle w:val="Bibliography"/>
      </w:pPr>
      <w:r>
        <w:t xml:space="preserve">129.</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 Diagnostic criteria for research</w:t>
      </w:r>
      <w:r>
        <w:t xml:space="preserve">. (</w:t>
      </w:r>
      <w:r>
        <w:t xml:space="preserve">World Health Organization</w:t>
      </w:r>
      <w:r>
        <w:t xml:space="preserve">, 1993).</w:t>
      </w:r>
    </w:p>
    <w:bookmarkEnd w:id="471"/>
    <w:bookmarkStart w:id="472" w:name="ref-roman1993"/>
    <w:p>
      <w:pPr>
        <w:pStyle w:val="Bibliography"/>
      </w:pPr>
      <w:r>
        <w:t xml:space="preserve">130.</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72"/>
    <w:bookmarkStart w:id="473" w:name="ref-edition2013"/>
    <w:p>
      <w:pPr>
        <w:pStyle w:val="Bibliography"/>
      </w:pPr>
      <w:r>
        <w:t xml:space="preserve">131.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73"/>
    <w:bookmarkStart w:id="474" w:name="ref-gwet2008"/>
    <w:p>
      <w:pPr>
        <w:pStyle w:val="Bibliography"/>
      </w:pPr>
      <w:r>
        <w:t xml:space="preserve">132.</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74"/>
    <w:bookmarkStart w:id="475" w:name="ref-cohen1960"/>
    <w:p>
      <w:pPr>
        <w:pStyle w:val="Bibliography"/>
      </w:pPr>
      <w:r>
        <w:t xml:space="preserve">133.</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75"/>
    <w:bookmarkStart w:id="476" w:name="ref-wongpakaran2013"/>
    <w:p>
      <w:pPr>
        <w:pStyle w:val="Bibliography"/>
      </w:pPr>
      <w:r>
        <w:t xml:space="preserve">134.</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76"/>
    <w:bookmarkStart w:id="477" w:name="ref-brennan1992"/>
    <w:p>
      <w:pPr>
        <w:pStyle w:val="Bibliography"/>
      </w:pPr>
      <w:r>
        <w:t xml:space="preserve">135.</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77"/>
    <w:bookmarkStart w:id="478" w:name="ref-mchugh2012"/>
    <w:p>
      <w:pPr>
        <w:pStyle w:val="Bibliography"/>
      </w:pPr>
      <w:r>
        <w:t xml:space="preserve">136.</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78"/>
    <w:bookmarkStart w:id="479" w:name="ref-higgins2019"/>
    <w:p>
      <w:pPr>
        <w:pStyle w:val="Bibliography"/>
      </w:pPr>
      <w:r>
        <w:t xml:space="preserve">137.</w:t>
      </w:r>
      <w:r>
        <w:t xml:space="preserve"> </w:t>
      </w:r>
      <w:r>
        <w:t xml:space="preserve">	</w:t>
      </w:r>
      <w:r>
        <w:t xml:space="preserve">Higgins, J. P., Li, T. &amp; Deeks, J. J. Section 6.5.2.10 : Combining 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79"/>
    <w:bookmarkStart w:id="480" w:name="ref-reynders2019"/>
    <w:p>
      <w:pPr>
        <w:pStyle w:val="Bibliography"/>
      </w:pPr>
      <w:r>
        <w:t xml:space="preserve">138.</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80"/>
    <w:bookmarkStart w:id="481" w:name="ref-mckenzie2019"/>
    <w:p>
      <w:pPr>
        <w:pStyle w:val="Bibliography"/>
      </w:pPr>
      <w:r>
        <w:t xml:space="preserve">139.</w:t>
      </w:r>
      <w:r>
        <w:t xml:space="preserve"> </w:t>
      </w:r>
      <w:r>
        <w:t xml:space="preserve">	</w:t>
      </w:r>
      <w:r>
        <w:t xml:space="preserve">McKenzie, J. E. &amp; Brennan, S. E. Section 12.1: Why 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81"/>
    <w:bookmarkStart w:id="482" w:name="ref-sterne2016"/>
    <w:p>
      <w:pPr>
        <w:pStyle w:val="Bibliography"/>
      </w:pPr>
      <w:r>
        <w:t xml:space="preserve">140.</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82"/>
    <w:bookmarkStart w:id="483" w:name="ref-campbell1957"/>
    <w:p>
      <w:pPr>
        <w:pStyle w:val="Bibliography"/>
      </w:pPr>
      <w:r>
        <w:t xml:space="preserve">141.</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83"/>
    <w:bookmarkStart w:id="484" w:name="ref-juni2001"/>
    <w:p>
      <w:pPr>
        <w:pStyle w:val="Bibliography"/>
      </w:pPr>
      <w:r>
        <w:t xml:space="preserve">142.</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84"/>
    <w:bookmarkStart w:id="485" w:name="ref-sterne2019"/>
    <w:p>
      <w:pPr>
        <w:pStyle w:val="Bibliography"/>
      </w:pPr>
      <w:r>
        <w:t xml:space="preserve">143.</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85"/>
    <w:bookmarkStart w:id="486" w:name="ref-morganr2020"/>
    <w:p>
      <w:pPr>
        <w:pStyle w:val="Bibliography"/>
      </w:pPr>
      <w:r>
        <w:t xml:space="preserve">144.</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86"/>
    <w:bookmarkStart w:id="487" w:name="ref-french2019"/>
    <w:p>
      <w:pPr>
        <w:pStyle w:val="Bibliography"/>
      </w:pPr>
      <w:r>
        <w:t xml:space="preserve">145.</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87"/>
    <w:bookmarkStart w:id="488" w:name="ref-wells2000"/>
    <w:p>
      <w:pPr>
        <w:pStyle w:val="Bibliography"/>
      </w:pPr>
      <w:r>
        <w:t xml:space="preserve">146.</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88"/>
    <w:bookmarkStart w:id="489" w:name="ref-mamluk2020"/>
    <w:p>
      <w:pPr>
        <w:pStyle w:val="Bibliography"/>
      </w:pPr>
      <w:r>
        <w:t xml:space="preserve">147.</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89"/>
    <w:bookmarkStart w:id="491" w:name="ref-spiga2021"/>
    <w:p>
      <w:pPr>
        <w:pStyle w:val="Bibliography"/>
      </w:pPr>
      <w:r>
        <w:t xml:space="preserve">148.</w:t>
      </w:r>
      <w:r>
        <w:t xml:space="preserve"> </w:t>
      </w:r>
      <w:r>
        <w:t xml:space="preserve">	</w:t>
      </w:r>
      <w:r>
        <w:t xml:space="preserve">Spiga, F.</w:t>
      </w:r>
      <w:r>
        <w:t xml:space="preserve"> </w:t>
      </w:r>
      <w:r>
        <w:rPr>
          <w:iCs/>
          <w:i/>
        </w:rPr>
        <w:t xml:space="preserve">et al.</w:t>
      </w:r>
      <w:r>
        <w:t xml:space="preserve"> Tools for the assessment of quality and risk of bias in</w:t>
      </w:r>
      <w:r>
        <w:t xml:space="preserve"> </w:t>
      </w:r>
      <w:r>
        <w:t xml:space="preserve">Mendelian</w:t>
      </w:r>
      <w:r>
        <w:t xml:space="preserve"> </w:t>
      </w:r>
      <w:r>
        <w:t xml:space="preserve">randomization studies: A systematic review.</w:t>
      </w:r>
      <w:r>
        <w:t xml:space="preserve"> </w:t>
      </w:r>
      <w:r>
        <w:rPr>
          <w:iCs/>
          <w:i/>
        </w:rPr>
        <w:t xml:space="preserve">medRxiv</w:t>
      </w:r>
      <w:r>
        <w:t xml:space="preserve"> </w:t>
      </w:r>
      <w:r>
        <w:t xml:space="preserve">2021.10.21.21265126 (2021). doi:</w:t>
      </w:r>
      <w:hyperlink r:id="rId490">
        <w:r>
          <w:rPr>
            <w:rStyle w:val="Hyperlink"/>
          </w:rPr>
          <w:t xml:space="preserve">10.1101/2021.10.21.21265126</w:t>
        </w:r>
      </w:hyperlink>
    </w:p>
    <w:bookmarkEnd w:id="491"/>
    <w:bookmarkStart w:id="492" w:name="ref-zotero-15123"/>
    <w:p>
      <w:pPr>
        <w:pStyle w:val="Bibliography"/>
      </w:pPr>
      <w:r>
        <w:t xml:space="preserve">149.</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92"/>
    <w:bookmarkStart w:id="493" w:name="ref-saran2018"/>
    <w:p>
      <w:pPr>
        <w:pStyle w:val="Bibliography"/>
      </w:pPr>
      <w:r>
        <w:t xml:space="preserve">150.</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93"/>
    <w:bookmarkStart w:id="494" w:name="ref-mcguinness2020robvisPaper"/>
    <w:p>
      <w:pPr>
        <w:pStyle w:val="Bibliography"/>
      </w:pPr>
      <w:r>
        <w:t xml:space="preserve">151.</w:t>
      </w:r>
      <w:r>
        <w:t xml:space="preserve"> </w:t>
      </w:r>
      <w:r>
        <w:t xml:space="preserve">	</w:t>
      </w:r>
      <w:r>
        <w:t xml:space="preserve">McGuinness, L. A. &amp; Higgins, J. P. T. Risk-of-bias</w:t>
      </w:r>
      <w:r>
        <w:t xml:space="preserve"> </w:t>
      </w:r>
      <w:r>
        <w:t xml:space="preserve">VISualization</w:t>
      </w:r>
      <w:r>
        <w:t xml:space="preserve"> </w:t>
      </w:r>
      <w:r>
        <w:t xml:space="preserve">(robvis): An</w:t>
      </w:r>
      <w:r>
        <w:t xml:space="preserve"> </w:t>
      </w:r>
      <w:r>
        <w:t xml:space="preserve">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94"/>
    <w:bookmarkStart w:id="495" w:name="ref-zotero-14999"/>
    <w:p>
      <w:pPr>
        <w:pStyle w:val="Bibliography"/>
      </w:pPr>
      <w:r>
        <w:t xml:space="preserve">152.</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95"/>
    <w:bookmarkStart w:id="496" w:name="ref-feinstein1990"/>
    <w:p>
      <w:pPr>
        <w:pStyle w:val="Bibliography"/>
      </w:pPr>
      <w:r>
        <w:t xml:space="preserve">153.</w:t>
      </w:r>
      <w:r>
        <w:t xml:space="preserve"> </w:t>
      </w:r>
      <w:r>
        <w:t xml:space="preserve">	</w:t>
      </w:r>
      <w:r>
        <w:t xml:space="preserve">Feinstein, A. R. &amp; Cicchetti, D. V. High agreement but low kappa: I.</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96"/>
    <w:bookmarkStart w:id="497" w:name="X49f9892f062f4edfe92b37e5c1639cb4f6c013f"/>
    <w:p>
      <w:pPr>
        <w:pStyle w:val="Bibliography"/>
      </w:pPr>
      <w:r>
        <w:t xml:space="preserve">154.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97"/>
    <w:bookmarkStart w:id="498" w:name="ref-ridker2008"/>
    <w:p>
      <w:pPr>
        <w:pStyle w:val="Bibliography"/>
      </w:pPr>
      <w:r>
        <w:t xml:space="preserve">155.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498"/>
    <w:bookmarkStart w:id="499" w:name="ref-ancelin2012"/>
    <w:p>
      <w:pPr>
        <w:pStyle w:val="Bibliography"/>
      </w:pPr>
      <w:r>
        <w:t xml:space="preserve">156.</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99"/>
    <w:bookmarkStart w:id="500" w:name="ref-arvanitakis2008"/>
    <w:p>
      <w:pPr>
        <w:pStyle w:val="Bibliography"/>
      </w:pPr>
      <w:r>
        <w:t xml:space="preserve">157.</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500"/>
    <w:bookmarkStart w:id="501" w:name="ref-bettermann2012"/>
    <w:p>
      <w:pPr>
        <w:pStyle w:val="Bibliography"/>
      </w:pPr>
      <w:r>
        <w:t xml:space="preserve">158.</w:t>
      </w:r>
      <w:r>
        <w:t xml:space="preserve"> </w:t>
      </w:r>
      <w:r>
        <w:t xml:space="preserve">	</w:t>
      </w:r>
      <w:r>
        <w:t xml:space="preserve">Bettermann, K.</w:t>
      </w:r>
      <w:r>
        <w:t xml:space="preserve"> </w:t>
      </w:r>
      <w:r>
        <w:rPr>
          <w:iCs/>
          <w:i/>
        </w:rPr>
        <w:t xml:space="preserve">et al.</w:t>
      </w:r>
      <w:r>
        <w:t xml:space="preserve"> Statins,</w:t>
      </w:r>
      <w:r>
        <w:t xml:space="preserve"> </w:t>
      </w:r>
      <w:r>
        <w:t xml:space="preserve">Risk</w:t>
      </w:r>
      <w:r>
        <w:t xml:space="preserve"> </w:t>
      </w:r>
      <w:r>
        <w:t xml:space="preserve">of</w:t>
      </w:r>
      <w:r>
        <w:t xml:space="preserve"> </w:t>
      </w:r>
      <w:r>
        <w:t xml:space="preserve">Dementia</w:t>
      </w:r>
      <w:r>
        <w:t xml:space="preserve">, and</w:t>
      </w:r>
      <w:r>
        <w:t xml:space="preserve"> </w:t>
      </w:r>
      <w:r>
        <w:t xml:space="preserve">Cognitive Function</w:t>
      </w:r>
      <w:r>
        <w:t xml:space="preserve">: Secondary</w:t>
      </w:r>
      <w:r>
        <w:t xml:space="preserve"> </w:t>
      </w:r>
      <w:r>
        <w:t xml:space="preserve">Analysis</w:t>
      </w:r>
      <w:r>
        <w:t xml:space="preserve"> </w:t>
      </w:r>
      <w:r>
        <w:t xml:space="preserve">of the</w:t>
      </w:r>
      <w:r>
        <w:t xml:space="preserve"> </w:t>
      </w:r>
      <w:r>
        <w:t xml:space="preserve">Ginkgo Evaluation</w:t>
      </w:r>
      <w:r>
        <w:t xml:space="preserve"> </w:t>
      </w:r>
      <w:r>
        <w:t xml:space="preserve">of</w:t>
      </w:r>
      <w:r>
        <w:t xml:space="preserve"> </w:t>
      </w:r>
      <w:r>
        <w:t xml:space="preserve">Memory Study</w:t>
      </w:r>
      <w:r>
        <w:t xml:space="preserve">.</w:t>
      </w:r>
      <w:r>
        <w:t xml:space="preserve"> </w:t>
      </w:r>
      <w:r>
        <w:rPr>
          <w:iCs/>
          <w:i/>
        </w:rPr>
        <w:t xml:space="preserve">Journal of Stroke and Cerebrovascular Diseases</w:t>
      </w:r>
      <w:r>
        <w:t xml:space="preserve"> </w:t>
      </w:r>
      <w:r>
        <w:rPr>
          <w:bCs/>
          <w:b/>
        </w:rPr>
        <w:t xml:space="preserve">21</w:t>
      </w:r>
      <w:r>
        <w:t xml:space="preserve">, 436–444 (2012).</w:t>
      </w:r>
    </w:p>
    <w:bookmarkEnd w:id="501"/>
    <w:bookmarkStart w:id="502" w:name="ref-beydoun2011"/>
    <w:p>
      <w:pPr>
        <w:pStyle w:val="Bibliography"/>
      </w:pPr>
      <w:r>
        <w:t xml:space="preserve">159.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502"/>
    <w:bookmarkStart w:id="503" w:name="ref-chao2015a"/>
    <w:p>
      <w:pPr>
        <w:pStyle w:val="Bibliography"/>
      </w:pPr>
      <w:r>
        <w:t xml:space="preserve">160.</w:t>
      </w:r>
      <w:r>
        <w:t xml:space="preserve"> </w:t>
      </w:r>
      <w:r>
        <w:t xml:space="preserve">	</w:t>
      </w:r>
      <w:r>
        <w:t xml:space="preserve">Chao, T. 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503"/>
    <w:bookmarkStart w:id="504" w:name="ref-chen2014"/>
    <w:p>
      <w:pPr>
        <w:pStyle w:val="Bibliography"/>
      </w:pPr>
      <w:r>
        <w:t xml:space="preserve">161.</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504"/>
    <w:bookmarkStart w:id="505" w:name="ref-chitnis2015"/>
    <w:p>
      <w:pPr>
        <w:pStyle w:val="Bibliography"/>
      </w:pPr>
      <w:r>
        <w:t xml:space="preserve">162.</w:t>
      </w:r>
      <w:r>
        <w:t xml:space="preserve"> </w:t>
      </w:r>
      <w:r>
        <w:t xml:space="preserve">	</w:t>
      </w:r>
      <w:r>
        <w:t xml:space="preserve">Chitnis, A. S.</w:t>
      </w:r>
      <w:r>
        <w:t xml:space="preserve"> </w:t>
      </w:r>
      <w:r>
        <w:rPr>
          <w:iCs/>
          <w:i/>
        </w:rPr>
        <w:t xml:space="preserve">et al.</w:t>
      </w:r>
      <w:r>
        <w:t xml:space="preserve"> Use of statins and risk of dementia in heart failure: A retrospective cohort study.</w:t>
      </w:r>
      <w:r>
        <w:t xml:space="preserve"> </w:t>
      </w:r>
      <w:r>
        <w:rPr>
          <w:iCs/>
          <w:i/>
        </w:rPr>
        <w:t xml:space="preserve">Drugs &amp; Aging</w:t>
      </w:r>
      <w:r>
        <w:t xml:space="preserve"> </w:t>
      </w:r>
      <w:r>
        <w:rPr>
          <w:bCs/>
          <w:b/>
        </w:rPr>
        <w:t xml:space="preserve">32</w:t>
      </w:r>
      <w:r>
        <w:t xml:space="preserve">, 743–754 (2015).</w:t>
      </w:r>
    </w:p>
    <w:bookmarkEnd w:id="505"/>
    <w:bookmarkStart w:id="506" w:name="ref-chou2014a"/>
    <w:p>
      <w:pPr>
        <w:pStyle w:val="Bibliography"/>
      </w:pPr>
      <w:r>
        <w:t xml:space="preserve">163.</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506"/>
    <w:bookmarkStart w:id="507" w:name="ref-chuang2015"/>
    <w:p>
      <w:pPr>
        <w:pStyle w:val="Bibliography"/>
      </w:pPr>
      <w:r>
        <w:t xml:space="preserve">164.</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507"/>
    <w:bookmarkStart w:id="508" w:name="ref-cramer2008"/>
    <w:p>
      <w:pPr>
        <w:pStyle w:val="Bibliography"/>
      </w:pPr>
      <w:r>
        <w:t xml:space="preserve">165.</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508"/>
    <w:bookmarkStart w:id="509" w:name="ref-gnjidic2016"/>
    <w:p>
      <w:pPr>
        <w:pStyle w:val="Bibliography"/>
      </w:pPr>
      <w:r>
        <w:t xml:space="preserve">166.</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509"/>
    <w:bookmarkStart w:id="510" w:name="ref-haag2009"/>
    <w:p>
      <w:pPr>
        <w:pStyle w:val="Bibliography"/>
      </w:pPr>
      <w:r>
        <w:t xml:space="preserve">167.</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510"/>
    <w:bookmarkStart w:id="511" w:name="ref-hendrie2015"/>
    <w:p>
      <w:pPr>
        <w:pStyle w:val="Bibliography"/>
      </w:pPr>
      <w:r>
        <w:t xml:space="preserve">168.</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511"/>
    <w:bookmarkStart w:id="512" w:name="ref-hippisley-cox2010a"/>
    <w:p>
      <w:pPr>
        <w:pStyle w:val="Bibliography"/>
      </w:pPr>
      <w:r>
        <w:t xml:space="preserve">169.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512"/>
    <w:bookmarkStart w:id="513" w:name="ref-jick2000"/>
    <w:p>
      <w:pPr>
        <w:pStyle w:val="Bibliography"/>
      </w:pPr>
      <w:r>
        <w:t xml:space="preserve">170.</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513"/>
    <w:bookmarkStart w:id="514" w:name="ref-li2004"/>
    <w:p>
      <w:pPr>
        <w:pStyle w:val="Bibliography"/>
      </w:pPr>
      <w:r>
        <w:t xml:space="preserve">171.</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514"/>
    <w:bookmarkStart w:id="515" w:name="ref-li2010"/>
    <w:p>
      <w:pPr>
        <w:pStyle w:val="Bibliography"/>
      </w:pPr>
      <w:r>
        <w:t xml:space="preserve">172.</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515"/>
    <w:bookmarkStart w:id="516" w:name="ref-liao2013"/>
    <w:p>
      <w:pPr>
        <w:pStyle w:val="Bibliography"/>
      </w:pPr>
      <w:r>
        <w:t xml:space="preserve">173.</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516"/>
    <w:bookmarkStart w:id="517" w:name="ref-liu2019a"/>
    <w:p>
      <w:pPr>
        <w:pStyle w:val="Bibliography"/>
      </w:pPr>
      <w:r>
        <w:t xml:space="preserve">174.</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517"/>
    <w:bookmarkStart w:id="518" w:name="ref-pan2018"/>
    <w:p>
      <w:pPr>
        <w:pStyle w:val="Bibliography"/>
      </w:pPr>
      <w:r>
        <w:t xml:space="preserve">175.</w:t>
      </w:r>
      <w:r>
        <w:t xml:space="preserve"> </w:t>
      </w:r>
      <w:r>
        <w:t xml:space="preserve">	</w:t>
      </w:r>
      <w:r>
        <w:t xml:space="preserve">Pan, M. L., Hsu, C. C., Chen, Y. M., Yu, H. K. &amp; Hu, G. C. Statin use and the risk of dementia in patients with stroke: A 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518"/>
    <w:bookmarkStart w:id="519" w:name="ref-parikh2011"/>
    <w:p>
      <w:pPr>
        <w:pStyle w:val="Bibliography"/>
      </w:pPr>
      <w:r>
        <w:t xml:space="preserve">176.</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519"/>
    <w:bookmarkStart w:id="520" w:name="ref-rea2005a"/>
    <w:p>
      <w:pPr>
        <w:pStyle w:val="Bibliography"/>
      </w:pPr>
      <w:r>
        <w:t xml:space="preserve">177.</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520"/>
    <w:bookmarkStart w:id="521" w:name="ref-redelmeier2019"/>
    <w:p>
      <w:pPr>
        <w:pStyle w:val="Bibliography"/>
      </w:pPr>
      <w:r>
        <w:t xml:space="preserve">178.</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521"/>
    <w:bookmarkStart w:id="522" w:name="ref-reitz2010"/>
    <w:p>
      <w:pPr>
        <w:pStyle w:val="Bibliography"/>
      </w:pPr>
      <w:r>
        <w:t xml:space="preserve">179.</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522"/>
    <w:bookmarkStart w:id="523" w:name="ref-smeeth2009a"/>
    <w:p>
      <w:pPr>
        <w:pStyle w:val="Bibliography"/>
      </w:pPr>
      <w:r>
        <w:t xml:space="preserve">180.</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23"/>
    <w:bookmarkStart w:id="524" w:name="ref-solomon2007"/>
    <w:p>
      <w:pPr>
        <w:pStyle w:val="Bibliography"/>
      </w:pPr>
      <w:r>
        <w:t xml:space="preserve">181.</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524"/>
    <w:bookmarkStart w:id="525" w:name="ref-sparks2008"/>
    <w:p>
      <w:pPr>
        <w:pStyle w:val="Bibliography"/>
      </w:pPr>
      <w:r>
        <w:t xml:space="preserve">182.</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525"/>
    <w:bookmarkStart w:id="526" w:name="ref-szwast2007"/>
    <w:p>
      <w:pPr>
        <w:pStyle w:val="Bibliography"/>
      </w:pPr>
      <w:r>
        <w:t xml:space="preserve">183.</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526"/>
    <w:bookmarkStart w:id="527" w:name="ref-yang2015"/>
    <w:p>
      <w:pPr>
        <w:pStyle w:val="Bibliography"/>
      </w:pPr>
      <w:r>
        <w:t xml:space="preserve">184.</w:t>
      </w:r>
      <w:r>
        <w:t xml:space="preserve"> </w:t>
      </w:r>
      <w:r>
        <w:t xml:space="preserve">	</w:t>
      </w:r>
      <w:r>
        <w:t xml:space="preserve">Yang, Y. H.</w:t>
      </w:r>
      <w:r>
        <w:t xml:space="preserve"> </w:t>
      </w:r>
      <w:r>
        <w:rPr>
          <w:iCs/>
          <w:i/>
        </w:rPr>
        <w:t xml:space="preserve">et al.</w:t>
      </w:r>
      <w:r>
        <w:t xml:space="preserve"> Statins reduces the risk of dementia in patients with late-onset depression: A retrospective cohort study.</w:t>
      </w:r>
      <w:r>
        <w:t xml:space="preserve"> </w:t>
      </w:r>
      <w:r>
        <w:rPr>
          <w:iCs/>
          <w:i/>
        </w:rPr>
        <w:t xml:space="preserve">PLoS ONE [Electronic Resource]</w:t>
      </w:r>
      <w:r>
        <w:t xml:space="preserve"> </w:t>
      </w:r>
      <w:r>
        <w:rPr>
          <w:bCs/>
          <w:b/>
        </w:rPr>
        <w:t xml:space="preserve">10</w:t>
      </w:r>
      <w:r>
        <w:t xml:space="preserve">, e0137914 (2015).</w:t>
      </w:r>
    </w:p>
    <w:bookmarkEnd w:id="527"/>
    <w:bookmarkStart w:id="528" w:name="ref-zamrini2004"/>
    <w:p>
      <w:pPr>
        <w:pStyle w:val="Bibliography"/>
      </w:pPr>
      <w:r>
        <w:t xml:space="preserve">185.</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28"/>
    <w:bookmarkStart w:id="529" w:name="ref-zandi2005"/>
    <w:p>
      <w:pPr>
        <w:pStyle w:val="Bibliography"/>
      </w:pPr>
      <w:r>
        <w:t xml:space="preserve">186.</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 The</w:t>
      </w:r>
      <w:r>
        <w:t xml:space="preserve"> </w:t>
      </w:r>
      <w:r>
        <w:t xml:space="preserve">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29"/>
    <w:bookmarkStart w:id="530" w:name="ref-ancelin2013"/>
    <w:p>
      <w:pPr>
        <w:pStyle w:val="Bibliography"/>
      </w:pPr>
      <w:r>
        <w:t xml:space="preserve">187.</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530"/>
    <w:bookmarkStart w:id="531" w:name="ref-batty2014"/>
    <w:p>
      <w:pPr>
        <w:pStyle w:val="Bibliography"/>
      </w:pPr>
      <w:r>
        <w:t xml:space="preserve">188.</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531"/>
    <w:bookmarkStart w:id="532" w:name="ref-benn2017b"/>
    <w:p>
      <w:pPr>
        <w:pStyle w:val="Bibliography"/>
      </w:pPr>
      <w:r>
        <w:t xml:space="preserve">189.</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 (Clinical research ed.)</w:t>
      </w:r>
      <w:r>
        <w:t xml:space="preserve"> </w:t>
      </w:r>
      <w:r>
        <w:rPr>
          <w:bCs/>
          <w:b/>
        </w:rPr>
        <w:t xml:space="preserve">357</w:t>
      </w:r>
      <w:r>
        <w:t xml:space="preserve">, j1648 (2017).</w:t>
      </w:r>
    </w:p>
    <w:bookmarkEnd w:id="532"/>
    <w:bookmarkStart w:id="533" w:name="ref-bruce2017"/>
    <w:p>
      <w:pPr>
        <w:pStyle w:val="Bibliography"/>
      </w:pPr>
      <w:r>
        <w:t xml:space="preserve">190.</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 The</w:t>
      </w:r>
      <w:r>
        <w:t xml:space="preserve"> </w:t>
      </w:r>
      <w:r>
        <w:t xml:space="preserve">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533"/>
    <w:bookmarkStart w:id="534" w:name="ref-chiang2007"/>
    <w:p>
      <w:pPr>
        <w:pStyle w:val="Bibliography"/>
      </w:pPr>
      <w:r>
        <w:t xml:space="preserve">191.</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534"/>
    <w:bookmarkStart w:id="535" w:name="ref-dodge2011"/>
    <w:p>
      <w:pPr>
        <w:pStyle w:val="Bibliography"/>
      </w:pPr>
      <w:r>
        <w:t xml:space="preserve">192.</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535"/>
    <w:bookmarkStart w:id="536" w:name="ref-forti2010"/>
    <w:p>
      <w:pPr>
        <w:pStyle w:val="Bibliography"/>
      </w:pPr>
      <w:r>
        <w:t xml:space="preserve">193.</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536"/>
    <w:bookmarkStart w:id="537" w:name="ref-gottesman2017"/>
    <w:p>
      <w:pPr>
        <w:pStyle w:val="Bibliography"/>
      </w:pPr>
      <w:r>
        <w:t xml:space="preserve">194.</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537"/>
    <w:bookmarkStart w:id="538" w:name="ref-gustafson2012"/>
    <w:p>
      <w:pPr>
        <w:pStyle w:val="Bibliography"/>
      </w:pPr>
      <w:r>
        <w:t xml:space="preserve">195.</w:t>
      </w:r>
      <w:r>
        <w:t xml:space="preserve"> </w:t>
      </w:r>
      <w:r>
        <w:t xml:space="preserve">	</w:t>
      </w:r>
      <w:r>
        <w:t xml:space="preserve">Gustafson, D. R.</w:t>
      </w:r>
      <w:r>
        <w:t xml:space="preserve"> </w:t>
      </w:r>
      <w:r>
        <w:rPr>
          <w:iCs/>
          <w:i/>
        </w:rPr>
        <w:t xml:space="preserve">et al.</w:t>
      </w:r>
      <w:r>
        <w:t xml:space="preserve"> Epidemiological evidence for lipid-based dementia prevention: The</w:t>
      </w:r>
      <w:r>
        <w:t xml:space="preserve"> </w:t>
      </w:r>
      <w:r>
        <w:t xml:space="preserve">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538"/>
    <w:bookmarkStart w:id="539" w:name="ref-hayden2006"/>
    <w:p>
      <w:pPr>
        <w:pStyle w:val="Bibliography"/>
      </w:pPr>
      <w:r>
        <w:t xml:space="preserve">196.</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539"/>
    <w:bookmarkStart w:id="540" w:name="ref-kimm2011"/>
    <w:p>
      <w:pPr>
        <w:pStyle w:val="Bibliography"/>
      </w:pPr>
      <w:r>
        <w:t xml:space="preserve">197.</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540"/>
    <w:bookmarkStart w:id="541" w:name="ref-kivipelto2001"/>
    <w:p>
      <w:pPr>
        <w:pStyle w:val="Bibliography"/>
      </w:pPr>
      <w:r>
        <w:t xml:space="preserve">198.</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541"/>
    <w:bookmarkStart w:id="542" w:name="ref-kivipelto2005a"/>
    <w:p>
      <w:pPr>
        <w:pStyle w:val="Bibliography"/>
      </w:pPr>
      <w:r>
        <w:t xml:space="preserve">199.</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542"/>
    <w:bookmarkStart w:id="543" w:name="ref-kuo2015"/>
    <w:p>
      <w:pPr>
        <w:pStyle w:val="Bibliography"/>
      </w:pPr>
      <w:r>
        <w:t xml:space="preserve">200.</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543"/>
    <w:bookmarkStart w:id="544" w:name="ref-mainousa.g.2005"/>
    <w:p>
      <w:pPr>
        <w:pStyle w:val="Bibliography"/>
      </w:pPr>
      <w:r>
        <w:t xml:space="preserve">201.</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544"/>
    <w:bookmarkStart w:id="545" w:name="ref-mielke2005a"/>
    <w:p>
      <w:pPr>
        <w:pStyle w:val="Bibliography"/>
      </w:pPr>
      <w:r>
        <w:t xml:space="preserve">202.</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545"/>
    <w:bookmarkStart w:id="546" w:name="ref-mielke2010a"/>
    <w:p>
      <w:pPr>
        <w:pStyle w:val="Bibliography"/>
      </w:pPr>
      <w:r>
        <w:t xml:space="preserve">203.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546"/>
    <w:bookmarkStart w:id="547" w:name="ref-mielke2011"/>
    <w:p>
      <w:pPr>
        <w:pStyle w:val="Bibliography"/>
      </w:pPr>
      <w:r>
        <w:t xml:space="preserve">204.</w:t>
      </w:r>
      <w:r>
        <w:t xml:space="preserve"> </w:t>
      </w:r>
      <w:r>
        <w:t xml:space="preserve">	</w:t>
      </w:r>
      <w:r>
        <w:t xml:space="preserve">Mielke, M.</w:t>
      </w:r>
      <w:r>
        <w:t xml:space="preserve"> </w:t>
      </w:r>
      <w:r>
        <w:rPr>
          <w:iCs/>
          <w:i/>
        </w:rPr>
        <w:t xml:space="preserve">et al.</w:t>
      </w:r>
      <w:r>
        <w:t xml:space="preserve"> Serum ceramides predict incident alzheimer’s disease: The 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547"/>
    <w:bookmarkStart w:id="548" w:name="ref-muller2007"/>
    <w:p>
      <w:pPr>
        <w:pStyle w:val="Bibliography"/>
      </w:pPr>
      <w:r>
        <w:t xml:space="preserve">205.</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548"/>
    <w:bookmarkStart w:id="549" w:name="ref-noale2013"/>
    <w:p>
      <w:pPr>
        <w:pStyle w:val="Bibliography"/>
      </w:pPr>
      <w:r>
        <w:t xml:space="preserve">206.</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549"/>
    <w:bookmarkStart w:id="550" w:name="ref-notkola1998"/>
    <w:p>
      <w:pPr>
        <w:pStyle w:val="Bibliography"/>
      </w:pPr>
      <w:r>
        <w:t xml:space="preserve">207.</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550"/>
    <w:bookmarkStart w:id="551" w:name="ref-peters2009"/>
    <w:p>
      <w:pPr>
        <w:pStyle w:val="Bibliography"/>
      </w:pPr>
      <w:r>
        <w:t xml:space="preserve">208.</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551"/>
    <w:bookmarkStart w:id="552" w:name="ref-raffaitin2009"/>
    <w:p>
      <w:pPr>
        <w:pStyle w:val="Bibliography"/>
      </w:pPr>
      <w:r>
        <w:t xml:space="preserve">209.</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552"/>
    <w:bookmarkStart w:id="553" w:name="ref-rantanen2017"/>
    <w:p>
      <w:pPr>
        <w:pStyle w:val="Bibliography"/>
      </w:pPr>
      <w:r>
        <w:t xml:space="preserve">210.</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553"/>
    <w:bookmarkStart w:id="554" w:name="ref-ronnemaa2011"/>
    <w:p>
      <w:pPr>
        <w:pStyle w:val="Bibliography"/>
      </w:pPr>
      <w:r>
        <w:t xml:space="preserve">211.</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554"/>
    <w:bookmarkStart w:id="555" w:name="ref-schilling2017a"/>
    <w:p>
      <w:pPr>
        <w:pStyle w:val="Bibliography"/>
      </w:pPr>
      <w:r>
        <w:t xml:space="preserve">212.</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 A 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555"/>
    <w:bookmarkStart w:id="556" w:name="ref-solomon2009a"/>
    <w:p>
      <w:pPr>
        <w:pStyle w:val="Bibliography"/>
      </w:pPr>
      <w:r>
        <w:t xml:space="preserve">213.</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556"/>
    <w:bookmarkStart w:id="557" w:name="ref-solomon2010"/>
    <w:p>
      <w:pPr>
        <w:pStyle w:val="Bibliography"/>
      </w:pPr>
      <w:r>
        <w:t xml:space="preserve">214.</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557"/>
    <w:bookmarkStart w:id="558" w:name="ref-strand2013"/>
    <w:p>
      <w:pPr>
        <w:pStyle w:val="Bibliography"/>
      </w:pPr>
      <w:r>
        <w:t xml:space="preserve">215.</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558"/>
    <w:bookmarkStart w:id="559" w:name="ref-su2017"/>
    <w:p>
      <w:pPr>
        <w:pStyle w:val="Bibliography"/>
      </w:pPr>
      <w:r>
        <w:t xml:space="preserve">216.</w:t>
      </w:r>
      <w:r>
        <w:t xml:space="preserve"> </w:t>
      </w:r>
      <w:r>
        <w:t xml:space="preserve">	</w:t>
      </w:r>
      <w:r>
        <w:t xml:space="preserve">Su, B.</w:t>
      </w:r>
      <w:r>
        <w:t xml:space="preserve"> </w:t>
      </w:r>
      <w:r>
        <w:rPr>
          <w:iCs/>
          <w:i/>
        </w:rPr>
        <w:t xml:space="preserve">et al.</w:t>
      </w:r>
      <w:r>
        <w:t xml:space="preserve"> [</w:t>
      </w:r>
      <w:r>
        <w:t xml:space="preserve">P3</w:t>
      </w:r>
      <w:r>
        <w:t xml:space="preserve">]:</w:t>
      </w:r>
      <w:r>
        <w:t xml:space="preserve"> </w:t>
      </w:r>
      <w:r>
        <w:t xml:space="preserve">EXPLORING LATE</w:t>
      </w:r>
      <w:r>
        <w:t xml:space="preserve">-</w:t>
      </w:r>
      <w:r>
        <w:t xml:space="preserve">LIFE RISK FACTORS OF ALZHEIMER</w:t>
      </w:r>
      <w:r>
        <w:t xml:space="preserve">’s</w:t>
      </w:r>
      <w:r>
        <w:t xml:space="preserve"> </w:t>
      </w:r>
      <w:r>
        <w:t xml:space="preserve">DISEASE AND OTHER AGE</w:t>
      </w:r>
      <w:r>
        <w:t xml:space="preserve">-</w:t>
      </w:r>
      <w:r>
        <w:t xml:space="preserve">RELATED DEMENTIAS IN CPRD</w:t>
      </w:r>
      <w:r>
        <w:t xml:space="preserve">.</w:t>
      </w:r>
      <w:r>
        <w:t xml:space="preserve"> </w:t>
      </w:r>
      <w:r>
        <w:rPr>
          <w:iCs/>
          <w:i/>
        </w:rPr>
        <w:t xml:space="preserve">Alzheimer’s &amp; Dementia</w:t>
      </w:r>
      <w:r>
        <w:t xml:space="preserve"> </w:t>
      </w:r>
      <w:r>
        <w:rPr>
          <w:bCs/>
          <w:b/>
        </w:rPr>
        <w:t xml:space="preserve">13</w:t>
      </w:r>
      <w:r>
        <w:t xml:space="preserve">, P1178–P1179 (2017).</w:t>
      </w:r>
    </w:p>
    <w:bookmarkEnd w:id="559"/>
    <w:bookmarkStart w:id="560" w:name="ref-svensson2019"/>
    <w:p>
      <w:pPr>
        <w:pStyle w:val="Bibliography"/>
      </w:pPr>
      <w:r>
        <w:t xml:space="preserve">217.</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560"/>
    <w:bookmarkStart w:id="561" w:name="ref-tynkkynen2016"/>
    <w:p>
      <w:pPr>
        <w:pStyle w:val="Bibliography"/>
      </w:pPr>
      <w:r>
        <w:t xml:space="preserve">218.</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561"/>
    <w:bookmarkStart w:id="562" w:name="ref-tynkkynen2018"/>
    <w:p>
      <w:pPr>
        <w:pStyle w:val="Bibliography"/>
      </w:pPr>
      <w:r>
        <w:t xml:space="preserve">219.</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 A prospective study in eight cohorts.</w:t>
      </w:r>
      <w:r>
        <w:t xml:space="preserve"> </w:t>
      </w:r>
      <w:r>
        <w:rPr>
          <w:iCs/>
          <w:i/>
        </w:rPr>
        <w:t xml:space="preserve">Alzheimer’s &amp; Dementia</w:t>
      </w:r>
      <w:r>
        <w:t xml:space="preserve"> </w:t>
      </w:r>
      <w:r>
        <w:rPr>
          <w:bCs/>
          <w:b/>
        </w:rPr>
        <w:t xml:space="preserve">14</w:t>
      </w:r>
      <w:r>
        <w:t xml:space="preserve">, 723–733 (2018).</w:t>
      </w:r>
    </w:p>
    <w:bookmarkEnd w:id="562"/>
    <w:bookmarkStart w:id="563" w:name="ref-wang2012"/>
    <w:p>
      <w:pPr>
        <w:pStyle w:val="Bibliography"/>
      </w:pPr>
      <w:r>
        <w:t xml:space="preserve">220.</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563"/>
    <w:bookmarkStart w:id="564" w:name="ref-whitmer2005a"/>
    <w:p>
      <w:pPr>
        <w:pStyle w:val="Bibliography"/>
      </w:pPr>
      <w:r>
        <w:t xml:space="preserve">221.</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564"/>
    <w:bookmarkStart w:id="565" w:name="ref-yamada2009b"/>
    <w:p>
      <w:pPr>
        <w:pStyle w:val="Bibliography"/>
      </w:pPr>
      <w:r>
        <w:t xml:space="preserve">222.</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65"/>
    <w:bookmarkStart w:id="566" w:name="ref-yoshitake1995"/>
    <w:p>
      <w:pPr>
        <w:pStyle w:val="Bibliography"/>
      </w:pPr>
      <w:r>
        <w:t xml:space="preserve">223.</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66"/>
    <w:bookmarkStart w:id="567" w:name="ref-zimetbaum1992"/>
    <w:p>
      <w:pPr>
        <w:pStyle w:val="Bibliography"/>
      </w:pPr>
      <w:r>
        <w:t xml:space="preserve">224.</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67"/>
    <w:bookmarkStart w:id="568" w:name="ref-andrews2021"/>
    <w:p>
      <w:pPr>
        <w:pStyle w:val="Bibliography"/>
      </w:pPr>
      <w:r>
        <w:t xml:space="preserve">225.</w:t>
      </w:r>
      <w:r>
        <w:t xml:space="preserve"> </w:t>
      </w:r>
      <w:r>
        <w:t xml:space="preserve">	</w:t>
      </w:r>
      <w:r>
        <w:t xml:space="preserve">Andrews, S. J.</w:t>
      </w:r>
      <w:r>
        <w:t xml:space="preserve"> </w:t>
      </w:r>
      <w:r>
        <w:rPr>
          <w:iCs/>
          <w:i/>
        </w:rPr>
        <w:t xml:space="preserve">et al.</w:t>
      </w:r>
      <w:r>
        <w:t xml:space="preserve"> Causal</w:t>
      </w:r>
      <w:r>
        <w:t xml:space="preserve"> </w:t>
      </w:r>
      <w:r>
        <w:t xml:space="preserve">Associations Between Modifiable Risk Factors</w:t>
      </w:r>
      <w:r>
        <w:t xml:space="preserve"> </w:t>
      </w:r>
      <w:r>
        <w:t xml:space="preserve">and the</w:t>
      </w:r>
      <w:r>
        <w:t xml:space="preserve"> </w:t>
      </w:r>
      <w:r>
        <w:t xml:space="preserve">Alzheimer</w:t>
      </w:r>
      <w:r>
        <w:t xml:space="preserve">’s</w:t>
      </w:r>
      <w:r>
        <w:t xml:space="preserve"> </w:t>
      </w:r>
      <w:r>
        <w:t xml:space="preserve">Phenome</w:t>
      </w:r>
      <w:r>
        <w:t xml:space="preserve">.</w:t>
      </w:r>
      <w:r>
        <w:t xml:space="preserve"> </w:t>
      </w:r>
      <w:r>
        <w:rPr>
          <w:iCs/>
          <w:i/>
        </w:rPr>
        <w:t xml:space="preserve">Annals of Neurology</w:t>
      </w:r>
      <w:r>
        <w:t xml:space="preserve"> </w:t>
      </w:r>
      <w:r>
        <w:rPr>
          <w:bCs/>
          <w:b/>
        </w:rPr>
        <w:t xml:space="preserve">89</w:t>
      </w:r>
      <w:r>
        <w:t xml:space="preserve">, 54–65 (2021).</w:t>
      </w:r>
    </w:p>
    <w:bookmarkEnd w:id="568"/>
    <w:bookmarkStart w:id="569" w:name="ref-burgess2017"/>
    <w:p>
      <w:pPr>
        <w:pStyle w:val="Bibliography"/>
      </w:pPr>
      <w:r>
        <w:t xml:space="preserve">226.</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569"/>
    <w:bookmarkStart w:id="570" w:name="ref-larsson2017a"/>
    <w:p>
      <w:pPr>
        <w:pStyle w:val="Bibliography"/>
      </w:pPr>
      <w:r>
        <w:t xml:space="preserve">227.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570"/>
    <w:bookmarkStart w:id="571" w:name="ref-mukherjee2013"/>
    <w:p>
      <w:pPr>
        <w:pStyle w:val="Bibliography"/>
      </w:pPr>
      <w:r>
        <w:t xml:space="preserve">228.</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 Mendelian 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571"/>
    <w:bookmarkStart w:id="572" w:name="ref-ostergaard2017"/>
    <w:p>
      <w:pPr>
        <w:pStyle w:val="Bibliography"/>
      </w:pPr>
      <w:r>
        <w:t xml:space="preserve">229.</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 A</w:t>
      </w:r>
      <w:r>
        <w:t xml:space="preserve"> </w:t>
      </w:r>
      <w:r>
        <w:t xml:space="preserve">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572"/>
    <w:bookmarkStart w:id="574" w:name="ref-so2017"/>
    <w:p>
      <w:pPr>
        <w:pStyle w:val="Bibliography"/>
      </w:pPr>
      <w:r>
        <w:t xml:space="preserve">230.</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573">
        <w:r>
          <w:rPr>
            <w:rStyle w:val="Hyperlink"/>
          </w:rPr>
          <w:t xml:space="preserve">10.1101/170241</w:t>
        </w:r>
      </w:hyperlink>
    </w:p>
    <w:bookmarkEnd w:id="574"/>
    <w:bookmarkStart w:id="575" w:name="ref-zhu2018"/>
    <w:p>
      <w:pPr>
        <w:pStyle w:val="Bibliography"/>
      </w:pPr>
      <w:r>
        <w:t xml:space="preserve">231.</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75"/>
    <w:bookmarkStart w:id="577" w:name="ref-zhu2017"/>
    <w:p>
      <w:pPr>
        <w:pStyle w:val="Bibliography"/>
      </w:pPr>
      <w:r>
        <w:t xml:space="preserve">232.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76">
        <w:r>
          <w:rPr>
            <w:rStyle w:val="Hyperlink"/>
          </w:rPr>
          <w:t xml:space="preserve">10.1101/168674</w:t>
        </w:r>
      </w:hyperlink>
    </w:p>
    <w:bookmarkEnd w:id="577"/>
    <w:bookmarkStart w:id="579" w:name="ref-andrews2019"/>
    <w:p>
      <w:pPr>
        <w:pStyle w:val="Bibliography"/>
      </w:pPr>
      <w:r>
        <w:t xml:space="preserve">233.</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 A</w:t>
      </w:r>
      <w:r>
        <w:t xml:space="preserve"> </w:t>
      </w:r>
      <w:r>
        <w:t xml:space="preserve">Mendelian</w:t>
      </w:r>
      <w:r>
        <w:t xml:space="preserve"> </w:t>
      </w:r>
      <w:r>
        <w:t xml:space="preserve">randomization study. 689752 (2019). doi:</w:t>
      </w:r>
      <w:hyperlink r:id="rId578">
        <w:r>
          <w:rPr>
            <w:rStyle w:val="Hyperlink"/>
          </w:rPr>
          <w:t xml:space="preserve">10.1101/689752</w:t>
        </w:r>
      </w:hyperlink>
    </w:p>
    <w:bookmarkEnd w:id="579"/>
    <w:bookmarkStart w:id="580" w:name="ref-sterne2011"/>
    <w:p>
      <w:pPr>
        <w:pStyle w:val="Bibliography"/>
      </w:pPr>
      <w:r>
        <w:t xml:space="preserve">234.</w:t>
      </w:r>
      <w:r>
        <w:t xml:space="preserve"> </w:t>
      </w:r>
      <w:r>
        <w:t xml:space="preserve">	</w:t>
      </w:r>
      <w:r>
        <w:t xml:space="preserve">Sterne, J. A. C.</w:t>
      </w:r>
      <w:r>
        <w:t xml:space="preserve"> </w:t>
      </w:r>
      <w:r>
        <w:rPr>
          <w:iCs/>
          <w:i/>
        </w:rPr>
        <w:t xml:space="preserve">et al.</w:t>
      </w:r>
      <w:r>
        <w:t xml:space="preserve"> Recommendations for examining and interpreting funnel plot asymmetry in meta-analyses of randomised controlled trials.</w:t>
      </w:r>
      <w:r>
        <w:t xml:space="preserve"> </w:t>
      </w:r>
      <w:r>
        <w:rPr>
          <w:iCs/>
          <w:i/>
        </w:rPr>
        <w:t xml:space="preserve">BMJ</w:t>
      </w:r>
      <w:r>
        <w:t xml:space="preserve"> </w:t>
      </w:r>
      <w:r>
        <w:rPr>
          <w:bCs/>
          <w:b/>
        </w:rPr>
        <w:t xml:space="preserve">343</w:t>
      </w:r>
      <w:r>
        <w:t xml:space="preserve">, d4002 (2011).</w:t>
      </w:r>
    </w:p>
    <w:bookmarkEnd w:id="580"/>
    <w:bookmarkStart w:id="581" w:name="ref-shepherd2002a"/>
    <w:p>
      <w:pPr>
        <w:pStyle w:val="Bibliography"/>
      </w:pPr>
      <w:r>
        <w:t xml:space="preserve">235.</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81"/>
    <w:bookmarkStart w:id="583" w:name="ref-mcguinness2016"/>
    <w:p>
      <w:pPr>
        <w:pStyle w:val="Bibliography"/>
      </w:pPr>
      <w:r>
        <w:t xml:space="preserve">236.</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82">
        <w:r>
          <w:rPr>
            <w:rStyle w:val="Hyperlink"/>
          </w:rPr>
          <w:t xml:space="preserve">10.1002/14651858.CD003160.pub3</w:t>
        </w:r>
      </w:hyperlink>
    </w:p>
    <w:bookmarkEnd w:id="583"/>
    <w:bookmarkStart w:id="584" w:name="ref-yamada2009"/>
    <w:p>
      <w:pPr>
        <w:pStyle w:val="Bibliography"/>
      </w:pPr>
      <w:r>
        <w:t xml:space="preserve">237.</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Radiation</w:t>
      </w:r>
      <w:r>
        <w:t xml:space="preserve"> </w:t>
      </w:r>
      <w:r>
        <w:t xml:space="preserve">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84"/>
    <w:bookmarkStart w:id="585" w:name="ref-yamada2009a"/>
    <w:p>
      <w:pPr>
        <w:pStyle w:val="Bibliography"/>
      </w:pPr>
      <w:r>
        <w:t xml:space="preserve">238.</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 The adult health study.</w:t>
      </w:r>
      <w:r>
        <w:t xml:space="preserve"> </w:t>
      </w:r>
      <w:r>
        <w:rPr>
          <w:iCs/>
          <w:i/>
        </w:rPr>
        <w:t xml:space="preserve">Journal of the Neurological Sciences</w:t>
      </w:r>
      <w:r>
        <w:t xml:space="preserve"> </w:t>
      </w:r>
      <w:r>
        <w:rPr>
          <w:bCs/>
          <w:b/>
        </w:rPr>
        <w:t xml:space="preserve">283</w:t>
      </w:r>
      <w:r>
        <w:t xml:space="preserve">, 306 (2009).</w:t>
      </w:r>
    </w:p>
    <w:bookmarkEnd w:id="585"/>
    <w:bookmarkStart w:id="586" w:name="ref-yang2020"/>
    <w:p>
      <w:pPr>
        <w:pStyle w:val="Bibliography"/>
      </w:pPr>
      <w:r>
        <w:t xml:space="preserve">239.</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 A systematic review and meta-analysis.</w:t>
      </w:r>
      <w:r>
        <w:t xml:space="preserve"> </w:t>
      </w:r>
      <w:r>
        <w:rPr>
          <w:iCs/>
          <w:i/>
        </w:rPr>
        <w:t xml:space="preserve">Ageing Research Reviews</w:t>
      </w:r>
      <w:r>
        <w:t xml:space="preserve"> </w:t>
      </w:r>
      <w:r>
        <w:rPr>
          <w:bCs/>
          <w:b/>
        </w:rPr>
        <w:t xml:space="preserve">57</w:t>
      </w:r>
      <w:r>
        <w:t xml:space="preserve">, 100962 (2020).</w:t>
      </w:r>
    </w:p>
    <w:bookmarkEnd w:id="586"/>
    <w:bookmarkStart w:id="588" w:name="ref-muangpaisan2010"/>
    <w:p>
      <w:pPr>
        <w:pStyle w:val="Bibliography"/>
      </w:pPr>
      <w:r>
        <w:t xml:space="preserve">240.</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87">
        <w:r>
          <w:rPr>
            <w:rStyle w:val="Hyperlink"/>
          </w:rPr>
          <w:t xml:space="preserve">10.1111/j.1447-0594.2009.00579.x</w:t>
        </w:r>
      </w:hyperlink>
    </w:p>
    <w:bookmarkEnd w:id="588"/>
    <w:bookmarkStart w:id="589" w:name="ref-poly2020"/>
    <w:p>
      <w:pPr>
        <w:pStyle w:val="Bibliography"/>
      </w:pPr>
      <w:r>
        <w:t xml:space="preserve">241.</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 A</w:t>
      </w:r>
      <w:r>
        <w:t xml:space="preserve"> </w:t>
      </w:r>
      <w:r>
        <w:t xml:space="preserve">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89"/>
    <w:bookmarkStart w:id="590" w:name="ref-kuzma2018a"/>
    <w:p>
      <w:pPr>
        <w:pStyle w:val="Bibliography"/>
      </w:pPr>
      <w:r>
        <w:t xml:space="preserve">242.</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 A</w:t>
      </w:r>
      <w:r>
        <w:t xml:space="preserve"> </w:t>
      </w:r>
      <w:r>
        <w:t xml:space="preserve">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90"/>
    <w:bookmarkStart w:id="591" w:name="ref-power2015"/>
    <w:p>
      <w:pPr>
        <w:pStyle w:val="Bibliography"/>
      </w:pPr>
      <w:r>
        <w:t xml:space="preserve">243.</w:t>
      </w:r>
      <w:r>
        <w:t xml:space="preserve"> </w:t>
      </w:r>
      <w:r>
        <w:t xml:space="preserve">	</w:t>
      </w:r>
      <w:r>
        <w:t xml:space="preserve">Power, M. C., Weuve, J., Sharrett, A. R., Blacker, D. &amp; Gottesman, R. F. Statins, cognition, and dementia</w:t>
      </w:r>
      <w:r>
        <w:t xml:space="preserve">systematic review and methodological commentary.</w:t>
      </w:r>
      <w:r>
        <w:t xml:space="preserve"> </w:t>
      </w:r>
      <w:r>
        <w:rPr>
          <w:iCs/>
          <w:i/>
        </w:rPr>
        <w:t xml:space="preserve">Nature reviews. Neurology</w:t>
      </w:r>
      <w:r>
        <w:t xml:space="preserve"> </w:t>
      </w:r>
      <w:r>
        <w:rPr>
          <w:bCs/>
          <w:b/>
        </w:rPr>
        <w:t xml:space="preserve">11</w:t>
      </w:r>
      <w:r>
        <w:t xml:space="preserve">, 220–229 (2015).</w:t>
      </w:r>
    </w:p>
    <w:bookmarkEnd w:id="591"/>
    <w:bookmarkStart w:id="592" w:name="ref-aromataris2015"/>
    <w:p>
      <w:pPr>
        <w:pStyle w:val="Bibliography"/>
      </w:pPr>
      <w:r>
        <w:t xml:space="preserve">244.</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92"/>
    <w:bookmarkStart w:id="593" w:name="ref-smith2011"/>
    <w:p>
      <w:pPr>
        <w:pStyle w:val="Bibliography"/>
      </w:pPr>
      <w:r>
        <w:t xml:space="preserve">245.</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93"/>
    <w:bookmarkStart w:id="594" w:name="ref-sohani2015"/>
    <w:p>
      <w:pPr>
        <w:pStyle w:val="Bibliography"/>
      </w:pPr>
      <w:r>
        <w:t xml:space="preserve">246.</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94"/>
    <w:bookmarkStart w:id="595" w:name="ref-larsson2017b"/>
    <w:p>
      <w:pPr>
        <w:pStyle w:val="Bibliography"/>
      </w:pPr>
      <w:r>
        <w:t xml:space="preserve">247.</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 Mendelian randomisation analysis.</w:t>
      </w:r>
      <w:r>
        <w:t xml:space="preserve"> </w:t>
      </w:r>
      <w:r>
        <w:rPr>
          <w:iCs/>
          <w:i/>
        </w:rPr>
        <w:t xml:space="preserve">BMJ</w:t>
      </w:r>
      <w:r>
        <w:t xml:space="preserve"> </w:t>
      </w:r>
      <w:r>
        <w:rPr>
          <w:bCs/>
          <w:b/>
        </w:rPr>
        <w:t xml:space="preserve">359</w:t>
      </w:r>
      <w:r>
        <w:t xml:space="preserve">, j5375 (2017).</w:t>
      </w:r>
    </w:p>
    <w:bookmarkEnd w:id="595"/>
    <w:bookmarkStart w:id="596" w:name="ref-waffenschmidt2020"/>
    <w:p>
      <w:pPr>
        <w:pStyle w:val="Bibliography"/>
      </w:pPr>
      <w:r>
        <w:t xml:space="preserve">248.</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96"/>
    <w:bookmarkStart w:id="597" w:name="ref-wagner2020"/>
    <w:p>
      <w:pPr>
        <w:pStyle w:val="Bibliography"/>
      </w:pPr>
      <w:r>
        <w:t xml:space="preserve">249.</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97"/>
    <w:bookmarkStart w:id="598" w:name="ref-benn2017a"/>
    <w:p>
      <w:pPr>
        <w:pStyle w:val="Bibliography"/>
      </w:pPr>
      <w:r>
        <w:t xml:space="preserve">250.</w:t>
      </w:r>
      <w:r>
        <w:t xml:space="preserve"> </w:t>
      </w:r>
      <w:r>
        <w:t xml:space="preserve">	</w:t>
      </w:r>
      <w:r>
        <w:t xml:space="preserve">Benn, M. Re: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 Mendelian randomisation study.</w:t>
      </w:r>
      <w:r>
        <w:t xml:space="preserve"> </w:t>
      </w:r>
      <w:r>
        <w:rPr>
          <w:iCs/>
          <w:i/>
        </w:rPr>
        <w:t xml:space="preserve">BMJ</w:t>
      </w:r>
      <w:r>
        <w:t xml:space="preserve"> </w:t>
      </w:r>
      <w:r>
        <w:t xml:space="preserve">(2017).</w:t>
      </w:r>
    </w:p>
    <w:bookmarkEnd w:id="598"/>
    <w:bookmarkStart w:id="599" w:name="ref-andrews2019b"/>
    <w:p>
      <w:pPr>
        <w:pStyle w:val="Bibliography"/>
      </w:pPr>
      <w:r>
        <w:t xml:space="preserve">251.</w:t>
      </w:r>
      <w:r>
        <w:t xml:space="preserve"> </w:t>
      </w:r>
      <w:r>
        <w:t xml:space="preserve">	</w:t>
      </w:r>
      <w:r>
        <w:t xml:space="preserve">Andrews, S. J.</w:t>
      </w:r>
      <w:r>
        <w:t xml:space="preserve"> </w:t>
      </w:r>
      <w:r>
        <w:rPr>
          <w:iCs/>
          <w:i/>
        </w:rPr>
        <w:t xml:space="preserve">et al.</w:t>
      </w:r>
      <w:r>
        <w:t xml:space="preserve"> Causal associations between potentially modifiable risk factors and the</w:t>
      </w:r>
      <w:r>
        <w:t xml:space="preserve"> </w:t>
      </w:r>
      <w:r>
        <w:t xml:space="preserve">Alzheimer</w:t>
      </w:r>
      <w:r>
        <w:t xml:space="preserve">’s disease phenome: A</w:t>
      </w:r>
      <w:r>
        <w:t xml:space="preserve"> </w:t>
      </w:r>
      <w:r>
        <w:t xml:space="preserve">Mendelian</w:t>
      </w:r>
      <w:r>
        <w:t xml:space="preserve"> </w:t>
      </w:r>
      <w:r>
        <w:t xml:space="preserve">randomization study.</w:t>
      </w:r>
      <w:r>
        <w:t xml:space="preserve"> </w:t>
      </w:r>
      <w:r>
        <w:rPr>
          <w:iCs/>
          <w:i/>
        </w:rPr>
        <w:t xml:space="preserve">bioRxiv</w:t>
      </w:r>
      <w:r>
        <w:t xml:space="preserve"> </w:t>
      </w:r>
      <w:r>
        <w:t xml:space="preserve">(2019). doi:</w:t>
      </w:r>
      <w:hyperlink r:id="rId578">
        <w:r>
          <w:rPr>
            <w:rStyle w:val="Hyperlink"/>
          </w:rPr>
          <w:t xml:space="preserve">10.1101/689752</w:t>
        </w:r>
      </w:hyperlink>
    </w:p>
    <w:bookmarkEnd w:id="599"/>
    <w:bookmarkStart w:id="600" w:name="ref-meursingereynders2019"/>
    <w:p>
      <w:pPr>
        <w:pStyle w:val="Bibliography"/>
      </w:pPr>
      <w:r>
        <w:t xml:space="preserve">252.</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600"/>
    <w:bookmarkStart w:id="601" w:name="ref-cooper2019"/>
    <w:p>
      <w:pPr>
        <w:pStyle w:val="Bibliography"/>
      </w:pPr>
      <w:r>
        <w:t xml:space="preserve">253.</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601"/>
    <w:bookmarkStart w:id="602" w:name="ref-hennessy2021"/>
    <w:p>
      <w:pPr>
        <w:pStyle w:val="Bibliography"/>
      </w:pPr>
      <w:r>
        <w:t xml:space="preserve">254.</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48">
        <w:r>
          <w:rPr>
            <w:rStyle w:val="Hyperlink"/>
          </w:rPr>
          <w:t xml:space="preserve">10.1007/s11121-021-01279-8</w:t>
        </w:r>
      </w:hyperlink>
    </w:p>
    <w:bookmarkEnd w:id="602"/>
    <w:bookmarkStart w:id="603" w:name="ref-hsieh2019"/>
    <w:p>
      <w:pPr>
        <w:pStyle w:val="Bibliography"/>
      </w:pPr>
      <w:r>
        <w:t xml:space="preserve">255.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603"/>
    <w:bookmarkStart w:id="604" w:name="ref-mcguinness2019validity"/>
    <w:p>
      <w:pPr>
        <w:pStyle w:val="Bibliography"/>
      </w:pPr>
      <w:r>
        <w:t xml:space="preserve">256.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 A systematic review.</w:t>
      </w:r>
      <w:r>
        <w:t xml:space="preserve"> </w:t>
      </w:r>
      <w:r>
        <w:rPr>
          <w:iCs/>
          <w:i/>
        </w:rPr>
        <w:t xml:space="preserve">Pharmacoepidemiology and Drug Safety</w:t>
      </w:r>
      <w:r>
        <w:t xml:space="preserve"> </w:t>
      </w:r>
      <w:r>
        <w:rPr>
          <w:bCs/>
          <w:b/>
        </w:rPr>
        <w:t xml:space="preserve">28</w:t>
      </w:r>
      <w:r>
        <w:t xml:space="preserve">, 244–255 (2019).</w:t>
      </w:r>
    </w:p>
    <w:bookmarkEnd w:id="604"/>
    <w:bookmarkStart w:id="605" w:name="ref-wilkinson2018"/>
    <w:p>
      <w:pPr>
        <w:pStyle w:val="Bibliography"/>
      </w:pPr>
      <w:r>
        <w:t xml:space="preserve">257.</w:t>
      </w:r>
      <w:r>
        <w:t xml:space="preserve"> </w:t>
      </w:r>
      <w:r>
        <w:t xml:space="preserve">	</w:t>
      </w:r>
      <w:r>
        <w:t xml:space="preserve">Wilkinson, T.</w:t>
      </w:r>
      <w:r>
        <w:t xml:space="preserve"> </w:t>
      </w:r>
      <w:r>
        <w:rPr>
          <w:iCs/>
          <w:i/>
        </w:rPr>
        <w:t xml:space="preserve">et al.</w:t>
      </w:r>
      <w:r>
        <w:t xml:space="preserve"> Identifying dementia cases with routinely collected health data: A systematic review.</w:t>
      </w:r>
      <w:r>
        <w:t xml:space="preserve"> </w:t>
      </w:r>
      <w:r>
        <w:rPr>
          <w:iCs/>
          <w:i/>
        </w:rPr>
        <w:t xml:space="preserve">Alzheimer’s &amp; Dementia</w:t>
      </w:r>
      <w:r>
        <w:t xml:space="preserve"> </w:t>
      </w:r>
      <w:r>
        <w:rPr>
          <w:bCs/>
          <w:b/>
        </w:rPr>
        <w:t xml:space="preserve">14</w:t>
      </w:r>
      <w:r>
        <w:t xml:space="preserve">, 1038–1051 (2018).</w:t>
      </w:r>
    </w:p>
    <w:bookmarkEnd w:id="605"/>
    <w:bookmarkStart w:id="606" w:name="ref-jeyaraman2020"/>
    <w:p>
      <w:pPr>
        <w:pStyle w:val="Bibliography"/>
      </w:pPr>
      <w:r>
        <w:t xml:space="preserve">258.</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606"/>
    <w:bookmarkStart w:id="607" w:name="ref-cochrane1979"/>
    <w:p>
      <w:pPr>
        <w:pStyle w:val="Bibliography"/>
      </w:pPr>
      <w:r>
        <w:t xml:space="preserve">259.</w:t>
      </w:r>
      <w:r>
        <w:t xml:space="preserve"> </w:t>
      </w:r>
      <w:r>
        <w:t xml:space="preserve">	</w:t>
      </w:r>
      <w:r>
        <w:t xml:space="preserve">Cochrane, A. L. 1931-1971: A critical review, with particular reference to the medical profession.</w:t>
      </w:r>
      <w:r>
        <w:t xml:space="preserve"> </w:t>
      </w:r>
      <w:r>
        <w:rPr>
          <w:iCs/>
          <w:i/>
        </w:rPr>
        <w:t xml:space="preserve">Medicines for the year 2000</w:t>
      </w:r>
      <w:r>
        <w:t xml:space="preserve"> </w:t>
      </w:r>
      <w:r>
        <w:t xml:space="preserve">(1979).</w:t>
      </w:r>
    </w:p>
    <w:bookmarkEnd w:id="607"/>
    <w:bookmarkStart w:id="608" w:name="ref-suissa2008"/>
    <w:p>
      <w:pPr>
        <w:pStyle w:val="Bibliography"/>
      </w:pPr>
      <w:r>
        <w:t xml:space="preserve">260.</w:t>
      </w:r>
      <w:r>
        <w:t xml:space="preserve"> </w:t>
      </w:r>
      <w:r>
        <w:t xml:space="preserve">	</w:t>
      </w:r>
      <w:r>
        <w:t xml:space="preserve">Suissa, S. Immortal</w:t>
      </w:r>
      <w:r>
        <w:t xml:space="preserve"> </w:t>
      </w:r>
      <w:r>
        <w:t xml:space="preserve">Time Bias</w:t>
      </w:r>
      <w:r>
        <w:t xml:space="preserve"> </w:t>
      </w:r>
      <w:r>
        <w:t xml:space="preserve">in</w:t>
      </w:r>
      <w:r>
        <w:t xml:space="preserve"> </w:t>
      </w:r>
      <w:r>
        <w:t xml:space="preserve">Pharmacoepidemiology</w:t>
      </w:r>
      <w:r>
        <w:t xml:space="preserve">.</w:t>
      </w:r>
      <w:r>
        <w:t xml:space="preserve"> </w:t>
      </w:r>
      <w:r>
        <w:rPr>
          <w:iCs/>
          <w:i/>
        </w:rPr>
        <w:t xml:space="preserve">American Journal of Epidemiology</w:t>
      </w:r>
      <w:r>
        <w:t xml:space="preserve"> </w:t>
      </w:r>
      <w:r>
        <w:rPr>
          <w:bCs/>
          <w:b/>
        </w:rPr>
        <w:t xml:space="preserve">167</w:t>
      </w:r>
      <w:r>
        <w:t xml:space="preserve">, 492–499 (2008).</w:t>
      </w:r>
    </w:p>
    <w:bookmarkEnd w:id="608"/>
    <w:bookmarkStart w:id="609" w:name="ref-walker2016"/>
    <w:p>
      <w:pPr>
        <w:pStyle w:val="Bibliography"/>
      </w:pPr>
      <w:r>
        <w:t xml:space="preserve">261.</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w:t>
      </w:r>
      <w:r>
        <w:t xml:space="preserve">’s and other neurodegenerative diseases? Protocol 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609"/>
    <w:bookmarkStart w:id="610" w:name="ref-vonelm2008"/>
    <w:p>
      <w:pPr>
        <w:pStyle w:val="Bibliography"/>
      </w:pPr>
      <w:r>
        <w:t xml:space="preserve">262.</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610"/>
    <w:bookmarkStart w:id="611" w:name="ref-herrett2015"/>
    <w:p>
      <w:pPr>
        <w:pStyle w:val="Bibliography"/>
      </w:pPr>
      <w:r>
        <w:t xml:space="preserve">263.</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 Clinical</w:t>
      </w:r>
      <w:r>
        <w:t xml:space="preserve"> </w:t>
      </w:r>
      <w:r>
        <w:t xml:space="preserve">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611"/>
    <w:bookmarkStart w:id="612" w:name="ref-williams2012"/>
    <w:p>
      <w:pPr>
        <w:pStyle w:val="Bibliography"/>
      </w:pPr>
      <w:r>
        <w:t xml:space="preserve">264.</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612"/>
    <w:bookmarkStart w:id="613" w:name="ref-wood2001revitalizing"/>
    <w:p>
      <w:pPr>
        <w:pStyle w:val="Bibliography"/>
      </w:pPr>
      <w:r>
        <w:t xml:space="preserve">265.</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613"/>
    <w:bookmarkStart w:id="614" w:name="ref-mathur2014"/>
    <w:p>
      <w:pPr>
        <w:pStyle w:val="Bibliography"/>
      </w:pPr>
      <w:r>
        <w:t xml:space="preserve">266.</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614"/>
    <w:bookmarkStart w:id="615" w:name="ref-booth1994"/>
    <w:p>
      <w:pPr>
        <w:pStyle w:val="Bibliography"/>
      </w:pPr>
      <w:r>
        <w:t xml:space="preserve">267.</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615"/>
    <w:bookmarkStart w:id="616" w:name="ref-wolf2019"/>
    <w:p>
      <w:pPr>
        <w:pStyle w:val="Bibliography"/>
      </w:pPr>
      <w:r>
        <w:t xml:space="preserve">268.</w:t>
      </w:r>
      <w:r>
        <w:t xml:space="preserve"> </w:t>
      </w:r>
      <w:r>
        <w:t xml:space="preserve">	</w:t>
      </w:r>
      <w:r>
        <w:t xml:space="preserve">Wolf, A.</w:t>
      </w:r>
      <w:r>
        <w:t xml:space="preserve"> </w:t>
      </w:r>
      <w:r>
        <w:rPr>
          <w:iCs/>
          <w:i/>
        </w:rPr>
        <w:t xml:space="preserve">et al.</w:t>
      </w:r>
      <w:r>
        <w:t xml:space="preserve"> Data resource profile: Clinical</w:t>
      </w:r>
      <w:r>
        <w:t xml:space="preserve"> </w:t>
      </w:r>
      <w:r>
        <w:t xml:space="preserve">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616"/>
    <w:bookmarkStart w:id="617" w:name="ref-wishart2017"/>
    <w:p>
      <w:pPr>
        <w:pStyle w:val="Bibliography"/>
      </w:pPr>
      <w:r>
        <w:t xml:space="preserve">269.</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617"/>
    <w:bookmarkStart w:id="618" w:name="ref-charlson1987new"/>
    <w:p>
      <w:pPr>
        <w:pStyle w:val="Bibliography"/>
      </w:pPr>
      <w:r>
        <w:t xml:space="preserve">270.</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618"/>
    <w:bookmarkStart w:id="619" w:name="ref-wells2013strategies"/>
    <w:p>
      <w:pPr>
        <w:pStyle w:val="Bibliography"/>
      </w:pPr>
      <w:r>
        <w:t xml:space="preserve">271.</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619"/>
    <w:bookmarkStart w:id="620" w:name="ref-sterne2009"/>
    <w:p>
      <w:pPr>
        <w:pStyle w:val="Bibliography"/>
      </w:pPr>
      <w:r>
        <w:t xml:space="preserve">272.</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620"/>
    <w:bookmarkStart w:id="621" w:name="ref-moons2006using"/>
    <w:p>
      <w:pPr>
        <w:pStyle w:val="Bibliography"/>
      </w:pPr>
      <w:r>
        <w:t xml:space="preserve">273.</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621"/>
    <w:bookmarkStart w:id="622" w:name="ref-levesque2010"/>
    <w:p>
      <w:pPr>
        <w:pStyle w:val="Bibliography"/>
      </w:pPr>
      <w:r>
        <w:t xml:space="preserve">274.</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622"/>
    <w:bookmarkStart w:id="623" w:name="ref-lamarca1998"/>
    <w:p>
      <w:pPr>
        <w:pStyle w:val="Bibliography"/>
      </w:pPr>
      <w:r>
        <w:t xml:space="preserve">275.</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 An</w:t>
      </w:r>
      <w:r>
        <w:t xml:space="preserve"> </w:t>
      </w:r>
      <w:r>
        <w:t xml:space="preserve">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623"/>
    <w:bookmarkStart w:id="624" w:name="ref-gail2009"/>
    <w:p>
      <w:pPr>
        <w:pStyle w:val="Bibliography"/>
      </w:pPr>
      <w:r>
        <w:t xml:space="preserve">276.</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624"/>
    <w:bookmarkStart w:id="625" w:name="ref-pencina2007"/>
    <w:p>
      <w:pPr>
        <w:pStyle w:val="Bibliography"/>
      </w:pPr>
      <w:r>
        <w:t xml:space="preserve">277.</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625"/>
    <w:bookmarkStart w:id="626" w:name="ref-pigott2001review"/>
    <w:p>
      <w:pPr>
        <w:pStyle w:val="Bibliography"/>
      </w:pPr>
      <w:r>
        <w:t xml:space="preserve">278.</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626"/>
    <w:bookmarkStart w:id="627" w:name="ref-hughes2019"/>
    <w:p>
      <w:pPr>
        <w:pStyle w:val="Bibliography"/>
      </w:pPr>
      <w:r>
        <w:t xml:space="preserve">279.</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627"/>
    <w:bookmarkStart w:id="628" w:name="ref-lipsitch2010"/>
    <w:p>
      <w:pPr>
        <w:pStyle w:val="Bibliography"/>
      </w:pPr>
      <w:r>
        <w:t xml:space="preserve">280.</w:t>
      </w:r>
      <w:r>
        <w:t xml:space="preserve"> </w:t>
      </w:r>
      <w:r>
        <w:t xml:space="preserve">	</w:t>
      </w:r>
      <w:r>
        <w:t xml:space="preserve">Lipsitch, M., Tchetgen, E. T. &amp; Cohen, T. Negative</w:t>
      </w:r>
      <w:r>
        <w:t xml:space="preserve"> </w:t>
      </w:r>
      <w:r>
        <w:t xml:space="preserve">Controls</w:t>
      </w:r>
      <w:r>
        <w:t xml:space="preserve">: A</w:t>
      </w:r>
      <w:r>
        <w:t xml:space="preserve"> </w:t>
      </w:r>
      <w:r>
        <w:t xml:space="preserve">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628"/>
    <w:bookmarkStart w:id="629" w:name="ref-selva-ocallaghan2018"/>
    <w:p>
      <w:pPr>
        <w:pStyle w:val="Bibliography"/>
      </w:pPr>
      <w:r>
        <w:t xml:space="preserve">281.</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629"/>
    <w:bookmarkStart w:id="630" w:name="ref-herrett2021"/>
    <w:p>
      <w:pPr>
        <w:pStyle w:val="Bibliography"/>
      </w:pPr>
      <w:r>
        <w:t xml:space="preserve">282.</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630"/>
    <w:bookmarkStart w:id="631" w:name="ref-macedo2014"/>
    <w:p>
      <w:pPr>
        <w:pStyle w:val="Bibliography"/>
      </w:pPr>
      <w:r>
        <w:t xml:space="preserve">283.</w:t>
      </w:r>
      <w:r>
        <w:t xml:space="preserve"> </w:t>
      </w:r>
      <w:r>
        <w:t xml:space="preserve">	</w:t>
      </w:r>
      <w:r>
        <w:t xml:space="preserve">Macedo, A. F., Douglas, I., Smeeth, L., Forbes, H. &amp; Ebrahim, S. Statins and the risk of type 2 diabetes mellitus: Cohort study using the</w:t>
      </w:r>
      <w:r>
        <w:t xml:space="preserve"> </w:t>
      </w:r>
      <w:r>
        <w:t xml:space="preserve">UK</w:t>
      </w:r>
      <w:r>
        <w:t xml:space="preserve"> </w:t>
      </w:r>
      <w:r>
        <w:t xml:space="preserve">clinical practice pesearch datalink.</w:t>
      </w:r>
      <w:r>
        <w:t xml:space="preserve"> </w:t>
      </w:r>
      <w:r>
        <w:rPr>
          <w:iCs/>
          <w:i/>
        </w:rPr>
        <w:t xml:space="preserve">BMC Cardiovascular Disorders</w:t>
      </w:r>
      <w:r>
        <w:t xml:space="preserve"> </w:t>
      </w:r>
      <w:r>
        <w:rPr>
          <w:bCs/>
          <w:b/>
        </w:rPr>
        <w:t xml:space="preserve">14</w:t>
      </w:r>
      <w:r>
        <w:t xml:space="preserve">, 85 (2014).</w:t>
      </w:r>
    </w:p>
    <w:bookmarkEnd w:id="631"/>
    <w:bookmarkStart w:id="632" w:name="ref-smit2020"/>
    <w:p>
      <w:pPr>
        <w:pStyle w:val="Bibliography"/>
      </w:pPr>
      <w:r>
        <w:t xml:space="preserve">284.</w:t>
      </w:r>
      <w:r>
        <w:t xml:space="preserve"> </w:t>
      </w:r>
      <w:r>
        <w:t xml:space="preserve">	</w:t>
      </w:r>
      <w:r>
        <w:t xml:space="preserve">Smit, R. A. J.</w:t>
      </w:r>
      <w:r>
        <w:t xml:space="preserve"> </w:t>
      </w:r>
      <w:r>
        <w:rPr>
          <w:iCs/>
          <w:i/>
        </w:rPr>
        <w:t xml:space="preserve">et al.</w:t>
      </w:r>
      <w:r>
        <w:t xml:space="preserve"> Statin-induced</w:t>
      </w:r>
      <w:r>
        <w:t xml:space="preserve"> </w:t>
      </w:r>
      <w:r>
        <w:t xml:space="preserve">LDL</w:t>
      </w:r>
      <w:r>
        <w:t xml:space="preserve"> </w:t>
      </w:r>
      <w:r>
        <w:t xml:space="preserve">cholesterol response and type 2 diabetes: A bidirectional two-sample</w:t>
      </w:r>
      <w:r>
        <w:t xml:space="preserve"> </w:t>
      </w:r>
      <w:r>
        <w:t xml:space="preserve">Mendelian</w:t>
      </w:r>
      <w:r>
        <w:t xml:space="preserve"> </w:t>
      </w:r>
      <w:r>
        <w:t xml:space="preserve">randomization study.</w:t>
      </w:r>
      <w:r>
        <w:t xml:space="preserve"> </w:t>
      </w:r>
      <w:r>
        <w:rPr>
          <w:iCs/>
          <w:i/>
        </w:rPr>
        <w:t xml:space="preserve">The Pharmacogenomics Journal</w:t>
      </w:r>
      <w:r>
        <w:t xml:space="preserve"> </w:t>
      </w:r>
      <w:r>
        <w:rPr>
          <w:bCs/>
          <w:b/>
        </w:rPr>
        <w:t xml:space="preserve">20</w:t>
      </w:r>
      <w:r>
        <w:t xml:space="preserve">, 462–470 (2020).</w:t>
      </w:r>
    </w:p>
    <w:bookmarkEnd w:id="632"/>
    <w:bookmarkStart w:id="633" w:name="ref-karalis2016"/>
    <w:p>
      <w:pPr>
        <w:pStyle w:val="Bibliography"/>
      </w:pPr>
      <w:r>
        <w:t xml:space="preserve">285.</w:t>
      </w:r>
      <w:r>
        <w:t xml:space="preserve"> </w:t>
      </w:r>
      <w:r>
        <w:t xml:space="preserve">	</w:t>
      </w:r>
      <w:r>
        <w:t xml:space="preserve">Karalis, D. G., Hill, A. N., Clifton, S. &amp; Wild, R. A. The risks of statin use in pregnancy: A systematic review.</w:t>
      </w:r>
      <w:r>
        <w:t xml:space="preserve"> </w:t>
      </w:r>
      <w:r>
        <w:rPr>
          <w:iCs/>
          <w:i/>
        </w:rPr>
        <w:t xml:space="preserve">Journal of Clinical Lipidology</w:t>
      </w:r>
      <w:r>
        <w:t xml:space="preserve"> </w:t>
      </w:r>
      <w:r>
        <w:rPr>
          <w:bCs/>
          <w:b/>
        </w:rPr>
        <w:t xml:space="preserve">10</w:t>
      </w:r>
      <w:r>
        <w:t xml:space="preserve">, 1081–1090 (2016 Sep-Oct).</w:t>
      </w:r>
    </w:p>
    <w:bookmarkEnd w:id="633"/>
    <w:bookmarkStart w:id="634" w:name="ref-smeeth2009"/>
    <w:p>
      <w:pPr>
        <w:pStyle w:val="Bibliography"/>
      </w:pPr>
      <w:r>
        <w:t xml:space="preserve">286.</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634"/>
    <w:bookmarkStart w:id="635" w:name="ref-carbonari2015"/>
    <w:p>
      <w:pPr>
        <w:pStyle w:val="Bibliography"/>
      </w:pPr>
      <w:r>
        <w:t xml:space="preserve">287.</w:t>
      </w:r>
      <w:r>
        <w:t xml:space="preserve"> </w:t>
      </w:r>
      <w:r>
        <w:t xml:space="preserve">	</w:t>
      </w:r>
      <w:r>
        <w:t xml:space="preserve">Carbonari, D. M.</w:t>
      </w:r>
      <w:r>
        <w:t xml:space="preserve"> </w:t>
      </w:r>
      <w:r>
        <w:rPr>
          <w:iCs/>
          <w:i/>
        </w:rPr>
        <w:t xml:space="preserve">et al.</w:t>
      </w:r>
      <w:r>
        <w:t xml:space="preserve"> Use of demographic and pharmacy data to identify patients included within both the</w:t>
      </w:r>
      <w:r>
        <w:t xml:space="preserve"> </w:t>
      </w:r>
      <w:r>
        <w:t xml:space="preserve">Clinical Practice Research Datalink</w:t>
      </w:r>
      <w:r>
        <w:t xml:space="preserve"> </w:t>
      </w:r>
      <w:r>
        <w:t xml:space="preserve">(</w:t>
      </w:r>
      <w:r>
        <w:t xml:space="preserve">CPRD</w:t>
      </w:r>
      <w:r>
        <w:t xml:space="preserve">) and</w:t>
      </w:r>
      <w:r>
        <w:t xml:space="preserve"> </w:t>
      </w:r>
      <w:r>
        <w:t xml:space="preserve">The Health Improvement Network</w:t>
      </w:r>
      <w:r>
        <w:t xml:space="preserve"> </w:t>
      </w:r>
      <w:r>
        <w:t xml:space="preserve">(</w:t>
      </w:r>
      <w:r>
        <w:t xml:space="preserve">THIN</w:t>
      </w:r>
      <w:r>
        <w:t xml:space="preserve">).</w:t>
      </w:r>
      <w:r>
        <w:t xml:space="preserve"> </w:t>
      </w:r>
      <w:r>
        <w:rPr>
          <w:iCs/>
          <w:i/>
        </w:rPr>
        <w:t xml:space="preserve">Pharmacoepidemiology and Drug Safety</w:t>
      </w:r>
      <w:r>
        <w:t xml:space="preserve"> </w:t>
      </w:r>
      <w:r>
        <w:rPr>
          <w:bCs/>
          <w:b/>
        </w:rPr>
        <w:t xml:space="preserve">24</w:t>
      </w:r>
      <w:r>
        <w:t xml:space="preserve">, 999–1003 (2015).</w:t>
      </w:r>
    </w:p>
    <w:bookmarkEnd w:id="635"/>
    <w:bookmarkStart w:id="636" w:name="ref-salas1999"/>
    <w:p>
      <w:pPr>
        <w:pStyle w:val="Bibliography"/>
      </w:pPr>
      <w:r>
        <w:t xml:space="preserve">288.</w:t>
      </w:r>
      <w:r>
        <w:t xml:space="preserve"> </w:t>
      </w:r>
      <w:r>
        <w:t xml:space="preserve">	</w:t>
      </w:r>
      <w:r>
        <w:t xml:space="preserve">Salas, M., Hotman, A. &amp; Stricker, B. H. Confounding by</w:t>
      </w:r>
      <w:r>
        <w:t xml:space="preserve"> </w:t>
      </w:r>
      <w:r>
        <w:t xml:space="preserve">Indication</w:t>
      </w:r>
      <w:r>
        <w:t xml:space="preserve">: An</w:t>
      </w:r>
      <w:r>
        <w:t xml:space="preserve"> </w:t>
      </w:r>
      <w:r>
        <w:t xml:space="preserve">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636"/>
    <w:bookmarkStart w:id="637" w:name="ref-suttorp2015"/>
    <w:p>
      <w:pPr>
        <w:pStyle w:val="Bibliography"/>
      </w:pPr>
      <w:r>
        <w:t xml:space="preserve">289.</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637"/>
    <w:bookmarkStart w:id="638" w:name="ref-danaei2013b"/>
    <w:p>
      <w:pPr>
        <w:pStyle w:val="Bibliography"/>
      </w:pPr>
      <w:r>
        <w:t xml:space="preserve">290.</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638"/>
    <w:bookmarkStart w:id="639" w:name="ref-taylor2013"/>
    <w:p>
      <w:pPr>
        <w:pStyle w:val="Bibliography"/>
      </w:pPr>
      <w:r>
        <w:t xml:space="preserve">291.</w:t>
      </w:r>
      <w:r>
        <w:t xml:space="preserve"> </w:t>
      </w:r>
      <w:r>
        <w:t xml:space="preserve">	</w:t>
      </w:r>
      <w:r>
        <w:t xml:space="preserve">Taylor, F.</w:t>
      </w:r>
      <w:r>
        <w:t xml:space="preserve"> </w:t>
      </w:r>
      <w:r>
        <w:rPr>
          <w:iCs/>
          <w:i/>
        </w:rPr>
        <w:t xml:space="preserve">et al.</w:t>
      </w:r>
      <w:r>
        <w:t xml:space="preserve"> Statins for the primary prevention of cardiovascular disease.</w:t>
      </w:r>
      <w:r>
        <w:t xml:space="preserve"> </w:t>
      </w:r>
      <w:r>
        <w:rPr>
          <w:iCs/>
          <w:i/>
        </w:rPr>
        <w:t xml:space="preserve">The Cochrane Database of Systematic Reviews</w:t>
      </w:r>
      <w:r>
        <w:t xml:space="preserve"> </w:t>
      </w:r>
      <w:r>
        <w:rPr>
          <w:bCs/>
          <w:b/>
        </w:rPr>
        <w:t xml:space="preserve">2013</w:t>
      </w:r>
      <w:r>
        <w:t xml:space="preserve">, CD004816 (2013).</w:t>
      </w:r>
    </w:p>
    <w:bookmarkEnd w:id="639"/>
    <w:bookmarkStart w:id="640" w:name="ref-newman2019"/>
    <w:p>
      <w:pPr>
        <w:pStyle w:val="Bibliography"/>
      </w:pPr>
      <w:r>
        <w:t xml:space="preserve">292.</w:t>
      </w:r>
      <w:r>
        <w:t xml:space="preserve"> </w:t>
      </w:r>
      <w:r>
        <w:t xml:space="preserve">	</w:t>
      </w:r>
      <w:r>
        <w:t xml:space="preserve">Newman, C. B.</w:t>
      </w:r>
      <w:r>
        <w:t xml:space="preserve"> </w:t>
      </w:r>
      <w:r>
        <w:rPr>
          <w:iCs/>
          <w:i/>
        </w:rPr>
        <w:t xml:space="preserve">et al.</w:t>
      </w:r>
      <w:r>
        <w:t xml:space="preserve"> Statin</w:t>
      </w:r>
      <w:r>
        <w:t xml:space="preserve"> </w:t>
      </w:r>
      <w:r>
        <w:t xml:space="preserve">Safety</w:t>
      </w:r>
      <w:r>
        <w:t xml:space="preserve"> </w:t>
      </w:r>
      <w:r>
        <w:t xml:space="preserve">and</w:t>
      </w:r>
      <w:r>
        <w:t xml:space="preserve"> </w:t>
      </w:r>
      <w:r>
        <w:t xml:space="preserve">Associated Adverse Events</w:t>
      </w:r>
      <w:r>
        <w:t xml:space="preserve">: A</w:t>
      </w:r>
      <w:r>
        <w:t xml:space="preserve"> </w:t>
      </w:r>
      <w:r>
        <w:t xml:space="preserve">Scientific Statement From</w:t>
      </w:r>
      <w:r>
        <w:t xml:space="preserve"> </w:t>
      </w:r>
      <w:r>
        <w:t xml:space="preserve">the</w:t>
      </w:r>
      <w:r>
        <w:t xml:space="preserve"> </w:t>
      </w:r>
      <w:r>
        <w:t xml:space="preserve">American Heart Association</w:t>
      </w:r>
      <w:r>
        <w:t xml:space="preserve">.</w:t>
      </w:r>
      <w:r>
        <w:t xml:space="preserve"> </w:t>
      </w:r>
      <w:r>
        <w:rPr>
          <w:iCs/>
          <w:i/>
        </w:rPr>
        <w:t xml:space="preserve">Arteriosclerosis, Thrombosis, and Vascular Biology</w:t>
      </w:r>
      <w:r>
        <w:t xml:space="preserve"> </w:t>
      </w:r>
      <w:r>
        <w:rPr>
          <w:bCs/>
          <w:b/>
        </w:rPr>
        <w:t xml:space="preserve">39</w:t>
      </w:r>
      <w:r>
        <w:t xml:space="preserve">, e38–e81 (2019).</w:t>
      </w:r>
    </w:p>
    <w:bookmarkEnd w:id="640"/>
    <w:bookmarkStart w:id="641" w:name="ref-shepardson2011"/>
    <w:p>
      <w:pPr>
        <w:pStyle w:val="Bibliography"/>
      </w:pPr>
      <w:r>
        <w:t xml:space="preserve">293.</w:t>
      </w:r>
      <w:r>
        <w:t xml:space="preserve"> </w:t>
      </w:r>
      <w:r>
        <w:t xml:space="preserve">	</w:t>
      </w:r>
      <w:r>
        <w:t xml:space="preserve">Shepardson, N. E. Cholesterol</w:t>
      </w:r>
      <w:r>
        <w:t xml:space="preserve"> </w:t>
      </w:r>
      <w:r>
        <w:t xml:space="preserve">Level</w:t>
      </w:r>
      <w:r>
        <w:t xml:space="preserve"> </w:t>
      </w:r>
      <w:r>
        <w:t xml:space="preserve">and</w:t>
      </w:r>
      <w:r>
        <w:t xml:space="preserve"> </w:t>
      </w:r>
      <w:r>
        <w:t xml:space="preserve">Statin Use</w:t>
      </w:r>
      <w:r>
        <w:t xml:space="preserve"> </w:t>
      </w:r>
      <w:r>
        <w:t xml:space="preserve">in</w:t>
      </w:r>
      <w:r>
        <w:t xml:space="preserve"> </w:t>
      </w:r>
      <w:r>
        <w:t xml:space="preserve">Alzheimer Disease</w:t>
      </w:r>
      <w:r>
        <w:t xml:space="preserve">:</w:t>
      </w:r>
      <w:r>
        <w:t xml:space="preserve"> </w:t>
      </w:r>
      <w:r>
        <w:t xml:space="preserve">II</w:t>
      </w:r>
      <w:r>
        <w:t xml:space="preserve">.</w:t>
      </w:r>
      <w:r>
        <w:t xml:space="preserve"> </w:t>
      </w:r>
      <w:r>
        <w:t xml:space="preserve">Review</w:t>
      </w:r>
      <w:r>
        <w:t xml:space="preserve"> </w:t>
      </w:r>
      <w:r>
        <w:t xml:space="preserve">of</w:t>
      </w:r>
      <w:r>
        <w:t xml:space="preserve"> </w:t>
      </w:r>
      <w:r>
        <w:t xml:space="preserve">Human Trials</w:t>
      </w:r>
      <w:r>
        <w:t xml:space="preserve"> </w:t>
      </w:r>
      <w:r>
        <w:t xml:space="preserve">and</w:t>
      </w:r>
      <w:r>
        <w:t xml:space="preserve"> </w:t>
      </w:r>
      <w:r>
        <w:t xml:space="preserve">Recommendations</w:t>
      </w:r>
      <w:r>
        <w:t xml:space="preserve">.</w:t>
      </w:r>
      <w:r>
        <w:t xml:space="preserve"> </w:t>
      </w:r>
      <w:r>
        <w:rPr>
          <w:iCs/>
          <w:i/>
        </w:rPr>
        <w:t xml:space="preserve">Archives of Neurology</w:t>
      </w:r>
      <w:r>
        <w:t xml:space="preserve"> </w:t>
      </w:r>
      <w:r>
        <w:rPr>
          <w:bCs/>
          <w:b/>
        </w:rPr>
        <w:t xml:space="preserve">68</w:t>
      </w:r>
      <w:r>
        <w:t xml:space="preserve">, 1385 (2011).</w:t>
      </w:r>
    </w:p>
    <w:bookmarkEnd w:id="641"/>
    <w:bookmarkStart w:id="642" w:name="ref-porta2014dictionary"/>
    <w:p>
      <w:pPr>
        <w:pStyle w:val="Bibliography"/>
      </w:pPr>
      <w:r>
        <w:t xml:space="preserve">294.</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642"/>
    <w:bookmarkStart w:id="643" w:name="ref-bennet2007"/>
    <w:p>
      <w:pPr>
        <w:pStyle w:val="Bibliography"/>
      </w:pPr>
      <w:r>
        <w:t xml:space="preserve">295.</w:t>
      </w:r>
      <w:r>
        <w:t xml:space="preserve"> </w:t>
      </w:r>
      <w:r>
        <w:t xml:space="preserve">	</w:t>
      </w:r>
      <w:r>
        <w:t xml:space="preserve">Bennet, A. M.</w:t>
      </w:r>
      <w:r>
        <w:t xml:space="preserve"> </w:t>
      </w:r>
      <w:r>
        <w:rPr>
          <w:iCs/>
          <w:i/>
        </w:rPr>
        <w:t xml:space="preserve">et al.</w:t>
      </w:r>
      <w:r>
        <w:t xml:space="preserve"> Association of apolipoprotein</w:t>
      </w:r>
      <w:r>
        <w:t xml:space="preserve"> </w:t>
      </w:r>
      <w:r>
        <w:t xml:space="preserve">E</w:t>
      </w:r>
      <w:r>
        <w:t xml:space="preserve"> </w:t>
      </w:r>
      <w:r>
        <w:t xml:space="preserve">genotypes with lipid levels and coronary risk.</w:t>
      </w:r>
      <w:r>
        <w:t xml:space="preserve"> </w:t>
      </w:r>
      <w:r>
        <w:rPr>
          <w:iCs/>
          <w:i/>
        </w:rPr>
        <w:t xml:space="preserve">JAMA</w:t>
      </w:r>
      <w:r>
        <w:t xml:space="preserve"> </w:t>
      </w:r>
      <w:r>
        <w:rPr>
          <w:bCs/>
          <w:b/>
        </w:rPr>
        <w:t xml:space="preserve">298</w:t>
      </w:r>
      <w:r>
        <w:t xml:space="preserve">, 1300–1311 (2007).</w:t>
      </w:r>
    </w:p>
    <w:bookmarkEnd w:id="643"/>
    <w:bookmarkStart w:id="644" w:name="ref-goldacre2019c"/>
    <w:p>
      <w:pPr>
        <w:pStyle w:val="Bibliography"/>
      </w:pPr>
      <w:r>
        <w:t xml:space="preserve">296.</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644"/>
    <w:bookmarkStart w:id="645" w:name="ref-levis2021"/>
    <w:p>
      <w:pPr>
        <w:pStyle w:val="Bibliography"/>
      </w:pPr>
      <w:r>
        <w:t xml:space="preserve">297.</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645"/>
    <w:bookmarkStart w:id="646" w:name="ref-wang2017"/>
    <w:p>
      <w:pPr>
        <w:pStyle w:val="Bibliography"/>
      </w:pPr>
      <w:r>
        <w:t xml:space="preserve">298.</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646"/>
    <w:bookmarkStart w:id="647" w:name="ref-abo-zaid2013"/>
    <w:p>
      <w:pPr>
        <w:pStyle w:val="Bibliography"/>
      </w:pPr>
      <w:r>
        <w:t xml:space="preserve">299.</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647"/>
    <w:bookmarkStart w:id="649" w:name="ref-mcguinness2020DAScomparison"/>
    <w:p>
      <w:pPr>
        <w:pStyle w:val="Bibliography"/>
      </w:pPr>
      <w:r>
        <w:t xml:space="preserve">300.</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648">
        <w:r>
          <w:rPr>
            <w:rStyle w:val="Hyperlink"/>
          </w:rPr>
          <w:t xml:space="preserve">10.31222/osf.io/p75xe</w:t>
        </w:r>
      </w:hyperlink>
    </w:p>
    <w:bookmarkEnd w:id="649"/>
    <w:bookmarkStart w:id="650" w:name="ref-riboli1997"/>
    <w:p>
      <w:pPr>
        <w:pStyle w:val="Bibliography"/>
      </w:pPr>
      <w:r>
        <w:t xml:space="preserve">301.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650"/>
    <w:bookmarkStart w:id="651" w:name="ref-riboli2002"/>
    <w:p>
      <w:pPr>
        <w:pStyle w:val="Bibliography"/>
      </w:pPr>
      <w:r>
        <w:t xml:space="preserve">302.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651"/>
    <w:bookmarkStart w:id="652" w:name="ref-danko2019"/>
    <w:p>
      <w:pPr>
        <w:pStyle w:val="Bibliography"/>
      </w:pPr>
      <w:r>
        <w:t xml:space="preserve">303.</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652"/>
    <w:bookmarkStart w:id="653" w:name="ref-krawczyk2012"/>
    <w:p>
      <w:pPr>
        <w:pStyle w:val="Bibliography"/>
      </w:pPr>
      <w:r>
        <w:t xml:space="preserve">304.</w:t>
      </w:r>
      <w:r>
        <w:t xml:space="preserve"> </w:t>
      </w:r>
      <w:r>
        <w:t xml:space="preserve">	</w:t>
      </w:r>
      <w:r>
        <w:t xml:space="preserve">Krawczyk, M. &amp; Reuben, E. (</w:t>
      </w:r>
      <w:r>
        <w:t xml:space="preserve">Un</w:t>
      </w:r>
      <w:r>
        <w:t xml:space="preserve">)</w:t>
      </w:r>
      <w:r>
        <w:t xml:space="preserve">Available</w:t>
      </w:r>
      <w:r>
        <w:t xml:space="preserve"> </w:t>
      </w:r>
      <w:r>
        <w:t xml:space="preserve">upon</w:t>
      </w:r>
      <w:r>
        <w:t xml:space="preserve"> </w:t>
      </w:r>
      <w:r>
        <w:t xml:space="preserve">Request</w:t>
      </w:r>
      <w:r>
        <w:t xml:space="preserve">: Field</w:t>
      </w:r>
      <w:r>
        <w:t xml:space="preserve"> </w:t>
      </w:r>
      <w:r>
        <w:t xml:space="preserve">Experiment</w:t>
      </w:r>
      <w:r>
        <w:t xml:space="preserve"> </w:t>
      </w:r>
      <w:r>
        <w:t xml:space="preserve">on</w:t>
      </w:r>
      <w:r>
        <w:t xml:space="preserve"> </w:t>
      </w:r>
      <w:r>
        <w:t xml:space="preserve">Researchers</w:t>
      </w:r>
      <w:r>
        <w:t xml:space="preserve">’</w:t>
      </w:r>
      <w:r>
        <w:t xml:space="preserve"> </w:t>
      </w:r>
      <w:r>
        <w:t xml:space="preserve">Willingness</w:t>
      </w:r>
      <w:r>
        <w:t xml:space="preserve"> </w:t>
      </w:r>
      <w:r>
        <w:t xml:space="preserve">to</w:t>
      </w:r>
      <w:r>
        <w:t xml:space="preserve"> </w:t>
      </w:r>
      <w:r>
        <w:t xml:space="preserve">Share Supplementary Materials</w:t>
      </w:r>
      <w:r>
        <w:t xml:space="preserve">.</w:t>
      </w:r>
      <w:r>
        <w:t xml:space="preserve"> </w:t>
      </w:r>
      <w:r>
        <w:rPr>
          <w:iCs/>
          <w:i/>
        </w:rPr>
        <w:t xml:space="preserve">Accountability in Research</w:t>
      </w:r>
      <w:r>
        <w:t xml:space="preserve"> </w:t>
      </w:r>
      <w:r>
        <w:rPr>
          <w:bCs/>
          <w:b/>
        </w:rPr>
        <w:t xml:space="preserve">19</w:t>
      </w:r>
      <w:r>
        <w:t xml:space="preserve">, 175–186 (2012).</w:t>
      </w:r>
    </w:p>
    <w:bookmarkEnd w:id="653"/>
    <w:bookmarkStart w:id="654" w:name="ref-miyakawa2020"/>
    <w:p>
      <w:pPr>
        <w:pStyle w:val="Bibliography"/>
      </w:pPr>
      <w:r>
        <w:t xml:space="preserve">305.</w:t>
      </w:r>
      <w:r>
        <w:t xml:space="preserve"> </w:t>
      </w:r>
      <w:r>
        <w:t xml:space="preserve">	</w:t>
      </w:r>
      <w:r>
        <w:t xml:space="preserve">Miyakawa, T. No raw data, no science: Another possible source of the reproducibility crisis.</w:t>
      </w:r>
      <w:r>
        <w:t xml:space="preserve"> </w:t>
      </w:r>
      <w:r>
        <w:rPr>
          <w:iCs/>
          <w:i/>
        </w:rPr>
        <w:t xml:space="preserve">Molecular Brain</w:t>
      </w:r>
      <w:r>
        <w:t xml:space="preserve"> </w:t>
      </w:r>
      <w:r>
        <w:rPr>
          <w:bCs/>
          <w:b/>
        </w:rPr>
        <w:t xml:space="preserve">13</w:t>
      </w:r>
      <w:r>
        <w:t xml:space="preserve">, 24 (2020).</w:t>
      </w:r>
    </w:p>
    <w:bookmarkEnd w:id="654"/>
    <w:bookmarkStart w:id="656" w:name="ref-naudet2018"/>
    <w:p>
      <w:pPr>
        <w:pStyle w:val="Bibliography"/>
      </w:pPr>
      <w:r>
        <w:t xml:space="preserve">306.</w:t>
      </w:r>
      <w:r>
        <w:t xml:space="preserve"> </w:t>
      </w:r>
      <w:r>
        <w:t xml:space="preserve">	</w:t>
      </w:r>
      <w:r>
        <w:t xml:space="preserve">Naudet, F.</w:t>
      </w:r>
      <w:r>
        <w:t xml:space="preserve"> </w:t>
      </w:r>
      <w:r>
        <w:rPr>
          <w:iCs/>
          <w:i/>
        </w:rPr>
        <w:t xml:space="preserve">et al.</w:t>
      </w:r>
      <w:r>
        <w:t xml:space="preserve"> Data sharing and reanalysis of randomized controlled trials in leading biomedical journals with a full data sharing policy: Survey of studies published in</w:t>
      </w:r>
      <w:r>
        <w:t xml:space="preserve"> </w:t>
      </w:r>
      <w:r>
        <w:rPr>
          <w:iCs/>
          <w:i/>
        </w:rPr>
        <w:t xml:space="preserve">The BMJ</w:t>
      </w:r>
      <w:r>
        <w:t xml:space="preserve"> </w:t>
      </w:r>
      <w:r>
        <w:t xml:space="preserve">and</w:t>
      </w:r>
      <w:r>
        <w:t xml:space="preserve"> </w:t>
      </w:r>
      <w:r>
        <w:rPr>
          <w:iCs/>
          <w:i/>
        </w:rPr>
        <w:t xml:space="preserve">PLOS Medicine</w:t>
      </w:r>
      <w:r>
        <w:t xml:space="preserve">.</w:t>
      </w:r>
      <w:r>
        <w:t xml:space="preserve"> </w:t>
      </w:r>
      <w:r>
        <w:rPr>
          <w:iCs/>
          <w:i/>
        </w:rPr>
        <w:t xml:space="preserve">BMJ</w:t>
      </w:r>
      <w:r>
        <w:t xml:space="preserve"> </w:t>
      </w:r>
      <w:r>
        <w:t xml:space="preserve">k400 (2018). doi:</w:t>
      </w:r>
      <w:hyperlink r:id="rId655">
        <w:r>
          <w:rPr>
            <w:rStyle w:val="Hyperlink"/>
          </w:rPr>
          <w:t xml:space="preserve">10.1136/bmj.k400</w:t>
        </w:r>
      </w:hyperlink>
    </w:p>
    <w:bookmarkEnd w:id="656"/>
    <w:bookmarkStart w:id="657" w:name="ref-jaspers2014"/>
    <w:p>
      <w:pPr>
        <w:pStyle w:val="Bibliography"/>
      </w:pPr>
      <w:r>
        <w:t xml:space="preserve">307.</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657"/>
    <w:bookmarkStart w:id="658" w:name="ref-hill1965"/>
    <w:p>
      <w:pPr>
        <w:pStyle w:val="Bibliography"/>
      </w:pPr>
      <w:r>
        <w:t xml:space="preserve">308.</w:t>
      </w:r>
      <w:r>
        <w:t xml:space="preserve"> </w:t>
      </w:r>
      <w:r>
        <w:t xml:space="preserve">	</w:t>
      </w:r>
      <w:r>
        <w:t xml:space="preserve">Hill, A. B. The</w:t>
      </w:r>
      <w:r>
        <w:t xml:space="preserve"> </w:t>
      </w:r>
      <w:r>
        <w:t xml:space="preserve">Environment</w:t>
      </w:r>
      <w:r>
        <w:t xml:space="preserve"> </w:t>
      </w:r>
      <w:r>
        <w:t xml:space="preserve">and</w:t>
      </w:r>
      <w:r>
        <w:t xml:space="preserve"> </w:t>
      </w:r>
      <w:r>
        <w:t xml:space="preserve">Disease</w:t>
      </w:r>
      <w:r>
        <w:t xml:space="preserve">: Association or</w:t>
      </w:r>
      <w:r>
        <w:t xml:space="preserve"> </w:t>
      </w:r>
      <w:r>
        <w:t xml:space="preserve">Causation</w:t>
      </w:r>
      <w:r>
        <w:t xml:space="preserve">?</w:t>
      </w:r>
      <w:r>
        <w:t xml:space="preserve"> </w:t>
      </w:r>
      <w:r>
        <w:rPr>
          <w:iCs/>
          <w:i/>
        </w:rPr>
        <w:t xml:space="preserve">Proceedings of the Royal Society of Medicine</w:t>
      </w:r>
      <w:r>
        <w:t xml:space="preserve"> </w:t>
      </w:r>
      <w:r>
        <w:rPr>
          <w:bCs/>
          <w:b/>
        </w:rPr>
        <w:t xml:space="preserve">58</w:t>
      </w:r>
      <w:r>
        <w:t xml:space="preserve">, 295–300 (1965).</w:t>
      </w:r>
    </w:p>
    <w:bookmarkEnd w:id="658"/>
    <w:bookmarkStart w:id="659" w:name="ref-lawlor2016"/>
    <w:p>
      <w:pPr>
        <w:pStyle w:val="Bibliography"/>
      </w:pPr>
      <w:r>
        <w:t xml:space="preserve">309.</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659"/>
    <w:bookmarkStart w:id="660" w:name="ref-guyatt2011"/>
    <w:p>
      <w:pPr>
        <w:pStyle w:val="Bibliography"/>
      </w:pPr>
      <w:r>
        <w:t xml:space="preserve">310.</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660"/>
    <w:bookmarkStart w:id="661" w:name="ref-turner2009"/>
    <w:p>
      <w:pPr>
        <w:pStyle w:val="Bibliography"/>
      </w:pPr>
      <w:r>
        <w:t xml:space="preserve">311.</w:t>
      </w:r>
      <w:r>
        <w:t xml:space="preserve"> </w:t>
      </w:r>
      <w:r>
        <w:t xml:space="preserve">	</w:t>
      </w:r>
      <w:r>
        <w:t xml:space="preserve">Turner, R. M., Spiegelhalter, D. J., Smith, G. C. S. &amp; Thompson, S. G. Bias modelling in evidence synthesis.</w:t>
      </w:r>
      <w:r>
        <w:t xml:space="preserve"> </w:t>
      </w:r>
      <w:r>
        <w:rPr>
          <w:iCs/>
          <w:i/>
        </w:rPr>
        <w:t xml:space="preserve">Journal of the Royal Statistical Society. Series A, (Statistics in Society)</w:t>
      </w:r>
      <w:r>
        <w:t xml:space="preserve"> </w:t>
      </w:r>
      <w:r>
        <w:rPr>
          <w:bCs/>
          <w:b/>
        </w:rPr>
        <w:t xml:space="preserve">172</w:t>
      </w:r>
      <w:r>
        <w:t xml:space="preserve">, 21–47 (2009).</w:t>
      </w:r>
    </w:p>
    <w:bookmarkEnd w:id="661"/>
    <w:bookmarkStart w:id="662" w:name="ref-chao2015"/>
    <w:p>
      <w:pPr>
        <w:pStyle w:val="Bibliography"/>
      </w:pPr>
      <w:r>
        <w:t xml:space="preserve">312.</w:t>
      </w:r>
      <w:r>
        <w:t xml:space="preserve"> </w:t>
      </w:r>
      <w:r>
        <w:t xml:space="preserve">	</w:t>
      </w:r>
      <w:r>
        <w:t xml:space="preserve">Chao, T.-F.</w:t>
      </w:r>
      <w:r>
        <w:t xml:space="preserve"> </w:t>
      </w:r>
      <w:r>
        <w:rPr>
          <w:iCs/>
          <w:i/>
        </w:rPr>
        <w:t xml:space="preserve">et al.</w:t>
      </w:r>
      <w:r>
        <w:t xml:space="preserve"> Statins and the risk of dementia in patients with atrial fibrillation: A 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662"/>
    <w:bookmarkStart w:id="663" w:name="ref-williams2020"/>
    <w:p>
      <w:pPr>
        <w:pStyle w:val="Bibliography"/>
      </w:pPr>
      <w:r>
        <w:t xml:space="preserve">313.</w:t>
      </w:r>
      <w:r>
        <w:t xml:space="preserve"> </w:t>
      </w:r>
      <w:r>
        <w:t xml:space="preserve">	</w:t>
      </w:r>
      <w:r>
        <w:t xml:space="preserve">Williams, D. M., Finan, C., Schmidt, A. F., Burgess, S. &amp; Hingorani, A. D. Lipid lowering and</w:t>
      </w:r>
      <w:r>
        <w:t xml:space="preserve"> </w:t>
      </w:r>
      <w:r>
        <w:t xml:space="preserve">Alzheimer</w:t>
      </w:r>
      <w:r>
        <w:t xml:space="preserve"> </w:t>
      </w:r>
      <w:r>
        <w:t xml:space="preserve">disease risk: A mendelian randomization study.</w:t>
      </w:r>
      <w:r>
        <w:t xml:space="preserve"> </w:t>
      </w:r>
      <w:r>
        <w:rPr>
          <w:iCs/>
          <w:i/>
        </w:rPr>
        <w:t xml:space="preserve">Annals of Neurology</w:t>
      </w:r>
      <w:r>
        <w:t xml:space="preserve"> </w:t>
      </w:r>
      <w:r>
        <w:rPr>
          <w:bCs/>
          <w:b/>
        </w:rPr>
        <w:t xml:space="preserve">87</w:t>
      </w:r>
      <w:r>
        <w:t xml:space="preserve">, 30–39 (2020).</w:t>
      </w:r>
    </w:p>
    <w:bookmarkEnd w:id="663"/>
    <w:bookmarkStart w:id="664" w:name="ref-stone2020"/>
    <w:p>
      <w:pPr>
        <w:pStyle w:val="Bibliography"/>
      </w:pPr>
      <w:r>
        <w:t xml:space="preserve">314.</w:t>
      </w:r>
      <w:r>
        <w:t xml:space="preserve"> </w:t>
      </w:r>
      <w:r>
        <w:t xml:space="preserve">	</w:t>
      </w:r>
      <w:r>
        <w:t xml:space="preserve">Stone, J. C., Glass, K., Munn, Z., Tugwell, P. &amp; Doi, S. A. R. Comparison of bias adjustment methods in meta-analysis suggests that quality effects modeling may have less limitations than other approaches.</w:t>
      </w:r>
      <w:r>
        <w:t xml:space="preserve"> </w:t>
      </w:r>
      <w:r>
        <w:rPr>
          <w:iCs/>
          <w:i/>
        </w:rPr>
        <w:t xml:space="preserve">Journal of Clinical Epidemiology</w:t>
      </w:r>
      <w:r>
        <w:t xml:space="preserve"> </w:t>
      </w:r>
      <w:r>
        <w:rPr>
          <w:bCs/>
          <w:b/>
        </w:rPr>
        <w:t xml:space="preserve">117</w:t>
      </w:r>
      <w:r>
        <w:t xml:space="preserve">, 36–45 (2020).</w:t>
      </w:r>
    </w:p>
    <w:bookmarkEnd w:id="664"/>
    <w:bookmarkStart w:id="665" w:name="ref-amer2021"/>
    <w:p>
      <w:pPr>
        <w:pStyle w:val="Bibliography"/>
      </w:pPr>
      <w:r>
        <w:t xml:space="preserve">315.</w:t>
      </w:r>
      <w:r>
        <w:t xml:space="preserve"> </w:t>
      </w:r>
      <w:r>
        <w:t xml:space="preserve">	</w:t>
      </w:r>
      <w:r>
        <w:t xml:space="preserve">Amer, M. A.</w:t>
      </w:r>
      <w:r>
        <w:t xml:space="preserve"> </w:t>
      </w:r>
      <w:r>
        <w:rPr>
          <w:iCs/>
          <w:i/>
        </w:rPr>
        <w:t xml:space="preserve">et al.</w:t>
      </w:r>
      <w:r>
        <w:t xml:space="preserve"> A meta-epidemiological study of bias in randomized clinical trials of open and laparoscopic surgery.</w:t>
      </w:r>
      <w:r>
        <w:t xml:space="preserve"> </w:t>
      </w:r>
      <w:r>
        <w:rPr>
          <w:iCs/>
          <w:i/>
        </w:rPr>
        <w:t xml:space="preserve">British Journal of Surgery</w:t>
      </w:r>
      <w:r>
        <w:t xml:space="preserve"> </w:t>
      </w:r>
      <w:r>
        <w:rPr>
          <w:bCs/>
          <w:b/>
        </w:rPr>
        <w:t xml:space="preserve">108</w:t>
      </w:r>
      <w:r>
        <w:t xml:space="preserve">, 477–483 (2021).</w:t>
      </w:r>
    </w:p>
    <w:bookmarkEnd w:id="665"/>
    <w:bookmarkStart w:id="666" w:name="ref-page2016"/>
    <w:p>
      <w:pPr>
        <w:pStyle w:val="Bibliography"/>
      </w:pPr>
      <w:r>
        <w:t xml:space="preserve">316.</w:t>
      </w:r>
      <w:r>
        <w:t xml:space="preserve"> </w:t>
      </w:r>
      <w:r>
        <w:t xml:space="preserve">	</w:t>
      </w:r>
      <w:r>
        <w:t xml:space="preserve">Page, M. J.</w:t>
      </w:r>
      <w:r>
        <w:t xml:space="preserve"> </w:t>
      </w:r>
      <w:r>
        <w:rPr>
          <w:iCs/>
          <w:i/>
        </w:rPr>
        <w:t xml:space="preserve">et al.</w:t>
      </w:r>
      <w:r>
        <w:t xml:space="preserve"> Empirical</w:t>
      </w:r>
      <w:r>
        <w:t xml:space="preserve"> </w:t>
      </w:r>
      <w:r>
        <w:t xml:space="preserve">Evidence</w:t>
      </w:r>
      <w:r>
        <w:t xml:space="preserve"> </w:t>
      </w:r>
      <w:r>
        <w:t xml:space="preserve">of</w:t>
      </w:r>
      <w:r>
        <w:t xml:space="preserve"> </w:t>
      </w:r>
      <w:r>
        <w:t xml:space="preserve">Study Design Biases</w:t>
      </w:r>
      <w:r>
        <w:t xml:space="preserve"> </w:t>
      </w:r>
      <w:r>
        <w:t xml:space="preserve">in</w:t>
      </w:r>
      <w:r>
        <w:t xml:space="preserve"> </w:t>
      </w:r>
      <w:r>
        <w:t xml:space="preserve">Randomized Trials</w:t>
      </w:r>
      <w:r>
        <w:t xml:space="preserve">: Systematic</w:t>
      </w:r>
      <w:r>
        <w:t xml:space="preserve"> </w:t>
      </w:r>
      <w:r>
        <w:t xml:space="preserve">Review</w:t>
      </w:r>
      <w:r>
        <w:t xml:space="preserve"> </w:t>
      </w:r>
      <w:r>
        <w:t xml:space="preserve">of</w:t>
      </w:r>
      <w:r>
        <w:t xml:space="preserve"> </w:t>
      </w:r>
      <w:r>
        <w:t xml:space="preserve">Meta</w:t>
      </w:r>
      <w:r>
        <w:t xml:space="preserve">-</w:t>
      </w:r>
      <w:r>
        <w:t xml:space="preserve">Epidemiological Studies</w:t>
      </w:r>
      <w:r>
        <w:t xml:space="preserve">.</w:t>
      </w:r>
      <w:r>
        <w:t xml:space="preserve"> </w:t>
      </w:r>
      <w:r>
        <w:rPr>
          <w:iCs/>
          <w:i/>
        </w:rPr>
        <w:t xml:space="preserve">PLOS ONE</w:t>
      </w:r>
      <w:r>
        <w:t xml:space="preserve"> </w:t>
      </w:r>
      <w:r>
        <w:rPr>
          <w:bCs/>
          <w:b/>
        </w:rPr>
        <w:t xml:space="preserve">11</w:t>
      </w:r>
      <w:r>
        <w:t xml:space="preserve">, e0159267 (2016).</w:t>
      </w:r>
    </w:p>
    <w:bookmarkEnd w:id="666"/>
    <w:bookmarkStart w:id="667" w:name="ref-whiting2011a"/>
    <w:p>
      <w:pPr>
        <w:pStyle w:val="Bibliography"/>
      </w:pPr>
      <w:r>
        <w:t xml:space="preserve">317.</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667"/>
    <w:bookmarkStart w:id="668" w:name="ref-moons2019"/>
    <w:p>
      <w:pPr>
        <w:pStyle w:val="Bibliography"/>
      </w:pPr>
      <w:r>
        <w:t xml:space="preserve">318.</w:t>
      </w:r>
      <w:r>
        <w:t xml:space="preserve"> </w:t>
      </w:r>
      <w:r>
        <w:t xml:space="preserve">	</w:t>
      </w:r>
      <w:r>
        <w:t xml:space="preserve">Moons, K. G. M.</w:t>
      </w:r>
      <w:r>
        <w:t xml:space="preserve"> </w:t>
      </w:r>
      <w:r>
        <w:rPr>
          <w:iCs/>
          <w:i/>
        </w:rPr>
        <w:t xml:space="preserve">et al.</w:t>
      </w:r>
      <w:r>
        <w:t xml:space="preserve"> </w:t>
      </w:r>
      <w:r>
        <w:t xml:space="preserve">PROBAST</w:t>
      </w:r>
      <w:r>
        <w:t xml:space="preserve">: A</w:t>
      </w:r>
      <w:r>
        <w:t xml:space="preserve"> </w:t>
      </w:r>
      <w:r>
        <w:t xml:space="preserve">Tool</w:t>
      </w:r>
      <w:r>
        <w:t xml:space="preserve"> </w:t>
      </w:r>
      <w:r>
        <w:t xml:space="preserve">to</w:t>
      </w:r>
      <w:r>
        <w:t xml:space="preserve"> </w:t>
      </w:r>
      <w:r>
        <w:t xml:space="preserve">Assess Risk</w:t>
      </w:r>
      <w:r>
        <w:t xml:space="preserve"> </w:t>
      </w:r>
      <w:r>
        <w:t xml:space="preserve">of</w:t>
      </w:r>
      <w:r>
        <w:t xml:space="preserve"> </w:t>
      </w:r>
      <w:r>
        <w:t xml:space="preserve">Bias</w:t>
      </w:r>
      <w:r>
        <w:t xml:space="preserve"> </w:t>
      </w:r>
      <w:r>
        <w:t xml:space="preserve">and</w:t>
      </w:r>
      <w:r>
        <w:t xml:space="preserve"> </w:t>
      </w:r>
      <w:r>
        <w:t xml:space="preserve">Applicability</w:t>
      </w:r>
      <w:r>
        <w:t xml:space="preserve"> </w:t>
      </w:r>
      <w:r>
        <w:t xml:space="preserve">of</w:t>
      </w:r>
      <w:r>
        <w:t xml:space="preserve"> </w:t>
      </w:r>
      <w:r>
        <w:t xml:space="preserve">Prediction Model Studies</w:t>
      </w:r>
      <w:r>
        <w:t xml:space="preserve">: Explanation and</w:t>
      </w:r>
      <w:r>
        <w:t xml:space="preserve"> </w:t>
      </w:r>
      <w:r>
        <w:t xml:space="preserve">Elaboration</w:t>
      </w:r>
      <w:r>
        <w:t xml:space="preserve">.</w:t>
      </w:r>
      <w:r>
        <w:t xml:space="preserve"> </w:t>
      </w:r>
      <w:r>
        <w:rPr>
          <w:iCs/>
          <w:i/>
        </w:rPr>
        <w:t xml:space="preserve">Annals of Internal Medicine</w:t>
      </w:r>
      <w:r>
        <w:t xml:space="preserve"> </w:t>
      </w:r>
      <w:r>
        <w:rPr>
          <w:bCs/>
          <w:b/>
        </w:rPr>
        <w:t xml:space="preserve">170</w:t>
      </w:r>
      <w:r>
        <w:t xml:space="preserve">, W1–W33 (2019).</w:t>
      </w:r>
    </w:p>
    <w:bookmarkEnd w:id="668"/>
    <w:bookmarkStart w:id="669" w:name="ref-savovic2018"/>
    <w:p>
      <w:pPr>
        <w:pStyle w:val="Bibliography"/>
      </w:pPr>
      <w:r>
        <w:t xml:space="preserve">319.</w:t>
      </w:r>
      <w:r>
        <w:t xml:space="preserve"> </w:t>
      </w:r>
      <w:r>
        <w:t xml:space="preserve">	</w:t>
      </w:r>
      <w:r>
        <w:t xml:space="preserve">Savović, J.</w:t>
      </w:r>
      <w:r>
        <w:t xml:space="preserve"> </w:t>
      </w:r>
      <w:r>
        <w:rPr>
          <w:iCs/>
          <w:i/>
        </w:rPr>
        <w:t xml:space="preserve">et al.</w:t>
      </w:r>
      <w:r>
        <w:t xml:space="preserve"> Association</w:t>
      </w:r>
      <w:r>
        <w:t xml:space="preserve"> </w:t>
      </w:r>
      <w:r>
        <w:t xml:space="preserve">Between Risk</w:t>
      </w:r>
      <w:r>
        <w:t xml:space="preserve">-of-</w:t>
      </w:r>
      <w:r>
        <w:t xml:space="preserve">Bias Assessments</w:t>
      </w:r>
      <w:r>
        <w:t xml:space="preserve"> </w:t>
      </w:r>
      <w:r>
        <w:t xml:space="preserve">and</w:t>
      </w:r>
      <w:r>
        <w:t xml:space="preserve"> </w:t>
      </w:r>
      <w:r>
        <w:t xml:space="preserve">Results</w:t>
      </w:r>
      <w:r>
        <w:t xml:space="preserve"> </w:t>
      </w:r>
      <w:r>
        <w:t xml:space="preserve">of</w:t>
      </w:r>
      <w:r>
        <w:t xml:space="preserve"> </w:t>
      </w:r>
      <w:r>
        <w:t xml:space="preserve">Randomized Trials</w:t>
      </w:r>
      <w:r>
        <w:t xml:space="preserve"> </w:t>
      </w:r>
      <w:r>
        <w:t xml:space="preserve">in</w:t>
      </w:r>
      <w:r>
        <w:t xml:space="preserve"> </w:t>
      </w:r>
      <w:r>
        <w:t xml:space="preserve">Cochrane Reviews</w:t>
      </w:r>
      <w:r>
        <w:t xml:space="preserve">: The</w:t>
      </w:r>
      <w:r>
        <w:t xml:space="preserve"> </w:t>
      </w:r>
      <w:r>
        <w:t xml:space="preserve">ROBES Meta</w:t>
      </w:r>
      <w:r>
        <w:t xml:space="preserve">-</w:t>
      </w:r>
      <w:r>
        <w:t xml:space="preserve">Epidemiologic Study</w:t>
      </w:r>
      <w:r>
        <w:t xml:space="preserve">.</w:t>
      </w:r>
      <w:r>
        <w:t xml:space="preserve"> </w:t>
      </w:r>
      <w:r>
        <w:rPr>
          <w:iCs/>
          <w:i/>
        </w:rPr>
        <w:t xml:space="preserve">American Journal of Epidemiology</w:t>
      </w:r>
      <w:r>
        <w:t xml:space="preserve"> </w:t>
      </w:r>
      <w:r>
        <w:rPr>
          <w:bCs/>
          <w:b/>
        </w:rPr>
        <w:t xml:space="preserve">187</w:t>
      </w:r>
      <w:r>
        <w:t xml:space="preserve">, 1113–1122 (2018).</w:t>
      </w:r>
    </w:p>
    <w:bookmarkEnd w:id="669"/>
    <w:bookmarkStart w:id="670" w:name="ref-rhodes2020"/>
    <w:p>
      <w:pPr>
        <w:pStyle w:val="Bibliography"/>
      </w:pPr>
      <w:r>
        <w:t xml:space="preserve">320.</w:t>
      </w:r>
      <w:r>
        <w:t xml:space="preserve"> </w:t>
      </w:r>
      <w:r>
        <w:t xml:space="preserve">	</w:t>
      </w:r>
      <w:r>
        <w:t xml:space="preserve">Rhodes, K. M.</w:t>
      </w:r>
      <w:r>
        <w:t xml:space="preserve"> </w:t>
      </w:r>
      <w:r>
        <w:rPr>
          <w:iCs/>
          <w:i/>
        </w:rPr>
        <w:t xml:space="preserve">et al.</w:t>
      </w:r>
      <w:r>
        <w:t xml:space="preserve"> Adjusting trial results for biases in meta-analysis: Combining data-based evidence on bias with detailed trial assessment.</w:t>
      </w:r>
      <w:r>
        <w:t xml:space="preserve"> </w:t>
      </w:r>
      <w:r>
        <w:rPr>
          <w:iCs/>
          <w:i/>
        </w:rPr>
        <w:t xml:space="preserve">Journal of the Royal Statistical Society. Series A, (Statistics in Society)</w:t>
      </w:r>
      <w:r>
        <w:t xml:space="preserve"> </w:t>
      </w:r>
      <w:r>
        <w:rPr>
          <w:bCs/>
          <w:b/>
        </w:rPr>
        <w:t xml:space="preserve">183</w:t>
      </w:r>
      <w:r>
        <w:t xml:space="preserve">, 193–209 (2020).</w:t>
      </w:r>
    </w:p>
    <w:bookmarkEnd w:id="670"/>
    <w:bookmarkStart w:id="671" w:name="ref-iwagami2021"/>
    <w:p>
      <w:pPr>
        <w:pStyle w:val="Bibliography"/>
      </w:pPr>
      <w:r>
        <w:t xml:space="preserve">321.</w:t>
      </w:r>
      <w:r>
        <w:t xml:space="preserve"> </w:t>
      </w:r>
      <w:r>
        <w:t xml:space="preserve">	</w:t>
      </w:r>
      <w:r>
        <w:t xml:space="preserve">Iwagami, M.</w:t>
      </w:r>
      <w:r>
        <w:t xml:space="preserve"> </w:t>
      </w:r>
      <w:r>
        <w:rPr>
          <w:iCs/>
          <w:i/>
        </w:rPr>
        <w:t xml:space="preserve">et al.</w:t>
      </w:r>
      <w:r>
        <w:t xml:space="preserve"> Blood cholesterol and risk of dementia in more than 1</w:t>
      </w:r>
      <m:oMath>
        <m:r>
          <m:rPr>
            <m:sty m:val="p"/>
          </m:rPr>
          <m:t>⋅</m:t>
        </m:r>
      </m:oMath>
      <w:r>
        <w:t xml:space="preserve">8 million people over two decades: A retrospective cohort study.</w:t>
      </w:r>
      <w:r>
        <w:t xml:space="preserve"> </w:t>
      </w:r>
      <w:r>
        <w:rPr>
          <w:iCs/>
          <w:i/>
        </w:rPr>
        <w:t xml:space="preserve">The Lancet Healthy Longevity</w:t>
      </w:r>
      <w:r>
        <w:t xml:space="preserve"> </w:t>
      </w:r>
      <w:r>
        <w:rPr>
          <w:bCs/>
          <w:b/>
        </w:rPr>
        <w:t xml:space="preserve">2</w:t>
      </w:r>
      <w:r>
        <w:t xml:space="preserve">, e498–e506 (2021).</w:t>
      </w:r>
    </w:p>
    <w:bookmarkEnd w:id="671"/>
    <w:bookmarkStart w:id="672" w:name="ref-yusuf1984"/>
    <w:p>
      <w:pPr>
        <w:pStyle w:val="Bibliography"/>
      </w:pPr>
      <w:r>
        <w:t xml:space="preserve">322.</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672"/>
    <w:bookmarkStart w:id="673" w:name="ref-walker2020"/>
    <w:p>
      <w:pPr>
        <w:pStyle w:val="Bibliography"/>
      </w:pPr>
      <w:r>
        <w:t xml:space="preserve">323.</w:t>
      </w:r>
      <w:r>
        <w:t xml:space="preserve"> </w:t>
      </w:r>
      <w:r>
        <w:t xml:space="preserve">	</w:t>
      </w:r>
      <w:r>
        <w:t xml:space="preserve">Walker, V. M., Davies, N. M., Martin, R. M. &amp; Kehoe, P. G. Comparison of</w:t>
      </w:r>
      <w:r>
        <w:t xml:space="preserve"> </w:t>
      </w:r>
      <w:r>
        <w:t xml:space="preserve">Antihypertensive Drug Classes</w:t>
      </w:r>
      <w:r>
        <w:t xml:space="preserve"> </w:t>
      </w:r>
      <w:r>
        <w:t xml:space="preserve">for</w:t>
      </w:r>
      <w:r>
        <w:t xml:space="preserve"> </w:t>
      </w:r>
      <w:r>
        <w:t xml:space="preserve">Dementia Prevention</w:t>
      </w:r>
      <w:r>
        <w:t xml:space="preserve">.</w:t>
      </w:r>
      <w:r>
        <w:t xml:space="preserve"> </w:t>
      </w:r>
      <w:r>
        <w:rPr>
          <w:iCs/>
          <w:i/>
        </w:rPr>
        <w:t xml:space="preserve">Epidemiology</w:t>
      </w:r>
      <w:r>
        <w:t xml:space="preserve"> </w:t>
      </w:r>
      <w:r>
        <w:rPr>
          <w:bCs/>
          <w:b/>
        </w:rPr>
        <w:t xml:space="preserve">31</w:t>
      </w:r>
      <w:r>
        <w:t xml:space="preserve">, 852–859 (2020).</w:t>
      </w:r>
    </w:p>
    <w:bookmarkEnd w:id="673"/>
    <w:bookmarkStart w:id="674" w:name="ref-khan2010"/>
    <w:p>
      <w:pPr>
        <w:pStyle w:val="Bibliography"/>
      </w:pPr>
      <w:r>
        <w:t xml:space="preserve">324.</w:t>
      </w:r>
      <w:r>
        <w:t xml:space="preserve"> </w:t>
      </w:r>
      <w:r>
        <w:t xml:space="preserve">	</w:t>
      </w:r>
      <w:r>
        <w:t xml:space="preserve">Khan, N. F., Perera, R., Harper, S. &amp; Rose, P. W. Adaptation and validation of the</w:t>
      </w:r>
      <w:r>
        <w:t xml:space="preserve"> </w:t>
      </w:r>
      <w:r>
        <w:t xml:space="preserve">Charlson Index</w:t>
      </w:r>
      <w:r>
        <w:t xml:space="preserve"> </w:t>
      </w:r>
      <w:r>
        <w:t xml:space="preserve">for</w:t>
      </w:r>
      <w:r>
        <w:t xml:space="preserve"> </w:t>
      </w:r>
      <w:r>
        <w:t xml:space="preserve">Read</w:t>
      </w:r>
      <w:r>
        <w:t xml:space="preserve">/</w:t>
      </w:r>
      <w:r>
        <w:t xml:space="preserve">OXMIS</w:t>
      </w:r>
      <w:r>
        <w:t xml:space="preserve"> </w:t>
      </w:r>
      <w:r>
        <w:t xml:space="preserve">coded databases.</w:t>
      </w:r>
      <w:r>
        <w:t xml:space="preserve"> </w:t>
      </w:r>
      <w:r>
        <w:rPr>
          <w:iCs/>
          <w:i/>
        </w:rPr>
        <w:t xml:space="preserve">BMC Family Practice</w:t>
      </w:r>
      <w:r>
        <w:t xml:space="preserve"> </w:t>
      </w:r>
      <w:r>
        <w:rPr>
          <w:bCs/>
          <w:b/>
        </w:rPr>
        <w:t xml:space="preserve">11</w:t>
      </w:r>
      <w:r>
        <w:t xml:space="preserve">, 1 (2010).</w:t>
      </w:r>
    </w:p>
    <w:bookmarkEnd w:id="674"/>
    <w:bookmarkStart w:id="675" w:name="ref-taylor2016"/>
    <w:p>
      <w:pPr>
        <w:pStyle w:val="Bibliography"/>
      </w:pPr>
      <w:r>
        <w:t xml:space="preserve">325.</w:t>
      </w:r>
      <w:r>
        <w:t xml:space="preserve"> </w:t>
      </w:r>
      <w:r>
        <w:t xml:space="preserve">	</w:t>
      </w:r>
      <w:r>
        <w:t xml:space="preserve">Taylor, G. M. J.</w:t>
      </w:r>
      <w:r>
        <w:t xml:space="preserve"> </w:t>
      </w:r>
      <w:r>
        <w:rPr>
          <w:iCs/>
          <w:i/>
        </w:rPr>
        <w:t xml:space="preserve">et al.</w:t>
      </w:r>
      <w:r>
        <w:t xml:space="preserve"> Effectiveness of varenicline versus nicotine replacement therapy on long-term smoking cessation in primary care: A prospective, cohort study of electronic medical records.</w:t>
      </w:r>
      <w:r>
        <w:t xml:space="preserve"> </w:t>
      </w:r>
      <w:r>
        <w:rPr>
          <w:iCs/>
          <w:i/>
        </w:rPr>
        <w:t xml:space="preserve">The Lancet</w:t>
      </w:r>
      <w:r>
        <w:t xml:space="preserve"> </w:t>
      </w:r>
      <w:r>
        <w:rPr>
          <w:bCs/>
          <w:b/>
        </w:rPr>
        <w:t xml:space="preserve">388</w:t>
      </w:r>
      <w:r>
        <w:t xml:space="preserve">, S107 (2016).</w:t>
      </w:r>
    </w:p>
    <w:bookmarkEnd w:id="675"/>
    <w:bookmarkStart w:id="676" w:name="ref-wright2017"/>
    <w:p>
      <w:pPr>
        <w:pStyle w:val="Bibliography"/>
      </w:pPr>
      <w:r>
        <w:t xml:space="preserve">326.</w:t>
      </w:r>
      <w:r>
        <w:t xml:space="preserve"> </w:t>
      </w:r>
      <w:r>
        <w:t xml:space="preserve">	</w:t>
      </w:r>
      <w:r>
        <w:t xml:space="preserve">Wright, A. K.</w:t>
      </w:r>
      <w:r>
        <w:t xml:space="preserve"> </w:t>
      </w:r>
      <w:r>
        <w:rPr>
          <w:iCs/>
          <w:i/>
        </w:rPr>
        <w:t xml:space="preserve">et al.</w:t>
      </w:r>
      <w:r>
        <w:t xml:space="preserve"> Life</w:t>
      </w:r>
      <w:r>
        <w:t xml:space="preserve"> </w:t>
      </w:r>
      <w:r>
        <w:t xml:space="preserve">Expectancy</w:t>
      </w:r>
      <w:r>
        <w:t xml:space="preserve"> </w:t>
      </w:r>
      <w:r>
        <w:t xml:space="preserve">and</w:t>
      </w:r>
      <w:r>
        <w:t xml:space="preserve"> </w:t>
      </w:r>
      <w:r>
        <w:t xml:space="preserve">Cause</w:t>
      </w:r>
      <w:r>
        <w:t xml:space="preserve">-</w:t>
      </w:r>
      <w:r>
        <w:t xml:space="preserve">Specific Mortality</w:t>
      </w:r>
      <w:r>
        <w:t xml:space="preserve"> </w:t>
      </w:r>
      <w:r>
        <w:t xml:space="preserve">in</w:t>
      </w:r>
      <w:r>
        <w:t xml:space="preserve"> </w:t>
      </w:r>
      <w:r>
        <w:t xml:space="preserve">Type</w:t>
      </w:r>
      <w:r>
        <w:t xml:space="preserve"> </w:t>
      </w:r>
      <w:r>
        <w:t xml:space="preserve">2</w:t>
      </w:r>
      <w:r>
        <w:t xml:space="preserve"> </w:t>
      </w:r>
      <w:r>
        <w:t xml:space="preserve">Diabetes</w:t>
      </w:r>
      <w:r>
        <w:t xml:space="preserve">: A</w:t>
      </w:r>
      <w:r>
        <w:t xml:space="preserve"> </w:t>
      </w:r>
      <w:r>
        <w:t xml:space="preserve">Population</w:t>
      </w:r>
      <w:r>
        <w:t xml:space="preserve">-</w:t>
      </w:r>
      <w:r>
        <w:t xml:space="preserve">Based Cohort Study Quantifying Relationships</w:t>
      </w:r>
      <w:r>
        <w:t xml:space="preserve"> </w:t>
      </w:r>
      <w:r>
        <w:t xml:space="preserve">in</w:t>
      </w:r>
      <w:r>
        <w:t xml:space="preserve"> </w:t>
      </w:r>
      <w:r>
        <w:t xml:space="preserve">Ethnic Subgroups</w:t>
      </w:r>
      <w:r>
        <w:t xml:space="preserve">.</w:t>
      </w:r>
      <w:r>
        <w:t xml:space="preserve"> </w:t>
      </w:r>
      <w:r>
        <w:rPr>
          <w:iCs/>
          <w:i/>
        </w:rPr>
        <w:t xml:space="preserve">Diabetes Care</w:t>
      </w:r>
      <w:r>
        <w:t xml:space="preserve"> </w:t>
      </w:r>
      <w:r>
        <w:rPr>
          <w:bCs/>
          <w:b/>
        </w:rPr>
        <w:t xml:space="preserve">40</w:t>
      </w:r>
      <w:r>
        <w:t xml:space="preserve">, 338–345 (2017).</w:t>
      </w:r>
    </w:p>
    <w:bookmarkEnd w:id="676"/>
    <w:bookmarkStart w:id="677" w:name="ref-wilson2014"/>
    <w:p>
      <w:pPr>
        <w:pStyle w:val="Bibliography"/>
      </w:pPr>
      <w:r>
        <w:t xml:space="preserve">327.</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677"/>
    <w:bookmarkStart w:id="678" w:name="ref-wilson2017"/>
    <w:p>
      <w:pPr>
        <w:pStyle w:val="Bibliography"/>
      </w:pPr>
      <w:r>
        <w:t xml:space="preserve">328.</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678"/>
    <w:bookmarkStart w:id="679" w:name="ref-simillis2020"/>
    <w:p>
      <w:pPr>
        <w:pStyle w:val="Bibliography"/>
      </w:pPr>
      <w:r>
        <w:t xml:space="preserve">329.</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679"/>
    <w:bookmarkStart w:id="680" w:name="ref-tanneru2020"/>
    <w:p>
      <w:pPr>
        <w:pStyle w:val="Bibliography"/>
      </w:pPr>
      <w:r>
        <w:t xml:space="preserve">330.</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680"/>
    <w:bookmarkEnd w:id="681"/>
    <w:bookmarkEnd w:id="682"/>
    <w:bookmarkStart w:id="683" w:name="appendix"/>
    <w:p>
      <w:pPr>
        <w:pStyle w:val="Heading1"/>
      </w:pPr>
      <w:r>
        <w:t xml:space="preserve">Appendix</w:t>
      </w:r>
    </w:p>
    <w:bookmarkEnd w:id="683"/>
    <w:bookmarkStart w:id="708" w:name="chapter-appendix-heading"/>
    <w:p>
      <w:pPr>
        <w:pStyle w:val="Heading1"/>
      </w:pPr>
      <w:r>
        <w:t xml:space="preserve">By Chapter</w:t>
      </w:r>
    </w:p>
    <w:bookmarkStart w:id="686" w:name="appendix-into"/>
    <w:p>
      <w:pPr>
        <w:pStyle w:val="Heading2"/>
      </w:pPr>
      <w:r>
        <w:t xml:space="preserve">Chapter</w:t>
      </w:r>
      <w:r>
        <w:t xml:space="preserve"> </w:t>
      </w:r>
      <w:r>
        <w:t xml:space="preserve">1</w:t>
      </w:r>
    </w:p>
    <w:bookmarkStart w:id="684" w:name="appendix-publications"/>
    <w:p>
      <w:pPr>
        <w:pStyle w:val="Heading3"/>
      </w:pPr>
      <w:r>
        <w:t xml:space="preserve">Publications beyond the scope of this thesis</w:t>
      </w:r>
    </w:p>
    <w:p>
      <w:pPr>
        <w:pStyle w:val="FirstParagraph"/>
      </w:pPr>
      <w:r>
        <w:rPr>
          <w:bCs/>
          <w:b/>
        </w:rPr>
        <w:t xml:space="preserve">Peer reviewed</w:t>
      </w:r>
    </w:p>
    <w:p>
      <w:pPr>
        <w:numPr>
          <w:ilvl w:val="0"/>
          <w:numId w:val="1014"/>
        </w:numPr>
      </w:pPr>
      <w:r>
        <w:t xml:space="preserve">PRISMA main paper</w:t>
      </w:r>
    </w:p>
    <w:p>
      <w:pPr>
        <w:numPr>
          <w:ilvl w:val="0"/>
          <w:numId w:val="1014"/>
        </w:numPr>
      </w:pPr>
      <w:r>
        <w:t xml:space="preserve">PRISMA E&amp;E</w:t>
      </w:r>
    </w:p>
    <w:p>
      <w:pPr>
        <w:numPr>
          <w:ilvl w:val="0"/>
          <w:numId w:val="1014"/>
        </w:numPr>
      </w:pPr>
      <w:r>
        <w:t xml:space="preserve">PRISMA 2020 software</w:t>
      </w:r>
    </w:p>
    <w:p>
      <w:pPr>
        <w:numPr>
          <w:ilvl w:val="0"/>
          <w:numId w:val="1014"/>
        </w:numPr>
      </w:pPr>
      <w:r>
        <w:t xml:space="preserve">COVID Suicide Living Review</w:t>
      </w:r>
    </w:p>
    <w:p>
      <w:pPr>
        <w:numPr>
          <w:ilvl w:val="0"/>
          <w:numId w:val="1014"/>
        </w:numPr>
      </w:pPr>
      <w:r>
        <w:t xml:space="preserve">Data extraction tools systematic review</w:t>
      </w:r>
    </w:p>
    <w:p>
      <w:pPr>
        <w:pStyle w:val="FirstParagraph"/>
      </w:pPr>
      <w:r>
        <w:rPr>
          <w:bCs/>
          <w:b/>
        </w:rPr>
        <w:t xml:space="preserve">Under review/Preprints</w:t>
      </w:r>
    </w:p>
    <w:p>
      <w:pPr>
        <w:numPr>
          <w:ilvl w:val="0"/>
          <w:numId w:val="1015"/>
        </w:numPr>
      </w:pPr>
      <w:r>
        <w:t xml:space="preserve">MSc Paper on systematic reviews of this thesis topic</w:t>
      </w:r>
    </w:p>
    <w:bookmarkEnd w:id="684"/>
    <w:bookmarkStart w:id="685"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685"/>
    <w:bookmarkEnd w:id="686"/>
    <w:bookmarkStart w:id="688" w:name="appendix-sys-rev-tools"/>
    <w:p>
      <w:pPr>
        <w:pStyle w:val="Heading2"/>
      </w:pPr>
      <w:r>
        <w:t xml:space="preserve">Chapter</w:t>
      </w:r>
      <w:r>
        <w:t xml:space="preserve"> </w:t>
      </w:r>
      <w:r>
        <w:t xml:space="preserve">2</w:t>
      </w:r>
    </w:p>
    <w:bookmarkStart w:id="687"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687"/>
    <w:bookmarkEnd w:id="688"/>
    <w:bookmarkStart w:id="699" w:name="appendix-sys-rev"/>
    <w:p>
      <w:pPr>
        <w:pStyle w:val="Heading2"/>
      </w:pPr>
      <w:r>
        <w:t xml:space="preserve">Chapter</w:t>
      </w:r>
      <w:r>
        <w:t xml:space="preserve"> </w:t>
      </w:r>
      <w:r>
        <w:t xml:space="preserve">??</w:t>
      </w:r>
    </w:p>
    <w:bookmarkStart w:id="689" w:name="appendix-search-strategy"/>
    <w:p>
      <w:pPr>
        <w:pStyle w:val="Heading3"/>
      </w:pPr>
      <w:r>
        <w:t xml:space="preserve">Search strategy</w:t>
      </w:r>
    </w:p>
    <w:p>
      <w:pPr>
        <w:pStyle w:val="FirstParagraph"/>
      </w:pPr>
      <w:r>
        <w:t xml:space="preserve"> </w:t>
      </w:r>
    </w:p>
    <w:p>
      <w:pPr>
        <w:pStyle w:val="TableCaption"/>
      </w:pPr>
      <w:r>
        <w:t xml:space="preserve">Table 22:</w:t>
      </w:r>
      <w:r>
        <w:t xml:space="preserve"> </w:t>
      </w:r>
      <w:bookmarkStart w:id="a3dab942-a865-4105-93be-2de59896598d" w:name="tab:searchHits-table"/>
      <w:r>
        <w:t xml:space="preserve">Overview of the full Medline search strategy.</w:t>
      </w:r>
      <w:bookmarkEnd w:id="a3dab942-a865-4105-93be-2de59896598d"/>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689"/>
    <w:bookmarkStart w:id="690" w:name="appendix-wos-databases"/>
    <w:p>
      <w:pPr>
        <w:pStyle w:val="Heading3"/>
      </w:pPr>
      <w:r>
        <w:t xml:space="preserve">Web of Science Databases Searched</w:t>
      </w:r>
    </w:p>
    <w:p>
      <w:pPr>
        <w:pStyle w:val="FirstParagraph"/>
      </w:pPr>
      <w:r>
        <w:t xml:space="preserve"> </w:t>
      </w:r>
    </w:p>
    <w:p>
      <w:pPr>
        <w:pStyle w:val="BodyText"/>
      </w:pPr>
      <w:r>
        <w:t xml:space="preserve">Table 23: Summary of Web of Science databases searched.</w:t>
      </w:r>
    </w:p>
    <w:p>
      <w:pPr>
        <w:pStyle w:val="BodyText"/>
      </w:pPr>
      <w:r>
        <w:t xml:space="preserve">Database</w:t>
      </w:r>
    </w:p>
    <w:p>
      <w:pPr>
        <w:pStyle w:val="BodyText"/>
      </w:pPr>
      <w:r>
        <w:t xml:space="preserve">Abbreviation</w:t>
      </w:r>
    </w:p>
    <w:p>
      <w:pPr>
        <w:pStyle w:val="BodyText"/>
      </w:pPr>
      <w:r>
        <w:t xml:space="preserve">Years</w:t>
      </w:r>
    </w:p>
    <w:p>
      <w:pPr>
        <w:pStyle w:val="BodyText"/>
      </w:pPr>
      <w:r>
        <w:t xml:space="preserve">Science Citation Index Expanded</w:t>
      </w:r>
    </w:p>
    <w:p>
      <w:pPr>
        <w:pStyle w:val="BodyText"/>
      </w:pPr>
      <w:r>
        <w:t xml:space="preserve">SCI-EXPANDED</w:t>
      </w:r>
    </w:p>
    <w:p>
      <w:pPr>
        <w:pStyle w:val="BodyText"/>
      </w:pPr>
      <w:r>
        <w:t xml:space="preserve">1900-present</w:t>
      </w:r>
    </w:p>
    <w:p>
      <w:pPr>
        <w:pStyle w:val="BodyText"/>
      </w:pPr>
      <w:r>
        <w:t xml:space="preserve">Social Sciences Citation Index</w:t>
      </w:r>
    </w:p>
    <w:p>
      <w:pPr>
        <w:pStyle w:val="BodyText"/>
      </w:pPr>
      <w:r>
        <w:t xml:space="preserve">SSCI</w:t>
      </w:r>
    </w:p>
    <w:p>
      <w:pPr>
        <w:pStyle w:val="BodyText"/>
      </w:pPr>
      <w:r>
        <w:t xml:space="preserve">1956-present</w:t>
      </w:r>
    </w:p>
    <w:p>
      <w:pPr>
        <w:pStyle w:val="BodyText"/>
      </w:pPr>
      <w:r>
        <w:t xml:space="preserve">Arts &amp; Humanities Citation Index</w:t>
      </w:r>
    </w:p>
    <w:p>
      <w:pPr>
        <w:pStyle w:val="BodyText"/>
      </w:pPr>
      <w:r>
        <w:t xml:space="preserve">A&amp;HCI</w:t>
      </w:r>
    </w:p>
    <w:p>
      <w:pPr>
        <w:pStyle w:val="BodyText"/>
      </w:pPr>
      <w:r>
        <w:t xml:space="preserve">1975-present</w:t>
      </w:r>
    </w:p>
    <w:p>
      <w:pPr>
        <w:pStyle w:val="BodyText"/>
      </w:pPr>
      <w:r>
        <w:t xml:space="preserve">Conference Proceedings Citation Index - Science</w:t>
      </w:r>
    </w:p>
    <w:p>
      <w:pPr>
        <w:pStyle w:val="BodyText"/>
      </w:pPr>
      <w:r>
        <w:t xml:space="preserve">CPCI-S</w:t>
      </w:r>
    </w:p>
    <w:p>
      <w:pPr>
        <w:pStyle w:val="BodyText"/>
      </w:pPr>
      <w:r>
        <w:t xml:space="preserve">1990-present</w:t>
      </w:r>
    </w:p>
    <w:p>
      <w:pPr>
        <w:pStyle w:val="BodyText"/>
      </w:pPr>
      <w:r>
        <w:t xml:space="preserve">Conference Proceedings Citation Index - Social Science &amp; Humanities</w:t>
      </w:r>
    </w:p>
    <w:p>
      <w:pPr>
        <w:pStyle w:val="BodyText"/>
      </w:pPr>
      <w:r>
        <w:t xml:space="preserve">CPCI-SSH</w:t>
      </w:r>
    </w:p>
    <w:p>
      <w:pPr>
        <w:pStyle w:val="BodyText"/>
      </w:pPr>
      <w:r>
        <w:t xml:space="preserve">1990-present</w:t>
      </w:r>
    </w:p>
    <w:p>
      <w:pPr>
        <w:pStyle w:val="BodyText"/>
      </w:pPr>
      <w:r>
        <w:t xml:space="preserve">Emerging Sources Citation Index</w:t>
      </w:r>
    </w:p>
    <w:p>
      <w:pPr>
        <w:pStyle w:val="BodyText"/>
      </w:pPr>
      <w:r>
        <w:t xml:space="preserve">ESCI</w:t>
      </w:r>
    </w:p>
    <w:p>
      <w:pPr>
        <w:pStyle w:val="BodyText"/>
      </w:pPr>
      <w:r>
        <w:t xml:space="preserve">2015-present</w:t>
      </w:r>
    </w:p>
    <w:p>
      <w:pPr>
        <w:pStyle w:val="BodyText"/>
      </w:pPr>
      <w:r>
        <w:t xml:space="preserve"> </w:t>
      </w:r>
    </w:p>
    <w:bookmarkEnd w:id="690"/>
    <w:bookmarkStart w:id="691"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691"/>
    <w:bookmarkStart w:id="692" w:name="calculating-gwets-ac1"/>
    <w:p>
      <w:pPr>
        <w:pStyle w:val="Heading3"/>
      </w:pPr>
      <w:r>
        <w:t xml:space="preserve">Calculating Gwet’s AC1</w:t>
      </w:r>
    </w:p>
    <w:p>
      <w:pPr>
        <w:pStyle w:val="FirstParagraph"/>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12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13</m:t>
          </m:r>
          <m:r>
            <m:rPr>
              <m:sty m:val="p"/>
            </m:rPr>
            <m:t>)</m:t>
          </m:r>
        </m:oMath>
      </m:oMathPara>
    </w:p>
    <w:bookmarkEnd w:id="692"/>
    <w:bookmarkStart w:id="693" w:name="appendix-mr-rob"/>
    <w:p>
      <w:pPr>
        <w:pStyle w:val="Heading3"/>
      </w:pPr>
      <w:r>
        <w:t xml:space="preserve">MR risk of bias tool</w:t>
      </w:r>
    </w:p>
    <w:bookmarkEnd w:id="693"/>
    <w:bookmarkStart w:id="698" w:name="lipid-fraction-forest-plots"/>
    <w:p>
      <w:pPr>
        <w:pStyle w:val="Heading3"/>
      </w:pPr>
      <w:r>
        <w:t xml:space="preserve">Forest plots for lipid fractions</w:t>
      </w:r>
    </w:p>
    <w:p>
      <w:pPr>
        <w:pStyle w:val="FirstParagraph"/>
      </w:pPr>
      <w:r>
        <w:drawing>
          <wp:inline>
            <wp:extent cx="5943600" cy="2717074"/>
            <wp:effectExtent b="0" l="0" r="0" t="0"/>
            <wp:docPr descr="" title="" id="1" name="Picture"/>
            <a:graphic>
              <a:graphicData uri="http://schemas.openxmlformats.org/drawingml/2006/picture">
                <pic:pic>
                  <pic:nvPicPr>
                    <pic:cNvPr descr="figures/sys-rev/fp_obs_Dementia_TC_.png" id="0" name="Picture"/>
                    <pic:cNvPicPr>
                      <a:picLocks noChangeArrowheads="1" noChangeAspect="1"/>
                    </pic:cNvPicPr>
                  </pic:nvPicPr>
                  <pic:blipFill>
                    <a:blip r:embed="rId694"/>
                    <a:stretch>
                      <a:fillRect/>
                    </a:stretch>
                  </pic:blipFill>
                  <pic:spPr bwMode="auto">
                    <a:xfrm>
                      <a:off x="0" y="0"/>
                      <a:ext cx="5943600" cy="2717074"/>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LDL_.png" id="0" name="Picture"/>
                    <pic:cNvPicPr>
                      <a:picLocks noChangeArrowheads="1" noChangeAspect="1"/>
                    </pic:cNvPicPr>
                  </pic:nvPicPr>
                  <pic:blipFill>
                    <a:blip r:embed="rId695"/>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HDL_.png" id="0" name="Picture"/>
                    <pic:cNvPicPr>
                      <a:picLocks noChangeArrowheads="1" noChangeAspect="1"/>
                    </pic:cNvPicPr>
                  </pic:nvPicPr>
                  <pic:blipFill>
                    <a:blip r:embed="rId696"/>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drawing>
          <wp:inline>
            <wp:extent cx="5943600" cy="2377440"/>
            <wp:effectExtent b="0" l="0" r="0" t="0"/>
            <wp:docPr descr="" title="" id="1" name="Picture"/>
            <a:graphic>
              <a:graphicData uri="http://schemas.openxmlformats.org/drawingml/2006/picture">
                <pic:pic>
                  <pic:nvPicPr>
                    <pic:cNvPr descr="figures/sys-rev/fp_obs_Dementia_TG_.png" id="0" name="Picture"/>
                    <pic:cNvPicPr>
                      <a:picLocks noChangeArrowheads="1" noChangeAspect="1"/>
                    </pic:cNvPicPr>
                  </pic:nvPicPr>
                  <pic:blipFill>
                    <a:blip r:embed="rId697"/>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p>
    <w:p>
      <w:pPr>
        <w:pStyle w:val="BodyText"/>
      </w:pPr>
      <w:r>
        <w:t xml:space="preserve">Table 24: Tool used to assess risk of bias in Mendelian randomisation studies, adapted from that developed by Mamluk et al.</w:t>
      </w:r>
      <w:hyperlink w:anchor="ref-mamluk2020">
        <w:r>
          <w:rPr>
            <w:rStyle w:val="Hyperlink"/>
            <w:vertAlign w:val="superscript"/>
          </w:rPr>
          <w:t xml:space="preserve">147</w:t>
        </w:r>
      </w:hyperlink>
    </w:p>
    <w:p>
      <w:pPr>
        <w:pStyle w:val="BodyText"/>
      </w:pPr>
      <w:r>
        <w:t xml:space="preserve">Bias domain</w:t>
      </w:r>
    </w:p>
    <w:p>
      <w:pPr>
        <w:pStyle w:val="BodyText"/>
      </w:pPr>
      <w:r>
        <w:t xml:space="preserve">Question</w:t>
      </w:r>
    </w:p>
    <w:p>
      <w:pPr>
        <w:pStyle w:val="BodyText"/>
      </w:pPr>
      <w:r>
        <w:t xml:space="preserve">High</w:t>
      </w:r>
    </w:p>
    <w:p>
      <w:pPr>
        <w:pStyle w:val="BodyText"/>
      </w:pPr>
      <w:r>
        <w:t xml:space="preserve">Moderate</w:t>
      </w:r>
    </w:p>
    <w:p>
      <w:pPr>
        <w:pStyle w:val="BodyText"/>
      </w:pPr>
      <w:r>
        <w:t xml:space="preserve">Low</w:t>
      </w:r>
    </w:p>
    <w:p>
      <w:pPr>
        <w:pStyle w:val="BodyText"/>
      </w:pPr>
      <w:r>
        <w:t xml:space="preserve">Weak instrument bias</w:t>
      </w:r>
    </w:p>
    <w:p>
      <w:pPr>
        <w:pStyle w:val="BodyText"/>
      </w:pPr>
      <w:r>
        <w:t xml:space="preserve">Strength of association between instrument and exposure F statistic &lt; 10 in the same sample (&lt; 10 indicating a weak instrument)</w:t>
      </w:r>
    </w:p>
    <w:p>
      <w:pPr>
        <w:pStyle w:val="BodyText"/>
      </w:pPr>
      <w:r>
        <w:t xml:space="preserve">F&lt;10</w:t>
      </w:r>
    </w:p>
    <w:p>
      <w:pPr>
        <w:pStyle w:val="BodyText"/>
      </w:pPr>
      <w:r>
        <w:t xml:space="preserve">F= missing or F~10</w:t>
      </w:r>
    </w:p>
    <w:p>
      <w:pPr>
        <w:pStyle w:val="BodyText"/>
      </w:pPr>
      <w:r>
        <w:t xml:space="preserve">F&gt;&gt;10</w:t>
      </w:r>
    </w:p>
    <w:p>
      <w:pPr>
        <w:pStyle w:val="BodyText"/>
      </w:pPr>
      <w:r>
        <w:t xml:space="preserve">Genetic confounding bias</w:t>
      </w:r>
    </w:p>
    <w:p>
      <w:pPr>
        <w:pStyle w:val="BodyText"/>
      </w:pPr>
      <w:r>
        <w:t xml:space="preserve">Reported test on association between confounders and IV (testing the assumption that the instrument is associated with your outcome only via your exposure)</w:t>
      </w:r>
    </w:p>
    <w:p>
      <w:pPr>
        <w:pStyle w:val="BodyText"/>
      </w:pPr>
      <w:r>
        <w:t xml:space="preserve">Yes AND there is an obvious association</w:t>
      </w:r>
    </w:p>
    <w:p>
      <w:pPr>
        <w:pStyle w:val="BodyText"/>
      </w:pPr>
      <w:r>
        <w:t xml:space="preserve">Not presented or</w:t>
      </w:r>
      <w:r>
        <w:t xml:space="preserve"> </w:t>
      </w:r>
      <w:r>
        <w:t xml:space="preserve">Yes presented AND there is some degree of association</w:t>
      </w:r>
    </w:p>
    <w:p>
      <w:pPr>
        <w:pStyle w:val="BodyText"/>
      </w:pPr>
      <w:r>
        <w:t xml:space="preserve">Presented and no obvious association</w:t>
      </w:r>
    </w:p>
    <w:p>
      <w:pPr>
        <w:pStyle w:val="BodyText"/>
      </w:pPr>
      <w:r>
        <w:t xml:space="preserve">‘</w:t>
      </w:r>
      <w:r>
        <w:t xml:space="preserve">Other</w:t>
      </w:r>
      <w:r>
        <w:t xml:space="preserve">’</w:t>
      </w:r>
      <w:r>
        <w:t xml:space="preserve"> </w:t>
      </w:r>
      <w:r>
        <w:t xml:space="preserve">Confounding bias</w:t>
      </w:r>
    </w:p>
    <w:p>
      <w:pPr>
        <w:pStyle w:val="BodyText"/>
      </w:pPr>
      <w:r>
        <w:t xml:space="preserve">Included confounders in the IV analysis</w:t>
      </w:r>
    </w:p>
    <w:p>
      <w:pPr>
        <w:pStyle w:val="BodyText"/>
      </w:pPr>
      <w:r>
        <w:t xml:space="preserve">Yes</w:t>
      </w:r>
    </w:p>
    <w:p>
      <w:pPr>
        <w:pStyle w:val="BodyText"/>
      </w:pPr>
      <w:r>
        <w:t xml:space="preserve">No</w:t>
      </w:r>
    </w:p>
    <w:p>
      <w:pPr>
        <w:pStyle w:val="BodyText"/>
      </w:pPr>
      <w:r>
        <w:t xml:space="preserve">Additional direct effects between IV and outcome (exclusion restriction assumption)</w:t>
      </w:r>
    </w:p>
    <w:p>
      <w:pPr>
        <w:pStyle w:val="BodyText"/>
      </w:pPr>
      <w:r>
        <w:t xml:space="preserve">Presence of pleiotropy for genetic IVs</w:t>
      </w:r>
    </w:p>
    <w:p>
      <w:pPr>
        <w:pStyle w:val="BodyText"/>
      </w:pPr>
      <w:r>
        <w:t xml:space="preserve">Genetic IVs with no knowledge of mechanism for G-lipid association (e.g. GWAS hit, could be acting through any pathway…)</w:t>
      </w:r>
    </w:p>
    <w:p>
      <w:pPr>
        <w:pStyle w:val="BodyText"/>
      </w:pPr>
      <w:r>
        <w:t xml:space="preserve">Biologically plausible lipid-specific mechanism of association for G-lipid (e.g. lipid metabolising genetic variants)</w:t>
      </w:r>
    </w:p>
    <w:p>
      <w:pPr>
        <w:pStyle w:val="BodyText"/>
      </w:pPr>
      <w:r>
        <w:t xml:space="preserve">Same as moderate AND checks that there is no other known effect of genetic variants on outcome or its risk-factors</w:t>
      </w:r>
    </w:p>
    <w:p>
      <w:pPr>
        <w:pStyle w:val="BodyText"/>
      </w:pPr>
      <w:r>
        <w:t xml:space="preserve">Bias due to selection of participants</w:t>
      </w:r>
    </w:p>
    <w:p>
      <w:pPr>
        <w:pStyle w:val="BodyText"/>
      </w:pPr>
      <w:r>
        <w:t xml:space="preserve">Homogenous population or similar ancestry</w:t>
      </w:r>
      <w:r>
        <w:t xml:space="preserve"> </w:t>
      </w:r>
      <w:r>
        <w:t xml:space="preserve">If no: Stratified by ethnicity or adjusted for population stratification (yes/no)</w:t>
      </w:r>
    </w:p>
    <w:p>
      <w:pPr>
        <w:pStyle w:val="BodyText"/>
      </w:pPr>
      <w:r>
        <w:t xml:space="preserve">Non-homogenous population (e.g. black and white together, etc.)</w:t>
      </w:r>
    </w:p>
    <w:p>
      <w:pPr>
        <w:pStyle w:val="BodyText"/>
      </w:pPr>
      <w:r>
        <w:t xml:space="preserve">Population described as homogenous (e.g. whites only) BUT not corrected for ancestry informative markers like principal components derived from GWAS</w:t>
      </w:r>
    </w:p>
    <w:p>
      <w:pPr>
        <w:pStyle w:val="BodyText"/>
      </w:pPr>
      <w:r>
        <w:t xml:space="preserve"> Population described as homogenous (e.g. whites only) AND corrected for ancestry informative markers like principal components derived from GWAS</w:t>
      </w:r>
    </w:p>
    <w:bookmarkEnd w:id="698"/>
    <w:bookmarkEnd w:id="699"/>
    <w:bookmarkStart w:id="702" w:name="appendix-cprd-analysis"/>
    <w:p>
      <w:pPr>
        <w:pStyle w:val="Heading2"/>
      </w:pPr>
      <w:r>
        <w:t xml:space="preserve">Chapter</w:t>
      </w:r>
      <w:r>
        <w:t xml:space="preserve"> </w:t>
      </w:r>
      <w:r>
        <w:t xml:space="preserve">5</w:t>
      </w:r>
    </w:p>
    <w:bookmarkStart w:id="700" w:name="appendix-cprd-amendments"/>
    <w:p>
      <w:pPr>
        <w:pStyle w:val="Heading3"/>
      </w:pPr>
      <w:r>
        <w:t xml:space="preserve">Amendments to protocol</w:t>
      </w:r>
    </w:p>
    <w:bookmarkEnd w:id="700"/>
    <w:bookmarkStart w:id="701" w:name="code-lists"/>
    <w:p>
      <w:pPr>
        <w:pStyle w:val="Heading3"/>
      </w:pPr>
      <w:r>
        <w:t xml:space="preserve">Code lists</w:t>
      </w:r>
    </w:p>
    <w:bookmarkEnd w:id="701"/>
    <w:bookmarkEnd w:id="702"/>
    <w:bookmarkStart w:id="705" w:name="appendix-ipd-analysis"/>
    <w:p>
      <w:pPr>
        <w:pStyle w:val="Heading2"/>
      </w:pPr>
      <w:r>
        <w:t xml:space="preserve">Chapter</w:t>
      </w:r>
      <w:r>
        <w:t xml:space="preserve"> </w:t>
      </w:r>
      <w:r>
        <w:t xml:space="preserve">6</w:t>
      </w:r>
    </w:p>
    <w:bookmarkStart w:id="703" w:name="ipd-email-collab"/>
    <w:p>
      <w:pPr>
        <w:pStyle w:val="Heading3"/>
      </w:pPr>
      <w:r>
        <w:t xml:space="preserve">Email and documents sent to potental collaborators</w:t>
      </w:r>
    </w:p>
    <w:bookmarkEnd w:id="703"/>
    <w:bookmarkStart w:id="704" w:name="section-2"/>
    <w:p>
      <w:pPr>
        <w:pStyle w:val="Heading3"/>
      </w:pPr>
      <w:r>
        <w:t xml:space="preserve">Section 2</w:t>
      </w:r>
    </w:p>
    <w:bookmarkEnd w:id="704"/>
    <w:bookmarkEnd w:id="705"/>
    <w:bookmarkStart w:id="707" w:name="chapter-8"/>
    <w:p>
      <w:pPr>
        <w:pStyle w:val="Heading2"/>
      </w:pPr>
      <w:r>
        <w:t xml:space="preserve">Chapter</w:t>
      </w:r>
      <w:r>
        <w:t xml:space="preserve"> </w:t>
      </w:r>
      <w:r>
        <w:t xml:space="preserve">8</w:t>
      </w:r>
    </w:p>
    <w:bookmarkStart w:id="706" w:name="catalogue-of-failures"/>
    <w:p>
      <w:pPr>
        <w:pStyle w:val="Heading3"/>
      </w:pPr>
      <w:r>
        <w:t xml:space="preserve">Catalogue of failures</w:t>
      </w:r>
    </w:p>
    <w:p>
      <w:pPr>
        <w:pStyle w:val="FirstParagraph"/>
      </w:pPr>
      <w:r>
        <w:t xml:space="preserve">Short section detailing the things I tried to do but which did not work.</w:t>
      </w:r>
    </w:p>
    <w:bookmarkEnd w:id="706"/>
    <w:bookmarkEnd w:id="707"/>
    <w:bookmarkEnd w:id="708"/>
    <w:bookmarkStart w:id="722" w:name="other-appendix-heading"/>
    <w:p>
      <w:pPr>
        <w:pStyle w:val="Heading1"/>
      </w:pPr>
      <w:r>
        <w:t xml:space="preserve">Other Appendix</w:t>
      </w:r>
    </w:p>
    <w:bookmarkStart w:id="709"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iagrammeR">
        <w:r>
          <w:rPr>
            <w:rStyle w:val="Hyperlink"/>
            <w:bCs/>
            <w:b/>
            <w:vertAlign w:val="superscript"/>
          </w:rPr>
          <w:t xml:space="preserve">R-DiagrammeR?</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png">
        <w:r>
          <w:rPr>
            <w:rStyle w:val="Hyperlink"/>
            <w:bCs/>
            <w:b/>
            <w:vertAlign w:val="superscript"/>
          </w:rPr>
          <w:t xml:space="preserve">R-png?</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327</w:t>
        </w:r>
      </w:hyperlink>
      <w:r>
        <w:rPr>
          <w:vertAlign w:val="superscript"/>
        </w:rPr>
        <w:t xml:space="preserve">,</w:t>
      </w:r>
      <w:hyperlink w:anchor="ref-wilson2017">
        <w:r>
          <w:rPr>
            <w:rStyle w:val="Hyperlink"/>
            <w:vertAlign w:val="superscript"/>
          </w:rPr>
          <w:t xml:space="preserve">328</w:t>
        </w:r>
      </w:hyperlink>
    </w:p>
    <w:bookmarkEnd w:id="709"/>
    <w:bookmarkStart w:id="719" w:name="appendix-robvis"/>
    <w:p>
      <w:pPr>
        <w:pStyle w:val="Heading2"/>
      </w:pPr>
      <w:r>
        <w:t xml:space="preserve">Producing risk-of-bias visualisations with</w:t>
      </w:r>
      <w:r>
        <w:t xml:space="preserve"> </w:t>
      </w:r>
      <w:r>
        <w:rPr>
          <w:rStyle w:val="VerbatimChar"/>
        </w:rPr>
        <w:t xml:space="preserve">robvis</w:t>
      </w:r>
    </w:p>
    <w:bookmarkStart w:id="712"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140</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710">
        <w:r>
          <w:rPr>
            <w:rStyle w:val="Hyperlink"/>
          </w:rPr>
          <w:t xml:space="preserve">https://cran.r-project.org/package=robvis</w:t>
        </w:r>
      </w:hyperlink>
      <w:r>
        <w:t xml:space="preserve">); or access and contribute to the development version via GitHub (</w:t>
      </w:r>
      <w:hyperlink r:id="rId711">
        <w:r>
          <w:rPr>
            <w:rStyle w:val="Hyperlink"/>
          </w:rPr>
          <w:t xml:space="preserve">https://github.com/mcguinlu/robvis</w:t>
        </w:r>
      </w:hyperlink>
      <w:r>
        <w:t xml:space="preserve">).</w:t>
      </w:r>
    </w:p>
    <w:bookmarkEnd w:id="712"/>
    <w:bookmarkStart w:id="713"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329</w:t>
        </w:r>
      </w:hyperlink>
      <w:r>
        <w:rPr>
          <w:vertAlign w:val="superscript"/>
        </w:rPr>
        <w:t xml:space="preserve">,</w:t>
      </w:r>
      <w:hyperlink w:anchor="ref-tanneru2020">
        <w:r>
          <w:rPr>
            <w:rStyle w:val="Hyperlink"/>
            <w:vertAlign w:val="superscript"/>
          </w:rPr>
          <w:t xml:space="preserve">330</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713"/>
    <w:bookmarkStart w:id="714"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714"/>
    <w:bookmarkStart w:id="717"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25</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37</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37: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715"/>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37: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38</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38: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716"/>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38: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25</w:t>
      </w:r>
    </w:p>
    <w:p>
      <w:pPr>
        <w:pStyle w:val="BodyText"/>
      </w:pPr>
      <w:r>
        <w:t xml:space="preserve"> </w:t>
      </w:r>
    </w:p>
    <w:p>
      <w:pPr>
        <w:pStyle w:val="BodyText"/>
      </w:pPr>
      <w:r>
        <w:t xml:space="preserve">Table 25: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p>
      <w:pPr>
        <w:pStyle w:val="BodyText"/>
      </w:pPr>
      <w:r>
        <w:t xml:space="preserve">Argument</w:t>
      </w:r>
    </w:p>
    <w:p>
      <w:pPr>
        <w:pStyle w:val="BodyText"/>
      </w:pPr>
      <w:r>
        <w:t xml:space="preserve">rob_traffic_light()</w:t>
      </w:r>
    </w:p>
    <w:p>
      <w:pPr>
        <w:pStyle w:val="BodyText"/>
      </w:pPr>
      <w:r>
        <w:t xml:space="preserve">rob_summary()</w:t>
      </w:r>
    </w:p>
    <w:p>
      <w:pPr>
        <w:pStyle w:val="BodyText"/>
      </w:pPr>
      <w:r>
        <w:t xml:space="preserve">Description</w:t>
      </w:r>
    </w:p>
    <w:p>
      <w:pPr>
        <w:pStyle w:val="BodyText"/>
      </w:pPr>
      <w:r>
        <w:t xml:space="preserve">data</w:t>
      </w:r>
    </w:p>
    <w:p>
      <w:pPr>
        <w:pStyle w:val="BodyText"/>
      </w:pPr>
      <w:r>
        <w:t xml:space="preserve">X</w:t>
      </w:r>
    </w:p>
    <w:p>
      <w:pPr>
        <w:pStyle w:val="BodyText"/>
      </w:pPr>
      <w:r>
        <w:t xml:space="preserve">X</w:t>
      </w:r>
    </w:p>
    <w:p>
      <w:pPr>
        <w:pStyle w:val="BodyText"/>
      </w:pPr>
      <w:r>
        <w:t xml:space="preserve">Defines the dataframe containing the summary (domain) level risk-of-bias assessments. See the text and Table 1 for the format expected by</w:t>
      </w:r>
      <w:r>
        <w:t xml:space="preserve"> </w:t>
      </w:r>
      <w:r>
        <w:rPr>
          <w:rStyle w:val="VerbatimChar"/>
        </w:rPr>
        <w:t xml:space="preserve">robvis</w:t>
      </w:r>
    </w:p>
    <w:p>
      <w:pPr>
        <w:pStyle w:val="BodyText"/>
      </w:pPr>
      <w:r>
        <w:t xml:space="preserve">tool</w:t>
      </w:r>
    </w:p>
    <w:p>
      <w:pPr>
        <w:pStyle w:val="BodyText"/>
      </w:pPr>
      <w:r>
        <w:t xml:space="preserve">X</w:t>
      </w:r>
    </w:p>
    <w:p>
      <w:pPr>
        <w:pStyle w:val="BodyText"/>
      </w:pPr>
      <w:r>
        <w:t xml:space="preserve">X</w:t>
      </w:r>
    </w:p>
    <w:p>
      <w:pPr>
        <w:pStyle w:val="BodyText"/>
      </w:pPr>
      <w:r>
        <w:t xml:space="preserve">Defines the risk of bias assessment tool used. The RoB2 (</w:t>
      </w:r>
      <w:r>
        <w:rPr>
          <w:rStyle w:val="VerbatimChar"/>
        </w:rPr>
        <w:t xml:space="preserve">tool=&amp;quot;ROB2&amp;quot;</w:t>
      </w:r>
      <w:r>
        <w:t xml:space="preserve">), ROBINS-I (</w:t>
      </w:r>
      <w:r>
        <w:rPr>
          <w:rStyle w:val="VerbatimChar"/>
        </w:rPr>
        <w:t xml:space="preserve">tool=&amp;quot;ROBINS-I&amp;quot;</w:t>
      </w:r>
      <w:r>
        <w:t xml:space="preserve">), and QUADAS-2 (</w:t>
      </w:r>
      <w:r>
        <w:rPr>
          <w:rStyle w:val="VerbatimChar"/>
        </w:rPr>
        <w:t xml:space="preserve">tool=&amp;quot;QUADAS-2&amp;quot;</w:t>
      </w:r>
      <w:r>
        <w:t xml:space="preserve">) assessments tools are currently supported. Other tools can be visualised using the generic template (</w:t>
      </w:r>
      <w:r>
        <w:rPr>
          <w:rStyle w:val="VerbatimChar"/>
        </w:rPr>
        <w:t xml:space="preserve">tool = &amp;quot;Generic&amp;quot;</w:t>
      </w:r>
      <w:r>
        <w:t xml:space="preserve">)</w:t>
      </w:r>
    </w:p>
    <w:p>
      <w:pPr>
        <w:pStyle w:val="BodyText"/>
      </w:pPr>
      <w:r>
        <w:t xml:space="preserve">colour</w:t>
      </w:r>
    </w:p>
    <w:p>
      <w:pPr>
        <w:pStyle w:val="BodyText"/>
      </w:pPr>
      <w:r>
        <w:t xml:space="preserve">X</w:t>
      </w:r>
    </w:p>
    <w:p>
      <w:pPr>
        <w:pStyle w:val="BodyText"/>
      </w:pPr>
      <w:r>
        <w:t xml:space="preserve">X</w:t>
      </w:r>
    </w:p>
    <w:p>
      <w:pPr>
        <w:pStyle w:val="BodyText"/>
      </w:pPr>
      <w:r>
        <w:t xml:space="preserve">Defines the colour scheme for the plot. The default is</w:t>
      </w:r>
      <w:r>
        <w:t xml:space="preserve"> </w:t>
      </w:r>
      <w:r>
        <w:rPr>
          <w:rStyle w:val="VerbatimChar"/>
        </w:rPr>
        <w:t xml:space="preserve">colour = &amp;quot;cochrane&amp;quot;</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&amp;quot;colourblind&amp;quot;</w:t>
      </w:r>
      <w:r>
        <w:t xml:space="preserve">). Alternatively, users can specify their own colour scheme e.g. </w:t>
      </w:r>
      <w:r>
        <w:rPr>
          <w:rStyle w:val="VerbatimChar"/>
        </w:rPr>
        <w:t xml:space="preserve">colour = c(&amp;quot;#f442c8&amp;quot;, &amp;quot;#bef441&amp;quot;, &amp;quot;#000000&amp;quot;)</w:t>
      </w:r>
    </w:p>
    <w:p>
      <w:pPr>
        <w:pStyle w:val="BodyText"/>
      </w:pPr>
      <w:r>
        <w:t xml:space="preserve">overall</w:t>
      </w:r>
    </w:p>
    <w:p>
      <w:pPr>
        <w:pStyle w:val="BodyText"/>
      </w:pPr>
      <w:r>
        <w:t xml:space="preserve">X</w:t>
      </w:r>
    </w:p>
    <w:p>
      <w:pPr>
        <w:pStyle w:val="BodyTex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p>
      <w:pPr>
        <w:pStyle w:val="BodyText"/>
      </w:pPr>
      <w:r>
        <w:t xml:space="preserve">weighted</w:t>
      </w:r>
    </w:p>
    <w:p>
      <w:pPr>
        <w:pStyle w:val="BodyText"/>
      </w:pPr>
      <w:r>
        <w:t xml:space="preserve">X</w:t>
      </w:r>
    </w:p>
    <w:p>
      <w:pPr>
        <w:pStyle w:val="BodyTex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p>
      <w:pPr>
        <w:pStyle w:val="BodyText"/>
      </w:pPr>
      <w:r>
        <w:t xml:space="preserve">psize</w:t>
      </w:r>
    </w:p>
    <w:p>
      <w:pPr>
        <w:pStyle w:val="BodyText"/>
      </w:pPr>
      <w:r>
        <w:t xml:space="preserve">X</w:t>
      </w:r>
    </w:p>
    <w:p>
      <w:pPr>
        <w:pStyle w:val="BodyText"/>
      </w:pPr>
      <w:r>
        <w:t xml:space="preserve">Defines the size of the points in the traffic light plot. Default is</w:t>
      </w:r>
      <w:r>
        <w:t xml:space="preserve"> </w:t>
      </w:r>
      <w:r>
        <w:rPr>
          <w:rStyle w:val="VerbatimChar"/>
        </w:rPr>
        <w:t xml:space="preserve">psize = 20</w:t>
      </w:r>
      <w:r>
        <w:t xml:space="preserve">.</w:t>
      </w:r>
    </w:p>
    <w:p>
      <w:pPr>
        <w:pStyle w:val="BodyText"/>
      </w:pPr>
      <w:r>
        <w:t xml:space="preserve"> </w:t>
      </w:r>
    </w:p>
    <w:bookmarkEnd w:id="717"/>
    <w:bookmarkStart w:id="718"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15800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718"/>
    <w:bookmarkEnd w:id="719"/>
    <w:bookmarkStart w:id="720" w:name="creating"/>
    <w:p>
      <w:pPr>
        <w:pStyle w:val="Heading2"/>
      </w:pPr>
      <w:r>
        <w:t xml:space="preserve">Creating</w:t>
      </w:r>
    </w:p>
    <w:p>
      <w:r>
        <w:br w:type="page"/>
      </w:r>
    </w:p>
    <w:bookmarkEnd w:id="720"/>
    <w:bookmarkStart w:id="721" w:name="published-papers"/>
    <w:p>
      <w:pPr>
        <w:pStyle w:val="Heading2"/>
      </w:pPr>
      <w:r>
        <w:t xml:space="preserve">Copies of papers arising from this thesis</w:t>
      </w:r>
    </w:p>
    <w:p>
      <w:pPr>
        <w:pStyle w:val="FirstParagraph"/>
      </w:pPr>
      <w:r>
        <w:t xml:space="preserve">The following pages contain copies of papers arising from work performed as part of this thesis.</w:t>
      </w:r>
    </w:p>
    <w:bookmarkEnd w:id="721"/>
    <w:bookmarkEnd w:id="722"/>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186" Target="media/rId186.png" /><Relationship Type="http://schemas.openxmlformats.org/officeDocument/2006/relationships/image" Id="rId169" Target="media/rId169.png" /><Relationship Type="http://schemas.openxmlformats.org/officeDocument/2006/relationships/image" Id="rId197" Target="media/rId197.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89" Target="media/rId189.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195" Target="media/rId195.png" /><Relationship Type="http://schemas.openxmlformats.org/officeDocument/2006/relationships/image" Id="rId174" Target="media/rId174.png" /><Relationship Type="http://schemas.openxmlformats.org/officeDocument/2006/relationships/image" Id="rId207" Target="media/rId207.png" /><Relationship Type="http://schemas.openxmlformats.org/officeDocument/2006/relationships/image" Id="rId178" Target="media/rId178.png" /><Relationship Type="http://schemas.openxmlformats.org/officeDocument/2006/relationships/image" Id="rId210" Target="media/rId210.png" /><Relationship Type="http://schemas.openxmlformats.org/officeDocument/2006/relationships/image" Id="rId255" Target="media/rId255.png" /><Relationship Type="http://schemas.openxmlformats.org/officeDocument/2006/relationships/image" Id="rId242" Target="media/rId242.png" /><Relationship Type="http://schemas.openxmlformats.org/officeDocument/2006/relationships/image" Id="rId291" Target="media/rId291.pdf" /><Relationship Type="http://schemas.openxmlformats.org/officeDocument/2006/relationships/image" Id="rId69" Target="media/rId69.png" /><Relationship Type="http://schemas.openxmlformats.org/officeDocument/2006/relationships/image" Id="rId716" Target="media/rId716.png" /><Relationship Type="http://schemas.openxmlformats.org/officeDocument/2006/relationships/image" Id="rId715" Target="media/rId715.png" /><Relationship Type="http://schemas.openxmlformats.org/officeDocument/2006/relationships/image" Id="rId61" Target="media/rId61.png" /><Relationship Type="http://schemas.openxmlformats.org/officeDocument/2006/relationships/image" Id="rId115" Target="media/rId115.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31" Target="media/rId131.pdf" /><Relationship Type="http://schemas.openxmlformats.org/officeDocument/2006/relationships/image" Id="rId124" Target="media/rId124.pdf" /><Relationship Type="http://schemas.openxmlformats.org/officeDocument/2006/relationships/image" Id="rId696" Target="media/rId696.png" /><Relationship Type="http://schemas.openxmlformats.org/officeDocument/2006/relationships/image" Id="rId695" Target="media/rId695.png" /><Relationship Type="http://schemas.openxmlformats.org/officeDocument/2006/relationships/image" Id="rId694" Target="media/rId694.png" /><Relationship Type="http://schemas.openxmlformats.org/officeDocument/2006/relationships/image" Id="rId697" Target="media/rId697.png" /><Relationship Type="http://schemas.openxmlformats.org/officeDocument/2006/relationships/image" Id="rId121" Target="media/rId121.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30" Target="media/rId130.png" /><Relationship Type="http://schemas.openxmlformats.org/officeDocument/2006/relationships/image" Id="rId123" Target="media/rId123.png" /><Relationship Type="http://schemas.openxmlformats.org/officeDocument/2006/relationships/image" Id="rId137" Target="media/rId137.png" /><Relationship Type="http://schemas.openxmlformats.org/officeDocument/2006/relationships/image" Id="rId118" Target="media/rId118.png" /><Relationship Type="http://schemas.openxmlformats.org/officeDocument/2006/relationships/image" Id="rId150" Target="media/rId150.png" /><Relationship Type="http://schemas.openxmlformats.org/officeDocument/2006/relationships/image" Id="rId132" Target="media/rId132.png" /><Relationship Type="http://schemas.openxmlformats.org/officeDocument/2006/relationships/image" Id="rId152" Target="media/rId152.png" /><Relationship Type="http://schemas.openxmlformats.org/officeDocument/2006/relationships/image" Id="rId112" Target="media/rId112.png" /><Relationship Type="http://schemas.openxmlformats.org/officeDocument/2006/relationships/image" Id="rId147" Target="media/rId147.png" /><Relationship Type="http://schemas.openxmlformats.org/officeDocument/2006/relationships/image" Id="rId289" Target="media/rId289.png" /><Relationship Type="http://schemas.openxmlformats.org/officeDocument/2006/relationships/hyperlink" Id="rId710"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82" Target="https://doi.org/10.1002/14651858.CD003160.pub3" TargetMode="External" /><Relationship Type="http://schemas.openxmlformats.org/officeDocument/2006/relationships/hyperlink" Id="rId404"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49" Target="https://doi.org/10.1016/j.neuropharm.2020.108352" TargetMode="External" /><Relationship Type="http://schemas.openxmlformats.org/officeDocument/2006/relationships/hyperlink" Id="rId576" Target="https://doi.org/10.1101/168674" TargetMode="External" /><Relationship Type="http://schemas.openxmlformats.org/officeDocument/2006/relationships/hyperlink" Id="rId573" Target="https://doi.org/10.1101/170241" TargetMode="External" /><Relationship Type="http://schemas.openxmlformats.org/officeDocument/2006/relationships/hyperlink" Id="rId460" Target="https://doi.org/10.1101/19000265" TargetMode="External" /><Relationship Type="http://schemas.openxmlformats.org/officeDocument/2006/relationships/hyperlink" Id="rId409" Target="https://doi.org/10.1101/2020.05.22.111294" TargetMode="External" /><Relationship Type="http://schemas.openxmlformats.org/officeDocument/2006/relationships/hyperlink" Id="rId453" Target="https://doi.org/10.1101/2020.11.23.394577" TargetMode="External" /><Relationship Type="http://schemas.openxmlformats.org/officeDocument/2006/relationships/hyperlink" Id="rId416" Target="https://doi.org/10.1101/2021.03.04.433874" TargetMode="External" /><Relationship Type="http://schemas.openxmlformats.org/officeDocument/2006/relationships/hyperlink" Id="rId490" Target="https://doi.org/10.1101/2021.10.21.21265126" TargetMode="External" /><Relationship Type="http://schemas.openxmlformats.org/officeDocument/2006/relationships/hyperlink" Id="rId578" Target="https://doi.org/10.1101/689752" TargetMode="External" /><Relationship Type="http://schemas.openxmlformats.org/officeDocument/2006/relationships/hyperlink" Id="rId437" Target="https://doi.org/10.1101/833400" TargetMode="External" /><Relationship Type="http://schemas.openxmlformats.org/officeDocument/2006/relationships/hyperlink" Id="rId587" Target="https://doi.org/10.1111/j.1447-0594.2009.00579.x" TargetMode="External" /><Relationship Type="http://schemas.openxmlformats.org/officeDocument/2006/relationships/hyperlink" Id="rId655" Target="https://doi.org/10.1136/bmj.k400" TargetMode="External" /><Relationship Type="http://schemas.openxmlformats.org/officeDocument/2006/relationships/hyperlink" Id="rId446"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65"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48" Target="https://doi.org/10.31222/osf.io/p75xe" TargetMode="External" /><Relationship Type="http://schemas.openxmlformats.org/officeDocument/2006/relationships/hyperlink" Id="rId463" Target="https://doi.org/10.3758/s13428-020-01436-x" TargetMode="External" /><Relationship Type="http://schemas.openxmlformats.org/officeDocument/2006/relationships/hyperlink" Id="rId711"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7"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710" Target="https://cran.r-project.org/package=robvis" TargetMode="External" /><Relationship Type="http://schemas.openxmlformats.org/officeDocument/2006/relationships/hyperlink" Id="rId60" Target="https://docs.ropensci.org/medrxivr/" TargetMode="External" /><Relationship Type="http://schemas.openxmlformats.org/officeDocument/2006/relationships/hyperlink" Id="rId582" Target="https://doi.org/10.1002/14651858.CD003160.pub3" TargetMode="External" /><Relationship Type="http://schemas.openxmlformats.org/officeDocument/2006/relationships/hyperlink" Id="rId404" Target="https://doi.org/10.1002/14651858.MR000010.pub3" TargetMode="External" /><Relationship Type="http://schemas.openxmlformats.org/officeDocument/2006/relationships/hyperlink" Id="rId49" Target="https://doi.org/10.1002/jrsm.1411" TargetMode="External" /><Relationship Type="http://schemas.openxmlformats.org/officeDocument/2006/relationships/hyperlink" Id="rId48" Target="https://doi.org/10.1007/s11121-021-01279-8" TargetMode="External" /><Relationship Type="http://schemas.openxmlformats.org/officeDocument/2006/relationships/hyperlink" Id="rId349" Target="https://doi.org/10.1016/j.neuropharm.2020.108352" TargetMode="External" /><Relationship Type="http://schemas.openxmlformats.org/officeDocument/2006/relationships/hyperlink" Id="rId576" Target="https://doi.org/10.1101/168674" TargetMode="External" /><Relationship Type="http://schemas.openxmlformats.org/officeDocument/2006/relationships/hyperlink" Id="rId573" Target="https://doi.org/10.1101/170241" TargetMode="External" /><Relationship Type="http://schemas.openxmlformats.org/officeDocument/2006/relationships/hyperlink" Id="rId460" Target="https://doi.org/10.1101/19000265" TargetMode="External" /><Relationship Type="http://schemas.openxmlformats.org/officeDocument/2006/relationships/hyperlink" Id="rId409" Target="https://doi.org/10.1101/2020.05.22.111294" TargetMode="External" /><Relationship Type="http://schemas.openxmlformats.org/officeDocument/2006/relationships/hyperlink" Id="rId453" Target="https://doi.org/10.1101/2020.11.23.394577" TargetMode="External" /><Relationship Type="http://schemas.openxmlformats.org/officeDocument/2006/relationships/hyperlink" Id="rId416" Target="https://doi.org/10.1101/2021.03.04.433874" TargetMode="External" /><Relationship Type="http://schemas.openxmlformats.org/officeDocument/2006/relationships/hyperlink" Id="rId490" Target="https://doi.org/10.1101/2021.10.21.21265126" TargetMode="External" /><Relationship Type="http://schemas.openxmlformats.org/officeDocument/2006/relationships/hyperlink" Id="rId578" Target="https://doi.org/10.1101/689752" TargetMode="External" /><Relationship Type="http://schemas.openxmlformats.org/officeDocument/2006/relationships/hyperlink" Id="rId437" Target="https://doi.org/10.1101/833400" TargetMode="External" /><Relationship Type="http://schemas.openxmlformats.org/officeDocument/2006/relationships/hyperlink" Id="rId587" Target="https://doi.org/10.1111/j.1447-0594.2009.00579.x" TargetMode="External" /><Relationship Type="http://schemas.openxmlformats.org/officeDocument/2006/relationships/hyperlink" Id="rId655" Target="https://doi.org/10.1136/bmj.k400" TargetMode="External" /><Relationship Type="http://schemas.openxmlformats.org/officeDocument/2006/relationships/hyperlink" Id="rId446" Target="https://doi.org/10.1145/582128.582152" TargetMode="External" /><Relationship Type="http://schemas.openxmlformats.org/officeDocument/2006/relationships/hyperlink" Id="rId50" Target="https://doi.org/10.1371/journal.pone.0250887" TargetMode="External" /><Relationship Type="http://schemas.openxmlformats.org/officeDocument/2006/relationships/hyperlink" Id="rId465" Target="https://doi.org/10.17605/OSF.IO/VTW5Y" TargetMode="External" /><Relationship Type="http://schemas.openxmlformats.org/officeDocument/2006/relationships/hyperlink" Id="rId47" Target="https://doi.org/10.21105/joss.02651" TargetMode="External" /><Relationship Type="http://schemas.openxmlformats.org/officeDocument/2006/relationships/hyperlink" Id="rId648" Target="https://doi.org/10.31222/osf.io/p75xe" TargetMode="External" /><Relationship Type="http://schemas.openxmlformats.org/officeDocument/2006/relationships/hyperlink" Id="rId463" Target="https://doi.org/10.3758/s13428-020-01436-x" TargetMode="External" /><Relationship Type="http://schemas.openxmlformats.org/officeDocument/2006/relationships/hyperlink" Id="rId711" Target="https://github.com/mcguinlu/robvis" TargetMode="External" /><Relationship Type="http://schemas.openxmlformats.org/officeDocument/2006/relationships/hyperlink" Id="rId59" Target="https://github.com/ropensci/medrxivr" TargetMode="External" /><Relationship Type="http://schemas.openxmlformats.org/officeDocument/2006/relationships/hyperlink" Id="rId247"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causal effects of lipid levels on risk of dementia: a triangulation of new and existing evidence</dc:title>
  <dc:creator>Luke A McGuinness</dc:creator>
  <cp:keywords/>
  <dcterms:created xsi:type="dcterms:W3CDTF">2021-11-13T20:40:54Z</dcterms:created>
  <dcterms:modified xsi:type="dcterms:W3CDTF">2021-11-13T20:40:54Z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40440</vt:lpwstr>
  </property>
</Properties>
</file>