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7.png" ContentType="image/png"/>
  <Override PartName="/word/media/rId169.png" ContentType="image/png"/>
  <Override PartName="/word/media/rId153.png" ContentType="image/png"/>
  <Override PartName="/word/media/rId180.png" ContentType="image/png"/>
  <Override PartName="/word/media/rId174.png" ContentType="image/png"/>
  <Override PartName="/word/media/rId176.png" ContentType="image/png"/>
  <Override PartName="/word/media/rId172.png" ContentType="image/png"/>
  <Override PartName="/word/media/rId182.png" ContentType="image/png"/>
  <Override PartName="/word/media/rId184.png" ContentType="image/png"/>
  <Override PartName="/word/media/rId178.png" ContentType="image/png"/>
  <Override PartName="/word/media/rId158.png" ContentType="image/png"/>
  <Override PartName="/word/media/rId191.png" ContentType="image/png"/>
  <Override PartName="/word/media/rId161.png" ContentType="image/png"/>
  <Override PartName="/word/media/rId186.png" ContentType="image/png"/>
  <Override PartName="/word/media/rId76.png" ContentType="image/png"/>
  <Override PartName="/word/media/rId440.png" ContentType="image/png"/>
  <Override PartName="/word/media/rId439.png" ContentType="image/png"/>
  <Override PartName="/word/media/rId66.png" ContentType="image/png"/>
  <Override PartName="/word/media/rId11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23060</w:t>
      </w:r>
    </w:p>
    <w:p>
      <w:pPr>
        <w:pStyle w:val="BodyText"/>
      </w:pPr>
      <w:r>
        <w:t xml:space="preserve">Days: 237</w:t>
      </w:r>
    </w:p>
    <w:p>
      <w:pPr>
        <w:pStyle w:val="BodyText"/>
      </w:pPr>
      <w:r>
        <w:t xml:space="preserve">Words behind: -5509</w:t>
      </w:r>
    </w:p>
    <w:p>
      <w:pPr>
        <w:pStyle w:val="BodyText"/>
      </w:pPr>
      <w:r>
        <w:t xml:space="preserve">Words today: 171</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3af084ee-6911-4df0-8a80-ec23a1b318ce" w:name="tab:diagnosticCriteria-table"/>
      <w:r>
        <w:t xml:space="preserve">Overview of the DSM-5 criteria for dementia and vascular dementia.[@edition2013diagnostic]</w:t>
      </w:r>
      <w:bookmarkEnd w:id="3af084ee-6911-4df0-8a80-ec23a1b318c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a">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mainous2005">
        <w:r>
          <w:rPr>
            <w:rStyle w:val="Hyperlink"/>
            <w:vertAlign w:val="superscript"/>
          </w:rPr>
          <w:t xml:space="preserve">49</w:t>
        </w:r>
      </w:hyperlink>
      <w:r>
        <w:rPr>
          <w:vertAlign w:val="superscript"/>
        </w:rPr>
        <w:t xml:space="preserve">,</w:t>
      </w:r>
      <w:hyperlink w:anchor="ref-mielke2010">
        <w:r>
          <w:rPr>
            <w:rStyle w:val="Hyperlink"/>
            <w:vertAlign w:val="superscript"/>
          </w:rPr>
          <w:t xml:space="preserve">50</w:t>
        </w:r>
      </w:hyperlink>
      <w:r>
        <w:rPr>
          <w:vertAlign w:val="superscript"/>
        </w:rPr>
        <w:t xml:space="preserve">,</w:t>
      </w:r>
      <w:hyperlink w:anchor="ref-li2005a">
        <w:r>
          <w:rPr>
            <w:rStyle w:val="Hyperlink"/>
            <w:bCs/>
            <w:b/>
            <w:vertAlign w:val="superscript"/>
          </w:rPr>
          <w:t xml:space="preserve">li2005a?</w:t>
        </w:r>
      </w:hyperlink>
      <w:r>
        <w:rPr>
          <w:vertAlign w:val="superscript"/>
        </w:rPr>
        <w:t xml:space="preserve">,</w:t>
      </w:r>
      <w:hyperlink w:anchor="ref-tan2003a">
        <w:r>
          <w:rPr>
            <w:rStyle w:val="Hyperlink"/>
            <w:bCs/>
            <w:b/>
            <w:vertAlign w:val="superscript"/>
          </w:rPr>
          <w:t xml:space="preserve">tan2003a?</w:t>
        </w:r>
      </w:hyperlink>
      <w:r>
        <w:t xml:space="preserve"> </w:t>
      </w:r>
      <w:r>
        <w:t xml:space="preserve">or a reduced susceptibility.</w:t>
      </w:r>
      <w:hyperlink w:anchor="ref-mielke2005">
        <w:r>
          <w:rPr>
            <w:rStyle w:val="Hyperlink"/>
            <w:vertAlign w:val="superscript"/>
          </w:rPr>
          <w:t xml:space="preserve">51</w:t>
        </w:r>
      </w:hyperlink>
      <w:r>
        <w:rPr>
          <w:vertAlign w:val="superscript"/>
        </w:rPr>
        <w:t xml:space="preserve">,</w:t>
      </w:r>
      <w:hyperlink w:anchor="ref-reitz2004a">
        <w:r>
          <w:rPr>
            <w:rStyle w:val="Hyperlink"/>
            <w:bCs/>
            <w:b/>
            <w:vertAlign w:val="superscript"/>
          </w:rPr>
          <w:t xml:space="preserve">reitz2004a?</w:t>
        </w:r>
      </w:hyperlink>
      <w:r>
        <w:t xml:space="preserve"> With regards vascular dementia, decreased levels of HDL-c appear to be associated with increased risk,</w:t>
      </w:r>
      <w:hyperlink w:anchor="ref-reitz2004a">
        <w:r>
          <w:rPr>
            <w:rStyle w:val="Hyperlink"/>
            <w:bCs/>
            <w:b/>
            <w:vertAlign w:val="superscript"/>
          </w:rPr>
          <w:t xml:space="preserve">reitz2004a?</w:t>
        </w:r>
      </w:hyperlink>
      <w:r>
        <w:t xml:space="preserve"> while for LDL-c, studies have reported both positive and negative associations.</w:t>
      </w:r>
      <w:hyperlink w:anchor="ref-moroney1999">
        <w:r>
          <w:rPr>
            <w:rStyle w:val="Hyperlink"/>
            <w:vertAlign w:val="superscript"/>
          </w:rPr>
          <w:t xml:space="preserve">52</w:t>
        </w:r>
      </w:hyperlink>
      <w:r>
        <w:rPr>
          <w:vertAlign w:val="superscript"/>
        </w:rPr>
        <w:t xml:space="preserve">,</w:t>
      </w:r>
      <w:hyperlink w:anchor="ref-reitz2004a">
        <w:r>
          <w:rPr>
            <w:rStyle w:val="Hyperlink"/>
            <w:bCs/>
            <w:b/>
            <w:vertAlign w:val="superscript"/>
          </w:rPr>
          <w:t xml:space="preserve">reitz2004a?</w:t>
        </w:r>
      </w:hyperlink>
    </w:p>
    <w:p>
      <w:pPr>
        <w:pStyle w:val="BodyText"/>
      </w:pPr>
      <w:r>
        <w:t xml:space="preserve">Several previous systematic review of observational studies examining the effect of lipids</w:t>
      </w:r>
      <w:hyperlink w:anchor="ref-anstey">
        <w:r>
          <w:rPr>
            <w:rStyle w:val="Hyperlink"/>
            <w:vertAlign w:val="superscript"/>
          </w:rPr>
          <w:t xml:space="preserve">53</w:t>
        </w:r>
      </w:hyperlink>
      <w:r>
        <w:t xml:space="preserve"> </w:t>
      </w:r>
      <w:r>
        <w:t xml:space="preserve">and lipid-regulating agents</w:t>
      </w:r>
      <w:hyperlink w:anchor="ref-chu2018b">
        <w:r>
          <w:rPr>
            <w:rStyle w:val="Hyperlink"/>
            <w:bCs/>
            <w:b/>
            <w:vertAlign w:val="superscript"/>
          </w:rPr>
          <w:t xml:space="preserve">chu2018b?</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
        <w:r>
          <w:rPr>
            <w:rStyle w:val="Hyperlink"/>
            <w:vertAlign w:val="superscript"/>
          </w:rPr>
          <w:t xml:space="preserve">53</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54</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55</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 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55</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56</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57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56</w:t>
        </w:r>
      </w:hyperlink>
      <w:r>
        <w:t xml:space="preserve"> </w:t>
      </w:r>
      <w:r>
        <w:t xml:space="preserve">The analytic method relies on several assumptions about the instrumental variable (IV),</w:t>
      </w:r>
      <w:hyperlink w:anchor="ref-davies2018">
        <w:r>
          <w:rPr>
            <w:rStyle w:val="Hyperlink"/>
            <w:vertAlign w:val="superscript"/>
          </w:rPr>
          <w:t xml:space="preserve">58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59</w:t>
        </w:r>
      </w:hyperlink>
      <w:r>
        <w:rPr>
          <w:vertAlign w:val="superscript"/>
        </w:rPr>
        <w:t xml:space="preserve">,</w:t>
      </w:r>
      <w:hyperlink w:anchor="ref-ostergaard2015">
        <w:r>
          <w:rPr>
            <w:rStyle w:val="Hyperlink"/>
            <w:vertAlign w:val="superscript"/>
          </w:rPr>
          <w:t xml:space="preserve">60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61</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62</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63</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65</w:t>
        </w:r>
      </w:hyperlink>
      <w:r>
        <w:rPr>
          <w:vertAlign w:val="superscript"/>
        </w:rPr>
        <w:t xml:space="preserve">–</w:t>
      </w:r>
      <w:hyperlink w:anchor="ref-hopewell2007">
        <w:r>
          <w:rPr>
            <w:rStyle w:val="Hyperlink"/>
            <w:vertAlign w:val="superscript"/>
          </w:rPr>
          <w:t xml:space="preserve">67</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68</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69</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70</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71</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72</w:t>
        </w:r>
      </w:hyperlink>
      <w:r>
        <w:rPr>
          <w:vertAlign w:val="superscript"/>
        </w:rPr>
        <w:t xml:space="preserve">,</w:t>
      </w:r>
      <w:hyperlink w:anchor="ref-schalkwyk2020">
        <w:r>
          <w:rPr>
            <w:rStyle w:val="Hyperlink"/>
            <w:vertAlign w:val="superscript"/>
          </w:rPr>
          <w:t xml:space="preserve">73</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68</w:t>
        </w:r>
      </w:hyperlink>
      <w:r>
        <w:rPr>
          <w:vertAlign w:val="superscript"/>
        </w:rPr>
        <w:t xml:space="preserve">,</w:t>
      </w:r>
      <w:hyperlink w:anchor="ref-mahood2014">
        <w:r>
          <w:rPr>
            <w:rStyle w:val="Hyperlink"/>
            <w:vertAlign w:val="superscript"/>
          </w:rPr>
          <w:t xml:space="preserve">74</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75</w:t>
        </w:r>
      </w:hyperlink>
      <w:r>
        <w:rPr>
          <w:vertAlign w:val="superscript"/>
        </w:rPr>
        <w:t xml:space="preserve">,</w:t>
      </w:r>
      <w:hyperlink w:anchor="ref-nicholson2021">
        <w:r>
          <w:rPr>
            <w:rStyle w:val="Hyperlink"/>
            <w:vertAlign w:val="superscript"/>
          </w:rPr>
          <w:t xml:space="preserve">76</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74</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77</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78</w:t>
        </w:r>
      </w:hyperlink>
      <w:r>
        <w:rPr>
          <w:vertAlign w:val="superscript"/>
        </w:rPr>
        <w:t xml:space="preserve">,</w:t>
      </w:r>
      <w:hyperlink w:anchor="ref-mcguinness2018">
        <w:r>
          <w:rPr>
            <w:rStyle w:val="Hyperlink"/>
            <w:vertAlign w:val="superscript"/>
          </w:rPr>
          <w:t xml:space="preserve">79</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80</w:t>
        </w:r>
      </w:hyperlink>
      <w:r>
        <w:rPr>
          <w:vertAlign w:val="superscript"/>
        </w:rPr>
        <w:t xml:space="preserve">,</w:t>
      </w:r>
      <w:hyperlink w:anchor="ref-stewart1993">
        <w:r>
          <w:rPr>
            <w:rStyle w:val="Hyperlink"/>
            <w:vertAlign w:val="superscript"/>
          </w:rPr>
          <w:t xml:space="preserve">81</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80</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82</w:t>
        </w:r>
      </w:hyperlink>
      <w:r>
        <w:rPr>
          <w:vertAlign w:val="superscript"/>
        </w:rPr>
        <w:t xml:space="preserve">–</w:t>
      </w:r>
      <w:hyperlink w:anchor="ref-mccartney2016">
        <w:r>
          <w:rPr>
            <w:rStyle w:val="Hyperlink"/>
            <w:vertAlign w:val="superscript"/>
          </w:rPr>
          <w:t xml:space="preserve">84</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80</w:t>
        </w:r>
      </w:hyperlink>
      <w:r>
        <w:t xml:space="preserve"> </w:t>
      </w:r>
      <w:r>
        <w:t xml:space="preserve">In terms of this thesis, patient sex is considered to be of particular interest.</w:t>
      </w:r>
      <w:hyperlink w:anchor="ref-arain2009">
        <w:r>
          <w:rPr>
            <w:rStyle w:val="Hyperlink"/>
            <w:vertAlign w:val="superscript"/>
          </w:rPr>
          <w:t xml:space="preserve">82</w:t>
        </w:r>
      </w:hyperlink>
      <w:r>
        <w:rPr>
          <w:vertAlign w:val="superscript"/>
        </w:rPr>
        <w:t xml:space="preserve">,</w:t>
      </w:r>
      <w:hyperlink w:anchor="ref-letenneur1999">
        <w:r>
          <w:rPr>
            <w:rStyle w:val="Hyperlink"/>
            <w:vertAlign w:val="superscript"/>
          </w:rPr>
          <w:t xml:space="preserve">85</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bCs/>
            <w:b/>
            <w:vertAlign w:val="superscript"/>
          </w:rPr>
          <w:t xml:space="preserve">riley2020?</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86</w:t>
        </w:r>
      </w:hyperlink>
    </w:p>
    <w:p>
      <w:pPr>
        <w:pStyle w:val="BodyText"/>
      </w:pPr>
      <w:r>
        <w:t xml:space="preserve">Despite their advantages, IPD meta-analysis are rarely performed.</w:t>
      </w:r>
      <w:hyperlink w:anchor="ref-tugwell2010">
        <w:r>
          <w:rPr>
            <w:rStyle w:val="Hyperlink"/>
            <w:vertAlign w:val="superscript"/>
          </w:rPr>
          <w:t xml:space="preserve">87</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ventresca2020">
        <w:r>
          <w:rPr>
            <w:rStyle w:val="Hyperlink"/>
            <w:vertAlign w:val="superscript"/>
          </w:rPr>
          <w:t xml:space="preserve">88</w:t>
        </w:r>
      </w:hyperlink>
      <w:r>
        <w:rPr>
          <w:vertAlign w:val="superscript"/>
        </w:rPr>
        <w:t xml:space="preserve">,</w:t>
      </w:r>
      <w:hyperlink w:anchor="ref-nevitt2017a">
        <w:r>
          <w:rPr>
            <w:rStyle w:val="Hyperlink"/>
            <w:bCs/>
            <w:b/>
            <w:vertAlign w:val="superscript"/>
          </w:rPr>
          <w:t xml:space="preserve">nevitt2017a?</w:t>
        </w:r>
      </w:hyperlink>
      <w:r>
        <w:t xml:space="preserve"> </w:t>
      </w:r>
      <w:r>
        <w:t xml:space="preserve">The data underlying primary studies are frequently not publicly available,</w:t>
      </w:r>
      <w:hyperlink w:anchor="ref-alsheikh-ali2011">
        <w:r>
          <w:rPr>
            <w:rStyle w:val="Hyperlink"/>
            <w:vertAlign w:val="superscript"/>
          </w:rPr>
          <w:t xml:space="preserve">89</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90</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91</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92</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7.8</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7</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7.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(2020). Ensuring Prevention Science Research is Synthesis-Ready for Immediate and Lasting Scientific Impact. MetaArXiv. DOI:</w:t>
      </w:r>
      <w:r>
        <w:rPr>
          <w:iCs/>
          <w:i/>
        </w:rPr>
        <w:t xml:space="preserve"> </w:t>
      </w:r>
      <w:hyperlink r:id="rId54">
        <w:r>
          <w:rPr>
            <w:rStyle w:val="Hyperlink"/>
            <w:iCs/>
            <w:i/>
          </w:rPr>
          <w:t xml:space="preserve">10.31222/osf.io/ptg9j</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r>
        <w:t xml:space="preserve"> </w:t>
      </w:r>
      <w:r>
        <w:t xml:space="preserve">[Under 2nd round of review at Prevention Science]</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Accepted poster abstract, Alzheimer’s Association International Conference 2021.</w:t>
      </w:r>
    </w:p>
    <w:p>
      <w:pPr>
        <w:pStyle w:val="BodyText"/>
      </w:pP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w:t>
      </w:r>
      <w:r>
        <w:t xml:space="preserve"> </w:t>
      </w:r>
      <w:r>
        <w:t xml:space="preserve">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93</w:t>
        </w:r>
      </w:hyperlink>
      <w:r>
        <w:t xml:space="preserve"> </w:t>
      </w:r>
      <w:r>
        <w:t xml:space="preserve">and bioRxiv</w:t>
      </w:r>
      <w:hyperlink w:anchor="ref-sever2019">
        <w:r>
          <w:rPr>
            <w:rStyle w:val="Hyperlink"/>
            <w:vertAlign w:val="superscript"/>
          </w:rPr>
          <w:t xml:space="preserve">94</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91"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7"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94</w:t>
        </w:r>
      </w:hyperlink>
      <w:r>
        <w:t xml:space="preserve"> </w:t>
      </w:r>
      <w:r>
        <w:t xml:space="preserve">and medRxiv, which evolved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 which launched in 2019.</w:t>
      </w:r>
      <w:hyperlink w:anchor="ref-rawlinson2019">
        <w:r>
          <w:rPr>
            <w:rStyle w:val="Hyperlink"/>
            <w:vertAlign w:val="superscript"/>
          </w:rPr>
          <w:t xml:space="preserve">93</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grey literature.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95</w:t>
        </w:r>
      </w:hyperlink>
      <w:r>
        <w:rPr>
          <w:vertAlign w:val="superscript"/>
        </w:rPr>
        <w:t xml:space="preserve">,</w:t>
      </w:r>
      <w:hyperlink w:anchor="ref-gusenbauer2020">
        <w:r>
          <w:rPr>
            <w:rStyle w:val="Hyperlink"/>
            <w:vertAlign w:val="superscript"/>
          </w:rPr>
          <w:t xml:space="preserve">96</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created to facilitate the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external projects and by other researchers is discussed. As the majority of work on this aspect of this thesis is represented by lines of code (available at</w:t>
      </w:r>
      <w:r>
        <w:t xml:space="preserve"> </w:t>
      </w:r>
      <w:hyperlink r:id="rId65">
        <w:r>
          <w:rPr>
            <w:rStyle w:val="Hyperlink"/>
          </w:rPr>
          <w:t xml:space="preserve">https://github.com/ropensci/medrxivr</w:t>
        </w:r>
      </w:hyperlink>
      <w:r>
        <w:t xml:space="preserve">) this Chapter is an intentionally short, high-level summary of the work done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p>
    <w:p>
      <w:pPr>
        <w:pStyle w:val="BodyText"/>
      </w:pPr>
      <w:r>
        <w:t xml:space="preserve"> </w:t>
      </w:r>
    </w:p>
    <w:p>
      <w:pPr>
        <w:pStyle w:val="CaptionedFigure"/>
      </w:pPr>
      <w:r>
        <w:drawing>
          <wp:inline>
            <wp:extent cx="5038405" cy="6210555"/>
            <wp:effectExtent b="0" l="0" r="0" t="0"/>
            <wp:docPr descr="Figure 2: Role of medrxivr in a systematic review workflow: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6"/>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7"/>
    <w:bookmarkStart w:id="74" w:name="development"/>
    <w:p>
      <w:pPr>
        <w:pStyle w:val="Heading2"/>
      </w:pPr>
      <w:r>
        <w:t xml:space="preserve">Development</w:t>
      </w:r>
    </w:p>
    <w:bookmarkStart w:id="68" w:name="success-criteria"/>
    <w:p>
      <w:pPr>
        <w:pStyle w:val="Heading3"/>
      </w:pPr>
      <w:r>
        <w:t xml:space="preserve">Success criteria</w:t>
      </w:r>
    </w:p>
    <w:p>
      <w:pPr>
        <w:pStyle w:val="FirstParagraph"/>
      </w:pPr>
      <w:r>
        <w:t xml:space="preserve">The tool was developed to meet three success criteria,</w:t>
      </w:r>
      <w:hyperlink w:anchor="ref-wateridge1995">
        <w:r>
          <w:rPr>
            <w:rStyle w:val="Hyperlink"/>
            <w:vertAlign w:val="superscript"/>
          </w:rPr>
          <w:t xml:space="preserve">97</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8"/>
    <w:bookmarkStart w:id="71" w:name="alternative-medrxivbiorxiv-interfaces"/>
    <w:p>
      <w:pPr>
        <w:pStyle w:val="Heading3"/>
      </w:pPr>
      <w:r>
        <w:t xml:space="preserve">Alternative medRxiv/bioRxiv interfaces</w:t>
      </w:r>
    </w:p>
    <w:p>
      <w:pPr>
        <w:pStyle w:val="FirstParagraph"/>
      </w:pPr>
      <w:r>
        <w:t xml:space="preserve">Prior development of this tool, an audit of existing tools for accessing medRxiv and bioRxiv metadata was conducted.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98</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r>
        <w:rPr>
          <w:rStyle w:val="FootnoteReference"/>
        </w:rPr>
        <w:footnoteReference w:id="69"/>
      </w:r>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99</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1"/>
    <w:bookmarkStart w:id="72"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the initial version of the</w:t>
      </w:r>
      <w:r>
        <w:t xml:space="preserve"> </w:t>
      </w:r>
      <w:r>
        <w:rPr>
          <w:rStyle w:val="VerbatimChar"/>
        </w:rPr>
        <w:t xml:space="preserve">medrxivr</w:t>
      </w:r>
      <w:r>
        <w:t xml:space="preserve"> </w:t>
      </w:r>
      <w:r>
        <w:t xml:space="preserve">R package was released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100</w:t>
        </w:r>
      </w:hyperlink>
      <w:r>
        <w:rPr>
          <w:vertAlign w:val="superscript"/>
        </w:rPr>
        <w:t xml:space="preserve">,</w:t>
      </w:r>
      <w:hyperlink w:anchor="ref-laprie1992">
        <w:r>
          <w:rPr>
            <w:rStyle w:val="Hyperlink"/>
            <w:vertAlign w:val="superscript"/>
          </w:rPr>
          <w:t xml:space="preserve">101</w:t>
        </w:r>
      </w:hyperlink>
      <w:r>
        <w:t xml:space="preserve">. In the case of</w:t>
      </w:r>
      <w:r>
        <w:t xml:space="preserve"> </w:t>
      </w:r>
      <w:r>
        <w:rPr>
          <w:rStyle w:val="VerbatimChar"/>
        </w:rPr>
        <w:t xml:space="preserve">medrxivr</w:t>
      </w:r>
      <w:r>
        <w:t xml:space="preserve">, constant maintenance work was required to ensure the web-scraping script performed as expected, as the repository website was regularly updated.</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101</w:t>
        </w:r>
      </w:hyperlink>
    </w:p>
    <w:p>
      <w:pPr>
        <w:pStyle w:val="BodyText"/>
      </w:pPr>
      <w:r>
        <w:t xml:space="preserve"> </w:t>
      </w:r>
    </w:p>
    <w:bookmarkEnd w:id="72"/>
    <w:bookmarkStart w:id="73" w:name="package-infrastructure"/>
    <w:p>
      <w:pPr>
        <w:pStyle w:val="Heading3"/>
      </w:pPr>
      <w:r>
        <w:t xml:space="preserve">Package infrastructure</w:t>
      </w:r>
    </w:p>
    <w:p>
      <w:pPr>
        <w:pStyle w:val="FirstParagraph"/>
      </w:pPr>
      <w:r>
        <w:t xml:space="preserve">The</w:t>
      </w:r>
      <w:r>
        <w:t xml:space="preserve"> </w:t>
      </w:r>
      <w:r>
        <w:rPr>
          <w:rStyle w:val="VerbatimChar"/>
        </w:rPr>
        <w:t xml:space="preserve">medrxvir</w:t>
      </w:r>
      <w:r>
        <w:t xml:space="preserve"> </w:t>
      </w:r>
      <w:r>
        <w:t xml:space="preserve">package was written in R using RStudio,</w:t>
      </w:r>
      <w:hyperlink w:anchor="ref-rcoreteam2019">
        <w:r>
          <w:rPr>
            <w:rStyle w:val="Hyperlink"/>
            <w:vertAlign w:val="superscript"/>
          </w:rPr>
          <w:t xml:space="preserve">102</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3"/>
    <w:bookmarkEnd w:id="74"/>
    <w:bookmarkStart w:id="82"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for users to search both medRxiv and bioRxiv, as the process is identical for both, the examples in the sections are limited to the medRxiv repository.</w:t>
      </w:r>
    </w:p>
    <w:p>
      <w:pPr>
        <w:pStyle w:val="BodyText"/>
      </w:pPr>
      <w:r>
        <w:t xml:space="preserve"> </w:t>
      </w:r>
    </w:p>
    <w:bookmarkStart w:id="75"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5"/>
    <w:bookmarkStart w:id="77" w:name="importing-preprint-metadata"/>
    <w:p>
      <w:pPr>
        <w:pStyle w:val="Heading3"/>
      </w:pPr>
      <w:r>
        <w:t xml:space="preserve">Importing preprint metadata</w:t>
      </w:r>
    </w:p>
    <w:p>
      <w:pPr>
        <w:pStyle w:val="FirstParagraph"/>
      </w:pPr>
      <w:r>
        <w:rPr>
          <w:rStyle w:val="VerbatimChar"/>
        </w:rPr>
        <w:t xml:space="preserve">medrixvr</w:t>
      </w:r>
      <w:r>
        <w:t xml:space="preserve"> </w:t>
      </w:r>
      <w:r>
        <w:t xml:space="preserve">provides two ways to access medRxiv data, as shown in Figure</w:t>
      </w:r>
      <w:r>
        <w:t xml:space="preserve"> </w:t>
      </w:r>
      <w:r>
        <w:t xml:space="preserve">3</w:t>
      </w:r>
      <w:r>
        <w:t xml:space="preserve">. The first,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  </w:t>
      </w:r>
    </w:p>
    <w:p>
      <w:pPr>
        <w:pStyle w:val="FirstParagraph"/>
      </w:pPr>
      <w:r>
        <w:t xml:space="preserve"> </w:t>
      </w:r>
    </w:p>
    <w:p>
      <w:pPr>
        <w:pStyle w:val="BodyText"/>
      </w:pPr>
      <w:r>
        <w:t xml:space="preserve">The second, via the</w:t>
      </w:r>
      <w:r>
        <w:t xml:space="preserve"> </w:t>
      </w:r>
      <w:r>
        <w:rPr>
          <w:rStyle w:val="VerbatimChar"/>
        </w:rPr>
        <w:t xml:space="preserve">mx_snapshot()</w:t>
      </w:r>
      <w:r>
        <w:t xml:space="preserve"> </w:t>
      </w:r>
      <w:r>
        <w:t xml:space="preserve">function, provides access to a maintained static snapshot of the database, created each morning at 6am using</w:t>
      </w:r>
      <w:r>
        <w:t xml:space="preserve"> </w:t>
      </w:r>
      <w:r>
        <w:rPr>
          <w:rStyle w:val="VerbatimChar"/>
        </w:rPr>
        <w:t xml:space="preserve">mx_api_content()</w:t>
      </w:r>
      <w:r>
        <w:t xml:space="preserv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Allowing users of</w:t>
      </w:r>
      <w:r>
        <w:t xml:space="preserve"> </w:t>
      </w:r>
      <w:r>
        <w:rPr>
          <w:rStyle w:val="VerbatimChar"/>
        </w:rPr>
        <w:t xml:space="preserve">medrxivr</w:t>
      </w:r>
      <w:r>
        <w:t xml:space="preserve"> </w:t>
      </w:r>
      <w:r>
        <w:t xml:space="preserve">to access a maintained snapshot removes any dependency on the API, which can become unavailable during peak usage times. The relationship between the two methods for accessing the data contained in the medRxiv database is summarized in Figure</w:t>
      </w:r>
      <w:r>
        <w:t xml:space="preserve"> </w:t>
      </w:r>
      <w:r>
        <w:t xml:space="preserve">3</w:t>
      </w:r>
      <w:r>
        <w:t xml:space="preserve">.</w:t>
      </w:r>
    </w:p>
    <w:p>
      <w:pPr>
        <w:pStyle w:val="BodyText"/>
      </w:pPr>
      <w:r>
        <w:t xml:space="preserve"> </w:t>
      </w:r>
    </w:p>
    <w:p>
      <w:pPr>
        <w:pStyle w:val="CaptionedFigure"/>
      </w:pPr>
      <w:r>
        <w:drawing>
          <wp:inline>
            <wp:extent cx="5943600" cy="4119238"/>
            <wp:effectExtent b="0" l="0" r="0" t="0"/>
            <wp:docPr descr="Figure 3: Overview of medrxivr data sources: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6"/>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7"/>
    <w:bookmarkStart w:id="78"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8"/>
    <w:bookmarkStart w:id="79" w:name="refining-your-search"/>
    <w:p>
      <w:pPr>
        <w:pStyle w:val="Heading3"/>
      </w:pPr>
      <w:r>
        <w:t xml:space="preserve">Refining your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r>
        <w:t xml:space="preserve"> </w:t>
      </w:r>
      <w:r>
        <w:rPr>
          <w:bCs/>
          <w:b/>
        </w:rPr>
        <w:t xml:space="preserve">[CITATION NEEDED - PRISMA-S]</w:t>
      </w:r>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 </w:t>
      </w:r>
      <w:r>
        <w:rPr>
          <w:rStyle w:val="CommentTok"/>
        </w:rPr>
        <w:t xml:space="preserve"># Combined with OR</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103</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9"/>
    <w:bookmarkStart w:id="80" w:name="exporting-to-a-bibliography-file"/>
    <w:p>
      <w:pPr>
        <w:pStyle w:val="Heading3"/>
      </w:pPr>
      <w:r>
        <w:t xml:space="preserve">Exporting to a bibliography file</w:t>
      </w:r>
    </w:p>
    <w:p>
      <w:pPr>
        <w:pStyle w:val="FirstParagraph"/>
      </w:pPr>
      <w:r>
        <w:t xml:space="preserve">In line with the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80"/>
    <w:bookmarkStart w:id="81"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1"/>
    <w:bookmarkEnd w:id="82"/>
    <w:bookmarkStart w:id="88" w:name="discussion"/>
    <w:p>
      <w:pPr>
        <w:pStyle w:val="Heading2"/>
      </w:pPr>
      <w:r>
        <w:t xml:space="preserve">Discussion</w:t>
      </w:r>
    </w:p>
    <w:bookmarkStart w:id="85"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4100 times), and several use cases have been reported. It has been used to investigate the role of preprints in the response to the 2019 coronavirus outbreak,</w:t>
      </w:r>
      <w:hyperlink w:anchor="ref-kodvanj2020">
        <w:r>
          <w:rPr>
            <w:rStyle w:val="Hyperlink"/>
            <w:vertAlign w:val="superscript"/>
          </w:rPr>
          <w:t xml:space="preserve">104</w:t>
        </w:r>
      </w:hyperlink>
      <w:r>
        <w:t xml:space="preserve"> </w:t>
      </w:r>
      <w:r>
        <w:t xml:space="preserve">perform searches of preprints as part of a systematic review,</w:t>
      </w:r>
      <w:hyperlink w:anchor="ref-noone2020">
        <w:r>
          <w:rPr>
            <w:rStyle w:val="Hyperlink"/>
            <w:vertAlign w:val="superscript"/>
          </w:rPr>
          <w:t xml:space="preserve">105</w:t>
        </w:r>
      </w:hyperlink>
      <w:r>
        <w:rPr>
          <w:vertAlign w:val="superscript"/>
        </w:rPr>
        <w:t xml:space="preserve">,</w:t>
      </w:r>
      <w:hyperlink w:anchor="ref-grassly2020">
        <w:r>
          <w:rPr>
            <w:rStyle w:val="Hyperlink"/>
            <w:vertAlign w:val="superscript"/>
          </w:rPr>
          <w:t xml:space="preserve">106</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was been onboarded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107</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r>
        <w:rPr>
          <w:rStyle w:val="FootnoteReference"/>
        </w:rPr>
        <w:footnoteReference w:id="83"/>
      </w:r>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5"/>
    <w:bookmarkStart w:id="86" w:name="limitations-of-medrxivr"/>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this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108</w:t>
        </w:r>
      </w:hyperlink>
    </w:p>
    <w:p>
      <w:pPr>
        <w:pStyle w:val="BodyText"/>
      </w:pPr>
      <w:r>
        <w:t xml:space="preserve">There is also the potential that the cross-section of literature posted on medrxiv/bioRxiv is substantially different from the true grey literature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109</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71</w:t>
        </w:r>
      </w:hyperlink>
      <w:r>
        <w:t xml:space="preserve"> </w:t>
      </w: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6"/>
    <w:bookmarkStart w:id="87"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harm to the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110</w:t>
        </w:r>
      </w:hyperlink>
    </w:p>
    <w:bookmarkEnd w:id="87"/>
    <w:bookmarkEnd w:id="88"/>
    <w:bookmarkStart w:id="89"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9"/>
    <w:bookmarkStart w:id="90" w:name="references-1"/>
    <w:p>
      <w:pPr>
        <w:pStyle w:val="Heading2"/>
      </w:pPr>
      <w:r>
        <w:t xml:space="preserve">References</w:t>
      </w:r>
    </w:p>
    <w:bookmarkEnd w:id="90"/>
    <w:bookmarkEnd w:id="91"/>
    <w:bookmarkStart w:id="146" w:name="sys-rev-heading"/>
    <w:p>
      <w:pPr>
        <w:pStyle w:val="Heading1"/>
      </w:pPr>
      <w:r>
        <w:t xml:space="preserve">Systematic review of all available evidence</w:t>
      </w:r>
    </w:p>
    <w:p>
      <w:pPr>
        <w:pStyle w:val="FirstParagraph"/>
      </w:pPr>
    </w:p>
    <w:bookmarkStart w:id="92" w:name="lay-summary-2"/>
    <w:p>
      <w:pPr>
        <w:pStyle w:val="Heading2"/>
      </w:pPr>
      <w:r>
        <w:t xml:space="preserve">Lay summary</w:t>
      </w:r>
    </w:p>
    <w:p>
      <w:pPr>
        <w:pStyle w:val="FirstParagraph"/>
      </w:pPr>
      <w:r>
        <w:t xml:space="preserve">The importance of</w:t>
      </w:r>
    </w:p>
    <w:p>
      <w:pPr>
        <w:pStyle w:val="BodyText"/>
      </w:pPr>
      <w:r>
        <w:t xml:space="preserve">I found that</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7</w:t>
      </w:r>
      <w:r>
        <w:t xml:space="preserve">.</w:t>
      </w:r>
    </w:p>
    <w:p>
      <w:pPr>
        <w:pStyle w:val="BodyText"/>
      </w:pPr>
      <w:r>
        <w:t xml:space="preserve"> </w:t>
      </w:r>
    </w:p>
    <w:bookmarkEnd w:id="92"/>
    <w:bookmarkStart w:id="93" w:name="sys-rev-intro"/>
    <w:p>
      <w:pPr>
        <w:pStyle w:val="Heading2"/>
      </w:pPr>
      <w:r>
        <w:t xml:space="preserve">Introduction</w:t>
      </w:r>
    </w:p>
    <w:p>
      <w:pPr>
        <w:pStyle w:val="FirstParagraph"/>
      </w:pPr>
      <w:r>
        <w:t xml:space="preserve">The aim of this chapter is to systematically review all available literature on the association between blood levels of total cholesterol and it’s constituent parts (HDL-c,LDL-c and triglycerides) on the subsequent risk of dementia.</w:t>
      </w:r>
    </w:p>
    <w:p>
      <w:pPr>
        <w:pStyle w:val="BodyText"/>
      </w:pPr>
      <w:r>
        <w:t xml:space="preserve">Based on the review of existing literature, no previous evidence synthesis exercise attempted to examine all available literature simultaneously.</w:t>
      </w:r>
    </w:p>
    <w:p>
      <w:pPr>
        <w:pStyle w:val="BodyText"/>
      </w:pPr>
      <w:r>
        <w:t xml:space="preserve">Only by looking across all available evidence can the true, given the often limited use of one type of evidence (RCTs are hard to do, obs studies are biased).</w:t>
      </w:r>
    </w:p>
    <w:p>
      <w:pPr>
        <w:pStyle w:val="BodyText"/>
      </w:pPr>
      <w:r>
        <w:t xml:space="preserve">Literature con</w:t>
      </w:r>
    </w:p>
    <w:p>
      <w:pPr>
        <w:pStyle w:val="BodyText"/>
      </w:pPr>
      <w:r>
        <w:t xml:space="preserve">Systematic reviews aim to transparently and reproducibly identift</w:t>
      </w:r>
    </w:p>
    <w:p>
      <w:pPr>
        <w:pStyle w:val="BodyText"/>
      </w:pPr>
      <w:r>
        <w:t xml:space="preserve"> </w:t>
      </w:r>
    </w:p>
    <w:bookmarkEnd w:id="93"/>
    <w:bookmarkStart w:id="117" w:name="methods"/>
    <w:p>
      <w:pPr>
        <w:pStyle w:val="Heading2"/>
      </w:pPr>
      <w:r>
        <w:t xml:space="preserve">Methods</w:t>
      </w:r>
    </w:p>
    <w:bookmarkStart w:id="94"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111</w:t>
        </w:r>
      </w:hyperlink>
    </w:p>
    <w:bookmarkEnd w:id="94"/>
    <w:bookmarkStart w:id="95" w:name="contributions"/>
    <w:p>
      <w:pPr>
        <w:pStyle w:val="Heading3"/>
      </w:pPr>
      <w:r>
        <w:t xml:space="preserve">Contributions</w:t>
      </w:r>
    </w:p>
    <w:p>
      <w:pPr>
        <w:pStyle w:val="FirstParagraph"/>
      </w:pPr>
      <w:r>
        <w:t xml:space="preserve">This systematic review was performed in conjunction with a team of secondary reviewer, all of whom . These included Alexandra MacAleenana, Athena Sheppard, Matthew Lee and Lena Schmidt.</w:t>
      </w:r>
    </w:p>
    <w:bookmarkEnd w:id="95"/>
    <w:bookmarkStart w:id="96" w:name="search-strategy"/>
    <w:p>
      <w:pPr>
        <w:pStyle w:val="Heading3"/>
      </w:pPr>
      <w:r>
        <w:t xml:space="preserve">Search strategy</w:t>
      </w:r>
    </w:p>
    <w:p>
      <w:pPr>
        <w:pStyle w:val="FirstParagraph"/>
      </w:pPr>
      <w:r>
        <w:t xml:space="preserve">I systematically search electronic bibliographic databases to identify potentially relevant records. The search strategy used in each database was developed in an iterative manner using a combination of free text and controlled vocabulary (MeSH/EMTREE)</w:t>
      </w:r>
      <w:hyperlink w:anchor="ref-lefebvre2019searching">
        <w:r>
          <w:rPr>
            <w:rStyle w:val="Hyperlink"/>
            <w:vertAlign w:val="superscript"/>
          </w:rPr>
          <w:t xml:space="preserve">68</w:t>
        </w:r>
      </w:hyperlink>
      <w:r>
        <w:t xml:space="preserve"> </w:t>
      </w:r>
      <w:r>
        <w:t xml:space="preserve">terms to identify studies which have examined the relationship between blood lipids levels and dementia, incorporating input from an information specialist. The strategy will include terms related to lipids, lipid modifying treatments, and dementia and its sub-types,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draft search strategies for each database are presented in Appendix</w:t>
      </w:r>
      <w:r>
        <w:t xml:space="preserve"> </w:t>
      </w:r>
      <w:r>
        <w:t xml:space="preserve">9.2.1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9.2.1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9.2.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Dementia/Mild Cognitive Impairment</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To ensure that the study design filters are not excluding potentially relevant records, a random sample of 500 records identified by the main search but excluded by the filters (defined as</w:t>
      </w:r>
      <w:r>
        <w:t xml:space="preserve"> </w:t>
      </w:r>
      <w:r>
        <w:t xml:space="preserve">“</w:t>
      </w:r>
      <w:r>
        <w:t xml:space="preserve">8 NOT 14</w:t>
      </w:r>
      <w:r>
        <w:t xml:space="preserve">”</w:t>
      </w:r>
      <w:r>
        <w:t xml:space="preserve"> </w:t>
      </w:r>
      <w:r>
        <w:t xml:space="preserve">in Table</w:t>
      </w:r>
      <w:r>
        <w:t xml:space="preserve"> </w:t>
      </w:r>
      <w:r>
        <w:t xml:space="preserve">6</w:t>
      </w:r>
      <w:r>
        <w:t xml:space="preserve">) was screened. If any potentially relevant studies are identified, their titles and abstracts were searched for key terms that can be incorporated into the filters to improve search sensitivity.</w:t>
      </w:r>
    </w:p>
    <w:p>
      <w:pPr>
        <w:pStyle w:val="BodyText"/>
      </w:pPr>
      <w:r>
        <w:t xml:space="preserve">The following databases were searched from inception onwards: Medline, EMBASE, Psychinfo, Cochrane Central Register of Controlled Trials (CENTRAL), and Web of Science Core Collection (for the specific databases available thi via the University). We will also search clinical trial registries, for example ClinicalTrials.gov, to identify relevant randomized controlled trials. As the contents of the Web of Science Core COllection can vary by institution, the specific database searched via this platform are listed in Appendix</w:t>
      </w:r>
      <w:r>
        <w:t xml:space="preserve"> </w:t>
      </w:r>
      <w:r>
        <w:t xml:space="preserve">9.2.2</w:t>
      </w:r>
      <w:r>
        <w:t xml:space="preserve">.</w:t>
      </w:r>
    </w:p>
    <w:p>
      <w:pPr>
        <w:pStyle w:val="BodyText"/>
      </w:pPr>
      <w:r>
        <w:t xml:space="preserve">The abstracts list of relevant conferences (e.g. the proceedings of the Alzheimer’s Association International Conference, published in the journal Alzheimer’s &amp; Dementia) were searched by hand.</w:t>
      </w:r>
      <w:r>
        <w:t xml:space="preserve"> </w:t>
      </w:r>
    </w:p>
    <w:p>
      <w:pPr>
        <w:pStyle w:val="BodyText"/>
      </w:pPr>
      <w:r>
        <w:t xml:space="preserve">Grey literature will also be searched via ProQuest, OpenGrey and Web of Science Conference Proceedings Citation Index, while theses were accessed using the Open Access Theses and Dissertations portal. We will also search bioRxiv and medRxiv, preprint repositories using a tool built as part of this thesis, to identify potentially relevant studies. Finally, the reference lists of included studies were searched by hand while studies citing included studies will be examined using Google Scholar (forward and reverse citation searching).</w:t>
      </w:r>
    </w:p>
    <w:bookmarkEnd w:id="96"/>
    <w:bookmarkStart w:id="100"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112</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Screening (both title/abstract and full-text) was performed using a combination of Endnote, a citation management tool,</w:t>
      </w:r>
      <w:hyperlink w:anchor="ref-hupe2019">
        <w:r>
          <w:rPr>
            <w:rStyle w:val="Hyperlink"/>
            <w:vertAlign w:val="superscript"/>
          </w:rPr>
          <w:t xml:space="preserve">113</w:t>
        </w:r>
      </w:hyperlink>
      <w:r>
        <w:t xml:space="preserve"> </w:t>
      </w:r>
      <w:r>
        <w:t xml:space="preserve">and Rayyan, a web-based screening application.</w:t>
      </w:r>
      <w:hyperlink w:anchor="ref-ouzzani2016">
        <w:r>
          <w:rPr>
            <w:rStyle w:val="Hyperlink"/>
            <w:vertAlign w:val="superscript"/>
          </w:rPr>
          <w:t xml:space="preserve">114</w:t>
        </w:r>
      </w:hyperlink>
      <w:r>
        <w:t xml:space="preserve"> </w:t>
      </w:r>
      <w:r>
        <w:t xml:space="preserve">Title and abstract screening to remove obviously irrelevant records was performed primarily by the primary author, with a random selection of excluded records being screened in duplicate to ensure consistency with the inclusion criteria.</w:t>
      </w:r>
    </w:p>
    <w:p>
      <w:pPr>
        <w:pStyle w:val="BodyText"/>
      </w:pPr>
      <w:r>
        <w:t xml:space="preserve">Full-text screening will also be completed in full by the primary author. A second reviewer screened a random sample (approx 10%) of included and excluded records, in addition to any records identified by the first reviewer as being difficult to assess against the inclusion criteria. Reasons for exclusion at this stage were recorded. Disagreements occurring during either stage of the screening process were resolved through discussion with a senior colleague. A PRIMSA flow diagram will be produced to document how records moved through the review.</w:t>
      </w:r>
      <w:hyperlink w:anchor="ref-page2021">
        <w:r>
          <w:rPr>
            <w:rStyle w:val="Hyperlink"/>
            <w:vertAlign w:val="superscript"/>
          </w:rPr>
          <w:t xml:space="preserve">78</w:t>
        </w:r>
      </w:hyperlink>
    </w:p>
    <w:bookmarkStart w:id="97" w:name="inclusion-criteria"/>
    <w:p>
      <w:pPr>
        <w:pStyle w:val="Heading4"/>
      </w:pPr>
      <w:r>
        <w:t xml:space="preserve">Inclusion criteria</w:t>
      </w:r>
    </w:p>
    <w:p>
      <w:pPr>
        <w:pStyle w:val="FirstParagraph"/>
      </w:pPr>
      <w:r>
        <w:t xml:space="preserve">We will seek studies that examine the relationship between blood lipid levels (or any specific lipid fraction, including total cholesterol, HDL, LDL, and triglycerides) and risk of incident dementia/MCI. 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free (or assumed to be free) of dementia/MCI at baseline. Studies of any duration were included to allow for exploration of the effect of length of follow-up on the effect estimate using meta-regression. No limits will be placed on the sample size of included studies.</w:t>
      </w:r>
    </w:p>
    <w:p>
      <w:pPr>
        <w:pStyle w:val="BodyText"/>
      </w:pPr>
      <w:r>
        <w:t xml:space="preserve">Eligible studies defined dementia according to recognised criteria, for example the National Institute of Neurological Disorders and Stroke Association-Internationale pour la Recherche en l’Enseignement en Neurosciences (NINDS-AIREN), International Classification of Diseases (ICD), or Diagnostic and Statistical Manual of Mental Disorders (DSM) criteria.</w:t>
      </w:r>
      <w:r>
        <w:t xml:space="preserve"> </w:t>
      </w:r>
      <w:r>
        <w:t xml:space="preserve"> </w:t>
      </w:r>
      <w:r>
        <w:t xml:space="preserve">For MCI, eligible studies are those that attempted state a definition for diagnoses of MCI (e.g. an adapted version of the Petersen criteria)</w:t>
      </w:r>
      <w:hyperlink w:anchor="ref-petersen1999">
        <w:r>
          <w:rPr>
            <w:rStyle w:val="Hyperlink"/>
            <w:vertAlign w:val="superscript"/>
          </w:rPr>
          <w:t xml:space="preserve">115</w:t>
        </w:r>
      </w:hyperlink>
      <w:r>
        <w:t xml:space="preserve"> and create ordinal groups of patients (e.g. no dementia or dementia/MCI/dementia) based on this definition.</w:t>
      </w:r>
    </w:p>
    <w:p>
      <w:pPr>
        <w:pStyle w:val="BodyText"/>
      </w:pPr>
      <w:r>
        <w:t xml:space="preserve">No limitations will be imposed on publication status, publication date, venue or language, although sufficiently detailed reports of the studies to be able to examine their methods were required for inclusion.</w:t>
      </w:r>
    </w:p>
    <w:bookmarkEnd w:id="97"/>
    <w:bookmarkStart w:id="98" w:name="exclusion-criteria"/>
    <w:p>
      <w:pPr>
        <w:pStyle w:val="Heading4"/>
      </w:pPr>
      <w:r>
        <w:t xml:space="preserve">Exclusion criteria</w:t>
      </w:r>
    </w:p>
    <w:p>
      <w:pPr>
        <w:pStyle w:val="FirstParagraph"/>
      </w:pPr>
      <w:r>
        <w:t xml:space="preserve">Case-control studies, cross-sectional studies, qualitative studies, case reports/series and narrative reviews will be excluded. Studies which present no evidence of attempting to exclude prevalent cases from their analyses will also be excluded. Studies that measure change in continuous cognitive measures (e.g. MoCA score) without attempt to map these scores to ordinal groups (e.g. no dementia/MCI/dementia) will be excluded. Conference abstracts with no corresponding full-text publication will be examined, and we will contact authors to obtain information on the study’s status. Studies that are reported in insufficient detail (e.g. only in conference abstracts, new, letters, editorials and opinion) will be excluded. Previous systematic reviews will not be eligible, but their reference lists will be screened to identify any potentially relevant articles. 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will be excluded.</w:t>
      </w:r>
    </w:p>
    <w:p>
      <w:pPr>
        <w:pStyle w:val="BodyText"/>
      </w:pPr>
      <w:r>
        <w:t xml:space="preserve">Excluded studies performing autopsy unless it was done under accepted criteria Exclude studies using a dietary intervention, for example omega-3 fatty acid enriched diet, as it hard to disentangle the effect of other elements contained within te diet, vs simple tablet based supplements of</w:t>
      </w:r>
    </w:p>
    <w:p>
      <w:pPr>
        <w:pStyle w:val="BodyText"/>
      </w:pPr>
      <w:r>
        <w:t xml:space="preserve"> </w:t>
      </w:r>
    </w:p>
    <w:bookmarkEnd w:id="98"/>
    <w:bookmarkStart w:id="99" w:name="assessment-of-inter-rater-reliability"/>
    <w:p>
      <w:pPr>
        <w:pStyle w:val="Heading4"/>
      </w:pPr>
      <w:r>
        <w:t xml:space="preserve">Assessment of inter-rater reliability</w:t>
      </w:r>
    </w:p>
    <w:p>
      <w:pPr>
        <w:pStyle w:val="FirstParagraph"/>
      </w:pPr>
      <w:r>
        <w:t xml:space="preserve">Inter- and intra-rater reliability was assessed for a 10% sub-sample of records at the title and abstract screening stage. Intra-rater reliability involved a single reviewer applying the inclusion criteria to the same set of records while blinded to their previous decisions, while inter-rater reliability involved two reviewers independently screening the same set of records.</w:t>
      </w:r>
    </w:p>
    <w:p>
      <w:pPr>
        <w:pStyle w:val="BodyText"/>
      </w:pPr>
      <w:r>
        <w:t xml:space="preserve">If this approach demonstrates a significant level of erroneous exclusion by the primary author a larger proportion will be dual-screened.</w:t>
      </w:r>
    </w:p>
    <w:p>
      <w:pPr>
        <w:pStyle w:val="BodyText"/>
      </w:pPr>
      <w:r>
        <w:t xml:space="preserve">Rater reliability was assessed using Gwet’s agreement coefficient (AC1).</w:t>
      </w:r>
      <w:hyperlink w:anchor="ref-gwet2008">
        <w:r>
          <w:rPr>
            <w:rStyle w:val="Hyperlink"/>
            <w:vertAlign w:val="superscript"/>
          </w:rPr>
          <w:t xml:space="preserve">116</w:t>
        </w:r>
      </w:hyperlink>
      <w:r>
        <w:t xml:space="preserve"> </w:t>
      </w:r>
      <w:r>
        <w:t xml:space="preserve">This measure of inter-rater reliability was chosen over other methods of assessing inter-rater reliability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116</w:t>
        </w:r>
      </w:hyperlink>
      <w:r>
        <w:t xml:space="preserve"> </w:t>
      </w:r>
      <w:r>
        <w:t xml:space="preserve">Given the small number of included studies in this review, this is an important characteristic.</w:t>
      </w:r>
    </w:p>
    <w:p>
      <w:pPr>
        <w:pStyle w:val="BodyText"/>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3</m:t>
          </m:r>
          <m:r>
            <m:rPr>
              <m:sty m:val="p"/>
            </m:rPr>
            <m:t>)</m:t>
          </m:r>
        </m:oMath>
      </m:oMathPara>
    </w:p>
    <w:p>
      <w:pPr>
        <w:pStyle w:val="FirstParagraph"/>
      </w:pPr>
      <w:r>
        <w:t xml:space="preserve">How to interpret agreement co-efficients is widely debated, and while arbitary cut-off values may mislead,</w:t>
      </w:r>
      <w:hyperlink w:anchor="ref-brennan1992">
        <w:r>
          <w:rPr>
            <w:rStyle w:val="Hyperlink"/>
            <w:vertAlign w:val="superscript"/>
          </w:rPr>
          <w:t xml:space="preserve">119</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120</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bookmarkEnd w:id="99"/>
    <w:bookmarkEnd w:id="100"/>
    <w:bookmarkStart w:id="101" w:name="data-extraction"/>
    <w:p>
      <w:pPr>
        <w:pStyle w:val="Heading3"/>
      </w:pPr>
      <w:r>
        <w:t xml:space="preserve">Data extraction</w:t>
      </w:r>
    </w:p>
    <w:p>
      <w:pPr>
        <w:pStyle w:val="FirstParagraph"/>
      </w:pPr>
      <w:r>
        <w:t xml:space="preserve">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p>
    <w:p>
      <w:pPr>
        <w:pStyle w:val="BodyText"/>
      </w:pPr>
      <w:r>
        <w:t xml:space="preserve">Following guidance for a dose response meta-analysis, I picked midpoint for all studies where bands were provided (extremely common in the case of lipids)</w:t>
      </w:r>
    </w:p>
    <w:p>
      <w:pPr>
        <w:pStyle w:val="BodyText"/>
      </w:pPr>
      <w:r>
        <w:t xml:space="preserve">This analysis was unusual, as multiple methods of integration and analysis were required with data spanning many forms.</w:t>
      </w:r>
    </w:p>
    <w:p>
      <w:pPr>
        <w:pStyle w:val="BodyText"/>
      </w:pPr>
      <w:r>
        <w:t xml:space="preserve">A piloted data extraction for was used. I extracted the data in the first instance and subset was checked by a colleague for accuracy.</w:t>
      </w:r>
    </w:p>
    <w:p>
      <w:pPr>
        <w:pStyle w:val="BodyText"/>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bookmarkEnd w:id="101"/>
    <w:bookmarkStart w:id="106" w:name="risk-of-bias"/>
    <w:p>
      <w:pPr>
        <w:pStyle w:val="Heading3"/>
      </w:pPr>
      <w:r>
        <w:t xml:space="preserve">Risk of 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2.6.2</w:t>
      </w:r>
      <w:r>
        <w:t xml:space="preserve"> </w:t>
      </w:r>
      <w:r>
        <w:t xml:space="preserve">and Section</w:t>
      </w:r>
      <w:r>
        <w:t xml:space="preserve"> </w:t>
      </w:r>
      <w:r>
        <w:t xml:space="preserve">7.1.1</w:t>
      </w:r>
      <w:r>
        <w:t xml:space="preserve"> </w:t>
      </w:r>
      <w:r>
        <w:t xml:space="preserve">for an overview of triangulation). To enable this triangulation exercise, a detailed and structured risk of 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79</w:t>
        </w:r>
      </w:hyperlink>
      <w:r>
        <w:rPr>
          <w:vertAlign w:val="superscript"/>
        </w:rPr>
        <w:t xml:space="preserve">,</w:t>
      </w:r>
      <w:hyperlink w:anchor="ref-sterne2016">
        <w:r>
          <w:rPr>
            <w:rStyle w:val="Hyperlink"/>
            <w:vertAlign w:val="superscript"/>
          </w:rPr>
          <w:t xml:space="preserve">121</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122</w:t>
        </w:r>
      </w:hyperlink>
      <w:r>
        <w:rPr>
          <w:vertAlign w:val="superscript"/>
        </w:rPr>
        <w:t xml:space="preserve">,</w:t>
      </w:r>
      <w:hyperlink w:anchor="ref-juni2001">
        <w:r>
          <w:rPr>
            <w:rStyle w:val="Hyperlink"/>
            <w:vertAlign w:val="superscript"/>
          </w:rPr>
          <w:t xml:space="preserve">123</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and challenges in the comparison of results from different tools.</w:t>
      </w:r>
    </w:p>
    <w:p>
      <w:pPr>
        <w:pStyle w:val="BodyText"/>
      </w:pPr>
      <w:r>
        <w:t xml:space="preserve">As part of this, the community also moved from checklist or score based tools towards domain-based methods, in which different potential sources of bias in a study are assessed in order.</w:t>
      </w:r>
    </w:p>
    <w:p>
      <w:pPr>
        <w:pStyle w:val="BodyText"/>
      </w:pPr>
      <w:r>
        <w:t xml:space="preserve">Additionally, results should be assessed at the result (defined as a a specific outcome at a specific timepoint) rather than the study level. For example, a study may report on the efficacy of an intervention at 6 months and two years follow-up. missing outcome data that is not an issues at 6 months may introduce bias at 2 year follow-up. In this case, assigning a bias judgement to the study as a whole hides this differential biases for each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In addition, the tool also aim to capture the potential direction of bias for each given domain. An optional question at the end of each domain, e.g. for Domain 1 of the RoB2 tool:</w:t>
      </w:r>
      <w:r>
        <w:t xml:space="preserve"> </w:t>
      </w:r>
      <w:r>
        <w:t xml:space="preserve">“</w:t>
      </w:r>
      <w:r>
        <w:t xml:space="preserve">What is the predicted direction of bias arising from the randomization process?</w:t>
      </w:r>
      <w:r>
        <w:t xml:space="preserve">”</w:t>
      </w:r>
      <w:r>
        <w:t xml:space="preserve">, possible responses included</w:t>
      </w:r>
    </w:p>
    <w:p>
      <w:pPr>
        <w:numPr>
          <w:ilvl w:val="0"/>
          <w:numId w:val="1009"/>
        </w:numPr>
        <w:pStyle w:val="Compact"/>
      </w:pPr>
      <w:r>
        <w:t xml:space="preserve">Not applicable</w:t>
      </w:r>
    </w:p>
    <w:p>
      <w:pPr>
        <w:numPr>
          <w:ilvl w:val="0"/>
          <w:numId w:val="1009"/>
        </w:numPr>
        <w:pStyle w:val="Compact"/>
      </w:pPr>
      <w:r>
        <w:t xml:space="preserve">Favours experimental</w:t>
      </w:r>
    </w:p>
    <w:p>
      <w:pPr>
        <w:numPr>
          <w:ilvl w:val="0"/>
          <w:numId w:val="1009"/>
        </w:numPr>
        <w:pStyle w:val="Compact"/>
      </w:pPr>
      <w:r>
        <w:t xml:space="preserve">Favours comparator</w:t>
      </w:r>
    </w:p>
    <w:p>
      <w:pPr>
        <w:numPr>
          <w:ilvl w:val="0"/>
          <w:numId w:val="1009"/>
        </w:numPr>
        <w:pStyle w:val="Compact"/>
      </w:pPr>
      <w:r>
        <w:t xml:space="preserve">Towards null</w:t>
      </w:r>
    </w:p>
    <w:p>
      <w:pPr>
        <w:numPr>
          <w:ilvl w:val="0"/>
          <w:numId w:val="1009"/>
        </w:numPr>
        <w:pStyle w:val="Compact"/>
      </w:pPr>
      <w:r>
        <w:t xml:space="preserve">Away from null</w:t>
      </w:r>
    </w:p>
    <w:p>
      <w:pPr>
        <w:numPr>
          <w:ilvl w:val="0"/>
          <w:numId w:val="1009"/>
        </w:numPr>
        <w:pStyle w:val="Compact"/>
      </w:pPr>
      <w:r>
        <w:t xml:space="preserve">Unpredictable</w:t>
      </w:r>
    </w:p>
    <w:bookmarkStart w:id="102" w:name="randomised-controlled-trials-1"/>
    <w:p>
      <w:pPr>
        <w:pStyle w:val="Heading4"/>
      </w:pPr>
      <w:r>
        <w:t xml:space="preserve">Randomised controlled trials</w:t>
      </w:r>
    </w:p>
    <w:p>
      <w:pPr>
        <w:pStyle w:val="FirstParagraph"/>
      </w:pPr>
      <w:r>
        <w:t xml:space="preserve">Risk of bias assessment in randomised controlled trials was performed using the domain-based risk-of-bias assessment tool appropriate to the study design. Randomized controlled trials were assessed using the RoB2 tool,</w:t>
      </w:r>
      <w:hyperlink w:anchor="ref-sterne2019">
        <w:r>
          <w:rPr>
            <w:rStyle w:val="Hyperlink"/>
            <w:vertAlign w:val="superscript"/>
          </w:rPr>
          <w:t xml:space="preserve">124</w:t>
        </w:r>
      </w:hyperlink>
      <w:r>
        <w:t xml:space="preserve">,</w:t>
      </w:r>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w:t>
      </w:r>
    </w:p>
    <w:p>
      <w:pPr>
        <w:pStyle w:val="BodyText"/>
      </w:pPr>
      <w:r>
        <w:t xml:space="preserve">One a domain-level judgement for each domain has been assigned, an overall judgement, using the same three levels of risk of bias, is assigned to</w:t>
      </w:r>
    </w:p>
    <w:bookmarkEnd w:id="102"/>
    <w:bookmarkStart w:id="103" w:name="Xf513088a1d727e17747470e463abbbf95a6cdc7"/>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w:t>
      </w:r>
      <w:r>
        <w:t xml:space="preserve"> </w:t>
      </w:r>
      <w:r>
        <w:t xml:space="preserve"> </w:t>
      </w:r>
      <w:r>
        <w:t xml:space="preserve">tool.</w:t>
      </w:r>
      <w:hyperlink w:anchor="ref-sterne2016">
        <w:r>
          <w:rPr>
            <w:rStyle w:val="Hyperlink"/>
            <w:vertAlign w:val="superscript"/>
          </w:rPr>
          <w:t xml:space="preserve">121</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the RoB 2, it has a number of prompting questions per domain, with judgements including. Ideally, obs studies assessed in reference to an idealised randomised controlled trial. Further, the rare overall judgement of Low should be considered equivalent to a randomised controlled trial.</w:t>
      </w:r>
    </w:p>
    <w:p>
      <w:pPr>
        <w:pStyle w:val="BodyText"/>
      </w:pPr>
      <w:r>
        <w:t xml:space="preserve">For non-randomised studies of exposures (NRSE), I opted to use a preliminary version of the ROBINS-E tool, despite it still being in development.</w:t>
      </w:r>
      <w:hyperlink w:anchor="ref-morganr2020">
        <w:r>
          <w:rPr>
            <w:rStyle w:val="Hyperlink"/>
            <w:vertAlign w:val="superscript"/>
          </w:rPr>
          <w:t xml:space="preserve">125</w:t>
        </w:r>
      </w:hyperlink>
      <w:r>
        <w:t xml:space="preserve"> </w:t>
      </w:r>
      <w:r>
        <w:t xml:space="preserve">While the signalling questions for each domain are yet to be confirmed, the overarching domains have been finalised.</w:t>
      </w:r>
    </w:p>
    <w:p>
      <w:pPr>
        <w:pStyle w:val="BodyText"/>
      </w:pPr>
      <w:r>
        <w:t xml:space="preserve">Despite these limitations, I chose this approach in place of other existing published tools such as the Newcastle-Ottowa scale (NOS).</w:t>
      </w:r>
      <w:hyperlink w:anchor="ref-wells2000">
        <w:r>
          <w:rPr>
            <w:rStyle w:val="Hyperlink"/>
            <w:vertAlign w:val="superscript"/>
          </w:rPr>
          <w:t xml:space="preserve">126</w:t>
        </w:r>
      </w:hyperlink>
      <w:r>
        <w:t xml:space="preserve"> </w:t>
      </w:r>
      <w:r>
        <w:t xml:space="preserve">The motivation for this decision was two-fold. In the first instance, as mentioned in the introduction to this section, using a domain-based tool has distinct advantages over better-developed checklist-type tools such as the NOS. In addition, using a domain-based tool enabled better comparison with risk-of-bias assessments performed for the other study designs.</w:t>
      </w:r>
    </w:p>
    <w:bookmarkEnd w:id="103"/>
    <w:bookmarkStart w:id="104" w:name="mendelian-randomisation-studies"/>
    <w:p>
      <w:pPr>
        <w:pStyle w:val="Heading4"/>
      </w:pPr>
      <w:r>
        <w:t xml:space="preserve">Mendelian randomisation studies</w:t>
      </w:r>
    </w:p>
    <w:p>
      <w:pPr>
        <w:pStyle w:val="FirstParagraph"/>
      </w:pPr>
      <w:r>
        <w:t xml:space="preserve">At present, no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127</w:t>
        </w:r>
      </w:hyperlink>
      <w:r>
        <w:t xml:space="preserve"> </w:t>
      </w:r>
      <w:r>
        <w:t xml:space="preserve">as identified by a review of risk of bias assessments in systematic reviews of MR studies. A copy of this tool is available in Appendix</w:t>
      </w:r>
      <w:r>
        <w:t xml:space="preserve"> </w:t>
      </w:r>
      <w:r>
        <w:t xml:space="preserve">9.2.4</w:t>
      </w:r>
      <w:r>
        <w:t xml:space="preserve">. Advance results from this review of bias assessment in MR studies were obtained from contact with the authors.</w:t>
      </w:r>
    </w:p>
    <w:bookmarkEnd w:id="104"/>
    <w:bookmarkStart w:id="105" w:name="risk-of-bias-due-to-missing-evidence"/>
    <w:p>
      <w:pPr>
        <w:pStyle w:val="Heading4"/>
      </w:pPr>
      <w:r>
        <w:t xml:space="preserve">Risk of bias due to missing evidence</w:t>
      </w:r>
    </w:p>
    <w:p>
      <w:pPr>
        <w:pStyle w:val="FirstParagraph"/>
      </w:pPr>
      <w:r>
        <w:t xml:space="preserve">A recent shift towards the assessment of missing evidence due to selective non-reporting (as distinct from the selective reporting of a single result from multiple planned - handled in Domain 5 of the RoB 2 tool for example).</w:t>
      </w:r>
    </w:p>
    <w:p>
      <w:pPr>
        <w:pStyle w:val="BodyText"/>
      </w:pPr>
      <w:r>
        <w:t xml:space="preserve">As part of this review, I piloted the RoB-ME (Risk of Bias due to Missing Evidence in a synthesis) tool.</w:t>
      </w:r>
      <w:r>
        <w:t xml:space="preserve"> </w:t>
      </w:r>
      <w:r>
        <w:t xml:space="preserve"> </w:t>
      </w:r>
      <w:r>
        <w:t xml:space="preserve">Results were visualise</w:t>
      </w:r>
    </w:p>
    <w:bookmarkEnd w:id="105"/>
    <w:bookmarkEnd w:id="106"/>
    <w:bookmarkStart w:id="107" w:name="studification"/>
    <w:p>
      <w:pPr>
        <w:pStyle w:val="Heading3"/>
      </w:pPr>
      <w:r>
        <w:t xml:space="preserve">Studification</w:t>
      </w:r>
    </w:p>
    <w:p>
      <w:pPr>
        <w:pStyle w:val="FirstParagraph"/>
      </w:pPr>
      <w:r>
        <w:t xml:space="preserve">Multiple publications resulting from the analysis of the same data were included and grouped ().</w:t>
      </w:r>
    </w:p>
    <w:p>
      <w:pPr>
        <w:pStyle w:val="BodyText"/>
      </w:pPr>
      <w:r>
        <w:t xml:space="preserve">In the advent of multiple papers reporting results on the same cohort, but say, at different time points, I used a process of studifiction to build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duplicate records. Instead, they were considered as different reports of the same study. This is due to the potential for the published version to offer some information that the preprint did not, and vice versa.</w:t>
      </w:r>
    </w:p>
    <w:bookmarkEnd w:id="107"/>
    <w:bookmarkStart w:id="108" w:name="contacting-authors"/>
    <w:p>
      <w:pPr>
        <w:pStyle w:val="Heading3"/>
      </w:pPr>
      <w:r>
        <w:t xml:space="preserve">Following up with authors</w:t>
      </w:r>
    </w:p>
    <w:p>
      <w:pPr>
        <w:pStyle w:val="FirstParagraph"/>
      </w:pPr>
      <w:r>
        <w:t xml:space="preserve">Where data points required either for the analysis or risk-of-bias assessment but were not reported, the primary authors of the study were contacted. This approach was taken due to the potentially large impact of following up with authors on the results of the review,</w:t>
      </w:r>
      <w:hyperlink w:anchor="ref-reynders2019">
        <w:r>
          <w:rPr>
            <w:rStyle w:val="Hyperlink"/>
            <w:vertAlign w:val="superscript"/>
          </w:rPr>
          <w:t xml:space="preserve">128</w:t>
        </w:r>
      </w:hyperlink>
    </w:p>
    <w:p>
      <w:pPr>
        <w:pStyle w:val="BodyText"/>
      </w:pPr>
      <w:r>
        <w:t xml:space="preserve">This was particular important for the dose response meta-analysis, we</w:t>
      </w:r>
    </w:p>
    <w:p>
      <w:pPr>
        <w:pStyle w:val="BodyText"/>
      </w:pPr>
      <w:r>
        <w:t xml:space="preserve">Use the example of getting the cut-off points from the</w:t>
      </w:r>
    </w:p>
    <w:bookmarkEnd w:id="108"/>
    <w:bookmarkStart w:id="112" w:name="analysis-methods"/>
    <w:p>
      <w:pPr>
        <w:pStyle w:val="Heading3"/>
      </w:pPr>
      <w:r>
        <w:t xml:space="preserve">Analysis methods</w:t>
      </w:r>
    </w:p>
    <w:bookmarkStart w:id="109" w:name="standard-meta-analysis"/>
    <w:p>
      <w:pPr>
        <w:pStyle w:val="Heading4"/>
      </w:pPr>
      <w:r>
        <w:t xml:space="preserve">Standard meta-analysis</w:t>
      </w:r>
    </w:p>
    <w:p>
      <w:pPr>
        <w:pStyle w:val="FirstParagraph"/>
      </w:pPr>
      <w:r>
        <w:t xml:space="preserve">Meta-analysis is an important method of . . .</w:t>
      </w:r>
    </w:p>
    <w:p>
      <w:pPr>
        <w:pStyle w:val="BodyText"/>
      </w:pPr>
      <w:r>
        <w:t xml:space="preserve">Both a fixed-effect and random-effects meta-analysis model was.</w:t>
      </w:r>
    </w:p>
    <w:p>
      <w:pPr>
        <w:pStyle w:val="BodyText"/>
      </w:pPr>
      <w:r>
        <w:t xml:space="preserve">For</w:t>
      </w:r>
    </w:p>
    <w:p>
      <w:pPr>
        <w:pStyle w:val="BodyText"/>
      </w:pPr>
      <w:r>
        <w:t xml:space="preserve">Need formula here, and description of different methods and quarrels regarding distinction fixed effect vs random effects meta-analyses.</w:t>
      </w:r>
    </w:p>
    <w:p>
      <w:pPr>
        <w:pStyle w:val="BodyText"/>
      </w:pPr>
      <w:r>
        <w:t xml:space="preserve">This analytical approach was used for</w:t>
      </w:r>
    </w:p>
    <w:p>
      <w:pPr>
        <w:pStyle w:val="BodyText"/>
      </w:pPr>
      <m:oMathPara>
        <m:oMathParaPr>
          <m:jc m:val="center"/>
        </m:oMathParaPr>
        <m:oMath>
          <m:r>
            <m:t>w</m:t>
          </m:r>
          <m:r>
            <m:t>e</m:t>
          </m:r>
          <m:r>
            <m:t>i</m:t>
          </m:r>
          <m:r>
            <m:t>g</m:t>
          </m:r>
          <m:r>
            <m:t>h</m:t>
          </m:r>
          <m:r>
            <m:t>t</m:t>
          </m:r>
          <m:r>
            <m:t>e</m:t>
          </m:r>
          <m:r>
            <m:t>d</m:t>
          </m:r>
          <m:r>
            <m:t> </m:t>
          </m:r>
          <m:r>
            <m:t>a</m:t>
          </m:r>
          <m:r>
            <m:t>v</m:t>
          </m:r>
          <m:r>
            <m:t>e</m:t>
          </m:r>
          <m:r>
            <m:t>r</m:t>
          </m:r>
          <m:r>
            <m:t>a</m:t>
          </m:r>
          <m:r>
            <m:t>g</m:t>
          </m:r>
          <m:r>
            <m:t>e</m:t>
          </m:r>
          <m:r>
            <m:rPr>
              <m:sty m:val="p"/>
            </m:rPr>
            <m:t>=</m:t>
          </m:r>
          <m:f>
            <m:fPr>
              <m:type m:val="bar"/>
            </m:fPr>
            <m:num>
              <m:r>
                <m:rPr>
                  <m:sty m:val="p"/>
                </m:rPr>
                <m:t>∑</m:t>
              </m:r>
              <m:sSub>
                <m:e>
                  <m:r>
                    <m:t>Y</m:t>
                  </m:r>
                </m:e>
                <m:sub>
                  <m:r>
                    <m:t>i</m:t>
                  </m:r>
                </m:sub>
              </m:sSub>
              <m:r>
                <m:rPr>
                  <m:sty m:val="p"/>
                </m:rPr>
                <m:t>(</m:t>
              </m:r>
              <m:r>
                <m:t>1</m:t>
              </m:r>
              <m:r>
                <m:rPr>
                  <m:sty m:val="p"/>
                </m:rPr>
                <m:t>/</m:t>
              </m:r>
              <m:r>
                <m:t>S</m:t>
              </m:r>
              <m:sSubSup>
                <m:e>
                  <m:r>
                    <m:t>E</m:t>
                  </m:r>
                </m:e>
                <m:sub>
                  <m:r>
                    <m:t>i</m:t>
                  </m:r>
                </m:sub>
                <m:sup>
                  <m:r>
                    <m:t>2</m:t>
                  </m:r>
                </m:sup>
              </m:sSubSup>
              <m:r>
                <m:rPr>
                  <m:sty m:val="p"/>
                </m:rPr>
                <m:t>)</m:t>
              </m:r>
            </m:num>
            <m:den>
              <m:r>
                <m:rPr>
                  <m:sty m:val="p"/>
                </m:rPr>
                <m:t>∑</m:t>
              </m:r>
              <m:r>
                <m:rPr>
                  <m:sty m:val="p"/>
                </m:rPr>
                <m:t>(</m:t>
              </m:r>
              <m:r>
                <m:t>1</m:t>
              </m:r>
              <m:r>
                <m:rPr>
                  <m:sty m:val="p"/>
                </m:rPr>
                <m:t>/</m:t>
              </m:r>
              <m:r>
                <m:t>S</m:t>
              </m:r>
              <m:sSubSup>
                <m:e>
                  <m:r>
                    <m:t>E</m:t>
                  </m:r>
                </m:e>
                <m:sub>
                  <m:r>
                    <m:t>i</m:t>
                  </m:r>
                </m:sub>
                <m:sup>
                  <m:r>
                    <m:t>2</m:t>
                  </m:r>
                </m:sup>
              </m:sSubSup>
              <m:r>
                <m:rPr>
                  <m:sty m:val="p"/>
                </m:rPr>
                <m:t>)</m:t>
              </m:r>
            </m:den>
          </m:f>
          <m:r>
            <m:t>  </m:t>
          </m:r>
          <m:r>
            <m:rPr>
              <m:sty m:val="p"/>
            </m:rPr>
            <m:t>(</m:t>
          </m:r>
          <m:r>
            <m:t>5</m:t>
          </m:r>
          <m:r>
            <m:rPr>
              <m:sty m:val="p"/>
            </m:rPr>
            <m:t>)</m:t>
          </m:r>
        </m:oMath>
      </m:oMathPara>
    </w:p>
    <w:p>
      <w:pPr>
        <w:pStyle w:val="FirstParagraph"/>
      </w:pPr>
      <w:r>
        <w:t xml:space="preserve">where …</w:t>
      </w:r>
    </w:p>
    <w:bookmarkEnd w:id="109"/>
    <w:bookmarkStart w:id="110"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w:t>
      </w:r>
    </w:p>
    <w:p>
      <w:pPr>
        <w:pStyle w:val="BodyText"/>
      </w:pPr>
      <w:r>
        <w:t xml:space="preserve">Where possible, data for all exposure groups was extracted, and this</w:t>
      </w:r>
      <w:r>
        <w:t xml:space="preserve"> </w:t>
      </w:r>
      <w:r>
        <w:t xml:space="preserve"> </w:t>
      </w:r>
      <w:r>
        <w:t xml:space="preserve">. Studies were excluded from this analysis if the number of categories was less than three, if the exposure cut-off points for for each category were not presented (e.g. if the study reports splitting participants into quartiles and comparing the highest vs lowest without giving the quartile bands in mmol/L).</w:t>
      </w:r>
    </w:p>
    <w:p>
      <w:pPr>
        <w:pStyle w:val="BodyText"/>
      </w:pPr>
      <w:r>
        <w:t xml:space="preserve">A XXXX spline model was fitted to allow for a non-linear relationship, for example a U or J-shaped relationship, where low and high levels of an exposure can have an effect versus the</w:t>
      </w:r>
      <w:r>
        <w:t xml:space="preserve"> </w:t>
      </w:r>
      <w:r>
        <w:t xml:space="preserve">“</w:t>
      </w:r>
      <w:r>
        <w:t xml:space="preserve">normal</w:t>
      </w:r>
      <w:r>
        <w:t xml:space="preserve">”</w:t>
      </w:r>
      <w:r>
        <w:t xml:space="preserve"> </w:t>
      </w:r>
      <w:r>
        <w:t xml:space="preserve">reference dose.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Due to the requirements for the dose response analysis, studies were excluded from this secondary analysis if they did not provide the require information: cut-off points. Where this was not reported in the study, I contacted the corresponding author to attempt to obtain the required information (see</w:t>
      </w:r>
      <w:r>
        <w:t xml:space="preserve"> </w:t>
      </w:r>
      <w:r>
        <w:t xml:space="preserve">4.3.8</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widht of the higest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I assumed the width of the category to be the same as the adjacent category.</w:t>
      </w:r>
      <w:r>
        <w:t xml:space="preserve"> </w:t>
      </w:r>
      <w:r>
        <w:t xml:space="preserve">When the lowest category was open ended, I set the lower boundary to zero.</w:t>
      </w:r>
    </w:p>
    <w:bookmarkEnd w:id="110"/>
    <w:bookmarkStart w:id="111" w:name="sensitivity-analyses"/>
    <w:p>
      <w:pPr>
        <w:pStyle w:val="Heading4"/>
      </w:pPr>
      <w:r>
        <w:t xml:space="preserve">Sensitivity analyses</w:t>
      </w:r>
    </w:p>
    <w:p>
      <w:pPr>
        <w:pStyle w:val="FirstParagraph"/>
      </w:pPr>
      <w:r>
        <w:t xml:space="preserve">I conducted a leave one out analysis in order to explore the impact of any given study on the results.</w:t>
      </w:r>
      <w:r>
        <w:t xml:space="preserve"> </w:t>
      </w:r>
    </w:p>
    <w:p>
      <w:pPr>
        <w:pStyle w:val="BodyText"/>
      </w:pPr>
      <w:r>
        <w:t xml:space="preserve">In addition,</w:t>
      </w:r>
    </w:p>
    <w:p>
      <w:pPr>
        <w:pStyle w:val="BodyText"/>
      </w:pPr>
      <w:r>
        <w:t xml:space="preserve"> </w:t>
      </w:r>
      <w:r>
        <w:t xml:space="preserve"> </w:t>
      </w:r>
    </w:p>
    <w:bookmarkEnd w:id="111"/>
    <w:bookmarkEnd w:id="112"/>
    <w:bookmarkStart w:id="113" w:name="visualisation-of-results"/>
    <w:p>
      <w:pPr>
        <w:pStyle w:val="Heading3"/>
      </w:pPr>
      <w:r>
        <w:t xml:space="preserve">Visualisation of results</w:t>
      </w:r>
    </w:p>
    <w:p>
      <w:pPr>
        <w:pStyle w:val="FirstParagraph"/>
      </w:pPr>
      <w:r>
        <w:t xml:space="preserve">Given the importance of visualising the potential biases alongside the results of any given study, a new visualisation tool was designed to allow for</w:t>
      </w:r>
      <w:r>
        <w:t xml:space="preserve"> </w:t>
      </w:r>
      <w:r>
        <w:t xml:space="preserve">“</w:t>
      </w:r>
      <w:r>
        <w:t xml:space="preserve">paired</w:t>
      </w:r>
      <w:r>
        <w:t xml:space="preserve">”</w:t>
      </w:r>
      <w:r>
        <w:t xml:space="preserve"> </w:t>
      </w:r>
      <w:r>
        <w:t xml:space="preserve">forest plots (as recommended by the ROB2 publication)</w:t>
      </w:r>
    </w:p>
    <w:p>
      <w:pPr>
        <w:pStyle w:val="BodyText"/>
      </w:pPr>
      <w:r>
        <w:t xml:space="preserve">This tool grew out of a collaboration with other reserachers to design a modular method for creating these plots</w:t>
      </w:r>
      <w:r>
        <w:t xml:space="preserve"> </w:t>
      </w:r>
    </w:p>
    <w:p>
      <w:pPr>
        <w:pStyle w:val="BodyText"/>
      </w:pPr>
      <w:r>
        <w:t xml:space="preserve">A summary of this tool is contained in Appendix</w:t>
      </w:r>
      <w:r>
        <w:t xml:space="preserve"> </w:t>
      </w:r>
      <w:r>
        <w:t xml:space="preserve">10.2</w:t>
      </w:r>
      <w:r>
        <w:t xml:space="preserve">, and all forest plots presented in this analysis were created using</w:t>
      </w:r>
    </w:p>
    <w:p>
      <w:pPr>
        <w:pStyle w:val="BodyText"/>
      </w:pPr>
      <w:r>
        <w:t xml:space="preserve">Results from the risk-of-bias assessment were visualized using a paired forest/risk-of-bias blobbogram, created using the</w:t>
      </w:r>
      <w:r>
        <w:t xml:space="preserve"> </w:t>
      </w:r>
      <w:r>
        <w:rPr>
          <w:rStyle w:val="VerbatimChar"/>
        </w:rPr>
        <w:t xml:space="preserve">robvis</w:t>
      </w:r>
      <w:r>
        <w:t xml:space="preserve"> </w:t>
      </w:r>
      <w:r>
        <w:t xml:space="preserve">tool. This tool was developed as an adjunct to this thesis to aid in creating standard risk-of-bias figures.</w:t>
      </w:r>
      <w:hyperlink w:anchor="ref-mcguinness2020robvisPaper">
        <w:r>
          <w:rPr>
            <w:rStyle w:val="Hyperlink"/>
            <w:vertAlign w:val="superscript"/>
          </w:rPr>
          <w:t xml:space="preserve">129</w:t>
        </w:r>
      </w:hyperlink>
      <w:r>
        <w:t xml:space="preserve"> </w:t>
      </w:r>
      <w:r>
        <w:t xml:space="preserve">A summary of the tool is provided in Appendix</w:t>
      </w:r>
      <w:r>
        <w:t xml:space="preserve"> </w:t>
      </w:r>
      <w:r>
        <w:t xml:space="preserve">10.2</w:t>
      </w:r>
      <w:r>
        <w:t xml:space="preserve">.</w:t>
      </w:r>
    </w:p>
    <w:p>
      <w:pPr>
        <w:pStyle w:val="BodyText"/>
      </w:pPr>
      <w:r>
        <w:t xml:space="preserve"> </w:t>
      </w:r>
      <w:r>
        <w:t xml:space="preserve"> </w:t>
      </w:r>
    </w:p>
    <w:bookmarkEnd w:id="113"/>
    <w:bookmarkStart w:id="114" w:name="Xf6d478a34dce200ea95dfd322c7f1e4ba8b4e05"/>
    <w:p>
      <w:pPr>
        <w:pStyle w:val="Heading3"/>
      </w:pPr>
      <w:r>
        <w:t xml:space="preserve">Assessment of added value of including preprint</w:t>
      </w:r>
    </w:p>
    <w:p>
      <w:pPr>
        <w:pStyle w:val="FirstParagraph"/>
      </w:pPr>
      <w:r>
        <w:t xml:space="preserve">Preprints are a valuable evidence source (see Introduction) but their inclusion in a systematic reivew</w:t>
      </w:r>
      <w:r>
        <w:t xml:space="preserve"> </w:t>
      </w:r>
      <w:r>
        <w:t xml:space="preserve">s</w:t>
      </w:r>
      <w:r>
        <w:t xml:space="preserve"> </w:t>
      </w:r>
      <w:r>
        <w:t xml:space="preserve">Additionally, I followed preprints up over time to investigate whether all identified preprints included in the review were subsequently published (in which case preprints give you a look into the future, and a systematic review update would capture these reports) or alternatively, if some preprints were not published, then preprints provide a different.</w:t>
      </w:r>
    </w:p>
    <w:p>
      <w:pPr>
        <w:pStyle w:val="BodyText"/>
      </w:pPr>
      <w:r>
        <w:t xml:space="preserve">I also sought to explore the additional evidental value of including preprints in the meta-analysis, assessed using the fixed effect weight from a standard meta-analysis.</w:t>
      </w:r>
    </w:p>
    <w:bookmarkEnd w:id="114"/>
    <w:bookmarkStart w:id="115" w:name="patient-and-public-involvement"/>
    <w:p>
      <w:pPr>
        <w:pStyle w:val="Heading3"/>
      </w:pPr>
      <w:r>
        <w:t xml:space="preserve">Patient and public involvement</w:t>
      </w:r>
    </w:p>
    <w:p>
      <w:pPr>
        <w:pStyle w:val="FirstParagraph"/>
      </w:pPr>
      <w:r>
        <w:t xml:space="preserve">Patient and public memebers were intended to be involved at this poit</w:t>
      </w:r>
    </w:p>
    <w:bookmarkEnd w:id="115"/>
    <w:bookmarkStart w:id="116" w:name="deviations-from-the-protocol"/>
    <w:p>
      <w:pPr>
        <w:pStyle w:val="Heading3"/>
      </w:pPr>
      <w:r>
        <w:t xml:space="preserve">Deviations from the protocol</w:t>
      </w:r>
    </w:p>
    <w:p>
      <w:pPr>
        <w:pStyle w:val="FirstParagraph"/>
      </w:pPr>
      <w:r>
        <w:t xml:space="preserve">A dose response meta-analysis was not planned, marking a departure from the registered protocol.</w:t>
      </w:r>
      <w:r>
        <w:t xml:space="preserve"> </w:t>
      </w:r>
    </w:p>
    <w:bookmarkEnd w:id="116"/>
    <w:bookmarkEnd w:id="117"/>
    <w:bookmarkStart w:id="131" w:name="results"/>
    <w:p>
      <w:pPr>
        <w:pStyle w:val="Heading2"/>
      </w:pPr>
      <w:r>
        <w:t xml:space="preserve">Results</w:t>
      </w:r>
    </w:p>
    <w:bookmarkStart w:id="119" w:name="search-and-screening-results"/>
    <w:p>
      <w:pPr>
        <w:pStyle w:val="Heading3"/>
      </w:pPr>
      <w:r>
        <w:t xml:space="preserve">Search and screening results</w:t>
      </w:r>
    </w:p>
    <w:p>
      <w:pPr>
        <w:pStyle w:val="FirstParagraph"/>
      </w:pPr>
      <w:r>
        <w:t xml:space="preserve">Following the search</w:t>
      </w:r>
    </w:p>
    <w:p>
      <w:pPr>
        <w:pStyle w:val="BodyText"/>
      </w:pPr>
      <w:r>
        <w:t xml:space="preserve">Twenty-three thousand, four hundred forty-seven records were identified through database searches. Following depulication, 16,109 unique records remained.</w:t>
      </w:r>
    </w:p>
    <w:p>
      <w:pPr>
        <w:pStyle w:val="BodyText"/>
      </w:pPr>
      <w:r>
        <w:t xml:space="preserve">No eligible records were identified in the screening of the 500 records excluded by the search. Many of these were basic science studies</w:t>
      </w:r>
      <w:r>
        <w:t xml:space="preserve"> </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8"/>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databases and preprint servers to the review are indicated.</w:t>
      </w:r>
    </w:p>
    <w:p>
      <w:pPr>
        <w:pStyle w:val="BodyText"/>
      </w:pPr>
      <w:r>
        <w:t xml:space="preserve">Following de-duplication, the titles and abstracts of 16,109 records were assessed for eligibility. 387 were deemed potentially eligible and the full text records for these were requested and screened.</w:t>
      </w:r>
      <w:r>
        <w:t xml:space="preserve"> </w:t>
      </w:r>
      <w:r>
        <w:t xml:space="preserve">4</w:t>
      </w:r>
      <w:r>
        <w:t xml:space="preserve"> </w:t>
      </w:r>
    </w:p>
    <w:p>
      <w:pPr>
        <w:pStyle w:val="BodyText"/>
      </w:pPr>
      <w:r>
        <w:t xml:space="preserve">A PRISMA (Preferred Reporting Items for Systematic Reviews and Meta-analyses) flow diagram,</w:t>
      </w:r>
      <w:hyperlink w:anchor="ref-page2021">
        <w:r>
          <w:rPr>
            <w:rStyle w:val="Hyperlink"/>
            <w:vertAlign w:val="superscript"/>
          </w:rPr>
          <w:t xml:space="preserve">78</w:t>
        </w:r>
      </w:hyperlink>
      <w:r>
        <w:t xml:space="preserve"> </w:t>
      </w:r>
      <w:r>
        <w:t xml:space="preserve"> </w:t>
      </w:r>
      <w:r>
        <w:t xml:space="preserve">shown in Figure</w:t>
      </w:r>
      <w:r>
        <w:t xml:space="preserve"> </w:t>
      </w:r>
      <w:r>
        <w:t xml:space="preserve">??</w:t>
      </w:r>
      <w:r>
        <w:t xml:space="preserve">, illustrates the movement of articles through the review. 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Following screening, XXX studies were included.</w:t>
      </w:r>
    </w:p>
    <w:p>
      <w:pPr>
        <w:pStyle w:val="BodyText"/>
      </w:pPr>
      <w:r>
        <w:t xml:space="preserve">The distribution of included studies over time demonstrates that despite the conduct of several previous reviews of different types of literature surrounding this question, primary studies continue to the published as these reviews have yet to provide a definite answer.</w:t>
      </w:r>
    </w:p>
    <w:p>
      <w:pPr>
        <w:pStyle w:val="BodyText"/>
      </w:pPr>
      <w:r>
        <w:t xml:space="preserve"> </w:t>
      </w:r>
    </w:p>
    <w:p>
      <w:pPr>
        <w:pStyle w:val="BodyText"/>
      </w:pPr>
      <w:r>
        <w:t xml:space="preserve">As part of our our forward snowballing exercise (where articles citing an included study are cited), I recorded whether a study included in our review had been included in any previous evidence synthesis attempt in an attempt to qualify the added value of this analysis. Additionally, if an included article was subsequently cited by a review, all studies in that review were screened for inclusion for the sake of completeness. This analysis was performed by extracting the citing articles from Google Scholar on [DATE] and screening them manually. The DOI of articles extracted from this analysis are included in the appendix, as the Google Scholar search functionality is not readily reproducible.*</w:t>
      </w:r>
    </w:p>
    <w:p>
      <w:pPr>
        <w:pStyle w:val="BodyText"/>
      </w:pPr>
      <w:r>
        <w:t xml:space="preserve">As a summary of the duplication of work in this area, Ilooked at how many reviews a single included study had previously been included in.</w:t>
      </w:r>
    </w:p>
    <w:p>
      <w:pPr>
        <w:pStyle w:val="BodyText"/>
      </w:pPr>
      <w:r>
        <w:t xml:space="preserve"> </w:t>
      </w:r>
    </w:p>
    <w:p>
      <w:pPr>
        <w:pStyle w:val="BodyText"/>
      </w:pPr>
      <w:r>
        <w:t xml:space="preserve">(ref:agreeInter-caption) Inter-rater agreement on a subset of ~10% of records, illustrating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For the inter-rater reliability, agreement was very high (</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Agreement was similary high for intra-rater reliability (</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heavy imbalance towards exclusion.</w:t>
      </w:r>
      <w:hyperlink w:anchor="ref-feinstein1990">
        <w:r>
          <w:rPr>
            <w:rStyle w:val="Hyperlink"/>
            <w:vertAlign w:val="superscript"/>
          </w:rPr>
          <w:t xml:space="preserve">130</w:t>
        </w:r>
      </w:hyperlink>
    </w:p>
    <w:p>
      <w:pPr>
        <w:pStyle w:val="BodyText"/>
      </w:pPr>
      <w:r>
        <w:t xml:space="preserve">Those records which were excluded in the initial screening, but were included by the second reviewer (n=26)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pPr>
        <w:pStyle w:val="BodyText"/>
      </w:pPr>
      <w:r>
        <w:t xml:space="preserve">Additionally, records I excluded on my second viewing (n=4) were investigated. All were . . .</w:t>
      </w:r>
    </w:p>
    <w:p>
      <w:pPr>
        <w:pStyle w:val="BodyText"/>
      </w:pPr>
      <w:r>
        <w:t xml:space="preserve"> </w:t>
      </w:r>
    </w:p>
    <w:bookmarkEnd w:id="119"/>
    <w:bookmarkStart w:id="120" w:name="characteristics-of-included-studies"/>
    <w:p>
      <w:pPr>
        <w:pStyle w:val="Heading3"/>
      </w:pPr>
      <w:r>
        <w:t xml:space="preserve">Characteristics of included studies</w:t>
      </w:r>
    </w:p>
    <w:p>
      <w:pPr>
        <w:pStyle w:val="FirstParagraph"/>
      </w:pPr>
      <w:r>
        <w:t xml:space="preserve">XXXX studies met the criteria for inclusion in the review.</w:t>
      </w:r>
    </w:p>
    <w:p>
      <w:pPr>
        <w:pStyle w:val="BodyText"/>
      </w:pPr>
      <w:r>
        <w:t xml:space="preserve">Table</w:t>
      </w:r>
      <w:r>
        <w:t xml:space="preserve"> </w:t>
      </w:r>
      <w:r>
        <w:t xml:space="preserve">??</w:t>
      </w:r>
      <w:r>
        <w:t xml:space="preserve"> </w:t>
      </w:r>
      <w:r>
        <w:t xml:space="preserve">shows the characteristics</w:t>
      </w:r>
    </w:p>
    <w:p>
      <w:pPr>
        <w:pStyle w:val="BodyText"/>
      </w:pPr>
      <w:r>
        <w:t xml:space="preserve"> </w:t>
      </w:r>
    </w:p>
    <w:p>
      <w:pPr>
        <w:pStyle w:val="BodyText"/>
      </w:pPr>
      <w:r>
        <w:t xml:space="preserve">As shown in</w:t>
      </w:r>
    </w:p>
    <w:p>
      <w:pPr>
        <w:pStyle w:val="BodyText"/>
      </w:pPr>
      <w:r>
        <w:t xml:space="preserve">Include here:</w:t>
      </w:r>
    </w:p>
    <w:p>
      <w:pPr>
        <w:numPr>
          <w:ilvl w:val="0"/>
          <w:numId w:val="1010"/>
        </w:numPr>
      </w:pPr>
      <w:r>
        <w:t xml:space="preserve">PRISMA Flowchart</w:t>
      </w:r>
    </w:p>
    <w:p>
      <w:pPr>
        <w:numPr>
          <w:ilvl w:val="0"/>
          <w:numId w:val="1010"/>
        </w:numPr>
      </w:pPr>
      <w:r>
        <w:t xml:space="preserve">Summary of types of study</w:t>
      </w:r>
    </w:p>
    <w:p>
      <w:pPr>
        <w:numPr>
          <w:ilvl w:val="0"/>
          <w:numId w:val="1010"/>
        </w:numPr>
      </w:pPr>
      <w:r>
        <w:t xml:space="preserve">Summary of locations (use evidence map)</w:t>
      </w:r>
    </w:p>
    <w:p>
      <w:pPr>
        <w:numPr>
          <w:ilvl w:val="0"/>
          <w:numId w:val="1010"/>
        </w:numPr>
      </w:pPr>
      <w:r>
        <w:t xml:space="preserve">Summary of diagnostic criteria used</w:t>
      </w:r>
    </w:p>
    <w:p>
      <w:pPr>
        <w:numPr>
          <w:ilvl w:val="0"/>
          <w:numId w:val="1010"/>
        </w:numPr>
      </w:pPr>
      <w:r>
        <w:t xml:space="preserve">Summary of risk of bias</w:t>
      </w:r>
    </w:p>
    <w:p>
      <w:pPr>
        <w:numPr>
          <w:ilvl w:val="0"/>
          <w:numId w:val="1010"/>
        </w:numPr>
      </w:pPr>
      <w:r>
        <w:t xml:space="preserve">Long table, horizontally.</w:t>
      </w:r>
    </w:p>
    <w:p>
      <w:pPr>
        <w:pStyle w:val="FirstParagraph"/>
      </w:pPr>
      <w:r>
        <w:t xml:space="preserve">A common theme across the studies was a lack of data on vascular dementia. This is particularly interesting as lipids and statins are primarily a vascular disease. There is the potential that they studies encountered similar difficulties in address the unexpected results observed in the CPRD analysis in Chapter</w:t>
      </w:r>
      <w:r>
        <w:t xml:space="preserve"> </w:t>
      </w:r>
      <w:r>
        <w:t xml:space="preserve">5</w:t>
      </w:r>
      <w:r>
        <w:t xml:space="preserve">. For vascular dementia, few studies exmined this outcome, primarily because of the absence (until recently) of</w:t>
      </w:r>
    </w:p>
    <w:p>
      <w:pPr>
        <w:pStyle w:val="BodyText"/>
      </w:pPr>
      <w:r>
        <w:t xml:space="preserve">One item of particular interest in the absence of studies examining Mendelian randomisation studies is the absence of any effect following the adjustment for Apoe4. As covered in the discussion, ApoE4 genotype is the mjor risk factor for Alzheimer’s disease.</w:t>
      </w:r>
    </w:p>
    <w:p>
      <w:pPr>
        <w:pStyle w:val="BodyText"/>
      </w:pPr>
      <w:r>
        <w:t xml:space="preserve">In addition, there was quite a spread in terms fo the effect estimates used to th. Previous systematic review</w:t>
      </w:r>
    </w:p>
    <w:bookmarkEnd w:id="120"/>
    <w:bookmarkStart w:id="121" w:name="converting-risk-ratios-to-odds-ratios"/>
    <w:p>
      <w:pPr>
        <w:pStyle w:val="Heading3"/>
      </w:pPr>
      <w:r>
        <w:t xml:space="preserve">Converting risk ratios to odds ratios</w:t>
      </w:r>
    </w:p>
    <w:p>
      <w:pPr>
        <w:pStyle w:val="FirstParagraph"/>
      </w:pPr>
      <w:r>
        <w:t xml:space="preserve">Include formulae and informed assumptions</w:t>
      </w:r>
    </w:p>
    <w:bookmarkEnd w:id="121"/>
    <w:bookmarkStart w:id="122" w:name="hazard-ratios-vs-riskodds-ratios"/>
    <w:p>
      <w:pPr>
        <w:pStyle w:val="Heading3"/>
      </w:pPr>
      <w:r>
        <w:t xml:space="preserve">Hazard ratios vs risk/odds ratios</w:t>
      </w:r>
    </w:p>
    <w:p>
      <w:pPr>
        <w:pStyle w:val="FirstParagraph"/>
      </w:pPr>
      <w:r>
        <w:t xml:space="preserve">Not interchangeable in the context of systematic review. If outcome is rare, odds and risk ratios approximate each other, but the hazard ratio is measuring something completely different, by taking into account time-to-event in each treatment group.</w:t>
      </w:r>
    </w:p>
    <w:p>
      <w:pPr>
        <w:pStyle w:val="BodyText"/>
      </w:pPr>
      <w:r>
        <w:t xml:space="preserve">Several existing reviews do not distinguish between the two types of effect measures and include all existing studies in a single meta-analysis to produce an overall effect.</w:t>
      </w:r>
    </w:p>
    <w:p>
      <w:pPr>
        <w:pStyle w:val="BodyText"/>
      </w:pPr>
      <w:r>
        <w:t xml:space="preserve">The likely effect of this is that the overall effect measures are biased towards . . . . ?</w:t>
      </w:r>
    </w:p>
    <w:p>
      <w:pPr>
        <w:pStyle w:val="BodyText"/>
      </w:pPr>
      <w:r>
        <w:t xml:space="preserve">Can you predict the direction of effect from a</w:t>
      </w:r>
    </w:p>
    <w:p>
      <w:pPr>
        <w:pStyle w:val="BodyText"/>
      </w:pPr>
      <w:r>
        <w:t xml:space="preserve">Best practice methods for dealing with disparate effect measures in included studies is to not perform a meta-analysis</w:t>
      </w:r>
    </w:p>
    <w:p>
      <w:pPr>
        <w:pStyle w:val="BodyText"/>
      </w:pPr>
      <w:r>
        <w:t xml:space="preserve">Some evidence of manipulation of effect estimates in previous reviews,(e.g. Chou, Sci Reports - at least one study disagrees with) but not documented in review text.</w:t>
      </w:r>
    </w:p>
    <w:p>
      <w:pPr>
        <w:pStyle w:val="BodyText"/>
      </w:pPr>
      <w:r>
        <w:t xml:space="preserve"> </w:t>
      </w:r>
    </w:p>
    <w:bookmarkEnd w:id="122"/>
    <w:bookmarkStart w:id="123" w:name="risk-of-bias-subheading"/>
    <w:p>
      <w:pPr>
        <w:pStyle w:val="Heading3"/>
      </w:pPr>
      <w:r>
        <w:t xml:space="preserve">Risk of bias</w:t>
      </w:r>
    </w:p>
    <w:p>
      <w:pPr>
        <w:pStyle w:val="FirstParagraph"/>
      </w:pPr>
      <w:r>
        <w:t xml:space="preserve"> </w:t>
      </w:r>
    </w:p>
    <w:bookmarkEnd w:id="123"/>
    <w:bookmarkStart w:id="124" w:name="meta-n"/>
    <w:p>
      <w:pPr>
        <w:pStyle w:val="Heading3"/>
      </w:pPr>
      <w:r>
        <w:t xml:space="preserve">Meta-n</w:t>
      </w:r>
    </w:p>
    <w:p>
      <w:pPr>
        <w:pStyle w:val="FirstParagraph"/>
      </w:pPr>
      <w:r>
        <w:t xml:space="preserve"> </w:t>
      </w:r>
    </w:p>
    <w:bookmarkEnd w:id="124"/>
    <w:bookmarkStart w:id="125" w:name="dose-response-meta-analysis"/>
    <w:p>
      <w:pPr>
        <w:pStyle w:val="Heading3"/>
      </w:pPr>
      <w:r>
        <w:t xml:space="preserve">Dose response meta-analysis</w:t>
      </w:r>
    </w:p>
    <w:p>
      <w:pPr>
        <w:pStyle w:val="FirstParagraph"/>
      </w:pPr>
      <w:r>
        <w:t xml:space="preserve">Several studies were excluded from the dose-response meta-analysis, as the number of cases/controls be</w:t>
      </w:r>
    </w:p>
    <w:p>
      <w:pPr>
        <w:pStyle w:val="BodyText"/>
      </w:pPr>
      <w:r>
        <w:t xml:space="preserve"> </w:t>
      </w:r>
    </w:p>
    <w:bookmarkEnd w:id="125"/>
    <w:bookmarkStart w:id="126" w:name="sources-of-heterogeneity"/>
    <w:p>
      <w:pPr>
        <w:pStyle w:val="Heading3"/>
      </w:pPr>
      <w:r>
        <w:t xml:space="preserve">Sources of heterogeneity</w:t>
      </w:r>
    </w:p>
    <w:p>
      <w:pPr>
        <w:pStyle w:val="FirstParagraph"/>
      </w:pPr>
      <w:r>
        <w:t xml:space="preserve">Detail that some of these are exploratory, in particular the effect of different scales on the association between the groups.</w:t>
      </w:r>
      <w:r>
        <w:t xml:space="preserve"> </w:t>
      </w:r>
      <w:r>
        <w:rPr>
          <w:bCs/>
          <w:b/>
        </w:rPr>
        <w:t xml:space="preserve">[CROSS]</w:t>
      </w:r>
    </w:p>
    <w:p>
      <w:pPr>
        <w:pStyle w:val="BodyText"/>
      </w:pPr>
      <w:r>
        <w:t xml:space="preserve"> </w:t>
      </w:r>
    </w:p>
    <w:bookmarkEnd w:id="126"/>
    <w:bookmarkStart w:id="127" w:name="sys-rev-pub-bias"/>
    <w:p>
      <w:pPr>
        <w:pStyle w:val="Heading3"/>
      </w:pPr>
      <w:r>
        <w:t xml:space="preserve">Publication bias</w:t>
      </w:r>
    </w:p>
    <w:p>
      <w:pPr>
        <w:numPr>
          <w:ilvl w:val="0"/>
          <w:numId w:val="1011"/>
        </w:numPr>
        <w:pStyle w:val="Compact"/>
      </w:pPr>
      <w:r>
        <w:t xml:space="preserve">Check if there are protocols available for any of the published reports (unlikely for non-randomised controlled trials), and whether there were</w:t>
      </w:r>
    </w:p>
    <w:p>
      <w:pPr>
        <w:numPr>
          <w:ilvl w:val="0"/>
          <w:numId w:val="1011"/>
        </w:numPr>
        <w:pStyle w:val="Compact"/>
      </w:pPr>
      <w:r>
        <w:t xml:space="preserve">Vascular dementia has substantially less published reports. Many (reference Smeeth et al 2010 here) simply group into AD and non-AD making comparison between published studies difficult</w:t>
      </w:r>
    </w:p>
    <w:p>
      <w:pPr>
        <w:pStyle w:val="FirstParagraph"/>
      </w:pPr>
      <w:r>
        <w:t xml:space="preserve">One particularly interesting meta-bias potentially applicable in this review is the definition of code lists across</w:t>
      </w:r>
    </w:p>
    <w:p>
      <w:pPr>
        <w:pStyle w:val="BodyText"/>
      </w:pPr>
      <w:r>
        <w:t xml:space="preserve">Many studies did not report the codelists used to run the analysis,</w:t>
      </w:r>
    </w:p>
    <w:p>
      <w:pPr>
        <w:pStyle w:val="BodyText"/>
      </w:pPr>
      <w:r>
        <w:t xml:space="preserve"> </w:t>
      </w:r>
    </w:p>
    <w:bookmarkEnd w:id="127"/>
    <w:bookmarkStart w:id="128" w:name="triangualtion-across-evidence-sources"/>
    <w:p>
      <w:pPr>
        <w:pStyle w:val="Heading3"/>
      </w:pPr>
      <w:r>
        <w:t xml:space="preserve">Triangualtion across evidence sources</w:t>
      </w:r>
    </w:p>
    <w:p>
      <w:pPr>
        <w:pStyle w:val="FirstParagraph"/>
      </w:pPr>
      <w:r>
        <w:t xml:space="preserve">One key question for which multiple distinct sources of evidence were available were those looking at Laz</w:t>
      </w:r>
    </w:p>
    <w:p>
      <w:pPr>
        <w:pStyle w:val="BodyText"/>
      </w:pPr>
      <w:r>
        <w:t xml:space="preserve">A key limitation for other types of dementia, in particularly vascular, is that there has yet to be a GWAS identifying relevant SNPS that could then be used in a MR study with SNPS for lipids to estimates the causal effect of lipids on vascular dementia [</w:t>
      </w:r>
      <w:r>
        <w:rPr>
          <w:bCs/>
          <w:b/>
        </w:rPr>
        <w:t xml:space="preserve">Is this true?</w:t>
      </w:r>
      <w:r>
        <w:t xml:space="preserve">] This rules out the use. In addition, there was limited literature available - as discussed in CHapter</w:t>
      </w:r>
      <w:r>
        <w:t xml:space="preserve"> </w:t>
      </w:r>
      <w:r>
        <w:t xml:space="preserve">??</w:t>
      </w:r>
    </w:p>
    <w:p>
      <w:pPr>
        <w:pStyle w:val="BodyText"/>
      </w:pPr>
      <w:r>
        <w:t xml:space="preserve">Consideration of the potential impact of the magnitude and direct of residual confounders/bias is not a major stretch from what is already happening in the assessment of the quality of evidence (GRADE) framework. Within GRADE, the overall quality of evidence can be upgraded when there is deemed to be unmeasured or residual confounding variables which reduce the. For example, if the propensity to treatment is related to comorbidity burden, but those on treatment still have better outcomes then those on control, it is likely that the true effect of the intervention is being underestimated.</w:t>
      </w:r>
      <w:hyperlink w:anchor="ref-guyatt2011">
        <w:r>
          <w:rPr>
            <w:rStyle w:val="Hyperlink"/>
            <w:vertAlign w:val="superscript"/>
          </w:rPr>
          <w:t xml:space="preserve">131</w:t>
        </w:r>
      </w:hyperlink>
    </w:p>
    <w:p>
      <w:pPr>
        <w:pStyle w:val="BodyText"/>
      </w:pPr>
      <w:r>
        <w:t xml:space="preserve">Without our framework and as part of the risk of bias assessments reported in</w:t>
      </w:r>
      <w:r>
        <w:t xml:space="preserve"> </w:t>
      </w:r>
      <w:r>
        <w:t xml:space="preserve">4.4.5</w:t>
      </w:r>
      <w:r>
        <w:t xml:space="preserve">, Itest test</w:t>
      </w:r>
    </w:p>
    <w:p>
      <w:pPr>
        <w:pStyle w:val="BodyText"/>
      </w:pPr>
      <w:r>
        <w:t xml:space="preserve"> </w:t>
      </w:r>
    </w:p>
    <w:bookmarkEnd w:id="128"/>
    <w:bookmarkStart w:id="130" w:name="Xbdb1a29f256e9656c9ddc93f4c2c3c88af771c9"/>
    <w:p>
      <w:pPr>
        <w:pStyle w:val="Heading3"/>
      </w:pPr>
      <w:r>
        <w:t xml:space="preserve">Added evidental value of including preprints {sys-rev-including-preprints}</w:t>
      </w:r>
    </w:p>
    <w:p>
      <w:pPr>
        <w:pStyle w:val="FirstParagraph"/>
      </w:pPr>
      <w:r>
        <w:t xml:space="preserve">There were several relevant preprints captured by the search run using the tool presented in Chapter</w:t>
      </w:r>
      <w:r>
        <w:t xml:space="preserve"> </w:t>
      </w:r>
      <w:r>
        <w:t xml:space="preserve">3</w:t>
      </w:r>
      <w:r>
        <w:t xml:space="preserve"> </w:t>
      </w:r>
      <w:r>
        <w:t xml:space="preserve">(see Appendix</w:t>
      </w:r>
      <w:r>
        <w:t xml:space="preserve"> </w:t>
      </w:r>
      <w:r>
        <w:t xml:space="preserve">9.2.3</w:t>
      </w:r>
      <w:r>
        <w:t xml:space="preserve">). While many of the preprints included were subsequently published by the time of submission of this thesis, at the time of the search they were only available</w:t>
      </w:r>
    </w:p>
    <w:p>
      <w:pPr>
        <w:pStyle w:val="BodyText"/>
      </w:pPr>
      <w:r>
        <w:t xml:space="preserve">Good example is</w:t>
      </w:r>
      <w:r>
        <w:t xml:space="preserve"> </w:t>
      </w:r>
      <w:hyperlink r:id="rId129">
        <w:r>
          <w:rPr>
            <w:rStyle w:val="Hyperlink"/>
          </w:rPr>
          <w:t xml:space="preserve">https://doi.org/10.1101/168674</w:t>
        </w:r>
      </w:hyperlink>
      <w:r>
        <w:t xml:space="preserve">, which was subsequently published in Nature Comms but in 2020, following peer-review (found no impact of LDL-c on AD following removal of APOE4).</w:t>
      </w:r>
    </w:p>
    <w:p>
      <w:pPr>
        <w:pStyle w:val="BodyText"/>
      </w:pPr>
      <w:r>
        <w:t xml:space="preserve">Of interest,</w:t>
      </w:r>
    </w:p>
    <w:p>
      <w:pPr>
        <w:pStyle w:val="BodyText"/>
      </w:pPr>
      <w:r>
        <w:t xml:space="preserve">This likely reflects a bias in the type of study that is submitted, but indicates the additional evidential value of include preprints in the search strategy. It also means that searches are current - if the aim of systematic reviews is to</w:t>
      </w:r>
    </w:p>
    <w:p>
      <w:pPr>
        <w:pStyle w:val="BodyText"/>
      </w:pPr>
      <w:r>
        <w:t xml:space="preserve">While the total number of relevant studies found using this method was</w:t>
      </w:r>
    </w:p>
    <w:p>
      <w:pPr>
        <w:pStyle w:val="BodyText"/>
      </w:pPr>
      <w:r>
        <w:t xml:space="preserve">On further investigation, the argument that .</w:t>
      </w:r>
    </w:p>
    <w:p>
      <w:pPr>
        <w:pStyle w:val="BodyText"/>
      </w:pPr>
      <w:r>
        <w:t xml:space="preserve">It is not so much that they provide a source of unpublished grey-literature, more so that they provide a</w:t>
      </w:r>
      <w:r>
        <w:t xml:space="preserve"> </w:t>
      </w:r>
      <w:r>
        <w:t xml:space="preserve">“</w:t>
      </w:r>
      <w:r>
        <w:t xml:space="preserve">future</w:t>
      </w:r>
      <w:r>
        <w:t xml:space="preserve">”</w:t>
      </w:r>
      <w:r>
        <w:t xml:space="preserve"> </w:t>
      </w:r>
      <w:r>
        <w:t xml:space="preserve">look at .</w:t>
      </w:r>
    </w:p>
    <w:p>
      <w:pPr>
        <w:pStyle w:val="BodyText"/>
      </w:pPr>
      <w:r>
        <w:t xml:space="preserve">However, if the aim is to find the current state of the art in the topic area at the time of searching, inclusion of preprints is a requirement.</w:t>
      </w:r>
    </w:p>
    <w:p>
      <w:pPr>
        <w:pStyle w:val="BodyText"/>
      </w:pPr>
      <w:r>
        <w:t xml:space="preserve">While concerns have been raised that</w:t>
      </w:r>
    </w:p>
    <w:p>
      <w:pPr>
        <w:pStyle w:val="BodyText"/>
      </w:pPr>
      <w:r>
        <w:t xml:space="preserve">Previous meta-studies have found high concordance between the main interpretations and other study design details in preprint-journal article pairs,</w:t>
      </w:r>
      <w:hyperlink w:anchor="ref-shi2021">
        <w:r>
          <w:rPr>
            <w:rStyle w:val="Hyperlink"/>
            <w:vertAlign w:val="superscript"/>
          </w:rPr>
          <w:t xml:space="preserve">132</w:t>
        </w:r>
      </w:hyperlink>
      <w:r>
        <w:t xml:space="preserve"> </w:t>
      </w:r>
      <w:r>
        <w:t xml:space="preserve">though quality of reporting was slightly better in formally published articles.</w:t>
      </w:r>
      <w:hyperlink w:anchor="ref-carneiro2020">
        <w:r>
          <w:rPr>
            <w:rStyle w:val="Hyperlink"/>
            <w:vertAlign w:val="superscript"/>
          </w:rPr>
          <w:t xml:space="preserve">133</w:t>
        </w:r>
      </w:hyperlink>
    </w:p>
    <w:p>
      <w:pPr>
        <w:pStyle w:val="BodyText"/>
      </w:pPr>
      <w:r>
        <w:t xml:space="preserve">A common criticism of preprinted articles is that they have not formally been peer-reviewed.</w:t>
      </w:r>
      <w:r>
        <w:t xml:space="preserve"> </w:t>
      </w:r>
      <w:r>
        <w:rPr>
          <w:bCs/>
          <w:b/>
        </w:rPr>
        <w:t xml:space="preserve">[CITATION NEEDED]</w:t>
      </w:r>
      <w:r>
        <w:t xml:space="preserve"> </w:t>
      </w:r>
      <w:r>
        <w:t xml:space="preserve">However, I believe this criticism is less warranted in the context of inclusion of preprints in a systematic review, given a formal assessment of risk of bias, which provides a structured approach to assessing the internal validity of a study.</w:t>
      </w:r>
    </w:p>
    <w:p>
      <w:pPr>
        <w:pStyle w:val="BlockText"/>
      </w:pPr>
      <w:r>
        <w:t xml:space="preserve">Anyone who can’t assess a study to the level of peer review shouldn’t do a systematic review</w:t>
      </w:r>
    </w:p>
    <w:p>
      <w:pPr>
        <w:pStyle w:val="FirstParagraph"/>
      </w:pPr>
      <w:r>
        <w:t xml:space="preserve">References included in the review were also searched for on PubPeer, a platform which enables post-publication peer review of published journal articles.</w:t>
      </w:r>
      <w:hyperlink w:anchor="ref-hunter2012">
        <w:r>
          <w:rPr>
            <w:rStyle w:val="Hyperlink"/>
            <w:vertAlign w:val="superscript"/>
          </w:rPr>
          <w:t xml:space="preserve">134</w:t>
        </w:r>
      </w:hyperlink>
    </w:p>
    <w:p>
      <w:pPr>
        <w:pStyle w:val="BodyText"/>
      </w:pPr>
      <w:r>
        <w:t xml:space="preserve">The added value of peer-review to papers that is questionable and difficult to quantify for a number of reasons, including the fact that most peer reviews are closed</w:t>
      </w:r>
    </w:p>
    <w:p>
      <w:pPr>
        <w:pStyle w:val="BodyText"/>
      </w:pPr>
      <w:r>
        <w:t xml:space="preserve">While [</w:t>
      </w:r>
      <w:r>
        <w:rPr>
          <w:bCs/>
          <w:b/>
        </w:rPr>
        <w:t xml:space="preserve">some</w:t>
      </w:r>
      <w:r>
        <w:t xml:space="preserve">] preprint have subsequently been published, this does not cause any major issues.</w:t>
      </w:r>
    </w:p>
    <w:bookmarkEnd w:id="130"/>
    <w:bookmarkEnd w:id="131"/>
    <w:bookmarkStart w:id="143" w:name="discussion-1"/>
    <w:p>
      <w:pPr>
        <w:pStyle w:val="Heading2"/>
      </w:pPr>
      <w:r>
        <w:t xml:space="preserve">Discussion</w:t>
      </w:r>
    </w:p>
    <w:p>
      <w:pPr>
        <w:pStyle w:val="FirstParagraph"/>
      </w:pPr>
      <w:r>
        <w:t xml:space="preserve">Major limitation is that several included studies used data from electronic health databases, which come with serious concerns regarding validity</w:t>
      </w:r>
      <w:hyperlink w:anchor="ref-hsieh2019">
        <w:r>
          <w:rPr>
            <w:rStyle w:val="Hyperlink"/>
            <w:vertAlign w:val="superscript"/>
          </w:rPr>
          <w:t xml:space="preserve">135</w:t>
        </w:r>
      </w:hyperlink>
      <w:r>
        <w:t xml:space="preserve"> </w:t>
      </w:r>
      <w:hyperlink w:anchor="ref-mcguinness2019validity">
        <w:r>
          <w:rPr>
            <w:rStyle w:val="Hyperlink"/>
            <w:vertAlign w:val="superscript"/>
          </w:rPr>
          <w:t xml:space="preserve">136</w:t>
        </w:r>
      </w:hyperlink>
      <w:r>
        <w:rPr>
          <w:vertAlign w:val="superscript"/>
        </w:rPr>
        <w:t xml:space="preserve">,</w:t>
      </w:r>
      <w:hyperlink w:anchor="ref-wilkinson2018">
        <w:r>
          <w:rPr>
            <w:rStyle w:val="Hyperlink"/>
            <w:vertAlign w:val="superscript"/>
          </w:rPr>
          <w:t xml:space="preserve">137</w:t>
        </w:r>
      </w:hyperlink>
    </w:p>
    <w:p>
      <w:pPr>
        <w:pStyle w:val="BodyText"/>
      </w:pPr>
      <w:r>
        <w:t xml:space="preserve">In addition, the a</w:t>
      </w:r>
    </w:p>
    <w:p>
      <w:pPr>
        <w:pStyle w:val="BodyText"/>
      </w:pPr>
      <w:r>
        <w:t xml:space="preserve"> </w:t>
      </w:r>
    </w:p>
    <w:bookmarkStart w:id="132" w:name="previous-reviews"/>
    <w:p>
      <w:pPr>
        <w:pStyle w:val="Heading3"/>
      </w:pPr>
      <w:r>
        <w:t xml:space="preserve">Previous reviews</w:t>
      </w:r>
    </w:p>
    <w:p>
      <w:pPr>
        <w:pStyle w:val="FirstParagraph"/>
      </w:pPr>
      <w:r>
        <w:rPr>
          <w:bCs/>
          <w:b/>
        </w:rPr>
        <w:t xml:space="preserve">Will need to include something in the methods section on this</w:t>
      </w:r>
    </w:p>
    <w:p>
      <w:pPr>
        <w:pStyle w:val="BodyText"/>
      </w:pPr>
      <w:r>
        <w:t xml:space="preserve">As part of this analysis, Iexamined the overlap between different published reviews on this topic.</w:t>
      </w:r>
    </w:p>
    <w:p>
      <w:pPr>
        <w:pStyle w:val="BodyText"/>
      </w:pPr>
      <w:r>
        <w:t xml:space="preserve">Several primary studies were captured in multiple systematic reviews. However, some studies were not captured by any previous review,</w:t>
      </w:r>
    </w:p>
    <w:p>
      <w:pPr>
        <w:pStyle w:val="BodyText"/>
      </w:pPr>
      <w:r>
        <w:t xml:space="preserve">An upset plot shows the total size of each set (in this case, the set of included studies in each review) in the bottom left hand bar plot. For example, the XXXX review includes XXXX studies.</w:t>
      </w:r>
    </w:p>
    <w:p>
      <w:pPr>
        <w:pStyle w:val="BodyText"/>
      </w:pPr>
      <w:r>
        <w:t xml:space="preserve">Where a line joins two points in the matrix, the main barchart shows the number of records shared by these reviews. So for example, XXXX records were captured both by the XXXX review and the XXXX review.</w:t>
      </w:r>
    </w:p>
    <w:p>
      <w:pPr>
        <w:pStyle w:val="BodyText"/>
      </w:pPr>
      <w:r>
        <w:t xml:space="preserve">Where the matrix has just a single point highlighted, this shows the records unique to that review.</w:t>
      </w:r>
    </w:p>
    <w:p>
      <w:pPr>
        <w:pStyle w:val="BodyText"/>
      </w:pPr>
      <w:r>
        <w:t xml:space="preserve">The reviews are ordered by date, to attempt to show the increasing overlap and total number of studies</w:t>
      </w:r>
    </w:p>
    <w:p>
      <w:pPr>
        <w:pStyle w:val="BodyText"/>
      </w:pPr>
      <w:r>
        <w:t xml:space="preserve">Our review is presented as the last point on this plot, and captured XXXX records</w:t>
      </w:r>
    </w:p>
    <w:p>
      <w:pPr>
        <w:pStyle w:val="BodyText"/>
      </w:pPr>
      <w:r>
        <w:t xml:space="preserve">The alternative is to have a barplot showing the total cumulative number of records over the years, using our set as the master, with the bars coloured by the number of records included in 1/2/3/4 reviews. The information below the bar axis could then show the number of reviews published in that year, or alternative, you could have an upsidedown bar to show cumulative number of reviews on this topic.</w:t>
      </w:r>
    </w:p>
    <w:p>
      <w:pPr>
        <w:pStyle w:val="BodyText"/>
      </w:pPr>
      <w:r>
        <w:t xml:space="preserve">Of note, this review did not include the commonly cited PROSPER study, which examined the effect of pravastatin on CVD risk and putatively provides no evidence for an effect of the statin on dementia outcomes. While widely cited and included in the Cochrane review on this topic, it has not been included here, for the reason that it only reported the change from cognitive score (as measured using the [CHECK] scale) over a mean follow-up. While this is a useful indicator of general cognitive decline, it is not equivalent to a dementia outcome, as cogntive scales should feed into a broader diagnostic pathway - See section</w:t>
      </w:r>
      <w:r>
        <w:t xml:space="preserve"> </w:t>
      </w:r>
      <w:r>
        <w:t xml:space="preserve">2.3.2</w:t>
      </w:r>
    </w:p>
    <w:p>
      <w:pPr>
        <w:pStyle w:val="BodyText"/>
      </w:pPr>
      <w:r>
        <w:t xml:space="preserve">This does introduce some conflicts with other studies where a change score has been dichotomised in order to have a binary dementia or not dementia outcome.</w:t>
      </w:r>
    </w:p>
    <w:p>
      <w:pPr>
        <w:pStyle w:val="BodyText"/>
      </w:pPr>
      <w:r>
        <w:t xml:space="preserve">Does it also cause issues in terms of self-report?</w:t>
      </w:r>
    </w:p>
    <w:p>
      <w:pPr>
        <w:pStyle w:val="BodyText"/>
      </w:pPr>
      <w:r>
        <w:t xml:space="preserve"> </w:t>
      </w:r>
    </w:p>
    <w:bookmarkEnd w:id="132"/>
    <w:bookmarkStart w:id="133" w:name="comments-on-the-process"/>
    <w:p>
      <w:pPr>
        <w:pStyle w:val="Heading3"/>
      </w:pPr>
      <w:r>
        <w:t xml:space="preserve">Comments on the process</w:t>
      </w:r>
    </w:p>
    <w:p>
      <w:pPr>
        <w:pStyle w:val="FirstParagraph"/>
      </w:pPr>
      <w:r>
        <w:t xml:space="preserve">As part of the reflective element of this thesis, I collated my experiences on performing a systematic review.</w:t>
      </w:r>
    </w:p>
    <w:p>
      <w:pPr>
        <w:pStyle w:val="BodyText"/>
      </w:pPr>
      <w:r>
        <w:t xml:space="preserve">Systematic reviews should not be performed as part of a thesis, without suitable support and resourcing guaranteed. Assumption that everyone does a systematic review (without risk of bias assessments, inclusion of all literature, searching for other reviews) is foolish.</w:t>
      </w:r>
    </w:p>
    <w:p>
      <w:pPr>
        <w:pStyle w:val="BodyText"/>
      </w:pPr>
      <w:r>
        <w:t xml:space="preserve">Average time to complete a s</w:t>
      </w:r>
    </w:p>
    <w:p>
      <w:pPr>
        <w:pStyle w:val="BodyText"/>
      </w:pPr>
      <w:r>
        <w:t xml:space="preserve">However, new developments such as automated screening would allow for a reduced need for personnel to work on these things.</w:t>
      </w:r>
      <w:r>
        <w:t xml:space="preserve"> </w:t>
      </w:r>
    </w:p>
    <w:p>
      <w:pPr>
        <w:pStyle w:val="BodyText"/>
      </w:pPr>
      <w:r>
        <w:t xml:space="preserve">Great learning experience in terms of managing a team, but due to a rotating schedule of people, much harder to do that expected.</w:t>
      </w:r>
    </w:p>
    <w:p>
      <w:pPr>
        <w:pStyle w:val="BodyText"/>
      </w:pPr>
      <w:r>
        <w:t xml:space="preserve">A final point on the progress of the review is that, due to the need for dual screening and data extraction, a number of external researchers became involved in this review. I found the people-management aspect particularly challenging and could definitely have improved the process through better communication of deadlines, but it has provided good experience of leading a review team.</w:t>
      </w:r>
    </w:p>
    <w:p>
      <w:pPr>
        <w:pStyle w:val="BodyText"/>
      </w:pPr>
      <w:r>
        <w:t xml:space="preserve"> </w:t>
      </w:r>
    </w:p>
    <w:bookmarkEnd w:id="133"/>
    <w:bookmarkStart w:id="134"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thesis explicitly sought to synthesize evidence across different publication statuses, predominantly preprinted vs published. Using the tool described in Chapter</w:t>
      </w:r>
      <w:r>
        <w:t xml:space="preserve"> </w:t>
      </w:r>
      <w:r>
        <w:t xml:space="preserve">3.2</w:t>
      </w:r>
      <w:r>
        <w:t xml:space="preserve">, two preprint serves related to health and biomedical sciences were search as part of this review.</w:t>
      </w:r>
    </w:p>
    <w:p>
      <w:pPr>
        <w:pStyle w:val="BodyText"/>
      </w:pPr>
      <w:r>
        <w:t xml:space="preserve">The added evidential value of including these preprints was highlighted in Section</w:t>
      </w:r>
      <w:r>
        <w:t xml:space="preserve"> </w:t>
      </w:r>
      <w:r>
        <w:t xml:space="preserve">()</w:t>
      </w:r>
    </w:p>
    <w:p>
      <w:pPr>
        <w:pStyle w:val="BodyText"/>
      </w:pPr>
      <w:r>
        <w:t xml:space="preserve">On further investigation, X of these preprints were subsequently published since the search was performed in 2019. While this provides some additional evidence that the quality of the research described by included preprints was sufficiently high to pass peer-review, it does not invalidate the approach, as the future publication status was unavailable at the time the search was conducted.</w:t>
      </w:r>
    </w:p>
    <w:p>
      <w:pPr>
        <w:pStyle w:val="BodyText"/>
      </w:pPr>
      <w:r>
        <w:t xml:space="preserve"> </w:t>
      </w:r>
    </w:p>
    <w:bookmarkEnd w:id="134"/>
    <w:bookmarkStart w:id="135" w:name="sys-rev-open-data"/>
    <w:p>
      <w:pPr>
        <w:pStyle w:val="Heading3"/>
      </w:pPr>
      <w:r>
        <w:t xml:space="preserve">Open data sharing</w:t>
      </w:r>
    </w:p>
    <w:p>
      <w:pPr>
        <w:pStyle w:val="FirstParagraph"/>
      </w:pPr>
      <w:r>
        <w:t xml:space="preserve">As evidenced by the issues involved in obtaining</w:t>
      </w:r>
    </w:p>
    <w:p>
      <w:pPr>
        <w:pStyle w:val="BodyText"/>
      </w:pPr>
      <w:r>
        <w:t xml:space="preserve">Building in part on the research, I co-wrote an guidance piece for pre</w:t>
      </w:r>
    </w:p>
    <w:p>
      <w:pPr>
        <w:pStyle w:val="BodyText"/>
      </w:pPr>
      <w:r>
        <w:t xml:space="preserve">Similarly, a substanital amount of time and effort has gone into making the data obtained by this review openly available to</w:t>
      </w:r>
    </w:p>
    <w:p>
      <w:pPr>
        <w:pStyle w:val="BodyText"/>
      </w:pPr>
      <w:r>
        <w:t xml:space="preserve"> </w:t>
      </w:r>
    </w:p>
    <w:bookmarkEnd w:id="135"/>
    <w:bookmarkStart w:id="136" w:name="original-contribution-to-research"/>
    <w:p>
      <w:pPr>
        <w:pStyle w:val="Heading3"/>
      </w:pPr>
      <w:r>
        <w:t xml:space="preserve">Original contribution to research</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12"/>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138</w:t>
        </w:r>
      </w:hyperlink>
      <w:r>
        <w:rPr>
          <w:vertAlign w:val="superscript"/>
        </w:rPr>
        <w:t xml:space="preserve">–</w:t>
      </w:r>
      <w:hyperlink w:anchor="ref-poly2020">
        <w:r>
          <w:rPr>
            <w:rStyle w:val="Hyperlink"/>
            <w:vertAlign w:val="superscript"/>
          </w:rPr>
          <w:t xml:space="preserve">141</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p>
    <w:p>
      <w:pPr>
        <w:numPr>
          <w:ilvl w:val="0"/>
          <w:numId w:val="1012"/>
        </w:numPr>
      </w:pPr>
      <w:r>
        <w:rPr>
          <w:iCs/>
          <w:i/>
        </w:rPr>
        <w:t xml:space="preserve">Structured risk of 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12"/>
        </w:numPr>
      </w:pPr>
      <w:r>
        <w:rPr>
          <w:iCs/>
          <w:i/>
        </w:rPr>
        <w:t xml:space="preserve">Inclusion of preprints:</w:t>
      </w:r>
      <w:r>
        <w:t xml:space="preserve"> </w:t>
      </w:r>
      <w:r>
        <w:t xml:space="preserve">Unlike other available reviews and enabled by the tool described in Chapter 3,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2"/>
        </w:numPr>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End w:id="136"/>
    <w:bookmarkStart w:id="137" w:name="comparison-with-other-reviews"/>
    <w:p>
      <w:pPr>
        <w:pStyle w:val="Heading3"/>
      </w:pPr>
      <w:r>
        <w:t xml:space="preserve">Comparison with other reviews</w:t>
      </w:r>
    </w:p>
    <w:p>
      <w:pPr>
        <w:pStyle w:val="FirstParagraph"/>
      </w:pPr>
      <w:r>
        <w:t xml:space="preserve">Of note, as part of the review, Iidentified several previous systematic reviews of this topic.[CITE] However, this review is the first to use established domain based assessments tools (for example, the RoB 2 tool for randomized controlled trials)</w:t>
      </w:r>
      <w:hyperlink w:anchor="ref-sterne2019">
        <w:r>
          <w:rPr>
            <w:rStyle w:val="Hyperlink"/>
            <w:vertAlign w:val="superscript"/>
          </w:rPr>
          <w:t xml:space="preserve">124</w:t>
        </w:r>
      </w:hyperlink>
      <w:r>
        <w:t xml:space="preserve"> </w:t>
      </w:r>
      <w:r>
        <w:t xml:space="preserve">to assess the risk of bias in included studies, and explore the heterogeneity of results across different levels of risk of bias levels.</w:t>
      </w:r>
    </w:p>
    <w:p>
      <w:pPr>
        <w:pStyle w:val="BodyText"/>
      </w:pPr>
      <w:r>
        <w:t xml:space="preserve">Some previous reviews did assess risk of bias, but used non-domain based assessment tools. Newcastle-Ottowa scale,</w:t>
      </w:r>
    </w:p>
    <w:p>
      <w:pPr>
        <w:pStyle w:val="BodyText"/>
      </w:pPr>
      <w:r>
        <w:rPr>
          <w:bCs/>
          <w:b/>
        </w:rPr>
        <w:t xml:space="preserve">The duplication of work across reviews (including, ironically, by this review) is substantial. In Section XXXX, I demonstrated that the each primary study included in this review was also included in other review so this topic, but that not all studies were included in all reviews. However, by creating a comprehensive review that attempted to draw together all available evidence from across the full range of study types.</w:t>
      </w:r>
    </w:p>
    <w:p>
      <w:pPr>
        <w:pStyle w:val="BodyText"/>
      </w:pPr>
      <w:r>
        <w:rPr>
          <w:bCs/>
          <w:b/>
        </w:rPr>
        <w:t xml:space="preserve">Exclusion of the PROSPER trial</w:t>
      </w:r>
      <w:r>
        <w:t xml:space="preserve"> </w:t>
      </w:r>
      <w:r>
        <w:t xml:space="preserve">Will need to have a good bit here on the exclusion of this RCT, particularly as it is included in the Cochrane review on the topic. Cross-reference with the meta-bias section in the early section, on the impact of only included studies that sought to make a definitive diagnosis, rather than using change in cognitive assessment scales.</w:t>
      </w:r>
    </w:p>
    <w:p>
      <w:pPr>
        <w:pStyle w:val="BodyText"/>
      </w:pPr>
      <w:r>
        <w:t xml:space="preserve"> </w:t>
      </w:r>
    </w:p>
    <w:bookmarkEnd w:id="137"/>
    <w:bookmarkStart w:id="138" w:name="Xb45d076476d8fee69005c600a0a1efa0ac1e9ca"/>
    <w:p>
      <w:pPr>
        <w:pStyle w:val="Heading3"/>
      </w:pPr>
      <w:r>
        <w:t xml:space="preserve">Reviewing Mendelian randomisations studies</w:t>
      </w:r>
    </w:p>
    <w:p>
      <w:pPr>
        <w:pStyle w:val="FirstParagraph"/>
      </w:pPr>
      <w:r>
        <w:t xml:space="preserve">While</w:t>
      </w:r>
    </w:p>
    <w:p>
      <w:pPr>
        <w:pStyle w:val="BodyText"/>
      </w:pPr>
      <w:r>
        <w:t xml:space="preserve">This may be because Mendelian randomisation studies have yet to reach a critical mass in terms of requiring a systematic review.</w:t>
      </w:r>
    </w:p>
    <w:p>
      <w:pPr>
        <w:pStyle w:val="BodyText"/>
      </w:pPr>
      <w:r>
        <w:t xml:space="preserve">Recent updates, such as a guide to reading and interpreting Mendelian .</w:t>
      </w:r>
    </w:p>
    <w:p>
      <w:pPr>
        <w:pStyle w:val="BodyText"/>
      </w:pPr>
      <w:r>
        <w:t xml:space="preserve">However, this guide includes reporting items in their quality checklist - reporting quality while important, is unrelated to internal validity.</w:t>
      </w:r>
    </w:p>
    <w:p>
      <w:pPr>
        <w:pStyle w:val="BodyText"/>
      </w:pPr>
      <w:r>
        <w:t xml:space="preserve">Problems with overlapping samples in reviews of Mendelian randomisation studies in that may be double counting participants</w:t>
      </w:r>
    </w:p>
    <w:p>
      <w:pPr>
        <w:pStyle w:val="BodyText"/>
      </w:pPr>
      <w:r>
        <w:t xml:space="preserve">Double-counting of other -</w:t>
      </w:r>
    </w:p>
    <w:p>
      <w:pPr>
        <w:pStyle w:val="BodyText"/>
      </w:pPr>
      <w:r>
        <w:t xml:space="preserve">Methods for reviews of Mendelian randomisation studies are not well developed to account for the consideration above.</w:t>
      </w:r>
    </w:p>
    <w:p>
      <w:pPr>
        <w:pStyle w:val="BodyText"/>
      </w:pPr>
      <w:r>
        <w:t xml:space="preserve">In short, given the recent developments in the production of studies and results from Mendelian randomisation</w:t>
      </w:r>
    </w:p>
    <w:p>
      <w:pPr>
        <w:pStyle w:val="BodyText"/>
      </w:pPr>
      <w:r>
        <w:t xml:space="preserve">This is particularly relevant to missing evidence, as new methods in MR studies allow for the anlysis of many exposures/outcomes concurrently. In this scenario, missing evidence is likely to be an issue as onyl those of particular interest to the authors/those reaching statistical significance will be reported in the paper</w:t>
      </w:r>
    </w:p>
    <w:p>
      <w:pPr>
        <w:pStyle w:val="BodyText"/>
      </w:pPr>
      <w:r>
        <w:t xml:space="preserve">This is highlighted by the identification of studies relevant to the review though coincidental reading and citation searhcing, that were not identified by the search as they reported many results and only the statistically significant ones were included in searchable fields</w:t>
      </w:r>
    </w:p>
    <w:p>
      <w:pPr>
        <w:pStyle w:val="BodyText"/>
      </w:pPr>
      <w:r>
        <w:t xml:space="preserve">This is particularly troubling given the comprehensiveness of the search (~17,000 records screened). In retrospect, a mitigating approach may have been to have an additional search for topics related to risk factors, dementia and MR studies, and screened t</w:t>
      </w:r>
    </w:p>
    <w:p>
      <w:pPr>
        <w:pStyle w:val="BodyText"/>
      </w:pPr>
      <w:r>
        <w:t xml:space="preserve">As a form of analysis that lends itself to multiple comparison, there is a strong</w:t>
      </w:r>
    </w:p>
    <w:p>
      <w:pPr>
        <w:pStyle w:val="BodyText"/>
      </w:pPr>
      <w:r>
        <w:t xml:space="preserve">Through snowballing and other measures, I identified at least one Mendelian randomisation study that had not been identified by the search strategy.</w:t>
      </w:r>
      <w:hyperlink w:anchor="ref-larsson2017b">
        <w:r>
          <w:rPr>
            <w:rStyle w:val="Hyperlink"/>
            <w:vertAlign w:val="superscript"/>
          </w:rPr>
          <w:t xml:space="preserve">142</w:t>
        </w:r>
      </w:hyperlink>
      <w:r>
        <w:t xml:space="preserve"> </w:t>
      </w:r>
      <w:r>
        <w:t xml:space="preserve">On review of this paper, the search would not have been expected to find it, given the absence of any lipid-related keywords in the title and abstract.</w:t>
      </w:r>
    </w:p>
    <w:p>
      <w:pPr>
        <w:pStyle w:val="BodyText"/>
      </w:pPr>
      <w:r>
        <w:t xml:space="preserve">The study examined the association between lipid fractions with Azlheimer’s disease, as one of many risk factors for AzD. Studies such as this can introduce bias, as it is commonly only those risk factors that show a statistically significant result that are reported in the abstract and so are captured by systematic reviews of the topic. This may bias reviews as the analysising multiple risk factors at a time becomes more common.</w:t>
      </w:r>
    </w:p>
    <w:p>
      <w:pPr>
        <w:pStyle w:val="BodyText"/>
      </w:pPr>
      <w:r>
        <w:t xml:space="preserve">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Is it a big issue that the studies have the same underlying datasets?</w:t>
      </w:r>
      <w:r>
        <w:t xml:space="preserve"> </w:t>
      </w:r>
    </w:p>
    <w:p>
      <w:pPr>
        <w:pStyle w:val="BodyText"/>
      </w:pPr>
      <w:r>
        <w:t xml:space="preserve">Potentially the use of methods such as snowballing (forwards and backwards citation chasing) and communication with relevant topic experts should cpature similar studies.</w:t>
      </w:r>
      <w:r>
        <w:t xml:space="preserve"> </w:t>
      </w:r>
      <w:r>
        <w:t xml:space="preserve">However, in future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w:t>
      </w:r>
    </w:p>
    <w:p>
      <w:pPr>
        <w:pStyle w:val="BodyText"/>
      </w:pPr>
      <w:r>
        <w:t xml:space="preserve"> </w:t>
      </w:r>
    </w:p>
    <w:bookmarkEnd w:id="138"/>
    <w:bookmarkStart w:id="141" w:name="strenghts-and-limitations"/>
    <w:p>
      <w:pPr>
        <w:pStyle w:val="Heading3"/>
      </w:pPr>
      <w:r>
        <w:t xml:space="preserve">Strenghts and limitations</w:t>
      </w:r>
    </w:p>
    <w:p>
      <w:pPr>
        <w:pStyle w:val="FirstParagraph"/>
      </w:pPr>
      <w:r>
        <w:t xml:space="preserve"> </w:t>
      </w:r>
    </w:p>
    <w:bookmarkStart w:id="139" w:name="Xc1b98a3f3ba170dc392ae73416bb108b436cbcb"/>
    <w:p>
      <w:pPr>
        <w:pStyle w:val="Heading4"/>
      </w:pPr>
      <w:r>
        <w:t xml:space="preserve">Inclusion of Mendelian randomisation studies</w:t>
      </w:r>
    </w:p>
    <w:p>
      <w:pPr>
        <w:pStyle w:val="FirstParagraph"/>
      </w:pPr>
      <w:r>
        <w:t xml:space="preserve"> </w:t>
      </w:r>
    </w:p>
    <w:bookmarkEnd w:id="139"/>
    <w:bookmarkStart w:id="140" w:name="inclusion-of-preprints-1"/>
    <w:p>
      <w:pPr>
        <w:pStyle w:val="Heading4"/>
      </w:pPr>
      <w:r>
        <w:t xml:space="preserve">Inclusion of preprints</w:t>
      </w:r>
    </w:p>
    <w:p>
      <w:pPr>
        <w:pStyle w:val="FirstParagraph"/>
      </w:pPr>
      <w:r>
        <w:t xml:space="preserve">Comment on the fact that several of the studies identified through the search of preprints, were subsequently published, but much later than the cut-off point for the search (e.g. they would not have been captured by the search for published papers)</w:t>
      </w:r>
    </w:p>
    <w:p>
      <w:pPr>
        <w:pStyle w:val="BodyText"/>
      </w:pPr>
      <w:r>
        <w:t xml:space="preserve"> </w:t>
      </w:r>
    </w:p>
    <w:bookmarkEnd w:id="140"/>
    <w:bookmarkEnd w:id="141"/>
    <w:bookmarkStart w:id="142" w:name="use-in-other-chapters"/>
    <w:p>
      <w:pPr>
        <w:pStyle w:val="Heading3"/>
      </w:pPr>
      <w:r>
        <w:t xml:space="preserve">Use in other chapters</w:t>
      </w:r>
    </w:p>
    <w:p>
      <w:pPr>
        <w:pStyle w:val="FirstParagraph"/>
      </w:pPr>
      <w:r>
        <w:t xml:space="preserve">Findings from this review are used though out the subsequent chapters.</w:t>
      </w:r>
    </w:p>
    <w:p>
      <w:pPr>
        <w:pStyle w:val="BodyText"/>
      </w:pPr>
      <w:r>
        <w:t xml:space="preserve">For example,</w:t>
      </w:r>
    </w:p>
    <w:bookmarkEnd w:id="142"/>
    <w:bookmarkEnd w:id="143"/>
    <w:bookmarkStart w:id="144" w:name="conclusions"/>
    <w:p>
      <w:pPr>
        <w:pStyle w:val="Heading2"/>
      </w:pPr>
      <w:r>
        <w:t xml:space="preserve">Conclusions</w:t>
      </w:r>
    </w:p>
    <w:p>
      <w:r>
        <w:br w:type="page"/>
      </w:r>
    </w:p>
    <w:bookmarkEnd w:id="144"/>
    <w:bookmarkStart w:id="145" w:name="references-2"/>
    <w:p>
      <w:pPr>
        <w:pStyle w:val="Heading2"/>
      </w:pPr>
      <w:r>
        <w:t xml:space="preserve">References</w:t>
      </w:r>
    </w:p>
    <w:bookmarkEnd w:id="145"/>
    <w:bookmarkEnd w:id="146"/>
    <w:bookmarkStart w:id="198" w:name="cprd-analysis-heading"/>
    <w:p>
      <w:pPr>
        <w:pStyle w:val="Heading1"/>
      </w:pPr>
      <w:r>
        <w:t xml:space="preserve">Primary analysis of lipid regulating agents and dementia outcomes</w:t>
      </w:r>
    </w:p>
    <w:p>
      <w:pPr>
        <w:pStyle w:val="FirstParagraph"/>
      </w:pPr>
    </w:p>
    <w:bookmarkStart w:id="147"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No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47"/>
    <w:bookmarkStart w:id="148"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7</w:t>
      </w:r>
      <w:r>
        <w:t xml:space="preserve">.</w:t>
      </w:r>
    </w:p>
    <w:p>
      <w:pPr>
        <w:pStyle w:val="BodyText"/>
      </w:pPr>
      <w:r>
        <w:t xml:space="preserve"> </w:t>
      </w:r>
    </w:p>
    <w:bookmarkEnd w:id="148"/>
    <w:bookmarkStart w:id="168" w:name="methods-1"/>
    <w:p>
      <w:pPr>
        <w:pStyle w:val="Heading2"/>
      </w:pPr>
      <w:r>
        <w:t xml:space="preserve">Methods</w:t>
      </w:r>
    </w:p>
    <w:bookmarkStart w:id="149"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a">
        <w:r>
          <w:rPr>
            <w:rStyle w:val="Hyperlink"/>
            <w:bCs/>
            <w:b/>
            <w:vertAlign w:val="superscript"/>
          </w:rPr>
          <w:t xml:space="preserve">walker2016a?</w:t>
        </w:r>
      </w:hyperlink>
      <w:r>
        <w:t xml:space="preserve"> </w:t>
      </w:r>
      <w:r>
        <w:t xml:space="preserve">and amendments to this are recorded in Appendix</w:t>
      </w:r>
      <w:r>
        <w:t xml:space="preserve"> </w:t>
      </w:r>
      <w:r>
        <w:t xml:space="preserve">9.3.1</w:t>
      </w:r>
      <w:r>
        <w:t xml:space="preserve">.</w:t>
      </w:r>
      <w:hyperlink w:anchor="ref-vonelm2008">
        <w:r>
          <w:rPr>
            <w:rStyle w:val="Hyperlink"/>
            <w:vertAlign w:val="superscript"/>
          </w:rPr>
          <w:t xml:space="preserve">143</w:t>
        </w:r>
      </w:hyperlink>
    </w:p>
    <w:p>
      <w:pPr>
        <w:pStyle w:val="BodyText"/>
      </w:pPr>
      <w:r>
        <w:t xml:space="preserve"> </w:t>
      </w:r>
    </w:p>
    <w:bookmarkEnd w:id="149"/>
    <w:bookmarkStart w:id="150"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144</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145</w:t>
        </w:r>
      </w:hyperlink>
      <w:r>
        <w:rPr>
          <w:vertAlign w:val="superscript"/>
        </w:rPr>
        <w:t xml:space="preserve">,</w:t>
      </w:r>
      <w:hyperlink w:anchor="ref-wood2001revitalizing">
        <w:r>
          <w:rPr>
            <w:rStyle w:val="Hyperlink"/>
            <w:vertAlign w:val="superscript"/>
          </w:rPr>
          <w:t xml:space="preserve">146</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144</w:t>
        </w:r>
      </w:hyperlink>
      <w:r>
        <w:rPr>
          <w:vertAlign w:val="superscript"/>
        </w:rPr>
        <w:t xml:space="preserve">,</w:t>
      </w:r>
      <w:hyperlink w:anchor="ref-mathur2014">
        <w:r>
          <w:rPr>
            <w:rStyle w:val="Hyperlink"/>
            <w:vertAlign w:val="superscript"/>
          </w:rPr>
          <w:t xml:space="preserve">147</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148</w:t>
        </w:r>
      </w:hyperlink>
      <w:r>
        <w:t xml:space="preserve"> </w:t>
      </w:r>
      <w:r>
        <w:t xml:space="preserve">All clinical events, included clinical test results and diagnoses, can be identified by a specific Read code. The codes use a nested approach (see Table</w:t>
      </w:r>
      <w:r>
        <w:t xml:space="preserve"> </w:t>
      </w:r>
      <w:r>
        <w:t xml:space="preserve">10</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10:</w:t>
      </w:r>
      <w:r>
        <w:t xml:space="preserve"> </w:t>
      </w:r>
      <w:bookmarkStart w:id="fbade1c5-9a65-44de-93bf-466863ebd501"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fbade1c5-9a65-44de-93bf-466863ebd50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50"/>
    <w:bookmarkStart w:id="151"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149</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51"/>
    <w:bookmarkStart w:id="152"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150</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3"/>
        </w:numPr>
        <w:pStyle w:val="Compact"/>
      </w:pPr>
      <w:r>
        <w:rPr>
          <w:bCs/>
          <w:b/>
        </w:rPr>
        <w:t xml:space="preserve">stopped</w:t>
      </w:r>
      <w:r>
        <w:t xml:space="preserve">: defined as the last prescription of the primary class being followed by at least six months of observation;</w:t>
      </w:r>
    </w:p>
    <w:p>
      <w:pPr>
        <w:numPr>
          <w:ilvl w:val="0"/>
          <w:numId w:val="1013"/>
        </w:numPr>
        <w:pStyle w:val="Compact"/>
      </w:pPr>
      <w:r>
        <w:rPr>
          <w:bCs/>
          <w:b/>
        </w:rPr>
        <w:t xml:space="preserve">added</w:t>
      </w:r>
      <w:r>
        <w:t xml:space="preserve">: defined as a second drug class being prescribed before the last prescription of the initial class; and</w:t>
      </w:r>
    </w:p>
    <w:p>
      <w:pPr>
        <w:numPr>
          <w:ilvl w:val="0"/>
          <w:numId w:val="1013"/>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52"/>
    <w:bookmarkStart w:id="154"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5</w:t>
      </w:r>
      <w:r>
        <w:t xml:space="preserve">). The diagnosis date of the outcome was determined by the first record of a relevant code.</w:t>
      </w:r>
    </w:p>
    <w:p>
      <w:pPr>
        <w:pStyle w:val="BodyText"/>
      </w:pPr>
      <w:r>
        <w:drawing>
          <wp:inline>
            <wp:extent cx="5943600" cy="3168282"/>
            <wp:effectExtent b="0" l="0" r="0" t="0"/>
            <wp:docPr descr="Figure 5: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53"/>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54"/>
    <w:bookmarkStart w:id="155"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151</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55"/>
    <w:bookmarkStart w:id="156"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152</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a">
        <w:r>
          <w:rPr>
            <w:rStyle w:val="Hyperlink"/>
            <w:bCs/>
            <w:b/>
            <w:vertAlign w:val="superscript"/>
          </w:rPr>
          <w:t xml:space="preserve">sterne2009a?</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153</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152</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154</w:t>
        </w:r>
      </w:hyperlink>
      <w:r>
        <w:t xml:space="preserve"> </w:t>
      </w:r>
      <w:r>
        <w:t xml:space="preserve">where participants missing any covariate are dropped from the dataset. As a sensitivity analysis, I preformed and compared the results of both methods,</w:t>
      </w:r>
      <w:hyperlink w:anchor="ref-hughes2019a">
        <w:r>
          <w:rPr>
            <w:rStyle w:val="Hyperlink"/>
            <w:bCs/>
            <w:b/>
            <w:vertAlign w:val="superscript"/>
          </w:rPr>
          <w:t xml:space="preserve">hughes2019a?</w:t>
        </w:r>
      </w:hyperlink>
      <w:r>
        <w:t xml:space="preserve"> </w:t>
      </w:r>
      <w:r>
        <w:t xml:space="preserve">to investigate the impact of multiple imputation on the results.</w:t>
      </w:r>
    </w:p>
    <w:p>
      <w:pPr>
        <w:pStyle w:val="BodyText"/>
      </w:pPr>
      <w:r>
        <w:t xml:space="preserve"> </w:t>
      </w:r>
      <w:r>
        <w:t xml:space="preserve"> </w:t>
      </w:r>
    </w:p>
    <w:bookmarkEnd w:id="156"/>
    <w:bookmarkStart w:id="157"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6</m:t>
          </m:r>
          <m:r>
            <m:rPr>
              <m:sty m:val="p"/>
            </m:rPr>
            <m:t>)</m:t>
          </m:r>
        </m:oMath>
      </m:oMathPara>
    </w:p>
    <w:p>
      <w:pPr>
        <w:pStyle w:val="FirstParagraph"/>
      </w:pPr>
      <w:r>
        <w:t xml:space="preserve">where:</w:t>
      </w:r>
    </w:p>
    <w:p>
      <w:pPr>
        <w:numPr>
          <w:ilvl w:val="0"/>
          <w:numId w:val="1014"/>
        </w:numPr>
        <w:pStyle w:val="Compact"/>
      </w:pPr>
      <m:oMath>
        <m:r>
          <m:t>t</m:t>
        </m:r>
      </m:oMath>
      <w:r>
        <w:t xml:space="preserve"> </w:t>
      </w:r>
      <w:r>
        <w:t xml:space="preserve">is the survival time;</w:t>
      </w:r>
    </w:p>
    <w:p>
      <w:pPr>
        <w:numPr>
          <w:ilvl w:val="0"/>
          <w:numId w:val="1014"/>
        </w:numPr>
        <w:pStyle w:val="Compact"/>
      </w:pPr>
      <m:oMath>
        <m:r>
          <m:t>h</m:t>
        </m:r>
        <m:r>
          <m:rPr>
            <m:sty m:val="p"/>
          </m:rPr>
          <m:t>(</m:t>
        </m:r>
        <m:r>
          <m:t>t</m:t>
        </m:r>
        <m:r>
          <m:rPr>
            <m:sty m:val="p"/>
          </m:rPr>
          <m:t>)</m:t>
        </m:r>
      </m:oMath>
      <w:r>
        <w:t xml:space="preserve"> </w:t>
      </w:r>
      <w:r>
        <w:t xml:space="preserve">is the hazard function; and</w:t>
      </w:r>
    </w:p>
    <w:p>
      <w:pPr>
        <w:numPr>
          <w:ilvl w:val="0"/>
          <w:numId w:val="1014"/>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4"/>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57"/>
    <w:bookmarkStart w:id="159"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6</w:t>
      </w:r>
      <w:r>
        <w:t xml:space="preserve">), occurs when time prior to the exposure is excluded leading to the exposed and control groups being followed up from different time points.</w:t>
      </w:r>
      <w:hyperlink w:anchor="ref-levesque2010a">
        <w:r>
          <w:rPr>
            <w:rStyle w:val="Hyperlink"/>
            <w:bCs/>
            <w:b/>
            <w:vertAlign w:val="superscript"/>
          </w:rPr>
          <w:t xml:space="preserve">levesque2010a?</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6</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4.4.5</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155</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6: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58"/>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59"/>
    <w:bookmarkStart w:id="160"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156</w:t>
        </w:r>
      </w:hyperlink>
      <w:r>
        <w:rPr>
          <w:vertAlign w:val="superscript"/>
        </w:rPr>
        <w:t xml:space="preserve">–</w:t>
      </w:r>
      <w:hyperlink w:anchor="ref-pencina2007">
        <w:r>
          <w:rPr>
            <w:rStyle w:val="Hyperlink"/>
            <w:vertAlign w:val="superscript"/>
          </w:rPr>
          <w:t xml:space="preserve">158</w:t>
        </w:r>
      </w:hyperlink>
      <w:r>
        <w:t xml:space="preserve"> </w:t>
      </w:r>
      <w:r>
        <w:t xml:space="preserve">A model using age as the time axis inherently accounts, or adjusts, for participants age as a potential confounded of the exposure-outcome relationship. The main analyses presented all used age as the time axis.</w:t>
      </w:r>
    </w:p>
    <w:p>
      <w:pPr>
        <w:pStyle w:val="BodyText"/>
      </w:pPr>
      <w:r>
        <w:t xml:space="preserve"> </w:t>
      </w:r>
      <w:r>
        <w:t xml:space="preserve"> </w:t>
      </w:r>
    </w:p>
    <w:bookmarkEnd w:id="160"/>
    <w:bookmarkStart w:id="167" w:name="sensitivity-analyses-1"/>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62"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159</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7</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160</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effect of statin use on muscle pain</w:t>
      </w:r>
      <w:hyperlink w:anchor="ref-herrett2021">
        <w:r>
          <w:rPr>
            <w:rStyle w:val="Hyperlink"/>
            <w:vertAlign w:val="superscript"/>
          </w:rPr>
          <w:t xml:space="preserve">161</w:t>
        </w:r>
      </w:hyperlink>
      <w:r>
        <w:t xml:space="preserve"> </w:t>
      </w:r>
      <w:r>
        <w:t xml:space="preserve">have found no evidence of an effect. As such, if no evidence of an effect of statins on backpain is found in the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7: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61"/>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62"/>
    <w:bookmarkStart w:id="163"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63"/>
    <w:bookmarkStart w:id="164"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162</w:t>
        </w:r>
      </w:hyperlink>
    </w:p>
    <w:p>
      <w:pPr>
        <w:pStyle w:val="BodyText"/>
      </w:pPr>
      <w:r>
        <w:t xml:space="preserve"> </w:t>
      </w:r>
    </w:p>
    <w:bookmarkEnd w:id="164"/>
    <w:bookmarkStart w:id="165"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effect for the statin analysis varied by statin property, a sensitivity analysis was performed, stratifying by statin lipophilicity.</w:t>
      </w:r>
    </w:p>
    <w:p>
      <w:pPr>
        <w:pStyle w:val="BodyText"/>
      </w:pPr>
      <w:r>
        <w:t xml:space="preserve"> </w:t>
      </w:r>
    </w:p>
    <w:bookmarkEnd w:id="165"/>
    <w:bookmarkStart w:id="166"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163</w:t>
        </w:r>
      </w:hyperlink>
    </w:p>
    <w:p>
      <w:pPr>
        <w:pStyle w:val="BodyText"/>
      </w:pPr>
      <w:r>
        <w:t xml:space="preserve">This previous study used a propensity matching approach to estimate the effect of statins on a range of outcomes, and a protective effect of statin use on all-cause dementia (HR: 0.81, 95% CI: 0.69-0.96) and non-AD dementia (HR: 0.82, 95% CI: 0.69-0.97), but no evidence of an effect on AD (HR: 0.81, 95% 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66"/>
    <w:bookmarkEnd w:id="167"/>
    <w:bookmarkEnd w:id="168"/>
    <w:bookmarkStart w:id="189" w:name="results-1"/>
    <w:p>
      <w:pPr>
        <w:pStyle w:val="Heading2"/>
      </w:pPr>
      <w:r>
        <w:t xml:space="preserve">Results</w:t>
      </w:r>
    </w:p>
    <w:bookmarkStart w:id="170"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8</w:t>
      </w:r>
      <w:r>
        <w:t xml:space="preserve">), with a total follow-up of 10,800,903 patient years at risk.</w:t>
      </w:r>
    </w:p>
    <w:p>
      <w:pPr>
        <w:pStyle w:val="BodyText"/>
      </w:pPr>
      <w:r>
        <w:t xml:space="preserve"> </w:t>
      </w:r>
    </w:p>
    <w:p>
      <w:pPr>
        <w:pStyle w:val="BodyText"/>
      </w:pPr>
      <w:r>
        <w:drawing>
          <wp:inline>
            <wp:extent cx="5943600" cy="8192529"/>
            <wp:effectExtent b="0" l="0" r="0" t="0"/>
            <wp:docPr descr="Figure 8: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69"/>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(IQR):48-68) and participants were followed up for a median of 5.8 years (IQR:2.7-9.7). During follow-up, an all-cause dementia diagnosis was recorded for 41,830 patients (12,647 probable AD, 9,954 possible AD, 8,466 vascular dementia, 10,763 other dementia). The distribution of baseline characteristics across the seven drug classes can be seen in Table</w:t>
      </w:r>
      <w:r>
        <w:t xml:space="preserve"> </w:t>
      </w:r>
      <w:r>
        <w:t xml:space="preserve">11</w:t>
      </w:r>
      <w:r>
        <w:t xml:space="preserve">.</w:t>
      </w:r>
    </w:p>
    <w:p>
      <w:pPr>
        <w:pStyle w:val="TableCaption"/>
      </w:pPr>
      <w:r>
        <w:t xml:space="preserve">Table 11:</w:t>
      </w:r>
      <w:r>
        <w:t xml:space="preserve"> </w:t>
      </w:r>
      <w:bookmarkStart w:id="bdc4856c-c9cb-438c-80cd-4e3b48c0e851" w:name="tab:cprdCharacteristics-table"/>
      <w:r>
        <w:t xml:space="preserve">Patient characteristics by drug class. Summary statistics are presented as "% (N)" unless otherwise specified in the variable name.</w:t>
      </w:r>
      <w:bookmarkEnd w:id="bdc4856c-c9cb-438c-80cd-4e3b48c0e85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1695683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1095857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588455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Index year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53.1% (900847)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(616801)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 (277841)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54.6% (418)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54.8% (92)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(525)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(5739)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 (36680)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 (12803)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(23567)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(18)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 (525566)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 (279520)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40.9% (240925)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(2308)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41.8% (320)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50.9% (1983)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 (404)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85.8% (1455443)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86.5% (947716)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(498304)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83.9% (643)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(3226)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82.7% (139)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81.9% (817)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(866207)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 (515192)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 (344540)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57.4% (440)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 (2342)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53.6% (90)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53.8% (536)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(12879)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(4204)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(8524)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 (273011)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 (126891)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24.5% (144010)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 (697)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(1391)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(814)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(3206)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(49381)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(12376)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(36182)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11</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12:</w:t>
      </w:r>
      <w:r>
        <w:t xml:space="preserve"> </w:t>
      </w:r>
      <w:bookmarkStart w:id="2adb321e-9c9d-4898-90bb-0b87650ac86e" w:name="tab:cprdSSA-table"/>
      <w:r>
        <w:t xml:space="preserve">Participants who stopped, switched or added treatments by initial treatment type.</w:t>
      </w:r>
      <w:bookmarkEnd w:id="2adb321e-9c9d-4898-90bb-0b87650ac8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55.9%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(26018)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26.3%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(14956)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(12014)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12</w:t>
      </w:r>
      <w:r>
        <w:t xml:space="preserve">).</w:t>
      </w:r>
    </w:p>
    <w:p>
      <w:pPr>
        <w:pStyle w:val="BodyText"/>
      </w:pPr>
      <w:r>
        <w:t xml:space="preserve"> </w:t>
      </w:r>
    </w:p>
    <w:bookmarkEnd w:id="170"/>
    <w:bookmarkStart w:id="171" w:name="missing-data-1"/>
    <w:p>
      <w:pPr>
        <w:pStyle w:val="Heading3"/>
      </w:pPr>
      <w:r>
        <w:t xml:space="preserve">Missing data</w:t>
      </w:r>
    </w:p>
    <w:p>
      <w:pPr>
        <w:pStyle w:val="SourceCode"/>
      </w:pPr>
      <w:r>
        <w:rPr>
          <w:rStyle w:val="VerbatimChar"/>
        </w:rPr>
        <w:t xml:space="preserve">## Scale for 'x' is already present. Adding another scale for 'x', which will</w:t>
      </w:r>
      <w:r>
        <w:br/>
      </w:r>
      <w:r>
        <w:rPr>
          <w:rStyle w:val="VerbatimChar"/>
        </w:rPr>
        <w:t xml:space="preserve">## replace the existing scale.</w:t>
      </w:r>
    </w:p>
    <w:p>
      <w:pPr>
        <w:pStyle w:val="FirstParagraph"/>
      </w:pPr>
      <w:r>
        <w:t xml:space="preserve">Full covariate information was available for 451,897 participants (26.6%). Six key variables had some missing data: IMD 2010 score was missing for 630,439 participants (37.2%), because it is only recorded for English practices; alcohol status was missing for 272,745 participants (16.1%); smoking status was missing for 85,267 participants (5%); BMI, or a calculated BMI from height and weight measurements, was missing for 270,122 participants (15.9%); baseline total cholesterol was missing for 121,101 participants (7.1%); and baseline LDL cholesterol was missing for 793,720 participants (46.8%).</w:t>
      </w:r>
    </w:p>
    <w:p>
      <w:pPr>
        <w:pStyle w:val="BodyText"/>
      </w:pPr>
      <w:r>
        <w:t xml:space="preserve"> </w:t>
      </w:r>
    </w:p>
    <w:bookmarkEnd w:id="171"/>
    <w:bookmarkStart w:id="173"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9</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303366"/>
            <wp:effectExtent b="0" l="0" r="0" t="0"/>
            <wp:docPr descr="Figure 9: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72"/>
                    <a:stretch>
                      <a:fillRect/>
                    </a:stretch>
                  </pic:blipFill>
                  <pic:spPr bwMode="auto">
                    <a:xfrm>
                      <a:off x="0" y="0"/>
                      <a:ext cx="5943600" cy="7303366"/>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No evidence was found for an effect of lipid-regulating agents on probable (HR: 0.98, 95%CI: 0.94-1.01) and possible (HR: 0.97, 95%CI: 0.93-1.01) Alzheimer’s disease when compared with no treatment, with the sole exception of fibrates on probable Alzheimer’s disease (HR: 1.28, 95%CI: 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 1.81, 95%CI: 1.73-1.89) or other dementia (HR: 1.19, 95%CI: 1.15-1.24). Again this effect was driven mainly by the statin subgroup, but there was some evidence that ezetimibe was associated with an increased risk of vascular (HR: 2.33, 95%CI: 1.11-4.89) and other (HR: 1.88, 95%CI: 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1.28, 95%CI: 1.08-1.52).</w:t>
      </w:r>
    </w:p>
    <w:p>
      <w:pPr>
        <w:pStyle w:val="BodyText"/>
      </w:pPr>
      <w:r>
        <w:t xml:space="preserve"> </w:t>
      </w:r>
    </w:p>
    <w:bookmarkEnd w:id="173"/>
    <w:bookmarkStart w:id="188" w:name="sensitivity-analyses-2"/>
    <w:p>
      <w:pPr>
        <w:pStyle w:val="Heading3"/>
      </w:pPr>
      <w:r>
        <w:t xml:space="preserve">Sensitivity analyses</w:t>
      </w:r>
    </w:p>
    <w:p>
      <w:pPr>
        <w:pStyle w:val="FirstParagraph"/>
      </w:pPr>
      <w:r>
        <w:t xml:space="preserve">The results of the series of sensitivity analyses performed are described in the following sections.</w:t>
      </w:r>
    </w:p>
    <w:bookmarkStart w:id="175"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793,720 participants (46.8%)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b">
        <w:r>
          <w:rPr>
            <w:rStyle w:val="Hyperlink"/>
            <w:bCs/>
            <w:b/>
            <w:vertAlign w:val="superscript"/>
          </w:rPr>
          <w:t xml:space="preserve">sterne2009b?</w:t>
        </w:r>
      </w:hyperlink>
    </w:p>
    <w:p>
      <w:pPr>
        <w:pStyle w:val="BodyText"/>
      </w:pPr>
      <w:r>
        <w:t xml:space="preserve"> </w:t>
      </w:r>
    </w:p>
    <w:p>
      <w:pPr>
        <w:pStyle w:val="BodyText"/>
      </w:pPr>
      <w:r>
        <w:drawing>
          <wp:inline>
            <wp:extent cx="5943600" cy="4273507"/>
            <wp:effectExtent b="0" l="0" r="0" t="0"/>
            <wp:docPr descr="Figure 10: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74"/>
                    <a:stretch>
                      <a:fillRect/>
                    </a:stretch>
                  </pic:blipFill>
                  <pic:spPr bwMode="auto">
                    <a:xfrm>
                      <a:off x="0" y="0"/>
                      <a:ext cx="5943600" cy="4273507"/>
                    </a:xfrm>
                    <a:prstGeom prst="rect">
                      <a:avLst/>
                    </a:prstGeom>
                    <a:noFill/>
                    <a:ln w="9525">
                      <a:noFill/>
                      <a:headEnd/>
                      <a:tailEnd/>
                    </a:ln>
                  </pic:spPr>
                </pic:pic>
              </a:graphicData>
            </a:graphic>
          </wp:inline>
        </w:drawing>
      </w:r>
      <w:r>
        <w:t xml:space="preserve"> </w:t>
      </w:r>
    </w:p>
    <w:p>
      <w:pPr>
        <w:pStyle w:val="BodyText"/>
      </w:pPr>
      <w:r>
        <w:t xml:space="preserve"> </w:t>
      </w:r>
    </w:p>
    <w:bookmarkEnd w:id="175"/>
    <w:bookmarkStart w:id="177"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11</w:t>
      </w:r>
      <w:r>
        <w:t xml:space="preserve">.</w:t>
      </w:r>
    </w:p>
    <w:p>
      <w:pPr>
        <w:pStyle w:val="BodyText"/>
      </w:pPr>
      <w:r>
        <w:t xml:space="preserve">For the negative control, there was some evidence that treatment with a statin was associated with an increased risk of back pain (HR: 1.04, 95% CI: 1.03-1.05), suggesting there may be some residual confounding. However, statin prescription was also associated with a substantially increased risk of ischemic heart disease (HR: 1.62, 95% CI: 1.59-1.64).</w:t>
      </w:r>
    </w:p>
    <w:p>
      <w:pPr>
        <w:pStyle w:val="BodyText"/>
      </w:pPr>
      <w:r>
        <w:t xml:space="preserve"> </w:t>
      </w:r>
    </w:p>
    <w:p>
      <w:pPr>
        <w:pStyle w:val="BodyText"/>
      </w:pPr>
      <w:r>
        <w:drawing>
          <wp:inline>
            <wp:extent cx="5943600" cy="2251886"/>
            <wp:effectExtent b="0" l="0" r="0" t="0"/>
            <wp:docPr descr="Figure 11: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76"/>
                    <a:stretch>
                      <a:fillRect/>
                    </a:stretch>
                  </pic:blipFill>
                  <pic:spPr bwMode="auto">
                    <a:xfrm>
                      <a:off x="0" y="0"/>
                      <a:ext cx="5943600" cy="2251886"/>
                    </a:xfrm>
                    <a:prstGeom prst="rect">
                      <a:avLst/>
                    </a:prstGeom>
                    <a:noFill/>
                    <a:ln w="9525">
                      <a:noFill/>
                      <a:headEnd/>
                      <a:tailEnd/>
                    </a:ln>
                  </pic:spPr>
                </pic:pic>
              </a:graphicData>
            </a:graphic>
          </wp:inline>
        </w:drawing>
      </w:r>
      <w:r>
        <w:t xml:space="preserve"> </w:t>
      </w:r>
    </w:p>
    <w:p>
      <w:pPr>
        <w:pStyle w:val="BodyText"/>
      </w:pPr>
      <w:r>
        <w:t xml:space="preserve"> </w:t>
      </w:r>
    </w:p>
    <w:bookmarkEnd w:id="177"/>
    <w:bookmarkStart w:id="179"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12</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203298"/>
            <wp:effectExtent b="0" l="0" r="0" t="0"/>
            <wp:docPr descr="Figure 12: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78"/>
                    <a:stretch>
                      <a:fillRect/>
                    </a:stretch>
                  </pic:blipFill>
                  <pic:spPr bwMode="auto">
                    <a:xfrm>
                      <a:off x="0" y="0"/>
                      <a:ext cx="5943600" cy="5203298"/>
                    </a:xfrm>
                    <a:prstGeom prst="rect">
                      <a:avLst/>
                    </a:prstGeom>
                    <a:noFill/>
                    <a:ln w="9525">
                      <a:noFill/>
                      <a:headEnd/>
                      <a:tailEnd/>
                    </a:ln>
                  </pic:spPr>
                </pic:pic>
              </a:graphicData>
            </a:graphic>
          </wp:inline>
        </w:drawing>
      </w:r>
      <w:r>
        <w:t xml:space="preserve"> </w:t>
      </w:r>
    </w:p>
    <w:bookmarkEnd w:id="179"/>
    <w:bookmarkStart w:id="181"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13</w:t>
      </w:r>
      <w:r>
        <w:t xml:space="preserve">).</w:t>
      </w:r>
    </w:p>
    <w:p>
      <w:pPr>
        <w:pStyle w:val="BodyText"/>
      </w:pPr>
      <w:r>
        <w:t xml:space="preserve"> </w:t>
      </w:r>
    </w:p>
    <w:p>
      <w:pPr>
        <w:pStyle w:val="BodyText"/>
      </w:pPr>
      <w:r>
        <w:drawing>
          <wp:inline>
            <wp:extent cx="5943600" cy="1787482"/>
            <wp:effectExtent b="0" l="0" r="0" t="0"/>
            <wp:docPr descr="Figure 13: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80"/>
                    <a:stretch>
                      <a:fillRect/>
                    </a:stretch>
                  </pic:blipFill>
                  <pic:spPr bwMode="auto">
                    <a:xfrm>
                      <a:off x="0" y="0"/>
                      <a:ext cx="5943600" cy="1787482"/>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13</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13:</w:t>
      </w:r>
      <w:r>
        <w:t xml:space="preserve"> </w:t>
      </w:r>
      <w:bookmarkStart w:id="5b16d886-0902-4291-ad35-f01ffc9d3909" w:name="tab:diagnosisType-table"/>
      <w:r>
        <w:t xml:space="preserve">Frequency of diagnoses by grouped year of cohort entry</w:t>
      </w:r>
      <w:bookmarkEnd w:id="5b16d886-0902-4291-ad35-f01ffc9d390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81"/>
    <w:bookmarkStart w:id="183"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14</w:t>
      </w:r>
      <w:r>
        <w:t xml:space="preserve">).</w:t>
      </w:r>
    </w:p>
    <w:p>
      <w:pPr>
        <w:pStyle w:val="BodyText"/>
      </w:pPr>
      <w:r>
        <w:drawing>
          <wp:inline>
            <wp:extent cx="5943600" cy="4253293"/>
            <wp:effectExtent b="0" l="0" r="0" t="0"/>
            <wp:docPr descr="Figure 14: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82"/>
                    <a:stretch>
                      <a:fillRect/>
                    </a:stretch>
                  </pic:blipFill>
                  <pic:spPr bwMode="auto">
                    <a:xfrm>
                      <a:off x="0" y="0"/>
                      <a:ext cx="5943600" cy="4253293"/>
                    </a:xfrm>
                    <a:prstGeom prst="rect">
                      <a:avLst/>
                    </a:prstGeom>
                    <a:noFill/>
                    <a:ln w="9525">
                      <a:noFill/>
                      <a:headEnd/>
                      <a:tailEnd/>
                    </a:ln>
                  </pic:spPr>
                </pic:pic>
              </a:graphicData>
            </a:graphic>
          </wp:inline>
        </w:drawing>
      </w:r>
      <w:r>
        <w:t xml:space="preserve"> </w:t>
      </w:r>
    </w:p>
    <w:p>
      <w:pPr>
        <w:pStyle w:val="BodyText"/>
      </w:pPr>
      <w:r>
        <w:t xml:space="preserve"> </w:t>
      </w:r>
    </w:p>
    <w:bookmarkEnd w:id="183"/>
    <w:bookmarkStart w:id="185"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14</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14:</w:t>
      </w:r>
      <w:r>
        <w:t xml:space="preserve"> </w:t>
      </w:r>
      <w:bookmarkStart w:id="c760619c-8e4d-4d14-9b0e-4ca645e3eeaf" w:name="tab:statinTypeTable-table"/>
      <w:r>
        <w:t xml:space="preserve">Summary of statin properties (lipophilicity vs hydrophilicity) by grouped year of prescription.</w:t>
      </w:r>
      <w:bookmarkEnd w:id="c760619c-8e4d-4d14-9b0e-4ca645e3eea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15</w:t>
      </w:r>
      <w:r>
        <w:t xml:space="preserve">). Additionally, in the AD outcomes, hydrophilic statins had a small protective effect, compared to the absence of evidence for an effect for lipophilic statins.</w:t>
      </w:r>
    </w:p>
    <w:p>
      <w:pPr>
        <w:pStyle w:val="BodyText"/>
      </w:pPr>
      <w:r>
        <w:t xml:space="preserve"> </w:t>
      </w:r>
    </w:p>
    <w:p>
      <w:pPr>
        <w:pStyle w:val="BodyText"/>
      </w:pPr>
      <w:r>
        <w:drawing>
          <wp:inline>
            <wp:extent cx="5943600" cy="4273507"/>
            <wp:effectExtent b="0" l="0" r="0" t="0"/>
            <wp:docPr descr="Figure 15: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84"/>
                    <a:stretch>
                      <a:fillRect/>
                    </a:stretch>
                  </pic:blipFill>
                  <pic:spPr bwMode="auto">
                    <a:xfrm>
                      <a:off x="0" y="0"/>
                      <a:ext cx="5943600" cy="4273507"/>
                    </a:xfrm>
                    <a:prstGeom prst="rect">
                      <a:avLst/>
                    </a:prstGeom>
                    <a:noFill/>
                    <a:ln w="9525">
                      <a:noFill/>
                      <a:headEnd/>
                      <a:tailEnd/>
                    </a:ln>
                  </pic:spPr>
                </pic:pic>
              </a:graphicData>
            </a:graphic>
          </wp:inline>
        </w:drawing>
      </w:r>
      <w:r>
        <w:t xml:space="preserve"> </w:t>
      </w:r>
    </w:p>
    <w:p>
      <w:pPr>
        <w:pStyle w:val="BodyText"/>
      </w:pPr>
      <w:r>
        <w:t xml:space="preserve"> </w:t>
      </w:r>
    </w:p>
    <w:bookmarkEnd w:id="185"/>
    <w:bookmarkStart w:id="187" w:name="comparing-codelists"/>
    <w:p>
      <w:pPr>
        <w:pStyle w:val="Heading4"/>
      </w:pPr>
      <w:r>
        <w:t xml:space="preserve">Comparing codelists</w:t>
      </w:r>
    </w:p>
    <w:p>
      <w:pPr>
        <w:pStyle w:val="FirstParagraph"/>
      </w:pPr>
      <w:r>
        <w:t xml:space="preserve">When using the Smeeth et al code lists to define dementia outcomes, effect estimates of HR: 1.19 (95% CI: 1.07-1.32) and HR: 1.33 (95% 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16</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163</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16: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86"/>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187"/>
    <w:bookmarkEnd w:id="188"/>
    <w:bookmarkEnd w:id="189"/>
    <w:bookmarkStart w:id="196" w:name="discussion-2"/>
    <w:p>
      <w:pPr>
        <w:pStyle w:val="Heading2"/>
      </w:pPr>
      <w:r>
        <w:t xml:space="preserve">Discussion</w:t>
      </w:r>
    </w:p>
    <w:bookmarkStart w:id="190" w:name="summary-of-findings"/>
    <w:p>
      <w:pPr>
        <w:pStyle w:val="Heading3"/>
      </w:pPr>
      <w:r>
        <w:t xml:space="preserve">Summary of findings</w:t>
      </w:r>
    </w:p>
    <w:p>
      <w:pPr>
        <w:pStyle w:val="FirstParagraph"/>
      </w:pPr>
      <w:r>
        <w:t xml:space="preserve">Lipid-regulating agents showed no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190"/>
    <w:bookmarkStart w:id="192"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w:t>
      </w:r>
      <w:r>
        <w:t xml:space="preserve">) and the individual patient data analysis (Chapter</w:t>
      </w:r>
      <w:r>
        <w:t xml:space="preserve"> </w:t>
      </w:r>
      <w:r>
        <w:t xml:space="preserve">??</w:t>
      </w:r>
      <w:r>
        <w:t xml:space="preserve">), see Section</w:t>
      </w:r>
      <w:r>
        <w:t xml:space="preserve"> </w:t>
      </w:r>
      <w:r>
        <w:t xml:space="preserve">??</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164</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17</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165</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17: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91"/>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5</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 CI: 1.04-1.66).</w:t>
      </w:r>
      <w:hyperlink w:anchor="ref-danaei2013b">
        <w:r>
          <w:rPr>
            <w:rStyle w:val="Hyperlink"/>
            <w:vertAlign w:val="superscript"/>
          </w:rPr>
          <w:t xml:space="preserve">166</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167</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4.4.9</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192"/>
    <w:bookmarkStart w:id="193" w:name="strengths-and-limitations"/>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168</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wilkinson2018">
        <w:r>
          <w:rPr>
            <w:rStyle w:val="Hyperlink"/>
            <w:vertAlign w:val="superscript"/>
          </w:rPr>
          <w:t xml:space="preserve">137</w:t>
        </w:r>
      </w:hyperlink>
      <w:r>
        <w:rPr>
          <w:vertAlign w:val="superscript"/>
        </w:rPr>
        <w:t xml:space="preserve">,</w:t>
      </w:r>
      <w:hyperlink w:anchor="ref-mcguinness2019b">
        <w:r>
          <w:rPr>
            <w:rStyle w:val="Hyperlink"/>
            <w:bCs/>
            <w:b/>
            <w:vertAlign w:val="superscript"/>
          </w:rPr>
          <w:t xml:space="preserve">mcguinness2019b?</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193"/>
    <w:bookmarkStart w:id="194"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4.5.4</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169</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170</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194"/>
    <w:bookmarkStart w:id="195"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no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166</w:t>
        </w:r>
      </w:hyperlink>
    </w:p>
    <w:p>
      <w:pPr>
        <w:pStyle w:val="BodyText"/>
      </w:pPr>
      <w:r>
        <w:t xml:space="preserve">Regardless, this analysis has provided an additional source of evidence for the triangulation exercise presented in Chapter</w:t>
      </w:r>
      <w:r>
        <w:t xml:space="preserve"> </w:t>
      </w:r>
      <w:r>
        <w:t xml:space="preserve">7</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195"/>
    <w:bookmarkEnd w:id="196"/>
    <w:bookmarkStart w:id="197" w:name="references-3"/>
    <w:p>
      <w:pPr>
        <w:pStyle w:val="Heading2"/>
      </w:pPr>
      <w:r>
        <w:t xml:space="preserve">References</w:t>
      </w:r>
    </w:p>
    <w:p>
      <w:pPr>
        <w:pStyle w:val="FirstParagraph"/>
      </w:pPr>
      <w:r>
        <w:t xml:space="preserve">— Hold — Hold</w:t>
      </w:r>
    </w:p>
    <w:bookmarkEnd w:id="197"/>
    <w:bookmarkEnd w:id="198"/>
    <w:bookmarkStart w:id="210" w:name="ipd-heading"/>
    <w:p>
      <w:pPr>
        <w:pStyle w:val="Heading1"/>
      </w:pPr>
      <w:r>
        <w:t xml:space="preserve">Individual participant data meta-analysis</w:t>
      </w:r>
    </w:p>
    <w:p>
      <w:pPr>
        <w:pStyle w:val="FirstParagraph"/>
      </w:pPr>
    </w:p>
    <w:bookmarkStart w:id="199" w:name="lay-summary-4"/>
    <w:p>
      <w:pPr>
        <w:pStyle w:val="Heading2"/>
      </w:pPr>
      <w:r>
        <w:t xml:space="preserve">Lay Summary</w:t>
      </w:r>
    </w:p>
    <w:bookmarkEnd w:id="199"/>
    <w:bookmarkStart w:id="200" w:name="introduction-2"/>
    <w:p>
      <w:pPr>
        <w:pStyle w:val="Heading2"/>
      </w:pPr>
      <w:r>
        <w:t xml:space="preserve">Introduction</w:t>
      </w:r>
    </w:p>
    <w:p>
      <w:pPr>
        <w:pStyle w:val="FirstParagraph"/>
      </w:pPr>
      <w:r>
        <w:t xml:space="preserve">Is there a good way to visualise input of cohorts into an IPD analysis?</w:t>
      </w:r>
    </w:p>
    <w:bookmarkEnd w:id="200"/>
    <w:bookmarkStart w:id="205" w:name="methods-2"/>
    <w:p>
      <w:pPr>
        <w:pStyle w:val="Heading2"/>
      </w:pPr>
      <w:r>
        <w:t xml:space="preserve">Methods</w:t>
      </w:r>
    </w:p>
    <w:p>
      <w:pPr>
        <w:pStyle w:val="FirstParagraph"/>
      </w:pPr>
      <w:r>
        <w:t xml:space="preserve">As part of the IPD analysis, relevant cohort studies were identified from the sty and approached. In the first instance, the corresponding author on the main man</w:t>
      </w:r>
    </w:p>
    <w:p>
      <w:pPr>
        <w:pStyle w:val="BodyText"/>
      </w:pPr>
      <w:r>
        <w:t xml:space="preserve">Talk about how different covariates were managed across cohorts,</w:t>
      </w:r>
    </w:p>
    <w:p>
      <w:pPr>
        <w:pStyle w:val="BodyText"/>
      </w:pPr>
      <w:r>
        <w:t xml:space="preserve">Talk about missing data was handled</w:t>
      </w:r>
      <w:r>
        <w:t xml:space="preserve"> </w:t>
      </w:r>
    </w:p>
    <w:p>
      <w:pPr>
        <w:pStyle w:val="BodyText"/>
      </w:pPr>
      <w:r>
        <w:t xml:space="preserve"> </w:t>
      </w:r>
    </w:p>
    <w:bookmarkStart w:id="202"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Should also include a list of reasons why specific additional cohorts were not included - some like the EHR might be too big to get</w:t>
      </w:r>
    </w:p>
    <w:p>
      <w:pPr>
        <w:pStyle w:val="BodyText"/>
      </w:pPr>
      <w:r>
        <w:t xml:space="preserve">Each should have:</w:t>
      </w:r>
    </w:p>
    <w:p>
      <w:pPr>
        <w:numPr>
          <w:ilvl w:val="0"/>
          <w:numId w:val="1015"/>
        </w:numPr>
        <w:pStyle w:val="Compact"/>
      </w:pPr>
      <w:r>
        <w:t xml:space="preserve">Description (including observation period, numbers, numbers with outcome, etc)</w:t>
      </w:r>
    </w:p>
    <w:p>
      <w:pPr>
        <w:numPr>
          <w:ilvl w:val="0"/>
          <w:numId w:val="1015"/>
        </w:numPr>
        <w:pStyle w:val="Compact"/>
      </w:pPr>
      <w:r>
        <w:t xml:space="preserve">Whether they are a known genetically at-risk cohort</w:t>
      </w:r>
    </w:p>
    <w:p>
      <w:pPr>
        <w:pStyle w:val="FirstParagraph"/>
      </w:pPr>
      <w:r>
        <w:t xml:space="preserve"> </w:t>
      </w:r>
    </w:p>
    <w:bookmarkStart w:id="201"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171</w:t>
        </w:r>
      </w:hyperlink>
      <w:r>
        <w:rPr>
          <w:vertAlign w:val="superscript"/>
        </w:rPr>
        <w:t xml:space="preserve">,</w:t>
      </w:r>
      <w:hyperlink w:anchor="ref-riboli2002">
        <w:r>
          <w:rPr>
            <w:rStyle w:val="Hyperlink"/>
            <w:vertAlign w:val="superscript"/>
          </w:rPr>
          <w:t xml:space="preserve">172</w:t>
        </w:r>
      </w:hyperlink>
    </w:p>
    <w:p>
      <w:pPr>
        <w:pStyle w:val="BodyText"/>
      </w:pPr>
      <w:r>
        <w:t xml:space="preserve">Different approaches to combining subgroups.</w:t>
      </w:r>
      <w:hyperlink w:anchor="ref-fisher2017">
        <w:r>
          <w:rPr>
            <w:rStyle w:val="Hyperlink"/>
            <w:vertAlign w:val="superscript"/>
          </w:rPr>
          <w:t xml:space="preserve">173</w:t>
        </w:r>
      </w:hyperlink>
    </w:p>
    <w:p>
      <w:pPr>
        <w:pStyle w:val="BodyText"/>
      </w:pPr>
      <w:r>
        <w:t xml:space="preserve">Several DPUK cohorts were excluded on the basis of a lack of exposure variables, including Cam-CAN (had cardiovascular category, but only contained blood pressure).</w:t>
      </w:r>
    </w:p>
    <w:p>
      <w:pPr>
        <w:pStyle w:val="BodyText"/>
      </w:pPr>
      <w:r>
        <w:t xml:space="preserve">See</w:t>
      </w:r>
    </w:p>
    <w:p>
      <w:pPr>
        <w:pStyle w:val="BodyText"/>
      </w:pPr>
      <w:r>
        <w:t xml:space="preserve"> </w:t>
      </w:r>
    </w:p>
    <w:bookmarkEnd w:id="201"/>
    <w:bookmarkEnd w:id="202"/>
    <w:bookmarkStart w:id="203" w:name="risk-of-bias-assessment"/>
    <w:p>
      <w:pPr>
        <w:pStyle w:val="Heading3"/>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4.3.6</w:t>
      </w:r>
      <w:r>
        <w:t xml:space="preserve">.</w:t>
      </w:r>
    </w:p>
    <w:p>
      <w:pPr>
        <w:pStyle w:val="BodyText"/>
      </w:pPr>
      <w:r>
        <w:t xml:space="preserve"> </w:t>
      </w:r>
    </w:p>
    <w:bookmarkEnd w:id="203"/>
    <w:bookmarkStart w:id="204" w:name="data-cleaning"/>
    <w:p>
      <w:pPr>
        <w:pStyle w:val="Heading3"/>
      </w:pPr>
      <w:r>
        <w:t xml:space="preserve">Data cleaning</w:t>
      </w:r>
    </w:p>
    <w:p>
      <w:pPr>
        <w:pStyle w:val="FirstParagraph"/>
      </w:pPr>
      <w:r>
        <w:t xml:space="preserve"> </w:t>
      </w:r>
    </w:p>
    <w:bookmarkEnd w:id="204"/>
    <w:bookmarkEnd w:id="205"/>
    <w:bookmarkStart w:id="209" w:name="discussion-3"/>
    <w:p>
      <w:pPr>
        <w:pStyle w:val="Heading2"/>
      </w:pPr>
      <w:r>
        <w:t xml:space="preserve">Discussion</w:t>
      </w:r>
    </w:p>
    <w:p>
      <w:pPr>
        <w:pStyle w:val="FirstParagraph"/>
      </w:pPr>
      <w:r>
        <w:t xml:space="preserve">Letters sent to all cohorts identified through the systematic review - will need quite a bit here on the numbers approached and how they responded if at all. Will also need to comment on the additional tactics used.</w:t>
      </w:r>
    </w:p>
    <w:p>
      <w:pPr>
        <w:pStyle w:val="BodyText"/>
      </w:pPr>
      <w:r>
        <w:t xml:space="preserve">This is likely due to my junior position as a early career research combined with the impact</w:t>
      </w:r>
    </w:p>
    <w:p>
      <w:pPr>
        <w:pStyle w:val="BodyText"/>
      </w:pPr>
      <w:r>
        <w:t xml:space="preserve">Range of reasons why data is not readily available. Privacy concerns, concerns around scoping or</w:t>
      </w:r>
      <w:r>
        <w:t xml:space="preserve"> </w:t>
      </w:r>
      <w:r>
        <w:t xml:space="preserve">“</w:t>
      </w:r>
      <w:r>
        <w:t xml:space="preserve">parasitic</w:t>
      </w:r>
      <w:r>
        <w:t xml:space="preserve">”</w:t>
      </w:r>
      <w:r>
        <w:t xml:space="preserve"> </w:t>
      </w:r>
      <w:r>
        <w:t xml:space="preserve">behaviour, and a lack of trust (i.e. primary researchers do not trust secondary researchers).</w:t>
      </w:r>
    </w:p>
    <w:p>
      <w:pPr>
        <w:pStyle w:val="BodyText"/>
      </w:pPr>
      <w:r>
        <w:t xml:space="preserve">Unfortunately,</w:t>
      </w:r>
    </w:p>
    <w:p>
      <w:pPr>
        <w:pStyle w:val="BodyText"/>
      </w:pPr>
      <w:r>
        <w:t xml:space="preserve">As part of this, an analysis of</w:t>
      </w:r>
    </w:p>
    <w:bookmarkStart w:id="206" w:name="reflections-on-data-access"/>
    <w:p>
      <w:pPr>
        <w:pStyle w:val="Heading3"/>
      </w:pPr>
      <w:r>
        <w:t xml:space="preserve">Reflections on data access</w:t>
      </w:r>
    </w:p>
    <w:p>
      <w:pPr>
        <w:pStyle w:val="FirstParagraph"/>
      </w:pPr>
      <w:r>
        <w:t xml:space="preserve">Describe your experience of trying to access the DPUK - while a great resources, frustrating at times. The portal would benefit from a centralised management system and</w:t>
      </w:r>
    </w:p>
    <w:bookmarkEnd w:id="206"/>
    <w:bookmarkStart w:id="208" w:name="study-within-a-review"/>
    <w:p>
      <w:pPr>
        <w:pStyle w:val="Heading3"/>
      </w:pPr>
      <w:r>
        <w:t xml:space="preserve">Study within a review</w:t>
      </w:r>
    </w:p>
    <w:p>
      <w:pPr>
        <w:pStyle w:val="FirstParagraph"/>
      </w:pPr>
      <w:r>
        <w:t xml:space="preserve">In future, it could have been worth running a</w:t>
      </w:r>
      <w:r>
        <w:t xml:space="preserve"> </w:t>
      </w:r>
      <w:r>
        <w:t xml:space="preserve">“</w:t>
      </w:r>
      <w:r>
        <w:t xml:space="preserve">study within a review</w:t>
      </w:r>
      <w:r>
        <w:t xml:space="preserve">”</w:t>
      </w:r>
      <w:r>
        <w:t xml:space="preserve">, such as that used to examine whe</w:t>
      </w:r>
    </w:p>
    <w:p>
      <w:pPr>
        <w:pStyle w:val="BodyText"/>
      </w:pPr>
      <w:hyperlink r:id="rId207">
        <w:r>
          <w:rPr>
            <w:rStyle w:val="Hyperlink"/>
          </w:rPr>
          <w:t xml:space="preserve">https://bmjopen.bmj.com/content/9/1/e025273</w:t>
        </w:r>
      </w:hyperlink>
    </w:p>
    <w:p>
      <w:pPr>
        <w:pStyle w:val="BodyText"/>
      </w:pPr>
      <w:r>
        <w:t xml:space="preserve">— Hold — Hold</w:t>
      </w:r>
    </w:p>
    <w:bookmarkEnd w:id="208"/>
    <w:bookmarkEnd w:id="209"/>
    <w:bookmarkEnd w:id="210"/>
    <w:bookmarkStart w:id="222" w:name="discussion-heading"/>
    <w:p>
      <w:pPr>
        <w:pStyle w:val="Heading1"/>
      </w:pPr>
      <w:r>
        <w:t xml:space="preserve">Discussion</w:t>
      </w:r>
    </w:p>
    <w:p>
      <w:pPr>
        <w:pStyle w:val="FirstParagraph"/>
      </w:pPr>
    </w:p>
    <w:bookmarkStart w:id="212" w:name="Xaed70c6bfbe9ac75ed11abe63d990e0ab7358f2"/>
    <w:p>
      <w:pPr>
        <w:pStyle w:val="Heading2"/>
      </w:pPr>
      <w:r>
        <w:t xml:space="preserve">Triangulation across exisiting evidence and evidence produced in this thesis</w:t>
      </w:r>
    </w:p>
    <w:bookmarkStart w:id="211"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r>
        <w:t xml:space="preserve"> </w:t>
      </w:r>
    </w:p>
    <w:bookmarkEnd w:id="211"/>
    <w:bookmarkEnd w:id="212"/>
    <w:bookmarkStart w:id="213"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r>
        <w:t xml:space="preserve"> </w:t>
      </w:r>
    </w:p>
    <w:bookmarkEnd w:id="213"/>
    <w:bookmarkStart w:id="214" w:name="X19a11de4ab8606b74b5ad332dc48f14a8936b74"/>
    <w:p>
      <w:pPr>
        <w:pStyle w:val="Heading2"/>
      </w:pPr>
      <w:r>
        <w:t xml:space="preserve">Use of concensus panel to bring everything together</w:t>
      </w:r>
    </w:p>
    <w:p>
      <w:pPr>
        <w:pStyle w:val="FirstParagraph"/>
      </w:pPr>
      <w:r>
        <w:t xml:space="preserve"> </w:t>
      </w:r>
      <w:r>
        <w:t xml:space="preserve"> </w:t>
      </w:r>
    </w:p>
    <w:bookmarkEnd w:id="214"/>
    <w:bookmarkStart w:id="215"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6"/>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r>
        <w:t xml:space="preserve"> </w:t>
      </w:r>
    </w:p>
    <w:bookmarkEnd w:id="215"/>
    <w:bookmarkStart w:id="216" w:name="X3b130fc6d67361b601b7baea6ee52fa2c3412e8"/>
    <w:p>
      <w:pPr>
        <w:pStyle w:val="Heading2"/>
      </w:pPr>
      <w:r>
        <w:t xml:space="preserve">Summary of findings (and implications for policy makers)</w:t>
      </w:r>
    </w:p>
    <w:p>
      <w:pPr>
        <w:pStyle w:val="FirstParagraph"/>
      </w:pPr>
      <w:r>
        <w:t xml:space="preserve"> </w:t>
      </w:r>
      <w:r>
        <w:t xml:space="preserve"> </w:t>
      </w:r>
    </w:p>
    <w:bookmarkEnd w:id="216"/>
    <w:bookmarkStart w:id="217" w:name="strengths-and-limitations-1"/>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174</w:t>
        </w:r>
      </w:hyperlink>
    </w:p>
    <w:p>
      <w:pPr>
        <w:pStyle w:val="BodyText"/>
      </w:pPr>
      <w:r>
        <w:t xml:space="preserve"> </w:t>
      </w:r>
      <w:r>
        <w:t xml:space="preserve"> </w:t>
      </w:r>
    </w:p>
    <w:bookmarkEnd w:id="217"/>
    <w:bookmarkStart w:id="218"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18"/>
    <w:bookmarkStart w:id="219"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19"/>
    <w:bookmarkStart w:id="220" w:name="future-work"/>
    <w:p>
      <w:pPr>
        <w:pStyle w:val="Heading2"/>
      </w:pPr>
      <w:r>
        <w:t xml:space="preserve">Future work</w:t>
      </w:r>
    </w:p>
    <w:p>
      <w:pPr>
        <w:pStyle w:val="FirstParagraph"/>
      </w:pPr>
      <w:r>
        <w:t xml:space="preserve"> </w:t>
      </w:r>
      <w:r>
        <w:t xml:space="preserve"> </w:t>
      </w:r>
    </w:p>
    <w:bookmarkEnd w:id="220"/>
    <w:bookmarkStart w:id="221" w:name="overall-conclusions"/>
    <w:p>
      <w:pPr>
        <w:pStyle w:val="Heading2"/>
      </w:pPr>
      <w:r>
        <w:t xml:space="preserve">Overall conclusions</w:t>
      </w:r>
    </w:p>
    <w:bookmarkEnd w:id="221"/>
    <w:bookmarkEnd w:id="222"/>
    <w:bookmarkStart w:id="223" w:name="bibliography"/>
    <w:p>
      <w:pPr>
        <w:pStyle w:val="Heading1"/>
      </w:pPr>
      <w:r>
        <w:t xml:space="preserve">Bibliography</w:t>
      </w:r>
    </w:p>
    <w:bookmarkEnd w:id="223"/>
    <w:bookmarkStart w:id="414" w:name="bibliography-1"/>
    <w:p>
      <w:pPr>
        <w:pStyle w:val="Heading1"/>
      </w:pPr>
      <w:r>
        <w:t xml:space="preserve">Bibliography</w:t>
      </w:r>
    </w:p>
    <w:bookmarkStart w:id="413" w:name="refs"/>
    <w:bookmarkStart w:id="224"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24"/>
    <w:bookmarkStart w:id="225"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25"/>
    <w:bookmarkStart w:id="226"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26"/>
    <w:bookmarkStart w:id="227"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27"/>
    <w:bookmarkStart w:id="228"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28"/>
    <w:bookmarkStart w:id="229"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29"/>
    <w:bookmarkStart w:id="230"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30"/>
    <w:bookmarkStart w:id="231"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231"/>
    <w:bookmarkStart w:id="232"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232"/>
    <w:bookmarkStart w:id="233"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233"/>
    <w:bookmarkStart w:id="234"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234"/>
    <w:bookmarkStart w:id="235"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235"/>
    <w:bookmarkStart w:id="236"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236"/>
    <w:bookmarkStart w:id="237"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237"/>
    <w:bookmarkStart w:id="238"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238"/>
    <w:bookmarkStart w:id="239"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39"/>
    <w:bookmarkStart w:id="241"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40">
        <w:r>
          <w:rPr>
            <w:rStyle w:val="Hyperlink"/>
          </w:rPr>
          <w:t xml:space="preserve">10.1016/j.neuropharm.2020.108352</w:t>
        </w:r>
      </w:hyperlink>
    </w:p>
    <w:bookmarkEnd w:id="241"/>
    <w:bookmarkStart w:id="242"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42"/>
    <w:bookmarkStart w:id="243"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43"/>
    <w:bookmarkStart w:id="244"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44"/>
    <w:bookmarkStart w:id="245" w:name="ref-ansteya"/>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w:t>
      </w:r>
    </w:p>
    <w:bookmarkEnd w:id="245"/>
    <w:bookmarkStart w:id="246"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46"/>
    <w:bookmarkStart w:id="247"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47"/>
    <w:bookmarkStart w:id="248"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48"/>
    <w:bookmarkStart w:id="249"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49"/>
    <w:bookmarkStart w:id="250"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50"/>
    <w:bookmarkStart w:id="251"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51"/>
    <w:bookmarkStart w:id="252"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52"/>
    <w:bookmarkStart w:id="253"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53"/>
    <w:bookmarkStart w:id="254"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54"/>
    <w:bookmarkStart w:id="255"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255"/>
    <w:bookmarkStart w:id="256"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256"/>
    <w:bookmarkStart w:id="257"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257"/>
    <w:bookmarkStart w:id="258"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58"/>
    <w:bookmarkStart w:id="259"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59"/>
    <w:bookmarkStart w:id="260"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60"/>
    <w:bookmarkStart w:id="261"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61"/>
    <w:bookmarkStart w:id="262"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62"/>
    <w:bookmarkStart w:id="263"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63"/>
    <w:bookmarkStart w:id="264"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64"/>
    <w:bookmarkStart w:id="265"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65"/>
    <w:bookmarkStart w:id="266"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66"/>
    <w:bookmarkStart w:id="267"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267"/>
    <w:bookmarkStart w:id="268"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268"/>
    <w:bookmarkStart w:id="269"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269"/>
    <w:bookmarkStart w:id="270"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270"/>
    <w:bookmarkStart w:id="271"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271"/>
    <w:bookmarkStart w:id="272"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272"/>
    <w:bookmarkStart w:id="273" w:name="ref-mainous2005"/>
    <w:p>
      <w:pPr>
        <w:pStyle w:val="Bibliography"/>
      </w:pPr>
      <w:r>
        <w:t xml:space="preserve">49.</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273"/>
    <w:bookmarkStart w:id="274" w:name="ref-mielke2010"/>
    <w:p>
      <w:pPr>
        <w:pStyle w:val="Bibliography"/>
      </w:pPr>
      <w:r>
        <w:t xml:space="preserve">50.</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274"/>
    <w:bookmarkStart w:id="275" w:name="ref-mielke2005"/>
    <w:p>
      <w:pPr>
        <w:pStyle w:val="Bibliography"/>
      </w:pPr>
      <w:r>
        <w:t xml:space="preserve">51.</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275"/>
    <w:bookmarkStart w:id="276" w:name="ref-moroney1999"/>
    <w:p>
      <w:pPr>
        <w:pStyle w:val="Bibliography"/>
      </w:pPr>
      <w:r>
        <w:t xml:space="preserve">52.</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276"/>
    <w:bookmarkStart w:id="277" w:name="ref-anstey"/>
    <w:p>
      <w:pPr>
        <w:pStyle w:val="Bibliography"/>
      </w:pPr>
      <w:r>
        <w:t xml:space="preserve">53.</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w:t>
      </w:r>
    </w:p>
    <w:bookmarkEnd w:id="277"/>
    <w:bookmarkStart w:id="278" w:name="ref-ritchie2015"/>
    <w:p>
      <w:pPr>
        <w:pStyle w:val="Bibliography"/>
      </w:pPr>
      <w:r>
        <w:t xml:space="preserve">54.</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278"/>
    <w:bookmarkStart w:id="279" w:name="ref-trompet2010"/>
    <w:p>
      <w:pPr>
        <w:pStyle w:val="Bibliography"/>
      </w:pPr>
      <w:r>
        <w:t xml:space="preserve">55.</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279"/>
    <w:bookmarkStart w:id="280" w:name="ref-daveysmith2014"/>
    <w:p>
      <w:pPr>
        <w:pStyle w:val="Bibliography"/>
      </w:pPr>
      <w:r>
        <w:t xml:space="preserve">56.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280"/>
    <w:bookmarkStart w:id="281" w:name="ref-greenland2000"/>
    <w:p>
      <w:pPr>
        <w:pStyle w:val="Bibliography"/>
      </w:pPr>
      <w:r>
        <w:t xml:space="preserve">57.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281"/>
    <w:bookmarkStart w:id="282" w:name="ref-davies2018"/>
    <w:p>
      <w:pPr>
        <w:pStyle w:val="Bibliography"/>
      </w:pPr>
      <w:r>
        <w:t xml:space="preserve">58.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282"/>
    <w:bookmarkStart w:id="283" w:name="ref-larsson2017c"/>
    <w:p>
      <w:pPr>
        <w:pStyle w:val="Bibliography"/>
      </w:pPr>
      <w:r>
        <w:t xml:space="preserve">59.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283"/>
    <w:bookmarkStart w:id="284" w:name="ref-ostergaard2015"/>
    <w:p>
      <w:pPr>
        <w:pStyle w:val="Bibliography"/>
      </w:pPr>
      <w:r>
        <w:t xml:space="preserve">60.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284"/>
    <w:bookmarkStart w:id="285" w:name="ref-kim2009"/>
    <w:p>
      <w:pPr>
        <w:pStyle w:val="Bibliography"/>
      </w:pPr>
      <w:r>
        <w:t xml:space="preserve">61.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285"/>
    <w:bookmarkStart w:id="286" w:name="ref-benn2017"/>
    <w:p>
      <w:pPr>
        <w:pStyle w:val="Bibliography"/>
      </w:pPr>
      <w:r>
        <w:t xml:space="preserve">62.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286"/>
    <w:bookmarkStart w:id="287" w:name="ref-donnelly2018a"/>
    <w:p>
      <w:pPr>
        <w:pStyle w:val="Bibliography"/>
      </w:pPr>
      <w:r>
        <w:t xml:space="preserve">63.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287"/>
    <w:bookmarkStart w:id="288" w:name="ref-chandler2019chapter"/>
    <w:p>
      <w:pPr>
        <w:pStyle w:val="Bibliography"/>
      </w:pPr>
      <w:r>
        <w:t xml:space="preserve">64.</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288"/>
    <w:bookmarkStart w:id="289" w:name="ref-conn2003"/>
    <w:p>
      <w:pPr>
        <w:pStyle w:val="Bibliography"/>
      </w:pPr>
      <w:r>
        <w:t xml:space="preserve">65.</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289"/>
    <w:bookmarkStart w:id="290" w:name="ref-mcauley2000"/>
    <w:p>
      <w:pPr>
        <w:pStyle w:val="Bibliography"/>
      </w:pPr>
      <w:r>
        <w:t xml:space="preserve">66.</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290"/>
    <w:bookmarkStart w:id="292" w:name="ref-hopewell2007"/>
    <w:p>
      <w:pPr>
        <w:pStyle w:val="Bibliography"/>
      </w:pPr>
      <w:r>
        <w:t xml:space="preserve">67.</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291">
        <w:r>
          <w:rPr>
            <w:rStyle w:val="Hyperlink"/>
          </w:rPr>
          <w:t xml:space="preserve">10.1002/14651858.MR000010.pub3</w:t>
        </w:r>
      </w:hyperlink>
    </w:p>
    <w:bookmarkEnd w:id="292"/>
    <w:bookmarkStart w:id="293" w:name="ref-lefebvre2019searching"/>
    <w:p>
      <w:pPr>
        <w:pStyle w:val="Bibliography"/>
      </w:pPr>
      <w:r>
        <w:t xml:space="preserve">68.</w:t>
      </w:r>
      <w:r>
        <w:t xml:space="preserve"> </w:t>
      </w:r>
      <w:r>
        <w:t xml:space="preserve">	</w:t>
      </w:r>
      <w:r>
        <w:t xml:space="preserve">Lefebvre, C.</w:t>
      </w:r>
      <w:r>
        <w:t xml:space="preserve"> </w:t>
      </w:r>
      <w:r>
        <w:rPr>
          <w:iCs/>
          <w:i/>
        </w:rPr>
        <w:t xml:space="preserve">et al.</w:t>
      </w:r>
      <w:r>
        <w:t xml:space="preserve"> Section 4.4.4 -</w:t>
      </w:r>
      <w:r>
        <w:t xml:space="preserve">Searching</w:t>
      </w:r>
      <w:r>
        <w:t xml:space="preserve"> </w:t>
      </w:r>
      <w:r>
        <w:t xml:space="preserve">for and selecting studies:</w:t>
      </w:r>
      <w:r>
        <w:t xml:space="preserve"> </w:t>
      </w:r>
      <w:r>
        <w:t xml:space="preserve">Controlled</w:t>
      </w:r>
      <w:r>
        <w:t xml:space="preserve"> </w:t>
      </w:r>
      <w:r>
        <w:t xml:space="preserve">vocabulary and text words.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et al.) (</w:t>
      </w:r>
      <w:r>
        <w:t xml:space="preserve">Cochrane</w:t>
      </w:r>
      <w:r>
        <w:t xml:space="preserve">, 2021).</w:t>
      </w:r>
    </w:p>
    <w:bookmarkEnd w:id="293"/>
    <w:bookmarkStart w:id="294" w:name="ref-committeeonpublicationethicscope2018"/>
    <w:p>
      <w:pPr>
        <w:pStyle w:val="Bibliography"/>
      </w:pPr>
      <w:r>
        <w:t xml:space="preserve">69.</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294"/>
    <w:bookmarkStart w:id="295" w:name="ref-vale2016"/>
    <w:p>
      <w:pPr>
        <w:pStyle w:val="Bibliography"/>
      </w:pPr>
      <w:r>
        <w:t xml:space="preserve">70.</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295"/>
    <w:bookmarkStart w:id="296" w:name="ref-rosenthal1979"/>
    <w:p>
      <w:pPr>
        <w:pStyle w:val="Bibliography"/>
      </w:pPr>
      <w:r>
        <w:t xml:space="preserve">71.</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296"/>
    <w:bookmarkStart w:id="297" w:name="ref-maslove2018"/>
    <w:p>
      <w:pPr>
        <w:pStyle w:val="Bibliography"/>
      </w:pPr>
      <w:r>
        <w:t xml:space="preserve">72.</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297"/>
    <w:bookmarkStart w:id="298" w:name="ref-schalkwyk2020"/>
    <w:p>
      <w:pPr>
        <w:pStyle w:val="Bibliography"/>
      </w:pPr>
      <w:r>
        <w:t xml:space="preserve">73.</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298"/>
    <w:bookmarkStart w:id="299" w:name="ref-mahood2014"/>
    <w:p>
      <w:pPr>
        <w:pStyle w:val="Bibliography"/>
      </w:pPr>
      <w:r>
        <w:t xml:space="preserve">74.</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299"/>
    <w:bookmarkStart w:id="300" w:name="ref-klein2019"/>
    <w:p>
      <w:pPr>
        <w:pStyle w:val="Bibliography"/>
      </w:pPr>
      <w:r>
        <w:t xml:space="preserve">75.</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00"/>
    <w:bookmarkStart w:id="302" w:name="ref-nicholson2021"/>
    <w:p>
      <w:pPr>
        <w:pStyle w:val="Bibliography"/>
      </w:pPr>
      <w:r>
        <w:t xml:space="preserve">76.</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01">
        <w:r>
          <w:rPr>
            <w:rStyle w:val="Hyperlink"/>
          </w:rPr>
          <w:t xml:space="preserve">10.1101/2021.03.04.433874</w:t>
        </w:r>
      </w:hyperlink>
    </w:p>
    <w:bookmarkEnd w:id="302"/>
    <w:bookmarkStart w:id="303" w:name="ref-munafo2018"/>
    <w:p>
      <w:pPr>
        <w:pStyle w:val="Bibliography"/>
      </w:pPr>
      <w:r>
        <w:t xml:space="preserve">77.</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03"/>
    <w:bookmarkStart w:id="304" w:name="ref-page2021"/>
    <w:p>
      <w:pPr>
        <w:pStyle w:val="Bibliography"/>
      </w:pPr>
      <w:r>
        <w:t xml:space="preserve">78.</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04"/>
    <w:bookmarkStart w:id="305" w:name="ref-mcguinness2018"/>
    <w:p>
      <w:pPr>
        <w:pStyle w:val="Bibliography"/>
      </w:pPr>
      <w:r>
        <w:t xml:space="preserve">79.</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05"/>
    <w:bookmarkStart w:id="306" w:name="ref-riley2010"/>
    <w:p>
      <w:pPr>
        <w:pStyle w:val="Bibliography"/>
      </w:pPr>
      <w:r>
        <w:t xml:space="preserve">80.</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06"/>
    <w:bookmarkStart w:id="307" w:name="ref-stewart1993"/>
    <w:p>
      <w:pPr>
        <w:pStyle w:val="Bibliography"/>
      </w:pPr>
      <w:r>
        <w:t xml:space="preserve">81.</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07"/>
    <w:bookmarkStart w:id="308" w:name="ref-arain2009"/>
    <w:p>
      <w:pPr>
        <w:pStyle w:val="Bibliography"/>
      </w:pPr>
      <w:r>
        <w:t xml:space="preserve">82.</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08"/>
    <w:bookmarkStart w:id="309" w:name="ref-clayton2018"/>
    <w:p>
      <w:pPr>
        <w:pStyle w:val="Bibliography"/>
      </w:pPr>
      <w:r>
        <w:t xml:space="preserve">83.</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09"/>
    <w:bookmarkStart w:id="310" w:name="ref-mccartney2016"/>
    <w:p>
      <w:pPr>
        <w:pStyle w:val="Bibliography"/>
      </w:pPr>
      <w:r>
        <w:t xml:space="preserve">84.</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10"/>
    <w:bookmarkStart w:id="311" w:name="ref-letenneur1999"/>
    <w:p>
      <w:pPr>
        <w:pStyle w:val="Bibliography"/>
      </w:pPr>
      <w:r>
        <w:t xml:space="preserve">85.</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11"/>
    <w:bookmarkStart w:id="312" w:name="ref-stewart2002"/>
    <w:p>
      <w:pPr>
        <w:pStyle w:val="Bibliography"/>
      </w:pPr>
      <w:r>
        <w:t xml:space="preserve">86.</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12"/>
    <w:bookmarkStart w:id="313" w:name="ref-tugwell2010"/>
    <w:p>
      <w:pPr>
        <w:pStyle w:val="Bibliography"/>
      </w:pPr>
      <w:r>
        <w:t xml:space="preserve">87.</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13"/>
    <w:bookmarkStart w:id="314" w:name="ref-ventresca2020"/>
    <w:p>
      <w:pPr>
        <w:pStyle w:val="Bibliography"/>
      </w:pPr>
      <w:r>
        <w:t xml:space="preserve">88.</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14"/>
    <w:bookmarkStart w:id="315" w:name="ref-alsheikh-ali2011"/>
    <w:p>
      <w:pPr>
        <w:pStyle w:val="Bibliography"/>
      </w:pPr>
      <w:r>
        <w:t xml:space="preserve">89.</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15"/>
    <w:bookmarkStart w:id="316" w:name="ref-vines2014"/>
    <w:p>
      <w:pPr>
        <w:pStyle w:val="Bibliography"/>
      </w:pPr>
      <w:r>
        <w:t xml:space="preserve">90.</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16"/>
    <w:bookmarkStart w:id="317" w:name="ref-wartenberg2010"/>
    <w:p>
      <w:pPr>
        <w:pStyle w:val="Bibliography"/>
      </w:pPr>
      <w:r>
        <w:t xml:space="preserve">91.</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17"/>
    <w:bookmarkStart w:id="318" w:name="ref-bauermeister2020"/>
    <w:p>
      <w:pPr>
        <w:pStyle w:val="Bibliography"/>
      </w:pPr>
      <w:r>
        <w:t xml:space="preserve">92.</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18"/>
    <w:bookmarkStart w:id="319" w:name="ref-rawlinson2019"/>
    <w:p>
      <w:pPr>
        <w:pStyle w:val="Bibliography"/>
      </w:pPr>
      <w:r>
        <w:t xml:space="preserve">93.</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19"/>
    <w:bookmarkStart w:id="321" w:name="ref-sever2019"/>
    <w:p>
      <w:pPr>
        <w:pStyle w:val="Bibliography"/>
      </w:pPr>
      <w:r>
        <w:t xml:space="preserve">94.</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20">
        <w:r>
          <w:rPr>
            <w:rStyle w:val="Hyperlink"/>
          </w:rPr>
          <w:t xml:space="preserve">10.1101/833400</w:t>
        </w:r>
      </w:hyperlink>
    </w:p>
    <w:bookmarkEnd w:id="321"/>
    <w:bookmarkStart w:id="322" w:name="ref-bramer2018a"/>
    <w:p>
      <w:pPr>
        <w:pStyle w:val="Bibliography"/>
      </w:pPr>
      <w:r>
        <w:t xml:space="preserve">95.</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22"/>
    <w:bookmarkStart w:id="323" w:name="ref-gusenbauer2020"/>
    <w:p>
      <w:pPr>
        <w:pStyle w:val="Bibliography"/>
      </w:pPr>
      <w:r>
        <w:t xml:space="preserve">96.</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23"/>
    <w:bookmarkStart w:id="324" w:name="ref-wateridge1995"/>
    <w:p>
      <w:pPr>
        <w:pStyle w:val="Bibliography"/>
      </w:pPr>
      <w:r>
        <w:t xml:space="preserve">97.</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24"/>
    <w:bookmarkStart w:id="325" w:name="ref-abdill2019"/>
    <w:p>
      <w:pPr>
        <w:pStyle w:val="Bibliography"/>
      </w:pPr>
      <w:r>
        <w:t xml:space="preserve">98.</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25"/>
    <w:bookmarkStart w:id="326" w:name="ref-iwema2016"/>
    <w:p>
      <w:pPr>
        <w:pStyle w:val="Bibliography"/>
      </w:pPr>
      <w:r>
        <w:t xml:space="preserve">99.</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26"/>
    <w:bookmarkStart w:id="328" w:name="ref-shaw2002"/>
    <w:p>
      <w:pPr>
        <w:pStyle w:val="Bibliography"/>
      </w:pPr>
      <w:r>
        <w:t xml:space="preserve">100.</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27">
        <w:r>
          <w:rPr>
            <w:rStyle w:val="Hyperlink"/>
          </w:rPr>
          <w:t xml:space="preserve">10.1145/582128.582152</w:t>
        </w:r>
      </w:hyperlink>
    </w:p>
    <w:bookmarkEnd w:id="328"/>
    <w:bookmarkStart w:id="329" w:name="ref-laprie1992"/>
    <w:p>
      <w:pPr>
        <w:pStyle w:val="Bibliography"/>
      </w:pPr>
      <w:r>
        <w:t xml:space="preserve">101.</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29"/>
    <w:bookmarkStart w:id="330" w:name="ref-rcoreteam2019"/>
    <w:p>
      <w:pPr>
        <w:pStyle w:val="Bibliography"/>
      </w:pPr>
      <w:r>
        <w:t xml:space="preserve">102.</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30"/>
    <w:bookmarkStart w:id="331" w:name="ref-bramer2018"/>
    <w:p>
      <w:pPr>
        <w:pStyle w:val="Bibliography"/>
      </w:pPr>
      <w:r>
        <w:t xml:space="preserve">103.</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31"/>
    <w:bookmarkStart w:id="333" w:name="ref-kodvanj2020"/>
    <w:p>
      <w:pPr>
        <w:pStyle w:val="Bibliography"/>
      </w:pPr>
      <w:r>
        <w:t xml:space="preserve">104.</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32">
        <w:r>
          <w:rPr>
            <w:rStyle w:val="Hyperlink"/>
          </w:rPr>
          <w:t xml:space="preserve">10.1101/2020.11.23.394577</w:t>
        </w:r>
      </w:hyperlink>
    </w:p>
    <w:bookmarkEnd w:id="333"/>
    <w:bookmarkStart w:id="334" w:name="ref-noone2020"/>
    <w:p>
      <w:pPr>
        <w:pStyle w:val="Bibliography"/>
      </w:pPr>
      <w:r>
        <w:t xml:space="preserve">105.</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34"/>
    <w:bookmarkStart w:id="335" w:name="ref-grassly2020"/>
    <w:p>
      <w:pPr>
        <w:pStyle w:val="Bibliography"/>
      </w:pPr>
      <w:r>
        <w:t xml:space="preserve">106.</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35"/>
    <w:bookmarkStart w:id="336" w:name="ref-boettiger2015"/>
    <w:p>
      <w:pPr>
        <w:pStyle w:val="Bibliography"/>
      </w:pPr>
      <w:r>
        <w:t xml:space="preserve">107.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36"/>
    <w:bookmarkStart w:id="338" w:name="ref-bong2019"/>
    <w:p>
      <w:pPr>
        <w:pStyle w:val="Bibliography"/>
      </w:pPr>
      <w:r>
        <w:t xml:space="preserve">108.</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37">
        <w:r>
          <w:rPr>
            <w:rStyle w:val="Hyperlink"/>
          </w:rPr>
          <w:t xml:space="preserve">10.1101/19000265</w:t>
        </w:r>
      </w:hyperlink>
    </w:p>
    <w:bookmarkEnd w:id="338"/>
    <w:bookmarkStart w:id="339" w:name="ref-song2010"/>
    <w:p>
      <w:pPr>
        <w:pStyle w:val="Bibliography"/>
      </w:pPr>
      <w:r>
        <w:t xml:space="preserve">109.</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39"/>
    <w:bookmarkStart w:id="341" w:name="ref-vuorre2020"/>
    <w:p>
      <w:pPr>
        <w:pStyle w:val="Bibliography"/>
      </w:pPr>
      <w:r>
        <w:t xml:space="preserve">110.</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40">
        <w:r>
          <w:rPr>
            <w:rStyle w:val="Hyperlink"/>
          </w:rPr>
          <w:t xml:space="preserve">10.3758/s13428-020-01436-x</w:t>
        </w:r>
      </w:hyperlink>
    </w:p>
    <w:bookmarkEnd w:id="341"/>
    <w:bookmarkStart w:id="343" w:name="ref-mcguinnessluke2020"/>
    <w:p>
      <w:pPr>
        <w:pStyle w:val="Bibliography"/>
      </w:pPr>
      <w:r>
        <w:t xml:space="preserve">111.</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342">
        <w:r>
          <w:rPr>
            <w:rStyle w:val="Hyperlink"/>
          </w:rPr>
          <w:t xml:space="preserve">10.17605/OSF.IO/VTW5Y</w:t>
        </w:r>
      </w:hyperlink>
    </w:p>
    <w:bookmarkEnd w:id="343"/>
    <w:bookmarkStart w:id="344" w:name="ref-bramer2016"/>
    <w:p>
      <w:pPr>
        <w:pStyle w:val="Bibliography"/>
      </w:pPr>
      <w:r>
        <w:t xml:space="preserve">112.</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44"/>
    <w:bookmarkStart w:id="345" w:name="ref-hupe2019"/>
    <w:p>
      <w:pPr>
        <w:pStyle w:val="Bibliography"/>
      </w:pPr>
      <w:r>
        <w:t xml:space="preserve">113.</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345"/>
    <w:bookmarkStart w:id="346" w:name="ref-ouzzani2016"/>
    <w:p>
      <w:pPr>
        <w:pStyle w:val="Bibliography"/>
      </w:pPr>
      <w:r>
        <w:t xml:space="preserve">114.</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46"/>
    <w:bookmarkStart w:id="347" w:name="ref-petersen1999"/>
    <w:p>
      <w:pPr>
        <w:pStyle w:val="Bibliography"/>
      </w:pPr>
      <w:r>
        <w:t xml:space="preserve">115.</w:t>
      </w:r>
      <w:r>
        <w:t xml:space="preserve"> </w:t>
      </w:r>
      <w:r>
        <w:t xml:space="preserve">	</w:t>
      </w:r>
      <w:r>
        <w:t xml:space="preserve">Petersen, R. C.</w:t>
      </w:r>
      <w:r>
        <w:t xml:space="preserve"> </w:t>
      </w:r>
      <w:r>
        <w:rPr>
          <w:iCs/>
          <w:i/>
        </w:rPr>
        <w:t xml:space="preserve">et al.</w:t>
      </w:r>
      <w:r>
        <w:t xml:space="preserve"> Mild cognitive impairment: Clinical characterization and outcome.</w:t>
      </w:r>
      <w:r>
        <w:t xml:space="preserve"> </w:t>
      </w:r>
      <w:r>
        <w:rPr>
          <w:iCs/>
          <w:i/>
        </w:rPr>
        <w:t xml:space="preserve">Archives of Neurology</w:t>
      </w:r>
      <w:r>
        <w:t xml:space="preserve"> </w:t>
      </w:r>
      <w:r>
        <w:rPr>
          <w:bCs/>
          <w:b/>
        </w:rPr>
        <w:t xml:space="preserve">56</w:t>
      </w:r>
      <w:r>
        <w:t xml:space="preserve">, 303–308 (1999).</w:t>
      </w:r>
    </w:p>
    <w:bookmarkEnd w:id="347"/>
    <w:bookmarkStart w:id="348" w:name="ref-gwet2008"/>
    <w:p>
      <w:pPr>
        <w:pStyle w:val="Bibliography"/>
      </w:pPr>
      <w:r>
        <w:t xml:space="preserve">116.</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48"/>
    <w:bookmarkStart w:id="349" w:name="ref-cohen1960"/>
    <w:p>
      <w:pPr>
        <w:pStyle w:val="Bibliography"/>
      </w:pPr>
      <w:r>
        <w:t xml:space="preserve">117.</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49"/>
    <w:bookmarkStart w:id="350" w:name="ref-wongpakaran2013"/>
    <w:p>
      <w:pPr>
        <w:pStyle w:val="Bibliography"/>
      </w:pPr>
      <w:r>
        <w:t xml:space="preserve">118.</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50"/>
    <w:bookmarkStart w:id="351" w:name="ref-brennan1992"/>
    <w:p>
      <w:pPr>
        <w:pStyle w:val="Bibliography"/>
      </w:pPr>
      <w:r>
        <w:t xml:space="preserve">119.</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351"/>
    <w:bookmarkStart w:id="352" w:name="ref-mchugh2012"/>
    <w:p>
      <w:pPr>
        <w:pStyle w:val="Bibliography"/>
      </w:pPr>
      <w:r>
        <w:t xml:space="preserve">120.</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52"/>
    <w:bookmarkStart w:id="353" w:name="ref-sterne2016"/>
    <w:p>
      <w:pPr>
        <w:pStyle w:val="Bibliography"/>
      </w:pPr>
      <w:r>
        <w:t xml:space="preserve">121.</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353"/>
    <w:bookmarkStart w:id="354" w:name="ref-campbell1957"/>
    <w:p>
      <w:pPr>
        <w:pStyle w:val="Bibliography"/>
      </w:pPr>
      <w:r>
        <w:t xml:space="preserve">122.</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354"/>
    <w:bookmarkStart w:id="355" w:name="ref-juni2001"/>
    <w:p>
      <w:pPr>
        <w:pStyle w:val="Bibliography"/>
      </w:pPr>
      <w:r>
        <w:t xml:space="preserve">123.</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355"/>
    <w:bookmarkStart w:id="356" w:name="ref-sterne2019"/>
    <w:p>
      <w:pPr>
        <w:pStyle w:val="Bibliography"/>
      </w:pPr>
      <w:r>
        <w:t xml:space="preserve">124.</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356"/>
    <w:bookmarkStart w:id="357" w:name="ref-morganr2020"/>
    <w:p>
      <w:pPr>
        <w:pStyle w:val="Bibliography"/>
      </w:pPr>
      <w:r>
        <w:t xml:space="preserve">125.</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357"/>
    <w:bookmarkStart w:id="358" w:name="ref-wells2000"/>
    <w:p>
      <w:pPr>
        <w:pStyle w:val="Bibliography"/>
      </w:pPr>
      <w:r>
        <w:t xml:space="preserve">126.</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358"/>
    <w:bookmarkStart w:id="359" w:name="ref-mamluk2020"/>
    <w:p>
      <w:pPr>
        <w:pStyle w:val="Bibliography"/>
      </w:pPr>
      <w:r>
        <w:t xml:space="preserve">127.</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359"/>
    <w:bookmarkStart w:id="360" w:name="ref-reynders2019"/>
    <w:p>
      <w:pPr>
        <w:pStyle w:val="Bibliography"/>
      </w:pPr>
      <w:r>
        <w:t xml:space="preserve">128.</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360"/>
    <w:bookmarkStart w:id="361" w:name="ref-mcguinness2020robvisPaper"/>
    <w:p>
      <w:pPr>
        <w:pStyle w:val="Bibliography"/>
      </w:pPr>
      <w:r>
        <w:t xml:space="preserve">129.</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361"/>
    <w:bookmarkStart w:id="362" w:name="ref-feinstein1990"/>
    <w:p>
      <w:pPr>
        <w:pStyle w:val="Bibliography"/>
      </w:pPr>
      <w:r>
        <w:t xml:space="preserve">130.</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362"/>
    <w:bookmarkStart w:id="363" w:name="ref-guyatt2011"/>
    <w:p>
      <w:pPr>
        <w:pStyle w:val="Bibliography"/>
      </w:pPr>
      <w:r>
        <w:t xml:space="preserve">131.</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w:t>
      </w:r>
      <w:r>
        <w:t xml:space="preserve"> </w:t>
      </w:r>
      <w:r>
        <w:rPr>
          <w:iCs/>
          <w:i/>
        </w:rPr>
        <w:t xml:space="preserve">Journal of Clinical Epidemiology</w:t>
      </w:r>
      <w:r>
        <w:t xml:space="preserve"> </w:t>
      </w:r>
      <w:r>
        <w:rPr>
          <w:bCs/>
          <w:b/>
        </w:rPr>
        <w:t xml:space="preserve">64</w:t>
      </w:r>
      <w:r>
        <w:t xml:space="preserve">, 1311–1316 (2011).</w:t>
      </w:r>
    </w:p>
    <w:bookmarkEnd w:id="363"/>
    <w:bookmarkStart w:id="364" w:name="ref-shi2021"/>
    <w:p>
      <w:pPr>
        <w:pStyle w:val="Bibliography"/>
      </w:pPr>
      <w:r>
        <w:t xml:space="preserve">132.</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364"/>
    <w:bookmarkStart w:id="365" w:name="ref-carneiro2020"/>
    <w:p>
      <w:pPr>
        <w:pStyle w:val="Bibliography"/>
      </w:pPr>
      <w:r>
        <w:t xml:space="preserve">133.</w:t>
      </w:r>
      <w:r>
        <w:t xml:space="preserve"> </w:t>
      </w:r>
      <w:r>
        <w:t xml:space="preserve">	</w:t>
      </w:r>
      <w:r>
        <w:t xml:space="preserve">Carneiro, C. F. D.</w:t>
      </w:r>
      <w:r>
        <w:t xml:space="preserve"> </w:t>
      </w:r>
      <w:r>
        <w:rPr>
          <w:iCs/>
          <w:i/>
        </w:rPr>
        <w:t xml:space="preserve">et al.</w:t>
      </w:r>
      <w:r>
        <w:t xml:space="preserve"> Comparing quality of reporting between preprints and peer-reviewed articles in the biomedical literature.</w:t>
      </w:r>
      <w:r>
        <w:t xml:space="preserve"> </w:t>
      </w:r>
      <w:r>
        <w:rPr>
          <w:iCs/>
          <w:i/>
        </w:rPr>
        <w:t xml:space="preserve">Research Integrity and Peer Review</w:t>
      </w:r>
      <w:r>
        <w:t xml:space="preserve"> </w:t>
      </w:r>
      <w:r>
        <w:rPr>
          <w:bCs/>
          <w:b/>
        </w:rPr>
        <w:t xml:space="preserve">5</w:t>
      </w:r>
      <w:r>
        <w:t xml:space="preserve">, 16 (2020).</w:t>
      </w:r>
    </w:p>
    <w:bookmarkEnd w:id="365"/>
    <w:bookmarkStart w:id="366" w:name="ref-hunter2012"/>
    <w:p>
      <w:pPr>
        <w:pStyle w:val="Bibliography"/>
      </w:pPr>
      <w:r>
        <w:t xml:space="preserve">134.</w:t>
      </w:r>
      <w:r>
        <w:t xml:space="preserve"> </w:t>
      </w:r>
      <w:r>
        <w:t xml:space="preserve">	</w:t>
      </w:r>
      <w:r>
        <w:t xml:space="preserve">Hunter, J. Post-</w:t>
      </w:r>
      <w:r>
        <w:t xml:space="preserve">Publication Peer Review</w:t>
      </w:r>
      <w:r>
        <w:t xml:space="preserve">:</w:t>
      </w:r>
      <w:r>
        <w:t xml:space="preserve"> </w:t>
      </w:r>
      <w:r>
        <w:t xml:space="preserve">Opening Up Scientific Conversation</w:t>
      </w:r>
      <w:r>
        <w:t xml:space="preserve">.</w:t>
      </w:r>
      <w:r>
        <w:t xml:space="preserve"> </w:t>
      </w:r>
      <w:r>
        <w:rPr>
          <w:iCs/>
          <w:i/>
        </w:rPr>
        <w:t xml:space="preserve">Frontiers in Computational Neuroscience</w:t>
      </w:r>
      <w:r>
        <w:t xml:space="preserve"> </w:t>
      </w:r>
      <w:r>
        <w:rPr>
          <w:bCs/>
          <w:b/>
        </w:rPr>
        <w:t xml:space="preserve">6</w:t>
      </w:r>
      <w:r>
        <w:t xml:space="preserve">, (2012).</w:t>
      </w:r>
    </w:p>
    <w:bookmarkEnd w:id="366"/>
    <w:bookmarkStart w:id="367" w:name="ref-hsieh2019"/>
    <w:p>
      <w:pPr>
        <w:pStyle w:val="Bibliography"/>
      </w:pPr>
      <w:r>
        <w:t xml:space="preserve">135.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367"/>
    <w:bookmarkStart w:id="368" w:name="ref-mcguinness2019validity"/>
    <w:p>
      <w:pPr>
        <w:pStyle w:val="Bibliography"/>
      </w:pPr>
      <w:r>
        <w:t xml:space="preserve">136.</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68"/>
    <w:bookmarkStart w:id="369" w:name="ref-wilkinson2018"/>
    <w:p>
      <w:pPr>
        <w:pStyle w:val="Bibliography"/>
      </w:pPr>
      <w:r>
        <w:t xml:space="preserve">137.</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369"/>
    <w:bookmarkStart w:id="370" w:name="ref-chu2018"/>
    <w:p>
      <w:pPr>
        <w:pStyle w:val="Bibliography"/>
      </w:pPr>
      <w:r>
        <w:t xml:space="preserve">138.</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70"/>
    <w:bookmarkStart w:id="371" w:name="ref-yang2020"/>
    <w:p>
      <w:pPr>
        <w:pStyle w:val="Bibliography"/>
      </w:pPr>
      <w:r>
        <w:t xml:space="preserve">139.</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371"/>
    <w:bookmarkStart w:id="373" w:name="ref-muangpaisan2010"/>
    <w:p>
      <w:pPr>
        <w:pStyle w:val="Bibliography"/>
      </w:pPr>
      <w:r>
        <w:t xml:space="preserve">140.</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372">
        <w:r>
          <w:rPr>
            <w:rStyle w:val="Hyperlink"/>
          </w:rPr>
          <w:t xml:space="preserve">10.1111/j.1447-0594.2009.00579.x</w:t>
        </w:r>
      </w:hyperlink>
    </w:p>
    <w:bookmarkEnd w:id="373"/>
    <w:bookmarkStart w:id="374" w:name="ref-poly2020"/>
    <w:p>
      <w:pPr>
        <w:pStyle w:val="Bibliography"/>
      </w:pPr>
      <w:r>
        <w:t xml:space="preserve">141.</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74"/>
    <w:bookmarkStart w:id="375" w:name="ref-larsson2017b"/>
    <w:p>
      <w:pPr>
        <w:pStyle w:val="Bibliography"/>
      </w:pPr>
      <w:r>
        <w:t xml:space="preserve">142.</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75"/>
    <w:bookmarkStart w:id="376" w:name="ref-vonelm2008"/>
    <w:p>
      <w:pPr>
        <w:pStyle w:val="Bibliography"/>
      </w:pPr>
      <w:r>
        <w:t xml:space="preserve">143.</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376"/>
    <w:bookmarkStart w:id="377" w:name="ref-herrett2015"/>
    <w:p>
      <w:pPr>
        <w:pStyle w:val="Bibliography"/>
      </w:pPr>
      <w:r>
        <w:t xml:space="preserve">144.</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377"/>
    <w:bookmarkStart w:id="378" w:name="ref-williams2012"/>
    <w:p>
      <w:pPr>
        <w:pStyle w:val="Bibliography"/>
      </w:pPr>
      <w:r>
        <w:t xml:space="preserve">145.</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378"/>
    <w:bookmarkStart w:id="379" w:name="ref-wood2001revitalizing"/>
    <w:p>
      <w:pPr>
        <w:pStyle w:val="Bibliography"/>
      </w:pPr>
      <w:r>
        <w:t xml:space="preserve">146.</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379"/>
    <w:bookmarkStart w:id="380" w:name="ref-mathur2014"/>
    <w:p>
      <w:pPr>
        <w:pStyle w:val="Bibliography"/>
      </w:pPr>
      <w:r>
        <w:t xml:space="preserve">147.</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380"/>
    <w:bookmarkStart w:id="381" w:name="ref-booth1994"/>
    <w:p>
      <w:pPr>
        <w:pStyle w:val="Bibliography"/>
      </w:pPr>
      <w:r>
        <w:t xml:space="preserve">148.</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381"/>
    <w:bookmarkStart w:id="382" w:name="ref-wolf2019"/>
    <w:p>
      <w:pPr>
        <w:pStyle w:val="Bibliography"/>
      </w:pPr>
      <w:r>
        <w:t xml:space="preserve">149.</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382"/>
    <w:bookmarkStart w:id="383" w:name="ref-wishart2017"/>
    <w:p>
      <w:pPr>
        <w:pStyle w:val="Bibliography"/>
      </w:pPr>
      <w:r>
        <w:t xml:space="preserve">150.</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383"/>
    <w:bookmarkStart w:id="384" w:name="ref-charlson1987new"/>
    <w:p>
      <w:pPr>
        <w:pStyle w:val="Bibliography"/>
      </w:pPr>
      <w:r>
        <w:t xml:space="preserve">151.</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384"/>
    <w:bookmarkStart w:id="385" w:name="ref-wells2013strategies"/>
    <w:p>
      <w:pPr>
        <w:pStyle w:val="Bibliography"/>
      </w:pPr>
      <w:r>
        <w:t xml:space="preserve">152.</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385"/>
    <w:bookmarkStart w:id="386" w:name="ref-moons2006using"/>
    <w:p>
      <w:pPr>
        <w:pStyle w:val="Bibliography"/>
      </w:pPr>
      <w:r>
        <w:t xml:space="preserve">153.</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386"/>
    <w:bookmarkStart w:id="387" w:name="ref-pigott2001review"/>
    <w:p>
      <w:pPr>
        <w:pStyle w:val="Bibliography"/>
      </w:pPr>
      <w:r>
        <w:t xml:space="preserve">154.</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387"/>
    <w:bookmarkStart w:id="388" w:name="ref-levesque2010"/>
    <w:p>
      <w:pPr>
        <w:pStyle w:val="Bibliography"/>
      </w:pPr>
      <w:r>
        <w:t xml:space="preserve">155.</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388"/>
    <w:bookmarkStart w:id="389" w:name="ref-lamarca1998"/>
    <w:p>
      <w:pPr>
        <w:pStyle w:val="Bibliography"/>
      </w:pPr>
      <w:r>
        <w:t xml:space="preserve">156.</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389"/>
    <w:bookmarkStart w:id="390" w:name="ref-gail2009"/>
    <w:p>
      <w:pPr>
        <w:pStyle w:val="Bibliography"/>
      </w:pPr>
      <w:r>
        <w:t xml:space="preserve">157.</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390"/>
    <w:bookmarkStart w:id="391" w:name="ref-pencina2007"/>
    <w:p>
      <w:pPr>
        <w:pStyle w:val="Bibliography"/>
      </w:pPr>
      <w:r>
        <w:t xml:space="preserve">158.</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391"/>
    <w:bookmarkStart w:id="392" w:name="ref-lipsitch2010"/>
    <w:p>
      <w:pPr>
        <w:pStyle w:val="Bibliography"/>
      </w:pPr>
      <w:r>
        <w:t xml:space="preserve">159.</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392"/>
    <w:bookmarkStart w:id="393" w:name="ref-selva-ocallaghan2018"/>
    <w:p>
      <w:pPr>
        <w:pStyle w:val="Bibliography"/>
      </w:pPr>
      <w:r>
        <w:t xml:space="preserve">160.</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393"/>
    <w:bookmarkStart w:id="394" w:name="ref-herrett2021"/>
    <w:p>
      <w:pPr>
        <w:pStyle w:val="Bibliography"/>
      </w:pPr>
      <w:r>
        <w:t xml:space="preserve">161.</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394"/>
    <w:bookmarkStart w:id="395" w:name="ref-karalis2016"/>
    <w:p>
      <w:pPr>
        <w:pStyle w:val="Bibliography"/>
      </w:pPr>
      <w:r>
        <w:t xml:space="preserve">162.</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395"/>
    <w:bookmarkStart w:id="396" w:name="ref-smeeth2009"/>
    <w:p>
      <w:pPr>
        <w:pStyle w:val="Bibliography"/>
      </w:pPr>
      <w:r>
        <w:t xml:space="preserve">163.</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396"/>
    <w:bookmarkStart w:id="397" w:name="ref-salas1999"/>
    <w:p>
      <w:pPr>
        <w:pStyle w:val="Bibliography"/>
      </w:pPr>
      <w:r>
        <w:t xml:space="preserve">164.</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397"/>
    <w:bookmarkStart w:id="398" w:name="ref-suttorp2015"/>
    <w:p>
      <w:pPr>
        <w:pStyle w:val="Bibliography"/>
      </w:pPr>
      <w:r>
        <w:t xml:space="preserve">165.</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398"/>
    <w:bookmarkStart w:id="399" w:name="ref-danaei2013b"/>
    <w:p>
      <w:pPr>
        <w:pStyle w:val="Bibliography"/>
      </w:pPr>
      <w:r>
        <w:t xml:space="preserve">166.</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399"/>
    <w:bookmarkStart w:id="401" w:name="ref-korologou-linden2020"/>
    <w:p>
      <w:pPr>
        <w:pStyle w:val="Bibliography"/>
      </w:pPr>
      <w:r>
        <w:t xml:space="preserve">167.</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400">
        <w:r>
          <w:rPr>
            <w:rStyle w:val="Hyperlink"/>
          </w:rPr>
          <w:t xml:space="preserve">10.1101/2019.12.18.19013847</w:t>
        </w:r>
      </w:hyperlink>
    </w:p>
    <w:bookmarkEnd w:id="401"/>
    <w:bookmarkStart w:id="402" w:name="ref-porta2014dictionary"/>
    <w:p>
      <w:pPr>
        <w:pStyle w:val="Bibliography"/>
      </w:pPr>
      <w:r>
        <w:t xml:space="preserve">168.</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402"/>
    <w:bookmarkStart w:id="403" w:name="ref-goldacre2019c"/>
    <w:p>
      <w:pPr>
        <w:pStyle w:val="Bibliography"/>
      </w:pPr>
      <w:r>
        <w:t xml:space="preserve">169.</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403"/>
    <w:bookmarkStart w:id="404" w:name="ref-vandenbroucke2007"/>
    <w:p>
      <w:pPr>
        <w:pStyle w:val="Bibliography"/>
      </w:pPr>
      <w:r>
        <w:t xml:space="preserve">170.</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404"/>
    <w:bookmarkStart w:id="405" w:name="ref-riboli1997"/>
    <w:p>
      <w:pPr>
        <w:pStyle w:val="Bibliography"/>
      </w:pPr>
      <w:r>
        <w:t xml:space="preserve">171.</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405"/>
    <w:bookmarkStart w:id="406" w:name="ref-riboli2002"/>
    <w:p>
      <w:pPr>
        <w:pStyle w:val="Bibliography"/>
      </w:pPr>
      <w:r>
        <w:t xml:space="preserve">172.</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406"/>
    <w:bookmarkStart w:id="407" w:name="ref-fisher2017"/>
    <w:p>
      <w:pPr>
        <w:pStyle w:val="Bibliography"/>
      </w:pPr>
      <w:r>
        <w:t xml:space="preserve">173.</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407"/>
    <w:bookmarkStart w:id="408" w:name="ref-yusuf1984"/>
    <w:p>
      <w:pPr>
        <w:pStyle w:val="Bibliography"/>
      </w:pPr>
      <w:r>
        <w:t xml:space="preserve">174.</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408"/>
    <w:bookmarkStart w:id="409" w:name="ref-wilson2014"/>
    <w:p>
      <w:pPr>
        <w:pStyle w:val="Bibliography"/>
      </w:pPr>
      <w:r>
        <w:t xml:space="preserve">175.</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09"/>
    <w:bookmarkStart w:id="410" w:name="ref-wilson2017"/>
    <w:p>
      <w:pPr>
        <w:pStyle w:val="Bibliography"/>
      </w:pPr>
      <w:r>
        <w:t xml:space="preserve">176.</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10"/>
    <w:bookmarkStart w:id="411" w:name="ref-simillis2020"/>
    <w:p>
      <w:pPr>
        <w:pStyle w:val="Bibliography"/>
      </w:pPr>
      <w:r>
        <w:t xml:space="preserve">177.</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11"/>
    <w:bookmarkStart w:id="412" w:name="ref-tanneru2020"/>
    <w:p>
      <w:pPr>
        <w:pStyle w:val="Bibliography"/>
      </w:pPr>
      <w:r>
        <w:t xml:space="preserve">178.</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12"/>
    <w:bookmarkEnd w:id="413"/>
    <w:bookmarkEnd w:id="414"/>
    <w:bookmarkStart w:id="415" w:name="appendix"/>
    <w:p>
      <w:pPr>
        <w:pStyle w:val="Heading1"/>
      </w:pPr>
      <w:r>
        <w:t xml:space="preserve">Appendix</w:t>
      </w:r>
    </w:p>
    <w:bookmarkEnd w:id="415"/>
    <w:bookmarkStart w:id="432" w:name="chapter-appendix-heading"/>
    <w:p>
      <w:pPr>
        <w:pStyle w:val="Heading1"/>
      </w:pPr>
      <w:r>
        <w:t xml:space="preserve">By Chapter</w:t>
      </w:r>
    </w:p>
    <w:bookmarkStart w:id="418" w:name="appendix-into"/>
    <w:p>
      <w:pPr>
        <w:pStyle w:val="Heading2"/>
      </w:pPr>
      <w:r>
        <w:t xml:space="preserve">Chapter</w:t>
      </w:r>
      <w:r>
        <w:t xml:space="preserve"> </w:t>
      </w:r>
      <w:r>
        <w:t xml:space="preserve">2</w:t>
      </w:r>
    </w:p>
    <w:bookmarkStart w:id="416" w:name="appendix-publications"/>
    <w:p>
      <w:pPr>
        <w:pStyle w:val="Heading3"/>
      </w:pPr>
      <w:r>
        <w:t xml:space="preserve">Publications beyond the scope of this thesis</w:t>
      </w:r>
    </w:p>
    <w:p>
      <w:pPr>
        <w:pStyle w:val="FirstParagraph"/>
      </w:pPr>
      <w:r>
        <w:rPr>
          <w:bCs/>
          <w:b/>
        </w:rPr>
        <w:t xml:space="preserve">Peer reviewed</w:t>
      </w:r>
    </w:p>
    <w:p>
      <w:pPr>
        <w:numPr>
          <w:ilvl w:val="0"/>
          <w:numId w:val="1017"/>
        </w:numPr>
      </w:pPr>
      <w:r>
        <w:t xml:space="preserve">PRISMA main paper</w:t>
      </w:r>
    </w:p>
    <w:p>
      <w:pPr>
        <w:numPr>
          <w:ilvl w:val="0"/>
          <w:numId w:val="1017"/>
        </w:numPr>
      </w:pPr>
      <w:r>
        <w:t xml:space="preserve">PRISMA E&amp;E</w:t>
      </w:r>
    </w:p>
    <w:p>
      <w:pPr>
        <w:numPr>
          <w:ilvl w:val="0"/>
          <w:numId w:val="1017"/>
        </w:numPr>
      </w:pPr>
      <w:r>
        <w:t xml:space="preserve">PRISMA 2020 software</w:t>
      </w:r>
    </w:p>
    <w:p>
      <w:pPr>
        <w:numPr>
          <w:ilvl w:val="0"/>
          <w:numId w:val="1017"/>
        </w:numPr>
      </w:pPr>
      <w:r>
        <w:t xml:space="preserve">COVID Suicide Living Review</w:t>
      </w:r>
    </w:p>
    <w:p>
      <w:pPr>
        <w:numPr>
          <w:ilvl w:val="0"/>
          <w:numId w:val="1017"/>
        </w:numPr>
      </w:pPr>
      <w:r>
        <w:t xml:space="preserve">Data extraction tools systematic review</w:t>
      </w:r>
    </w:p>
    <w:p>
      <w:pPr>
        <w:pStyle w:val="FirstParagraph"/>
      </w:pPr>
      <w:r>
        <w:rPr>
          <w:bCs/>
          <w:b/>
        </w:rPr>
        <w:t xml:space="preserve">Under review/Preprints</w:t>
      </w:r>
    </w:p>
    <w:p>
      <w:pPr>
        <w:numPr>
          <w:ilvl w:val="0"/>
          <w:numId w:val="1018"/>
        </w:numPr>
      </w:pPr>
      <w:r>
        <w:t xml:space="preserve">MSc Paper on systematic reviews of this thesis topic</w:t>
      </w:r>
    </w:p>
    <w:bookmarkEnd w:id="416"/>
    <w:bookmarkStart w:id="417"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17"/>
    <w:bookmarkEnd w:id="418"/>
    <w:bookmarkStart w:id="423" w:name="appendix-sys-rev"/>
    <w:p>
      <w:pPr>
        <w:pStyle w:val="Heading2"/>
      </w:pPr>
      <w:r>
        <w:t xml:space="preserve">Chapter</w:t>
      </w:r>
      <w:r>
        <w:t xml:space="preserve"> </w:t>
      </w:r>
      <w:r>
        <w:t xml:space="preserve">4</w:t>
      </w:r>
    </w:p>
    <w:bookmarkStart w:id="419" w:name="appendix-search-strategy"/>
    <w:p>
      <w:pPr>
        <w:pStyle w:val="Heading3"/>
      </w:pPr>
      <w:r>
        <w:t xml:space="preserve">Search strategy</w:t>
      </w:r>
    </w:p>
    <w:p>
      <w:pPr>
        <w:pStyle w:val="FirstParagraph"/>
      </w:pPr>
      <w:r>
        <w:t xml:space="preserve"> </w:t>
      </w:r>
    </w:p>
    <w:p>
      <w:pPr>
        <w:pStyle w:val="TableCaption"/>
      </w:pPr>
      <w:r>
        <w:t xml:space="preserve">Table 15:</w:t>
      </w:r>
      <w:r>
        <w:t xml:space="preserve"> </w:t>
      </w:r>
      <w:bookmarkStart w:id="6795885c-7154-4f1a-9bd2-3c74b0b84154" w:name="tab:searchHits-table"/>
      <w:r>
        <w:t xml:space="preserve">Overview of the full Medline search strategy.</w:t>
      </w:r>
      <w:bookmarkEnd w:id="6795885c-7154-4f1a-9bd2-3c74b0b8415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419"/>
    <w:bookmarkStart w:id="420" w:name="appendix-wos-databases"/>
    <w:p>
      <w:pPr>
        <w:pStyle w:val="Heading3"/>
      </w:pPr>
      <w:r>
        <w:t xml:space="preserve">Web of Science Databases Searched</w:t>
      </w:r>
    </w:p>
    <w:p>
      <w:pPr>
        <w:pStyle w:val="FirstParagraph"/>
      </w:pPr>
      <w:r>
        <w:t xml:space="preserve"> </w:t>
      </w:r>
    </w:p>
    <w:p>
      <w:pPr>
        <w:pStyle w:val="TableCaption"/>
      </w:pPr>
      <w:r>
        <w:t xml:space="preserve">Table 16: Summary of Web of Science databases searched.</w:t>
      </w:r>
    </w:p>
    <w:tbl>
      <w:tblPr>
        <w:tblStyle w:val="Table"/>
        <w:tblW w:type="pct" w:w="5000.0"/>
        <w:tblLook w:firstRow="1" w:lastRow="0" w:firstColumn="0" w:lastColumn="0" w:noHBand="0" w:noVBand="0" w:val="0020"/>
        <w:tblCaption w:val="Table 16: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420"/>
    <w:bookmarkStart w:id="421"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21"/>
    <w:bookmarkStart w:id="422" w:name="appendix-mr-rob"/>
    <w:p>
      <w:pPr>
        <w:pStyle w:val="Heading3"/>
      </w:pPr>
      <w:r>
        <w:t xml:space="preserve">MR risk of bias tool</w:t>
      </w:r>
    </w:p>
    <w:p>
      <w:pPr>
        <w:pStyle w:val="TableCaption"/>
      </w:pPr>
      <w:r>
        <w:t xml:space="preserve">Table 17: Tool used to assess risk of bias in Mendelian randomisation studies, adapted from that developed by Mamluk et al.</w:t>
      </w:r>
      <w:hyperlink w:anchor="ref-mamluk2020">
        <w:r>
          <w:rPr>
            <w:rStyle w:val="Hyperlink"/>
            <w:vertAlign w:val="superscript"/>
          </w:rPr>
          <w:t xml:space="preserve">127</w:t>
        </w:r>
      </w:hyperlink>
    </w:p>
    <w:tbl>
      <w:tblPr>
        <w:tblStyle w:val="Table"/>
        <w:tblW w:type="pct" w:w="5000.0"/>
        <w:tblLook w:firstRow="1" w:lastRow="0" w:firstColumn="0" w:lastColumn="0" w:noHBand="0" w:noVBand="0" w:val="0020"/>
        <w:tblCaption w:val="Table 17: Tool used to assess risk of bias in Mendelian randomisation studies, adapted from that developed by Mamluk et al.127"/>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422"/>
    <w:bookmarkEnd w:id="423"/>
    <w:bookmarkStart w:id="426" w:name="appendix-cprd-analysis"/>
    <w:p>
      <w:pPr>
        <w:pStyle w:val="Heading2"/>
      </w:pPr>
      <w:r>
        <w:t xml:space="preserve">Chapter</w:t>
      </w:r>
      <w:r>
        <w:t xml:space="preserve"> </w:t>
      </w:r>
      <w:r>
        <w:t xml:space="preserve">5</w:t>
      </w:r>
    </w:p>
    <w:bookmarkStart w:id="424" w:name="appendix-cprd-amendments"/>
    <w:p>
      <w:pPr>
        <w:pStyle w:val="Heading3"/>
      </w:pPr>
      <w:r>
        <w:t xml:space="preserve">Amendments to protocol</w:t>
      </w:r>
    </w:p>
    <w:bookmarkEnd w:id="424"/>
    <w:bookmarkStart w:id="425" w:name="code-lists"/>
    <w:p>
      <w:pPr>
        <w:pStyle w:val="Heading3"/>
      </w:pPr>
      <w:r>
        <w:t xml:space="preserve">Code lists</w:t>
      </w:r>
    </w:p>
    <w:bookmarkEnd w:id="425"/>
    <w:bookmarkEnd w:id="426"/>
    <w:bookmarkStart w:id="429" w:name="appendix-ipd-analysis"/>
    <w:p>
      <w:pPr>
        <w:pStyle w:val="Heading2"/>
      </w:pPr>
      <w:r>
        <w:t xml:space="preserve">Chapter</w:t>
      </w:r>
      <w:r>
        <w:t xml:space="preserve"> </w:t>
      </w:r>
      <w:r>
        <w:t xml:space="preserve">6</w:t>
      </w:r>
    </w:p>
    <w:bookmarkStart w:id="427" w:name="section-1"/>
    <w:p>
      <w:pPr>
        <w:pStyle w:val="Heading3"/>
      </w:pPr>
      <w:r>
        <w:t xml:space="preserve">Section 1</w:t>
      </w:r>
    </w:p>
    <w:bookmarkEnd w:id="427"/>
    <w:bookmarkStart w:id="428" w:name="section-2"/>
    <w:p>
      <w:pPr>
        <w:pStyle w:val="Heading3"/>
      </w:pPr>
      <w:r>
        <w:t xml:space="preserve">Section 2</w:t>
      </w:r>
    </w:p>
    <w:bookmarkEnd w:id="428"/>
    <w:bookmarkEnd w:id="429"/>
    <w:bookmarkStart w:id="431" w:name="chapter-7"/>
    <w:p>
      <w:pPr>
        <w:pStyle w:val="Heading2"/>
      </w:pPr>
      <w:r>
        <w:t xml:space="preserve">Chapter</w:t>
      </w:r>
      <w:r>
        <w:t xml:space="preserve"> </w:t>
      </w:r>
      <w:r>
        <w:t xml:space="preserve">7</w:t>
      </w:r>
    </w:p>
    <w:bookmarkStart w:id="430" w:name="catalogue-of-failures"/>
    <w:p>
      <w:pPr>
        <w:pStyle w:val="Heading3"/>
      </w:pPr>
      <w:r>
        <w:t xml:space="preserve">Catalogue of failures</w:t>
      </w:r>
    </w:p>
    <w:p>
      <w:pPr>
        <w:pStyle w:val="FirstParagraph"/>
      </w:pPr>
      <w:r>
        <w:t xml:space="preserve">Short section detailing the things I tried to do but which did not work.</w:t>
      </w:r>
    </w:p>
    <w:bookmarkEnd w:id="430"/>
    <w:bookmarkEnd w:id="431"/>
    <w:bookmarkEnd w:id="432"/>
    <w:bookmarkStart w:id="446" w:name="other-appendix-heading"/>
    <w:p>
      <w:pPr>
        <w:pStyle w:val="Heading1"/>
      </w:pPr>
      <w:r>
        <w:t xml:space="preserve">Other Appendix</w:t>
      </w:r>
    </w:p>
    <w:bookmarkStart w:id="433"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base">
        <w:r>
          <w:rPr>
            <w:rStyle w:val="Hyperlink"/>
            <w:bCs/>
            <w:b/>
            <w:vertAlign w:val="superscript"/>
          </w:rPr>
          <w:t xml:space="preserve">base?</w:t>
        </w:r>
      </w:hyperlink>
      <w:r>
        <w:rPr>
          <w:vertAlign w:val="superscript"/>
        </w:rPr>
        <w:t xml:space="preserve">,</w:t>
      </w:r>
      <w:hyperlink w:anchor="ref-cranlogs">
        <w:r>
          <w:rPr>
            <w:rStyle w:val="Hyperlink"/>
            <w:bCs/>
            <w:b/>
            <w:vertAlign w:val="superscript"/>
          </w:rPr>
          <w:t xml:space="preserve">cranlogs?</w:t>
        </w:r>
      </w:hyperlink>
      <w:r>
        <w:rPr>
          <w:vertAlign w:val="superscript"/>
        </w:rPr>
        <w:t xml:space="preserve">,</w:t>
      </w:r>
      <w:hyperlink w:anchor="ref-dplyr">
        <w:r>
          <w:rPr>
            <w:rStyle w:val="Hyperlink"/>
            <w:bCs/>
            <w:b/>
            <w:vertAlign w:val="superscript"/>
          </w:rPr>
          <w:t xml:space="preserve">dplyr?</w:t>
        </w:r>
      </w:hyperlink>
      <w:r>
        <w:rPr>
          <w:vertAlign w:val="superscript"/>
        </w:rPr>
        <w:t xml:space="preserve">,</w:t>
      </w:r>
      <w:hyperlink w:anchor="ref-flextable">
        <w:r>
          <w:rPr>
            <w:rStyle w:val="Hyperlink"/>
            <w:bCs/>
            <w:b/>
            <w:vertAlign w:val="superscript"/>
          </w:rPr>
          <w:t xml:space="preserve">flextable?</w:t>
        </w:r>
      </w:hyperlink>
      <w:r>
        <w:rPr>
          <w:vertAlign w:val="superscript"/>
        </w:rPr>
        <w:t xml:space="preserve">,</w:t>
      </w:r>
      <w:hyperlink w:anchor="ref-ggplot2">
        <w:r>
          <w:rPr>
            <w:rStyle w:val="Hyperlink"/>
            <w:bCs/>
            <w:b/>
            <w:vertAlign w:val="superscript"/>
          </w:rPr>
          <w:t xml:space="preserve">ggplot2?</w:t>
        </w:r>
      </w:hyperlink>
      <w:r>
        <w:rPr>
          <w:vertAlign w:val="superscript"/>
        </w:rPr>
        <w:t xml:space="preserve">,</w:t>
      </w:r>
      <w:hyperlink w:anchor="ref-glue">
        <w:r>
          <w:rPr>
            <w:rStyle w:val="Hyperlink"/>
            <w:bCs/>
            <w:b/>
            <w:vertAlign w:val="superscript"/>
          </w:rPr>
          <w:t xml:space="preserve">glue?</w:t>
        </w:r>
      </w:hyperlink>
      <w:r>
        <w:rPr>
          <w:vertAlign w:val="superscript"/>
        </w:rPr>
        <w:t xml:space="preserve">,</w:t>
      </w:r>
      <w:hyperlink w:anchor="ref-gt">
        <w:r>
          <w:rPr>
            <w:rStyle w:val="Hyperlink"/>
            <w:bCs/>
            <w:b/>
            <w:vertAlign w:val="superscript"/>
          </w:rPr>
          <w:t xml:space="preserve">gt?</w:t>
        </w:r>
      </w:hyperlink>
      <w:r>
        <w:rPr>
          <w:vertAlign w:val="superscript"/>
        </w:rPr>
        <w:t xml:space="preserve">,</w:t>
      </w:r>
      <w:hyperlink w:anchor="ref-here">
        <w:r>
          <w:rPr>
            <w:rStyle w:val="Hyperlink"/>
            <w:bCs/>
            <w:b/>
            <w:vertAlign w:val="superscript"/>
          </w:rPr>
          <w:t xml:space="preserve">here?</w:t>
        </w:r>
      </w:hyperlink>
      <w:r>
        <w:rPr>
          <w:vertAlign w:val="superscript"/>
        </w:rPr>
        <w:t xml:space="preserve">,</w:t>
      </w:r>
      <w:hyperlink w:anchor="ref-kableExtra">
        <w:r>
          <w:rPr>
            <w:rStyle w:val="Hyperlink"/>
            <w:bCs/>
            <w:b/>
            <w:vertAlign w:val="superscript"/>
          </w:rPr>
          <w:t xml:space="preserve">kableExtra?</w:t>
        </w:r>
      </w:hyperlink>
      <w:r>
        <w:rPr>
          <w:vertAlign w:val="superscript"/>
        </w:rPr>
        <w:t xml:space="preserve">,</w:t>
      </w:r>
      <w:hyperlink w:anchor="ref-knitr">
        <w:r>
          <w:rPr>
            <w:rStyle w:val="Hyperlink"/>
            <w:bCs/>
            <w:b/>
            <w:vertAlign w:val="superscript"/>
          </w:rPr>
          <w:t xml:space="preserve">knitr?</w:t>
        </w:r>
      </w:hyperlink>
      <w:r>
        <w:rPr>
          <w:vertAlign w:val="superscript"/>
        </w:rPr>
        <w:t xml:space="preserve">,</w:t>
      </w:r>
      <w:hyperlink w:anchor="ref-medrxivr">
        <w:r>
          <w:rPr>
            <w:rStyle w:val="Hyperlink"/>
            <w:bCs/>
            <w:b/>
            <w:vertAlign w:val="superscript"/>
          </w:rPr>
          <w:t xml:space="preserve">medrxivr?</w:t>
        </w:r>
      </w:hyperlink>
      <w:r>
        <w:rPr>
          <w:vertAlign w:val="superscript"/>
        </w:rPr>
        <w:t xml:space="preserve">,</w:t>
      </w:r>
      <w:hyperlink w:anchor="ref-plyr">
        <w:r>
          <w:rPr>
            <w:rStyle w:val="Hyperlink"/>
            <w:bCs/>
            <w:b/>
            <w:vertAlign w:val="superscript"/>
          </w:rPr>
          <w:t xml:space="preserve">plyr?</w:t>
        </w:r>
      </w:hyperlink>
      <w:r>
        <w:rPr>
          <w:vertAlign w:val="superscript"/>
        </w:rPr>
        <w:t xml:space="preserve">,</w:t>
      </w:r>
      <w:hyperlink w:anchor="ref-robvis">
        <w:r>
          <w:rPr>
            <w:rStyle w:val="Hyperlink"/>
            <w:bCs/>
            <w:b/>
            <w:vertAlign w:val="superscript"/>
          </w:rPr>
          <w:t xml:space="preserve">robvis?</w:t>
        </w:r>
      </w:hyperlink>
      <w:r>
        <w:rPr>
          <w:vertAlign w:val="superscript"/>
        </w:rPr>
        <w:t xml:space="preserve">,</w:t>
      </w:r>
      <w:hyperlink w:anchor="ref-stringr">
        <w:r>
          <w:rPr>
            <w:rStyle w:val="Hyperlink"/>
            <w:bCs/>
            <w:b/>
            <w:vertAlign w:val="superscript"/>
          </w:rPr>
          <w:t xml:space="preserve">stringr?</w:t>
        </w:r>
      </w:hyperlink>
      <w:r>
        <w:rPr>
          <w:vertAlign w:val="superscript"/>
        </w:rPr>
        <w:t xml:space="preserve">,</w:t>
      </w:r>
      <w:hyperlink w:anchor="ref-tidyverse">
        <w:r>
          <w:rPr>
            <w:rStyle w:val="Hyperlink"/>
            <w:bCs/>
            <w:b/>
            <w:vertAlign w:val="superscript"/>
          </w:rPr>
          <w:t xml:space="preserve">tidyverse?</w:t>
        </w:r>
      </w:hyperlink>
      <w:r>
        <w:rPr>
          <w:vertAlign w:val="superscript"/>
        </w:rPr>
        <w:t xml:space="preserve">,</w:t>
      </w:r>
      <w:hyperlink w:anchor="ref-wordcountaddin">
        <w:r>
          <w:rPr>
            <w:rStyle w:val="Hyperlink"/>
            <w:bCs/>
            <w:b/>
            <w:vertAlign w:val="superscript"/>
          </w:rPr>
          <w:t xml:space="preserve">wordcountaddin?</w:t>
        </w:r>
      </w:hyperlink>
      <w:r>
        <w:rPr>
          <w:vertAlign w:val="superscript"/>
        </w:rPr>
        <w:t xml:space="preserve">,</w:t>
      </w:r>
      <w:hyperlink w:anchor="ref-xfun">
        <w:r>
          <w:rPr>
            <w:rStyle w:val="Hyperlink"/>
            <w:bCs/>
            <w:b/>
            <w:vertAlign w:val="superscript"/>
          </w:rPr>
          <w:t xml:space="preserve">xfun?</w:t>
        </w:r>
      </w:hyperlink>
      <w:r>
        <w:rPr>
          <w:vertAlign w:val="superscript"/>
        </w:rPr>
        <w:t xml:space="preserve">,</w:t>
      </w:r>
      <w:hyperlink w:anchor="ref-rbiorxiv">
        <w:r>
          <w:rPr>
            <w:rStyle w:val="Hyperlink"/>
            <w:bCs/>
            <w:b/>
            <w:vertAlign w:val="superscript"/>
          </w:rPr>
          <w:t xml:space="preserve">rbiorxiv?</w:t>
        </w:r>
      </w:hyperlink>
    </w:p>
    <w:p>
      <w:pPr>
        <w:pStyle w:val="BodyText"/>
      </w:pPr>
      <w:r>
        <w:t xml:space="preserve">All projects in these thesis attempt to conform to minimal best practices for research computing.</w:t>
      </w:r>
      <w:hyperlink w:anchor="ref-wilson2014">
        <w:r>
          <w:rPr>
            <w:rStyle w:val="Hyperlink"/>
            <w:vertAlign w:val="superscript"/>
          </w:rPr>
          <w:t xml:space="preserve">175</w:t>
        </w:r>
      </w:hyperlink>
      <w:r>
        <w:rPr>
          <w:vertAlign w:val="superscript"/>
        </w:rPr>
        <w:t xml:space="preserve">,</w:t>
      </w:r>
      <w:hyperlink w:anchor="ref-wilson2017">
        <w:r>
          <w:rPr>
            <w:rStyle w:val="Hyperlink"/>
            <w:vertAlign w:val="superscript"/>
          </w:rPr>
          <w:t xml:space="preserve">176</w:t>
        </w:r>
      </w:hyperlink>
    </w:p>
    <w:bookmarkEnd w:id="433"/>
    <w:bookmarkStart w:id="443" w:name="appendix-robvis"/>
    <w:p>
      <w:pPr>
        <w:pStyle w:val="Heading2"/>
      </w:pPr>
      <w:r>
        <w:t xml:space="preserve">Producing risk-of-bias visualisations with</w:t>
      </w:r>
      <w:r>
        <w:t xml:space="preserve"> </w:t>
      </w:r>
      <w:r>
        <w:rPr>
          <w:rStyle w:val="VerbatimChar"/>
        </w:rPr>
        <w:t xml:space="preserve">robvis</w:t>
      </w:r>
    </w:p>
    <w:bookmarkStart w:id="436" w:name="introduction-3"/>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121</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434">
        <w:r>
          <w:rPr>
            <w:rStyle w:val="Hyperlink"/>
          </w:rPr>
          <w:t xml:space="preserve">https://cran.r-project.org/package=robvis</w:t>
        </w:r>
      </w:hyperlink>
      <w:r>
        <w:t xml:space="preserve">); or access and contribute to the development version via GitHub (</w:t>
      </w:r>
      <w:hyperlink r:id="rId435">
        <w:r>
          <w:rPr>
            <w:rStyle w:val="Hyperlink"/>
          </w:rPr>
          <w:t xml:space="preserve">https://github.com/mcguinlu/robvis</w:t>
        </w:r>
      </w:hyperlink>
      <w:r>
        <w:t xml:space="preserve">).</w:t>
      </w:r>
    </w:p>
    <w:bookmarkEnd w:id="436"/>
    <w:bookmarkStart w:id="437"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177</w:t>
        </w:r>
      </w:hyperlink>
      <w:r>
        <w:rPr>
          <w:vertAlign w:val="superscript"/>
        </w:rPr>
        <w:t xml:space="preserve">,</w:t>
      </w:r>
      <w:hyperlink w:anchor="ref-tanneru2020">
        <w:r>
          <w:rPr>
            <w:rStyle w:val="Hyperlink"/>
            <w:vertAlign w:val="superscript"/>
          </w:rPr>
          <w:t xml:space="preserve">178</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437"/>
    <w:bookmarkStart w:id="438"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438"/>
    <w:bookmarkStart w:id="441"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18</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18</w:t>
      </w:r>
      <w:r>
        <w:t xml:space="preserve"> </w:t>
      </w:r>
      <w:r>
        <w:t xml:space="preserve">is created using:</w:t>
      </w:r>
    </w:p>
    <w:p>
      <w:pPr>
        <w:pStyle w:val="BodyText"/>
      </w:pPr>
      <w:r>
        <w:rPr>
          <w:bCs/>
          <w:b/>
        </w:rPr>
        <w:t xml:space="preserve">NEED TO ADD DATA HERE!</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18: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439"/>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18: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19</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19: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440"/>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19: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18</w:t>
      </w:r>
    </w:p>
    <w:p>
      <w:pPr>
        <w:pStyle w:val="BodyText"/>
      </w:pPr>
      <w:r>
        <w:t xml:space="preserve"> </w:t>
      </w:r>
    </w:p>
    <w:p>
      <w:pPr>
        <w:pStyle w:val="TableCaption"/>
      </w:pPr>
      <w:r>
        <w:t xml:space="preserve">Table 18: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18: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441"/>
    <w:bookmarkStart w:id="442"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13100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442"/>
    <w:bookmarkEnd w:id="443"/>
    <w:bookmarkStart w:id="444" w:name="creating"/>
    <w:p>
      <w:pPr>
        <w:pStyle w:val="Heading2"/>
      </w:pPr>
      <w:r>
        <w:t xml:space="preserve">Creating</w:t>
      </w:r>
    </w:p>
    <w:bookmarkEnd w:id="444"/>
    <w:bookmarkStart w:id="445" w:name="X2184004815f43318710688499e50385792dd8ad"/>
    <w:p>
      <w:pPr>
        <w:pStyle w:val="Heading2"/>
      </w:pPr>
      <w:r>
        <w:t xml:space="preserve">Copies of papers arising from this thesis</w:t>
      </w:r>
    </w:p>
    <w:bookmarkEnd w:id="445"/>
    <w:bookmarkEnd w:id="446"/>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9">
    <w:p>
      <w:pPr>
        <w:pStyle w:val="FootnoteText"/>
      </w:pPr>
      <w:r>
        <w:rPr>
          <w:rStyle w:val="FootnoteReference"/>
        </w:rPr>
        <w:footnoteRef/>
      </w:r>
      <w:r>
        <w:t xml:space="preserve"> </w:t>
      </w:r>
      <w:r>
        <w:t xml:space="preserve">Available at</w:t>
      </w:r>
      <w:r>
        <w:t xml:space="preserve"> </w:t>
      </w:r>
      <w:hyperlink r:id="rId70">
        <w:r>
          <w:rPr>
            <w:rStyle w:val="Hyperlink"/>
          </w:rPr>
          <w:t xml:space="preserve">https://rxivist.org/</w:t>
        </w:r>
      </w:hyperlink>
    </w:p>
  </w:footnote>
  <w:footnote w:id="83">
    <w:p>
      <w:pPr>
        <w:pStyle w:val="FootnoteText"/>
      </w:pPr>
      <w:r>
        <w:rPr>
          <w:rStyle w:val="FootnoteReference"/>
        </w:rPr>
        <w:footnoteRef/>
      </w:r>
      <w:r>
        <w:t xml:space="preserve"> </w:t>
      </w:r>
      <w:hyperlink r:id="rId84">
        <w:r>
          <w:rPr>
            <w:rStyle w:val="Hyperlink"/>
          </w:rPr>
          <w:t xml:space="preserve">https://github.com/ropensci/software-review/issues/380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69" Target="media/rId169.png" /><Relationship Type="http://schemas.openxmlformats.org/officeDocument/2006/relationships/image" Id="rId153" Target="media/rId153.png" /><Relationship Type="http://schemas.openxmlformats.org/officeDocument/2006/relationships/image" Id="rId180" Target="media/rId180.png" /><Relationship Type="http://schemas.openxmlformats.org/officeDocument/2006/relationships/image" Id="rId174" Target="media/rId174.png" /><Relationship Type="http://schemas.openxmlformats.org/officeDocument/2006/relationships/image" Id="rId176" Target="media/rId176.png" /><Relationship Type="http://schemas.openxmlformats.org/officeDocument/2006/relationships/image" Id="rId172" Target="media/rId172.png" /><Relationship Type="http://schemas.openxmlformats.org/officeDocument/2006/relationships/image" Id="rId182" Target="media/rId182.png" /><Relationship Type="http://schemas.openxmlformats.org/officeDocument/2006/relationships/image" Id="rId184" Target="media/rId184.png" /><Relationship Type="http://schemas.openxmlformats.org/officeDocument/2006/relationships/image" Id="rId178" Target="media/rId178.png" /><Relationship Type="http://schemas.openxmlformats.org/officeDocument/2006/relationships/image" Id="rId158" Target="media/rId158.png" /><Relationship Type="http://schemas.openxmlformats.org/officeDocument/2006/relationships/image" Id="rId191" Target="media/rId191.png" /><Relationship Type="http://schemas.openxmlformats.org/officeDocument/2006/relationships/image" Id="rId161" Target="media/rId161.png" /><Relationship Type="http://schemas.openxmlformats.org/officeDocument/2006/relationships/image" Id="rId186" Target="media/rId186.png" /><Relationship Type="http://schemas.openxmlformats.org/officeDocument/2006/relationships/image" Id="rId76" Target="media/rId76.png" /><Relationship Type="http://schemas.openxmlformats.org/officeDocument/2006/relationships/image" Id="rId440" Target="media/rId440.png" /><Relationship Type="http://schemas.openxmlformats.org/officeDocument/2006/relationships/image" Id="rId439" Target="media/rId439.png" /><Relationship Type="http://schemas.openxmlformats.org/officeDocument/2006/relationships/image" Id="rId66" Target="media/rId66.png" /><Relationship Type="http://schemas.openxmlformats.org/officeDocument/2006/relationships/image" Id="rId118" Target="media/rId118.png" /><Relationship Type="http://schemas.openxmlformats.org/officeDocument/2006/relationships/hyperlink" Id="rId207" Target="https://bmjopen.bmj.com/content/9/1/e025273" TargetMode="External" /><Relationship Type="http://schemas.openxmlformats.org/officeDocument/2006/relationships/hyperlink" Id="rId434" Target="https://cran.r-project.org/package=robvis" TargetMode="External" /><Relationship Type="http://schemas.openxmlformats.org/officeDocument/2006/relationships/hyperlink" Id="rId291"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240" Target="https://doi.org/10.1016/j.neuropharm.2020.108352" TargetMode="External" /><Relationship Type="http://schemas.openxmlformats.org/officeDocument/2006/relationships/hyperlink" Id="rId129" Target="https://doi.org/10.1101/168674" TargetMode="External" /><Relationship Type="http://schemas.openxmlformats.org/officeDocument/2006/relationships/hyperlink" Id="rId337" Target="https://doi.org/10.1101/19000265" TargetMode="External" /><Relationship Type="http://schemas.openxmlformats.org/officeDocument/2006/relationships/hyperlink" Id="rId400" Target="https://doi.org/10.1101/2019.12.18.19013847" TargetMode="External" /><Relationship Type="http://schemas.openxmlformats.org/officeDocument/2006/relationships/hyperlink" Id="rId332" Target="https://doi.org/10.1101/2020.11.23.394577" TargetMode="External" /><Relationship Type="http://schemas.openxmlformats.org/officeDocument/2006/relationships/hyperlink" Id="rId301" Target="https://doi.org/10.1101/2021.03.04.433874" TargetMode="External" /><Relationship Type="http://schemas.openxmlformats.org/officeDocument/2006/relationships/hyperlink" Id="rId320" Target="https://doi.org/10.1101/833400" TargetMode="External" /><Relationship Type="http://schemas.openxmlformats.org/officeDocument/2006/relationships/hyperlink" Id="rId372" Target="https://doi.org/10.1111/j.1447-0594.2009.00579.x" TargetMode="External" /><Relationship Type="http://schemas.openxmlformats.org/officeDocument/2006/relationships/hyperlink" Id="rId327"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42"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54" Target="https://doi.org/10.31222/osf.io/ptg9j" TargetMode="External" /><Relationship Type="http://schemas.openxmlformats.org/officeDocument/2006/relationships/hyperlink" Id="rId340" Target="https://doi.org/10.3758/s13428-020-01436-x" TargetMode="External" /><Relationship Type="http://schemas.openxmlformats.org/officeDocument/2006/relationships/hyperlink" Id="rId435"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_rels/footnotes.xml.rels><?xml version="1.0" encoding="UTF-8"?>
<Relationships xmlns="http://schemas.openxmlformats.org/package/2006/relationships"><Relationship Type="http://schemas.openxmlformats.org/officeDocument/2006/relationships/hyperlink" Id="rId207" Target="https://bmjopen.bmj.com/content/9/1/e025273" TargetMode="External" /><Relationship Type="http://schemas.openxmlformats.org/officeDocument/2006/relationships/hyperlink" Id="rId434" Target="https://cran.r-project.org/package=robvis" TargetMode="External" /><Relationship Type="http://schemas.openxmlformats.org/officeDocument/2006/relationships/hyperlink" Id="rId291"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240" Target="https://doi.org/10.1016/j.neuropharm.2020.108352" TargetMode="External" /><Relationship Type="http://schemas.openxmlformats.org/officeDocument/2006/relationships/hyperlink" Id="rId129" Target="https://doi.org/10.1101/168674" TargetMode="External" /><Relationship Type="http://schemas.openxmlformats.org/officeDocument/2006/relationships/hyperlink" Id="rId337" Target="https://doi.org/10.1101/19000265" TargetMode="External" /><Relationship Type="http://schemas.openxmlformats.org/officeDocument/2006/relationships/hyperlink" Id="rId400" Target="https://doi.org/10.1101/2019.12.18.19013847" TargetMode="External" /><Relationship Type="http://schemas.openxmlformats.org/officeDocument/2006/relationships/hyperlink" Id="rId332" Target="https://doi.org/10.1101/2020.11.23.394577" TargetMode="External" /><Relationship Type="http://schemas.openxmlformats.org/officeDocument/2006/relationships/hyperlink" Id="rId301" Target="https://doi.org/10.1101/2021.03.04.433874" TargetMode="External" /><Relationship Type="http://schemas.openxmlformats.org/officeDocument/2006/relationships/hyperlink" Id="rId320" Target="https://doi.org/10.1101/833400" TargetMode="External" /><Relationship Type="http://schemas.openxmlformats.org/officeDocument/2006/relationships/hyperlink" Id="rId372" Target="https://doi.org/10.1111/j.1447-0594.2009.00579.x" TargetMode="External" /><Relationship Type="http://schemas.openxmlformats.org/officeDocument/2006/relationships/hyperlink" Id="rId327"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42"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54" Target="https://doi.org/10.31222/osf.io/ptg9j" TargetMode="External" /><Relationship Type="http://schemas.openxmlformats.org/officeDocument/2006/relationships/hyperlink" Id="rId340" Target="https://doi.org/10.3758/s13428-020-01436-x" TargetMode="External" /><Relationship Type="http://schemas.openxmlformats.org/officeDocument/2006/relationships/hyperlink" Id="rId435"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2021-07-19T15:51:26Z</dcterms:created>
  <dcterms:modified xsi:type="dcterms:W3CDTF">2021-07-19T15:51:26Z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 in Population Health Sciences</vt:lpwstr>
  </property>
  <property fmtid="{D5CDD505-2E9C-101B-9397-08002B2CF9AE}" pid="16" name="degreedate">
    <vt:lpwstr>TBC</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ies>
</file>