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7.png" ContentType="image/png"/>
  <Override PartName="/word/media/rId170.png" ContentType="image/png"/>
  <Override PartName="/word/media/rId154.png" ContentType="image/png"/>
  <Override PartName="/word/media/rId181.png" ContentType="image/png"/>
  <Override PartName="/word/media/rId175.png" ContentType="image/png"/>
  <Override PartName="/word/media/rId177.png" ContentType="image/png"/>
  <Override PartName="/word/media/rId173.png" ContentType="image/png"/>
  <Override PartName="/word/media/rId183.png" ContentType="image/png"/>
  <Override PartName="/word/media/rId185.png" ContentType="image/png"/>
  <Override PartName="/word/media/rId179.png" ContentType="image/png"/>
  <Override PartName="/word/media/rId159.png" ContentType="image/png"/>
  <Override PartName="/word/media/rId192.png" ContentType="image/png"/>
  <Override PartName="/word/media/rId162.png" ContentType="image/png"/>
  <Override PartName="/word/media/rId187.png" ContentType="image/png"/>
  <Override PartName="/word/media/rId75.png" ContentType="image/png"/>
  <Override PartName="/word/media/rId511.png" ContentType="image/png"/>
  <Override PartName="/word/media/rId510.png" ContentType="image/png"/>
  <Override PartName="/word/media/rId67.png" ContentType="image/png"/>
  <Override PartName="/word/media/rId121.png" ContentType="image/png"/>
  <Override PartName="/word/media/rId124.png" ContentType="image/png"/>
  <Override PartName="/word/media/rId125.png" ContentType="image/png"/>
  <Override PartName="/word/media/rId129.png" ContentType="image/png"/>
  <Override PartName="/word/media/rId138.png" ContentType="image/png"/>
  <Override PartName="/word/media/rId136.png" ContentType="image/png"/>
  <Override PartName="/word/media/rId119.png" ContentType="image/png"/>
  <Override PartName="/word/media/rId1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26723</w:t>
      </w:r>
    </w:p>
    <w:p>
      <w:pPr>
        <w:pStyle w:val="BodyText"/>
      </w:pPr>
      <w:r>
        <w:t xml:space="preserve">Days: 304</w:t>
      </w:r>
    </w:p>
    <w:p>
      <w:pPr>
        <w:pStyle w:val="BodyText"/>
      </w:pPr>
      <w:r>
        <w:t xml:space="preserve">Words behind: -8345</w:t>
      </w:r>
    </w:p>
    <w:p>
      <w:pPr>
        <w:pStyle w:val="BodyText"/>
      </w:pPr>
      <w:r>
        <w:t xml:space="preserve">Words today: 318</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ae3e0788-cf68-46a0-a6b6-85ae76c4f47c" w:name="tab:diagnosticCriteria-table"/>
      <w:r>
        <w:t xml:space="preserve">Overview of the DSM-5 criteria for dementia and vascular dementia.[@edition2013diagnostic]</w:t>
      </w:r>
      <w:bookmarkEnd w:id="ae3e0788-cf68-46a0-a6b6-85ae76c4f47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2019">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mainous2005">
        <w:r>
          <w:rPr>
            <w:rStyle w:val="Hyperlink"/>
            <w:vertAlign w:val="superscript"/>
          </w:rPr>
          <w:t xml:space="preserve">49</w:t>
        </w:r>
      </w:hyperlink>
      <w:r>
        <w:rPr>
          <w:vertAlign w:val="superscript"/>
        </w:rPr>
        <w:t xml:space="preserve">,</w:t>
      </w:r>
      <w:hyperlink w:anchor="ref-mielke2010">
        <w:r>
          <w:rPr>
            <w:rStyle w:val="Hyperlink"/>
            <w:vertAlign w:val="superscript"/>
          </w:rPr>
          <w:t xml:space="preserve">50</w:t>
        </w:r>
      </w:hyperlink>
      <w:r>
        <w:rPr>
          <w:vertAlign w:val="superscript"/>
        </w:rPr>
        <w:t xml:space="preserve">,</w:t>
      </w:r>
      <w:hyperlink w:anchor="ref-li2005a">
        <w:r>
          <w:rPr>
            <w:rStyle w:val="Hyperlink"/>
            <w:bCs/>
            <w:b/>
            <w:vertAlign w:val="superscript"/>
          </w:rPr>
          <w:t xml:space="preserve">li2005a?</w:t>
        </w:r>
      </w:hyperlink>
      <w:r>
        <w:rPr>
          <w:vertAlign w:val="superscript"/>
        </w:rPr>
        <w:t xml:space="preserve">,</w:t>
      </w:r>
      <w:hyperlink w:anchor="ref-tan2003a">
        <w:r>
          <w:rPr>
            <w:rStyle w:val="Hyperlink"/>
            <w:bCs/>
            <w:b/>
            <w:vertAlign w:val="superscript"/>
          </w:rPr>
          <w:t xml:space="preserve">tan2003a?</w:t>
        </w:r>
      </w:hyperlink>
      <w:r>
        <w:t xml:space="preserve"> </w:t>
      </w:r>
      <w:r>
        <w:t xml:space="preserve">or a reduced susceptibility.</w:t>
      </w:r>
      <w:hyperlink w:anchor="ref-mielke2005">
        <w:r>
          <w:rPr>
            <w:rStyle w:val="Hyperlink"/>
            <w:vertAlign w:val="superscript"/>
          </w:rPr>
          <w:t xml:space="preserve">51</w:t>
        </w:r>
      </w:hyperlink>
      <w:r>
        <w:rPr>
          <w:vertAlign w:val="superscript"/>
        </w:rPr>
        <w:t xml:space="preserve">,</w:t>
      </w:r>
      <w:hyperlink w:anchor="ref-reitz2004a">
        <w:r>
          <w:rPr>
            <w:rStyle w:val="Hyperlink"/>
            <w:bCs/>
            <w:b/>
            <w:vertAlign w:val="superscript"/>
          </w:rPr>
          <w:t xml:space="preserve">reitz2004a?</w:t>
        </w:r>
      </w:hyperlink>
      <w:r>
        <w:t xml:space="preserve"> With regards vascular dementia, decreased levels of HDL-c appear to be associated with increased risk,</w:t>
      </w:r>
      <w:hyperlink w:anchor="ref-reitz2004a">
        <w:r>
          <w:rPr>
            <w:rStyle w:val="Hyperlink"/>
            <w:bCs/>
            <w:b/>
            <w:vertAlign w:val="superscript"/>
          </w:rPr>
          <w:t xml:space="preserve">reitz2004a?</w:t>
        </w:r>
      </w:hyperlink>
      <w:r>
        <w:t xml:space="preserve"> while for LDL-c, studies have reported both positive and negative associations.</w:t>
      </w:r>
      <w:hyperlink w:anchor="ref-moroney1999">
        <w:r>
          <w:rPr>
            <w:rStyle w:val="Hyperlink"/>
            <w:vertAlign w:val="superscript"/>
          </w:rPr>
          <w:t xml:space="preserve">52</w:t>
        </w:r>
      </w:hyperlink>
      <w:r>
        <w:rPr>
          <w:vertAlign w:val="superscript"/>
        </w:rPr>
        <w:t xml:space="preserve">,</w:t>
      </w:r>
      <w:hyperlink w:anchor="ref-reitz2004a">
        <w:r>
          <w:rPr>
            <w:rStyle w:val="Hyperlink"/>
            <w:bCs/>
            <w:b/>
            <w:vertAlign w:val="superscript"/>
          </w:rPr>
          <w:t xml:space="preserve">reitz2004a?</w:t>
        </w:r>
      </w:hyperlink>
    </w:p>
    <w:p>
      <w:pPr>
        <w:pStyle w:val="BodyText"/>
      </w:pPr>
      <w:r>
        <w:t xml:space="preserve">Several previous systematic review of observational studies examining the effect of lipids</w:t>
      </w:r>
      <w:hyperlink w:anchor="ref-anstey2015">
        <w:r>
          <w:rPr>
            <w:rStyle w:val="Hyperlink"/>
            <w:vertAlign w:val="superscript"/>
          </w:rPr>
          <w:t xml:space="preserve">53</w:t>
        </w:r>
      </w:hyperlink>
      <w:r>
        <w:t xml:space="preserve"> </w:t>
      </w:r>
      <w:r>
        <w:t xml:space="preserve">and lipid-regulating agents</w:t>
      </w:r>
      <w:hyperlink w:anchor="ref-chu2018">
        <w:r>
          <w:rPr>
            <w:rStyle w:val="Hyperlink"/>
            <w:vertAlign w:val="superscript"/>
          </w:rPr>
          <w:t xml:space="preserve">54</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2015">
        <w:r>
          <w:rPr>
            <w:rStyle w:val="Hyperlink"/>
            <w:vertAlign w:val="superscript"/>
          </w:rPr>
          <w:t xml:space="preserve">53</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55</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56</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56</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57</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58</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57</w:t>
        </w:r>
      </w:hyperlink>
      <w:r>
        <w:t xml:space="preserve"> </w:t>
      </w:r>
      <w:r>
        <w:t xml:space="preserve">The analytic method relies on several assumptions about the instrumental variable (IV),</w:t>
      </w:r>
      <w:hyperlink w:anchor="ref-davies2018">
        <w:r>
          <w:rPr>
            <w:rStyle w:val="Hyperlink"/>
            <w:vertAlign w:val="superscript"/>
          </w:rPr>
          <w:t xml:space="preserve">59</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60</w:t>
        </w:r>
      </w:hyperlink>
      <w:r>
        <w:rPr>
          <w:vertAlign w:val="superscript"/>
        </w:rPr>
        <w:t xml:space="preserve">,</w:t>
      </w:r>
      <w:hyperlink w:anchor="ref-ostergaard2015">
        <w:r>
          <w:rPr>
            <w:rStyle w:val="Hyperlink"/>
            <w:vertAlign w:val="superscript"/>
          </w:rPr>
          <w:t xml:space="preserve">61</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62</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63</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64</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65</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66</w:t>
        </w:r>
      </w:hyperlink>
      <w:r>
        <w:rPr>
          <w:vertAlign w:val="superscript"/>
        </w:rPr>
        <w:t xml:space="preserve">–</w:t>
      </w:r>
      <w:hyperlink w:anchor="ref-hopewell2007">
        <w:r>
          <w:rPr>
            <w:rStyle w:val="Hyperlink"/>
            <w:vertAlign w:val="superscript"/>
          </w:rPr>
          <w:t xml:space="preserve">68</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69</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70</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71</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72</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73</w:t>
        </w:r>
      </w:hyperlink>
      <w:r>
        <w:rPr>
          <w:vertAlign w:val="superscript"/>
        </w:rPr>
        <w:t xml:space="preserve">,</w:t>
      </w:r>
      <w:hyperlink w:anchor="ref-schalkwyk2020">
        <w:r>
          <w:rPr>
            <w:rStyle w:val="Hyperlink"/>
            <w:vertAlign w:val="superscript"/>
          </w:rPr>
          <w:t xml:space="preserve">74</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69</w:t>
        </w:r>
      </w:hyperlink>
      <w:r>
        <w:rPr>
          <w:vertAlign w:val="superscript"/>
        </w:rPr>
        <w:t xml:space="preserve">,</w:t>
      </w:r>
      <w:hyperlink w:anchor="ref-mahood2014">
        <w:r>
          <w:rPr>
            <w:rStyle w:val="Hyperlink"/>
            <w:vertAlign w:val="superscript"/>
          </w:rPr>
          <w:t xml:space="preserve">75</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76</w:t>
        </w:r>
      </w:hyperlink>
      <w:r>
        <w:rPr>
          <w:vertAlign w:val="superscript"/>
        </w:rPr>
        <w:t xml:space="preserve">,</w:t>
      </w:r>
      <w:hyperlink w:anchor="ref-nicholson2021">
        <w:r>
          <w:rPr>
            <w:rStyle w:val="Hyperlink"/>
            <w:vertAlign w:val="superscript"/>
          </w:rPr>
          <w:t xml:space="preserve">77</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75</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78</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79</w:t>
        </w:r>
      </w:hyperlink>
      <w:r>
        <w:rPr>
          <w:vertAlign w:val="superscript"/>
        </w:rPr>
        <w:t xml:space="preserve">,</w:t>
      </w:r>
      <w:hyperlink w:anchor="ref-mcguinness2018">
        <w:r>
          <w:rPr>
            <w:rStyle w:val="Hyperlink"/>
            <w:vertAlign w:val="superscript"/>
          </w:rPr>
          <w:t xml:space="preserve">80</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81</w:t>
        </w:r>
      </w:hyperlink>
      <w:r>
        <w:rPr>
          <w:vertAlign w:val="superscript"/>
        </w:rPr>
        <w:t xml:space="preserve">,</w:t>
      </w:r>
      <w:hyperlink w:anchor="ref-stewart1993">
        <w:r>
          <w:rPr>
            <w:rStyle w:val="Hyperlink"/>
            <w:vertAlign w:val="superscript"/>
          </w:rPr>
          <w:t xml:space="preserve">82</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81</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83</w:t>
        </w:r>
      </w:hyperlink>
      <w:r>
        <w:rPr>
          <w:vertAlign w:val="superscript"/>
        </w:rPr>
        <w:t xml:space="preserve">–</w:t>
      </w:r>
      <w:hyperlink w:anchor="ref-mccartney2016">
        <w:r>
          <w:rPr>
            <w:rStyle w:val="Hyperlink"/>
            <w:vertAlign w:val="superscript"/>
          </w:rPr>
          <w:t xml:space="preserve">85</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81</w:t>
        </w:r>
      </w:hyperlink>
      <w:r>
        <w:t xml:space="preserve"> </w:t>
      </w:r>
      <w:r>
        <w:t xml:space="preserve">In terms of this thesis, patient sex is considered to be of particular interest.</w:t>
      </w:r>
      <w:hyperlink w:anchor="ref-arain2009">
        <w:r>
          <w:rPr>
            <w:rStyle w:val="Hyperlink"/>
            <w:vertAlign w:val="superscript"/>
          </w:rPr>
          <w:t xml:space="preserve">83</w:t>
        </w:r>
      </w:hyperlink>
      <w:r>
        <w:rPr>
          <w:vertAlign w:val="superscript"/>
        </w:rPr>
        <w:t xml:space="preserve">,</w:t>
      </w:r>
      <w:hyperlink w:anchor="ref-letenneur1999">
        <w:r>
          <w:rPr>
            <w:rStyle w:val="Hyperlink"/>
            <w:vertAlign w:val="superscript"/>
          </w:rPr>
          <w:t xml:space="preserve">86</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87</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88</w:t>
        </w:r>
      </w:hyperlink>
    </w:p>
    <w:p>
      <w:pPr>
        <w:pStyle w:val="BodyText"/>
      </w:pPr>
      <w:r>
        <w:t xml:space="preserve">Despite their advantages, IPD meta-analysis are rarely performed.</w:t>
      </w:r>
      <w:hyperlink w:anchor="ref-tugwell2010">
        <w:r>
          <w:rPr>
            <w:rStyle w:val="Hyperlink"/>
            <w:vertAlign w:val="superscript"/>
          </w:rPr>
          <w:t xml:space="preserve">89</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90</w:t>
        </w:r>
      </w:hyperlink>
      <w:r>
        <w:rPr>
          <w:vertAlign w:val="superscript"/>
        </w:rPr>
        <w:t xml:space="preserve">,</w:t>
      </w:r>
      <w:hyperlink w:anchor="ref-ventresca2020">
        <w:r>
          <w:rPr>
            <w:rStyle w:val="Hyperlink"/>
            <w:vertAlign w:val="superscript"/>
          </w:rPr>
          <w:t xml:space="preserve">91</w:t>
        </w:r>
      </w:hyperlink>
      <w:r>
        <w:t xml:space="preserve"> </w:t>
      </w:r>
      <w:r>
        <w:t xml:space="preserve">The data underlying primary studies are frequently not publicly available,</w:t>
      </w:r>
      <w:hyperlink w:anchor="ref-alsheikh-ali2011">
        <w:r>
          <w:rPr>
            <w:rStyle w:val="Hyperlink"/>
            <w:vertAlign w:val="superscript"/>
          </w:rPr>
          <w:t xml:space="preserve">92</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93</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94</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95</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8.9</w:t>
      </w:r>
      <w:r>
        <w:t xml:space="preserve"> </w:t>
      </w:r>
      <w:r>
        <w:t xml:space="preserve">for a discussion of the group’s involvement and Appendix</w:t>
      </w:r>
      <w:r>
        <w:t xml:space="preserve"> </w:t>
      </w:r>
      <w:r>
        <w:t xml:space="preserve">10.1.2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8</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8</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8.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54">
        <w:r>
          <w:rPr>
            <w:rStyle w:val="Hyperlink"/>
            <w:iCs/>
            <w:i/>
          </w:rPr>
          <w:t xml:space="preserve">10.1007/s11121-021-01279-8</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96</w:t>
        </w:r>
      </w:hyperlink>
      <w:r>
        <w:t xml:space="preserve"> </w:t>
      </w:r>
      <w:r>
        <w:t xml:space="preserve">and bioRxiv</w:t>
      </w:r>
      <w:hyperlink w:anchor="ref-sever2019">
        <w:r>
          <w:rPr>
            <w:rStyle w:val="Hyperlink"/>
            <w:vertAlign w:val="superscript"/>
          </w:rPr>
          <w:t xml:space="preserve">97</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89"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8"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97</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96</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98</w:t>
        </w:r>
      </w:hyperlink>
      <w:r>
        <w:rPr>
          <w:vertAlign w:val="superscript"/>
        </w:rPr>
        <w:t xml:space="preserve">,</w:t>
      </w:r>
      <w:hyperlink w:anchor="ref-gusenbauer2020">
        <w:r>
          <w:rPr>
            <w:rStyle w:val="Hyperlink"/>
            <w:vertAlign w:val="superscript"/>
          </w:rPr>
          <w:t xml:space="preserve">99</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65">
        <w:r>
          <w:rPr>
            <w:rStyle w:val="Hyperlink"/>
          </w:rPr>
          <w:t xml:space="preserve">https://github.com/ropensci/medrxivr</w:t>
        </w:r>
      </w:hyperlink>
      <w:r>
        <w:t xml:space="preserve"> </w:t>
      </w:r>
      <w:r>
        <w:t xml:space="preserve">and</w:t>
      </w:r>
      <w:r>
        <w:t xml:space="preserve"> </w:t>
      </w:r>
      <w:hyperlink r:id="rId66">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100</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7"/>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8"/>
    <w:bookmarkStart w:id="73" w:name="development"/>
    <w:p>
      <w:pPr>
        <w:pStyle w:val="Heading2"/>
      </w:pPr>
      <w:r>
        <w:t xml:space="preserve">Development</w:t>
      </w:r>
    </w:p>
    <w:bookmarkStart w:id="69"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101</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9"/>
    <w:bookmarkStart w:id="70"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102</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103</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104</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0"/>
    <w:bookmarkStart w:id="71"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105</w:t>
        </w:r>
      </w:hyperlink>
      <w:r>
        <w:rPr>
          <w:vertAlign w:val="superscript"/>
        </w:rPr>
        <w:t xml:space="preserve">,</w:t>
      </w:r>
      <w:hyperlink w:anchor="ref-laprie1992">
        <w:r>
          <w:rPr>
            <w:rStyle w:val="Hyperlink"/>
            <w:vertAlign w:val="superscript"/>
          </w:rPr>
          <w:t xml:space="preserve">106</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106</w:t>
        </w:r>
      </w:hyperlink>
    </w:p>
    <w:p>
      <w:pPr>
        <w:pStyle w:val="BodyText"/>
      </w:pPr>
      <w:r>
        <w:t xml:space="preserve"> </w:t>
      </w:r>
    </w:p>
    <w:bookmarkEnd w:id="71"/>
    <w:bookmarkStart w:id="72"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107</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2"/>
    <w:bookmarkEnd w:id="73"/>
    <w:bookmarkStart w:id="81"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74"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4"/>
    <w:bookmarkStart w:id="76"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108</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5"/>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6"/>
    <w:bookmarkStart w:id="77"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7"/>
    <w:bookmarkStart w:id="78"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109</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110</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8"/>
    <w:bookmarkStart w:id="79"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9"/>
    <w:bookmarkStart w:id="80"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0"/>
    <w:bookmarkEnd w:id="81"/>
    <w:bookmarkStart w:id="86" w:name="discussion"/>
    <w:p>
      <w:pPr>
        <w:pStyle w:val="Heading2"/>
      </w:pPr>
      <w:r>
        <w:t xml:space="preserve">Discussion</w:t>
      </w:r>
    </w:p>
    <w:bookmarkStart w:id="82"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4900 times), and several use cases have been reported. It has been used to investigate the role of preprints in the response to the 2019 coronavirus outbreak,</w:t>
      </w:r>
      <w:hyperlink w:anchor="ref-kodvanj2020">
        <w:r>
          <w:rPr>
            <w:rStyle w:val="Hyperlink"/>
            <w:vertAlign w:val="superscript"/>
          </w:rPr>
          <w:t xml:space="preserve">111</w:t>
        </w:r>
      </w:hyperlink>
      <w:r>
        <w:t xml:space="preserve"> </w:t>
      </w:r>
      <w:r>
        <w:t xml:space="preserve">perform searches of preprints as part of a systematic review,</w:t>
      </w:r>
      <w:hyperlink w:anchor="ref-noone2020">
        <w:r>
          <w:rPr>
            <w:rStyle w:val="Hyperlink"/>
            <w:vertAlign w:val="superscript"/>
          </w:rPr>
          <w:t xml:space="preserve">112</w:t>
        </w:r>
      </w:hyperlink>
      <w:r>
        <w:rPr>
          <w:vertAlign w:val="superscript"/>
        </w:rPr>
        <w:t xml:space="preserve">,</w:t>
      </w:r>
      <w:hyperlink w:anchor="ref-grassly2020">
        <w:r>
          <w:rPr>
            <w:rStyle w:val="Hyperlink"/>
            <w:vertAlign w:val="superscript"/>
          </w:rPr>
          <w:t xml:space="preserve">113</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114</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115</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2"/>
    <w:bookmarkStart w:id="83" w:name="use-case"/>
    <w:p>
      <w:pPr>
        <w:pStyle w:val="Heading3"/>
      </w:pPr>
      <w:r>
        <w:t xml:space="preserve">Use case</w:t>
      </w:r>
    </w:p>
    <w:p>
      <w:pPr>
        <w:pStyle w:val="FirstParagraph"/>
      </w:pPr>
      <w:r>
        <w:t xml:space="preserve">In addition to being used to search systematically search health-related preprint servers, as illustrated in the systematic review presented in Chapter</w:t>
      </w:r>
      <w:r>
        <w:t xml:space="preserve"> </w:t>
      </w:r>
      <w:r>
        <w:t xml:space="preserve">4</w:t>
      </w:r>
      <w:r>
        <w:t xml:space="preserve">,</w:t>
      </w:r>
      <w:r>
        <w:t xml:space="preserve"> </w:t>
      </w:r>
      <w:r>
        <w:rPr>
          <w:rStyle w:val="VerbatimChar"/>
        </w:rPr>
        <w:t xml:space="preserve">medrxivr</w:t>
      </w:r>
      <w:r>
        <w:t xml:space="preserve"> </w:t>
      </w:r>
      <w:r>
        <w:t xml:space="preserve">has other uses. 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w:t>
      </w:r>
    </w:p>
    <w:p>
      <w:pPr>
        <w:pStyle w:val="BodyText"/>
      </w:pPr>
      <w:r>
        <w:t xml:space="preserve">By comparing the preprinted and published versions of the data availability statement, I could examine the same manuscript (same content, authors and funders) under two differnt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11.4</w:t>
      </w:r>
      <w:r>
        <w:t xml:space="preserve">. Author contributions are discussed in the</w:t>
      </w:r>
    </w:p>
    <w:p>
      <w:pPr>
        <w:pStyle w:val="BodyText"/>
      </w:pPr>
      <w:r>
        <w:t xml:space="preserve">In short, this use case illustrates that easy access to medRxiv/bioRxiv metadata has applications beyond systematic searching of preprints as a part of evidence synthesis exercises.</w:t>
      </w:r>
    </w:p>
    <w:bookmarkEnd w:id="83"/>
    <w:bookmarkStart w:id="84"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116</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117</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72</w:t>
        </w:r>
      </w:hyperlink>
    </w:p>
    <w:p>
      <w:pPr>
        <w:pStyle w:val="BodyText"/>
      </w:pPr>
      <w:r>
        <w:t xml:space="preserve">Using</w:t>
      </w:r>
      <w:r>
        <w:t xml:space="preserve"> </w:t>
      </w:r>
      <w:r>
        <w:rPr>
          <w:rStyle w:val="VerbatimChar"/>
        </w:rPr>
        <w:t xml:space="preserve">medrxivr</w:t>
      </w:r>
      <w:r>
        <w:t xml:space="preserve"> </w:t>
      </w:r>
      <w:r>
        <w:t xml:space="preserve">an analysis of the publication rate for medRxiv preprints was performed (see Appendix</w:t>
      </w:r>
      <w:r>
        <w:t xml:space="preserve"> </w:t>
      </w:r>
      <w:r>
        <w:t xml:space="preserve">10.2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b">
        <w:r>
          <w:rPr>
            <w:rStyle w:val="Hyperlink"/>
            <w:vertAlign w:val="superscript"/>
          </w:rPr>
          <w:t xml:space="preserve">118</w:t>
        </w:r>
      </w:hyperlink>
      <w:r>
        <w:t xml:space="preserve"> </w:t>
      </w:r>
      <w:r>
        <w:t xml:space="preserve">indicating that a non-insignificant number of preprints are never formally published but remain accessible as preprints.</w:t>
      </w:r>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4"/>
    <w:bookmarkStart w:id="85"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119</w:t>
        </w:r>
      </w:hyperlink>
    </w:p>
    <w:bookmarkEnd w:id="85"/>
    <w:bookmarkEnd w:id="86"/>
    <w:bookmarkStart w:id="87"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7"/>
    <w:bookmarkStart w:id="88" w:name="references-1"/>
    <w:p>
      <w:pPr>
        <w:pStyle w:val="Heading2"/>
      </w:pPr>
      <w:r>
        <w:t xml:space="preserve">References</w:t>
      </w:r>
    </w:p>
    <w:bookmarkEnd w:id="88"/>
    <w:bookmarkEnd w:id="89"/>
    <w:bookmarkStart w:id="147" w:name="sys-rev-heading"/>
    <w:p>
      <w:pPr>
        <w:pStyle w:val="Heading1"/>
      </w:pPr>
      <w:r>
        <w:t xml:space="preserve">Systematic review of all evidence available on the association between blood lipids (and treatment) and dementia outcomes</w:t>
      </w:r>
    </w:p>
    <w:p>
      <w:pPr>
        <w:pStyle w:val="FirstParagraph"/>
      </w:pPr>
    </w:p>
    <w:bookmarkStart w:id="90" w:name="lay-summary-2"/>
    <w:p>
      <w:pPr>
        <w:pStyle w:val="Heading2"/>
      </w:pPr>
      <w:r>
        <w:t xml:space="preserve">Lay summary</w:t>
      </w:r>
    </w:p>
    <w:p>
      <w:pPr>
        <w:pStyle w:val="FirstParagraph"/>
      </w:pPr>
      <w:r>
        <w:t xml:space="preserve">Systematic reviews are a type of research that aim to use all existing evidence to provide the best answer to an important research question. They do this by finding and combining the results from many related primary research studies. Reviews involve multiple steps including: searching of existing studies; assessment of the studies against predefined inclusion criteria; collection of data from each study;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and dementia.</w:t>
      </w:r>
    </w:p>
    <w:p>
      <w:pPr>
        <w:pStyle w:val="BodyText"/>
      </w:pPr>
      <w:r>
        <w:t xml:space="preserve">There were 127 primary studies</w:t>
      </w:r>
      <w:r>
        <w:t xml:space="preserve"> </w:t>
      </w:r>
      <w:r>
        <w:t xml:space="preserve">that contained information on this relationship. I found that statins reduce the risk of Alzheimer’s disease, but had no effect of vascular dementia. Lipids were not associated with any outcome. The methods used in some of the primary studies meant that I was less confident in the accuracy of their results.</w:t>
      </w:r>
    </w:p>
    <w:p>
      <w:pPr>
        <w:pStyle w:val="BodyText"/>
      </w:pPr>
      <w:r>
        <w:t xml:space="preserve">The use of the results of this review in subsequent chapters is dicussed.</w:t>
      </w:r>
    </w:p>
    <w:p>
      <w:pPr>
        <w:pStyle w:val="BodyText"/>
      </w:pPr>
      <w:r>
        <w:t xml:space="preserve"> </w:t>
      </w:r>
    </w:p>
    <w:bookmarkEnd w:id="90"/>
    <w:bookmarkStart w:id="91"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 This analysis sought to address two specific aims.</w:t>
      </w:r>
    </w:p>
    <w:p>
      <w:pPr>
        <w:pStyle w:val="BodyText"/>
      </w:pPr>
      <w:r>
        <w:t xml:space="preserve">Firstly, as discussed in the Introduction to this thesis (Section</w:t>
      </w:r>
      <w:r>
        <w:t xml:space="preserve"> </w:t>
      </w:r>
      <w:r>
        <w:t xml:space="preserve">2.5</w:t>
      </w:r>
      <w:r>
        <w:t xml:space="preserve">), several diverse forms of evidence on the relationship of lipids and dementia exist. These include randomised controlled trials, observational studies of different analytical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regardless of study design.</w:t>
      </w:r>
    </w:p>
    <w:p>
      <w:pPr>
        <w:pStyle w:val="BodyText"/>
      </w:pPr>
      <w:r>
        <w:t xml:space="preserve">Secondly, I explicitly sought to include health-related preprint servers as a potential evidence source in this review, as they are infrequently considered by evidence synthesists but may contain important unpublished studies. As a sensitivity analysis to the systematic review presented in this chapter, I sought to quantify the additional evidential value of including preprints. This inclusion of preprint serves makes use of the preprint search tool presented in Chapter</w:t>
      </w:r>
      <w:r>
        <w:t xml:space="preserve"> </w:t>
      </w:r>
      <w:r>
        <w:t xml:space="preserve">3</w:t>
      </w:r>
      <w:r>
        <w:t xml:space="preserve">.</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8</w:t>
      </w:r>
      <w:r>
        <w:t xml:space="preserve">.</w:t>
      </w:r>
    </w:p>
    <w:p>
      <w:pPr>
        <w:pStyle w:val="BodyText"/>
      </w:pPr>
      <w:r>
        <w:t xml:space="preserve"> </w:t>
      </w:r>
      <w:r>
        <w:t xml:space="preserve"> </w:t>
      </w:r>
    </w:p>
    <w:bookmarkEnd w:id="91"/>
    <w:bookmarkStart w:id="116" w:name="methods"/>
    <w:p>
      <w:pPr>
        <w:pStyle w:val="Heading2"/>
      </w:pPr>
      <w:r>
        <w:t xml:space="preserve">Methods</w:t>
      </w:r>
    </w:p>
    <w:bookmarkStart w:id="92"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120</w:t>
        </w:r>
      </w:hyperlink>
      <w:r>
        <w:t xml:space="preserve"> </w:t>
      </w:r>
      <w:r>
        <w:t xml:space="preserve">Deviations from this protocol are detailed in the relevant sections.</w:t>
      </w:r>
    </w:p>
    <w:p>
      <w:pPr>
        <w:pStyle w:val="BodyText"/>
      </w:pPr>
      <w:r>
        <w:t xml:space="preserve"> </w:t>
      </w:r>
    </w:p>
    <w:bookmarkEnd w:id="92"/>
    <w:bookmarkStart w:id="93"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systematic review was performed in conjunction with a team of secondary reviewers and an information specialist (see Acknowledgments and Author declaration).</w:t>
      </w:r>
      <w:r>
        <w:t xml:space="preserve"> </w:t>
      </w:r>
    </w:p>
    <w:p>
      <w:pPr>
        <w:pStyle w:val="BodyText"/>
      </w:pPr>
      <w:r>
        <w:t xml:space="preserve"> </w:t>
      </w:r>
    </w:p>
    <w:bookmarkEnd w:id="93"/>
    <w:bookmarkStart w:id="94" w:name="search-strategy"/>
    <w:p>
      <w:pPr>
        <w:pStyle w:val="Heading3"/>
      </w:pPr>
      <w:r>
        <w:t xml:space="preserve">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from inception onwards: Medline, EMBASE, Psychinfo, Cochrane Central Register of Controlled Trials (CENTRAL), and Web of Science Core Collection. As the contents of the Web of Science Core Collection can vary by institution,</w:t>
      </w:r>
      <w:hyperlink w:anchor="ref-gusenbauer2020a">
        <w:r>
          <w:rPr>
            <w:rStyle w:val="Hyperlink"/>
            <w:vertAlign w:val="superscript"/>
          </w:rPr>
          <w:t xml:space="preserve">121</w:t>
        </w:r>
      </w:hyperlink>
      <w:r>
        <w:t xml:space="preserve"> </w:t>
      </w:r>
      <w:r>
        <w:t xml:space="preserve">the specific databases searched via this platform are listed in Appendix</w:t>
      </w:r>
      <w:r>
        <w:t xml:space="preserve"> </w:t>
      </w:r>
      <w:r>
        <w:t xml:space="preserve">10.3.2</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69</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search strategies for each database are presented in Appendix</w:t>
      </w:r>
      <w:r>
        <w:t xml:space="preserve"> </w:t>
      </w:r>
      <w:r>
        <w:t xml:space="preserve">10.3.1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10.3.1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10.3.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When searching the bibliographic databases, study design filters were employed to try and reduce the screening load. To ensure that the study design filters are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6</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3</w:t>
      </w:r>
      <w:r>
        <w:t xml:space="preserve"> </w:t>
      </w:r>
      <w:r>
        <w:t xml:space="preserve">to identify potentially relevant preprinted studies.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94"/>
    <w:bookmarkStart w:id="97"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122</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123</w:t>
        </w:r>
      </w:hyperlink>
      <w:r>
        <w:t xml:space="preserve"> </w:t>
      </w:r>
      <w:r>
        <w:t xml:space="preserve">and Rayyan, a web-based screening application.</w:t>
      </w:r>
      <w:hyperlink w:anchor="ref-ouzzani2016">
        <w:r>
          <w:rPr>
            <w:rStyle w:val="Hyperlink"/>
            <w:vertAlign w:val="superscript"/>
          </w:rPr>
          <w:t xml:space="preserve">124</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records were rescreened by me with a 1 month lag to intra-rater consistency.</w:t>
      </w:r>
    </w:p>
    <w:p>
      <w:pPr>
        <w:pStyle w:val="BodyText"/>
      </w:pPr>
      <w:r>
        <w:t xml:space="preserve">Similarly, I completed all full-text screening, with a random ~10% being screened in duplicate by a second reviewer. In addition,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79</w:t>
        </w:r>
      </w:hyperlink>
    </w:p>
    <w:p>
      <w:pPr>
        <w:pStyle w:val="BodyText"/>
      </w:pPr>
      <w:r>
        <w:t xml:space="preserve">The criteria used to assess eligibility are presented in the subsequent sections.</w:t>
      </w:r>
    </w:p>
    <w:p>
      <w:pPr>
        <w:pStyle w:val="BodyText"/>
      </w:pPr>
      <w:r>
        <w:t xml:space="preserve"> </w:t>
      </w:r>
    </w:p>
    <w:bookmarkStart w:id="95" w:name="inclusion-criteria"/>
    <w:p>
      <w:pPr>
        <w:pStyle w:val="Heading4"/>
      </w:pPr>
      <w:r>
        <w:t xml:space="preserve">Inclusion criteria</w:t>
      </w:r>
    </w:p>
    <w:p>
      <w:pPr>
        <w:pStyle w:val="FirstParagraph"/>
      </w:pPr>
      <w:r>
        <w:t xml:space="preserve">I sought to include studies that examine the relationship between blood lipid levels (or any specific lipid fraction, including total cholesterol, HDL, LDL, and triglycerides) and risk of incident dementia and its subtypes. Eligible study designs included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screened for dementia at baseline and prevalent cases excluded. Alternatively, where no baseline screening was employed, participants were assumed to be dementia free if less than &lt;50 years of age 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according to recognised criteria, for example the International Classification of Diseases (ICD),</w:t>
      </w:r>
      <w:hyperlink w:anchor="ref-organizationwho1993">
        <w:r>
          <w:rPr>
            <w:rStyle w:val="Hyperlink"/>
            <w:bCs/>
            <w:b/>
            <w:vertAlign w:val="superscript"/>
          </w:rPr>
          <w:t xml:space="preserve">organizationwho1993?</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125</w:t>
        </w:r>
      </w:hyperlink>
      <w:r>
        <w:t xml:space="preserve"> </w:t>
      </w:r>
      <w:r>
        <w:t xml:space="preserve">or Diagnostic and Statistical Manual of Mental Disorders (DSM) criteria.</w:t>
      </w:r>
      <w:hyperlink w:anchor="ref-edition2013">
        <w:r>
          <w:rPr>
            <w:rStyle w:val="Hyperlink"/>
            <w:vertAlign w:val="superscript"/>
          </w:rPr>
          <w:t xml:space="preserve">126</w:t>
        </w:r>
      </w:hyperlink>
      <w:r>
        <w:t xml:space="preserve"> </w:t>
      </w:r>
      <w:r>
        <w:t xml:space="preserve">Studies utilising electronic health records were the exception to this, as it was assumed that these criteria were used when entering the outcome into the EHR.</w:t>
      </w:r>
    </w:p>
    <w:p>
      <w:pPr>
        <w:pStyle w:val="BodyText"/>
      </w:pPr>
      <w:r>
        <w:t xml:space="preserve">No limitations were imposed on publication status, publication date, venue or language, although sufficiently detailed reports of the studies to be able to examine their methods were required for inclusion.</w:t>
      </w:r>
    </w:p>
    <w:p>
      <w:pPr>
        <w:pStyle w:val="BodyText"/>
      </w:pPr>
      <w:r>
        <w:t xml:space="preserve"> </w:t>
      </w:r>
    </w:p>
    <w:bookmarkEnd w:id="95"/>
    <w:bookmarkStart w:id="96"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nested case-control studies, where historical records are used to determine the exposure status, were eligible for inclusion. Cross-sectional studies, qualitative studies, case reports/series and narrative reviews were also excluded. Studies which presented no evidence of attempting to exclude prevalent cases from their analyses were also excluded. Studies that measure change in continuous cognitive measures (e.g. MoCA score) without attempt to map these scores to ordinal groups (e.g. no dementia/dementia) were excluded. Conference abstracts with no corresponding full-text publication were examined, and where required, I contacted authors to obtain information on the study’s status. 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a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6"/>
    <w:bookmarkEnd w:id="97"/>
    <w:bookmarkStart w:id="98"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127</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127</w:t>
        </w:r>
      </w:hyperlink>
      <w:r>
        <w:t xml:space="preserve"> </w:t>
      </w:r>
      <w:r>
        <w:t xml:space="preserve">Given the small number of included studies in this review as a proportion of the total number screened, this is an important characteristic.</w:t>
      </w:r>
    </w:p>
    <w:p>
      <w:pPr>
        <w:pStyle w:val="BodyText"/>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3</m:t>
          </m:r>
          <m:r>
            <m:rPr>
              <m:sty m:val="p"/>
            </m:rPr>
            <m:t>)</m:t>
          </m:r>
        </m:oMath>
      </m:oMathPara>
    </w:p>
    <w:p>
      <w:pPr>
        <w:pStyle w:val="FirstParagraph"/>
      </w:pPr>
      <w:r>
        <w:t xml:space="preserve">How to interpret agreement co-efficients is widely debated, and while arbitary cut-off values may mislead readers,</w:t>
      </w:r>
      <w:hyperlink w:anchor="ref-brennan1992">
        <w:r>
          <w:rPr>
            <w:rStyle w:val="Hyperlink"/>
            <w:vertAlign w:val="superscript"/>
          </w:rPr>
          <w:t xml:space="preserve">130</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131</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p>
      <w:pPr>
        <w:pStyle w:val="BodyText"/>
      </w:pPr>
      <w:r>
        <w:t xml:space="preserve">Intra- and inter-rater reliability was assessed against these cut-offs. If this assessment demonstrated issues with the screening process (defined as an AC1 of &lt;.9), a larger proportion of records would have been dual-screened.</w:t>
      </w:r>
    </w:p>
    <w:p>
      <w:pPr>
        <w:pStyle w:val="BodyText"/>
      </w:pPr>
      <w:r>
        <w:t xml:space="preserve"> </w:t>
      </w:r>
      <w:r>
        <w:t xml:space="preserve"> </w:t>
      </w:r>
    </w:p>
    <w:bookmarkEnd w:id="98"/>
    <w:bookmarkStart w:id="104"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(study location, data source, exposure, outcomes, outcome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bookmarkStart w:id="99" w:name="study-fication"/>
    <w:p>
      <w:pPr>
        <w:pStyle w:val="Heading4"/>
      </w:pPr>
      <w:r>
        <w:t xml:space="preserve">Study-fication</w:t>
      </w:r>
    </w:p>
    <w:p>
      <w:pPr>
        <w:pStyle w:val="FirstParagraph"/>
      </w:pPr>
      <w:r>
        <w:t xml:space="preserve">As part of the data extraction process, multiple resords resulting from the analysis of the same data were included and grouped into single units, hereafter called studies. This is likely in the advent of multiple papers reporting results on the same cohort, but say, at different time points. Study-fication builds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9"/>
    <w:bookmarkStart w:id="100" w:name="combining-across-groups"/>
    <w:p>
      <w:pPr>
        <w:pStyle w:val="Heading4"/>
      </w:pPr>
      <w:r>
        <w:t xml:space="preserve">Combining across groups</w:t>
      </w:r>
    </w:p>
    <w:p>
      <w:pPr>
        <w:pStyle w:val="FirstParagraph"/>
      </w:pPr>
      <w:r>
        <w:t xml:space="preserve">Following best practice, where summary data was presented across two groups (e.g. age at baseline stratified by hypercholesterolemia status), the following approach was used to combine the groups.</w:t>
      </w:r>
      <w:hyperlink w:anchor="ref-higgins2019">
        <w:r>
          <w:rPr>
            <w:rStyle w:val="Hyperlink"/>
            <w:vertAlign w:val="superscript"/>
          </w:rPr>
          <w:t xml:space="preserve">132</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4</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N</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5</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6</m:t>
          </m:r>
          <m:r>
            <m:rPr>
              <m:sty m:val="p"/>
            </m:rPr>
            <m:t>)</m:t>
          </m:r>
        </m:oMath>
      </m:oMathPara>
    </w:p>
    <w:p>
      <w:pPr>
        <w:pStyle w:val="FirstParagraph"/>
      </w:pPr>
      <w:r>
        <w:t xml:space="preserve">This was implemented in a systematic manner, with the raw group data being extracted and a cleaning script written to combine the groups for analysis.</w:t>
      </w:r>
    </w:p>
    <w:p>
      <w:pPr>
        <w:pStyle w:val="BodyText"/>
      </w:pPr>
      <w:r>
        <w:t xml:space="preserve"> </w:t>
      </w:r>
    </w:p>
    <w:bookmarkEnd w:id="100"/>
    <w:bookmarkStart w:id="101"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p>
      <w:pPr>
        <w:pStyle w:val="BodyText"/>
      </w:pPr>
      <w:r>
        <w:t xml:space="preserve"> </w:t>
      </w:r>
    </w:p>
    <w:bookmarkEnd w:id="101"/>
    <w:bookmarkStart w:id="102" w:name="contacting-authors"/>
    <w:p>
      <w:pPr>
        <w:pStyle w:val="Heading4"/>
      </w:pPr>
      <w:r>
        <w:t xml:space="preserve">Following up with authors</w:t>
      </w:r>
    </w:p>
    <w:p>
      <w:pPr>
        <w:pStyle w:val="FirstParagraph"/>
      </w:pPr>
      <w:r>
        <w:t xml:space="preserve">Where additional data points not included in the report of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133</w:t>
        </w:r>
      </w:hyperlink>
    </w:p>
    <w:p>
      <w:pPr>
        <w:pStyle w:val="BodyText"/>
      </w:pPr>
      <w:r>
        <w:t xml:space="preserve"> </w:t>
      </w:r>
    </w:p>
    <w:bookmarkEnd w:id="102"/>
    <w:bookmarkStart w:id="103" w:name="analysis-of-varying-effect-measures"/>
    <w:p>
      <w:pPr>
        <w:pStyle w:val="Heading4"/>
      </w:pPr>
      <w:r>
        <w:t xml:space="preserve">Analysis of varying effect measures</w:t>
      </w:r>
    </w:p>
    <w:p>
      <w:pPr>
        <w:pStyle w:val="FirstParagraph"/>
      </w:pPr>
      <w:r>
        <w:t xml:space="preserve">The range of effect measures presented by studies (odds ratios, risk ratios, hazard ratios, etc) are not directly interchangeable in the context of systematic review. If the outcome is rare, as is the case for dementia outcomes at and estimated prevalence of odds and risk ratios approximate each other.</w:t>
      </w:r>
      <w:r>
        <w:t xml:space="preserve"> </w:t>
      </w:r>
      <w:r>
        <w:t xml:space="preserve">However, hazard ratios provide a very different interpretation, taking into account person-timea-at-risk in each treatment group. As such, different effect estimates can be one potential problem that precludes a meta-analysis of all studies.</w:t>
      </w:r>
      <w:hyperlink w:anchor="ref-mckenzie2019">
        <w:r>
          <w:rPr>
            <w:rStyle w:val="Hyperlink"/>
            <w:vertAlign w:val="superscript"/>
          </w:rPr>
          <w:t xml:space="preserve">134</w:t>
        </w:r>
      </w:hyperlink>
    </w:p>
    <w:p>
      <w:pPr>
        <w:pStyle w:val="BodyText"/>
      </w:pPr>
      <w:r>
        <w:t xml:space="preserve">Several existing reviews do not distinguish between the types of effect measures and include all existing studies in a single meta-analysis to produce an overall effect. In addition, there is some evidence of manipulation of effect estimates in previous reviews,(e.g. Chou, Sci Reports - at least one study disagrees with) but this is not accurately documented in the review text.</w:t>
      </w:r>
      <w:r>
        <w:t xml:space="preserve"> </w:t>
      </w:r>
    </w:p>
    <w:p>
      <w:pPr>
        <w:pStyle w:val="BodyText"/>
      </w:pPr>
      <w:r>
        <w:t xml:space="preserve">In this review, studies reporting hazard ratios were synthesised separately to those reporting odds/risk ratios.</w:t>
      </w:r>
    </w:p>
    <w:p>
      <w:pPr>
        <w:pStyle w:val="BodyText"/>
      </w:pPr>
      <w:r>
        <w:t xml:space="preserve"> </w:t>
      </w:r>
    </w:p>
    <w:bookmarkEnd w:id="103"/>
    <w:bookmarkEnd w:id="104"/>
    <w:bookmarkStart w:id="109" w:name="risk-of-bias"/>
    <w:p>
      <w:pPr>
        <w:pStyle w:val="Heading3"/>
      </w:pPr>
      <w:r>
        <w:t xml:space="preserve">Risk-of-bias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8.1.1</w:t>
      </w:r>
      <w:r>
        <w:t xml:space="preserve"> </w:t>
      </w:r>
      <w:r>
        <w:t xml:space="preserve">for an overview of triangulation and Section</w:t>
      </w:r>
      <w:r>
        <w:t xml:space="preserve"> </w:t>
      </w:r>
      <w:r>
        <w:t xml:space="preserve">2.6.2</w:t>
      </w:r>
      <w:r>
        <w:t xml:space="preserve"> </w:t>
      </w:r>
      <w:r>
        <w:t xml:space="preserve">for the results of this qualitative analysis). To enable this triangulation exercise, a detailed and structured risk-of-bias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80</w:t>
        </w:r>
      </w:hyperlink>
      <w:r>
        <w:rPr>
          <w:vertAlign w:val="superscript"/>
        </w:rPr>
        <w:t xml:space="preserve">,</w:t>
      </w:r>
      <w:hyperlink w:anchor="ref-sterne2016">
        <w:r>
          <w:rPr>
            <w:rStyle w:val="Hyperlink"/>
            <w:vertAlign w:val="superscript"/>
          </w:rPr>
          <w:t xml:space="preserve">135</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136</w:t>
        </w:r>
      </w:hyperlink>
      <w:r>
        <w:rPr>
          <w:vertAlign w:val="superscript"/>
        </w:rPr>
        <w:t xml:space="preserve">,</w:t>
      </w:r>
      <w:hyperlink w:anchor="ref-juni2001">
        <w:r>
          <w:rPr>
            <w:rStyle w:val="Hyperlink"/>
            <w:vertAlign w:val="superscript"/>
          </w:rPr>
          <w:t xml:space="preserve">137</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unclear reporting, and challenges in the comparison of results from different tools.</w:t>
      </w:r>
      <w:r>
        <w:t xml:space="preserve"> </w:t>
      </w:r>
      <w:r>
        <w:t xml:space="preserve"> </w:t>
      </w:r>
      <w:r>
        <w:t xml:space="preserve">As part of this shift, the community also moved from checklist or score based tools towards domain-based methods, in which different potential sources of bias in a study are assessed in order. Additionally, bias should be assessed at the result (defined as a a specific outcome at a specific timepoint) rather than the study level. For example, a study may report on the efficacy of an intervention at six months and two years follow-up. In this case, missing outcome data that is not an issue at six months may introduce bias at 2 year follow-up, and assigning a bias judgement to the study as a whole masks the different level of bias for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105" w:name="randomised-controlled-trials-1"/>
    <w:p>
      <w:pPr>
        <w:pStyle w:val="Heading4"/>
      </w:pPr>
      <w:r>
        <w:t xml:space="preserve">Randomised controlled trials</w:t>
      </w:r>
    </w:p>
    <w:p>
      <w:pPr>
        <w:pStyle w:val="FirstParagraph"/>
      </w:pPr>
      <w:r>
        <w:t xml:space="preserve">Randomized controlled trials were assessed using the RoB2 tool.</w:t>
      </w:r>
      <w:hyperlink w:anchor="ref-sterne2019">
        <w:r>
          <w:rPr>
            <w:rStyle w:val="Hyperlink"/>
            <w:vertAlign w:val="superscript"/>
          </w:rPr>
          <w:t xml:space="preserve">138</w:t>
        </w:r>
      </w:hyperlink>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105"/>
    <w:bookmarkStart w:id="106" w:name="Xf513088a1d727e17747470e463abbbf95a6cdc7"/>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135</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Ideally, observational studies should be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139</w:t>
        </w:r>
      </w:hyperlink>
      <w:r>
        <w:t xml:space="preserve"> </w:t>
      </w:r>
      <w:r>
        <w:t xml:space="preserve">but was insufficiently developed at the time the risk-of-bias assessments for this review were performed. Instead, I used a version of the ROBINS-I tool informed by the preliminary ROBINS-E tool (</w:t>
      </w:r>
      <w:r>
        <w:t xml:space="preserve">“</w:t>
      </w:r>
      <w:r>
        <w:t xml:space="preserve">Risk of Bias In Non-randomised Studies – of Exposure</w:t>
      </w:r>
      <w:r>
        <w:t xml:space="preserve">”</w:t>
      </w:r>
      <w:r>
        <w:t xml:space="preserve">), which I had applied in a published review.</w:t>
      </w:r>
      <w:hyperlink w:anchor="ref-french2019">
        <w:r>
          <w:rPr>
            <w:rStyle w:val="Hyperlink"/>
            <w:vertAlign w:val="superscript"/>
          </w:rPr>
          <w:t xml:space="preserve">140</w:t>
        </w:r>
      </w:hyperlink>
      <w:r>
        <w:t xml:space="preserve"> </w:t>
      </w:r>
      <w:r>
        <w:t xml:space="preserve">The version had no signalling questions and so judgements were made at the domain level. The motivation for this using this tool above other established tools such as the Newcastle-Ottowa scale (NOS).</w:t>
      </w:r>
      <w:hyperlink w:anchor="ref-wells2000">
        <w:r>
          <w:rPr>
            <w:rStyle w:val="Hyperlink"/>
            <w:vertAlign w:val="superscript"/>
          </w:rPr>
          <w:t xml:space="preserve">141</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w:t>
      </w:r>
    </w:p>
    <w:p>
      <w:pPr>
        <w:pStyle w:val="BodyText"/>
      </w:pPr>
      <w:r>
        <w:t xml:space="preserve"> </w:t>
      </w:r>
    </w:p>
    <w:bookmarkEnd w:id="106"/>
    <w:bookmarkStart w:id="107"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142</w:t>
        </w:r>
      </w:hyperlink>
      <w:r>
        <w:t xml:space="preserve"> </w:t>
      </w:r>
      <w:r>
        <w:t xml:space="preserve">as identified by a review of risk-of-bias assessments in systematic reviews of Mendelian randomisation studies (advance results from this review were obtained from contact with the authors.).</w:t>
      </w:r>
      <w:r>
        <w:t xml:space="preserve"> </w:t>
      </w:r>
      <w:r>
        <w:t xml:space="preserve"> </w:t>
      </w:r>
      <w:r>
        <w:t xml:space="preserve">A copy of this tool is available in Appendix</w:t>
      </w:r>
      <w:r>
        <w:t xml:space="preserve"> </w:t>
      </w:r>
      <w:r>
        <w:t xml:space="preserve">10.3.4</w:t>
      </w:r>
      <w:r>
        <w:t xml:space="preserve">, but in summary, results were assessed for bias arising from weak instruments, genetic and other confounding, pleiotropy, and selection of participants.</w:t>
      </w:r>
    </w:p>
    <w:p>
      <w:pPr>
        <w:pStyle w:val="BodyText"/>
      </w:pPr>
      <w:r>
        <w:t xml:space="preserve"> </w:t>
      </w:r>
    </w:p>
    <w:bookmarkEnd w:id="107"/>
    <w:bookmarkStart w:id="108" w:name="risk-of-bias-due-to-missing-evidence"/>
    <w:p>
      <w:pPr>
        <w:pStyle w:val="Heading4"/>
      </w:pPr>
      <w:r>
        <w:t xml:space="preserve">Risk of bias due to missing evidence</w:t>
      </w:r>
    </w:p>
    <w:p>
      <w:pPr>
        <w:pStyle w:val="FirstParagraph"/>
      </w:pPr>
      <w:r>
        <w:t xml:space="preserve">A recent shift towards the assessment of missing evidence due to selective non-reporting - as distinct from the selective reporting of a single result from multiple planned - is demonstrated via the forthcoming RoB-ME (Risk of Bias due to Missing Evidence in a synthesis) tool.</w:t>
      </w:r>
      <w:hyperlink w:anchor="ref-zotero-15123">
        <w:r>
          <w:rPr>
            <w:rStyle w:val="Hyperlink"/>
            <w:bCs/>
            <w:b/>
            <w:vertAlign w:val="superscript"/>
          </w:rPr>
          <w:t xml:space="preserve">zotero-15123?</w:t>
        </w:r>
      </w:hyperlink>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originally registered.</w:t>
      </w:r>
    </w:p>
    <w:p>
      <w:pPr>
        <w:pStyle w:val="BodyText"/>
      </w:pPr>
      <w:r>
        <w:t xml:space="preserve"> </w:t>
      </w:r>
    </w:p>
    <w:bookmarkEnd w:id="108"/>
    <w:bookmarkEnd w:id="109"/>
    <w:bookmarkStart w:id="115" w:name="analysis-methods"/>
    <w:p>
      <w:pPr>
        <w:pStyle w:val="Heading3"/>
      </w:pPr>
      <w:r>
        <w:t xml:space="preserve">Analysis methods</w:t>
      </w:r>
    </w:p>
    <w:p>
      <w:pPr>
        <w:pStyle w:val="FirstParagraph"/>
      </w:pPr>
      <w:r>
        <w:t xml:space="preserve">An inital qualiatative synthesis of evidence was performed, summarising the data extracted from studies stratified by study design</w:t>
      </w:r>
    </w:p>
    <w:p>
      <w:pPr>
        <w:pStyle w:val="BodyText"/>
      </w:pPr>
      <w:r>
        <w:t xml:space="preserve">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r>
        <w:t xml:space="preserve"> </w:t>
      </w:r>
      <w:r>
        <w:t xml:space="preserve">Meta-analysis provides a summary or pooled effect estimate across studies.</w:t>
      </w:r>
    </w:p>
    <w:p>
      <w:pPr>
        <w:pStyle w:val="BodyText"/>
      </w:pPr>
      <w:r>
        <w:t xml:space="preserve">Of note, studies were not combined across different study designs (i.e. RCTs were not combined in a meta-analysis with results from observational studies). The results from each individual analytical approach were summarised, but are compare and contrasted more fully in the triangulation exercise presented in Chapter</w:t>
      </w:r>
      <w:r>
        <w:t xml:space="preserve"> </w:t>
      </w:r>
      <w:r>
        <w:t xml:space="preserve">8</w:t>
      </w:r>
    </w:p>
    <w:p>
      <w:pPr>
        <w:pStyle w:val="BodyText"/>
      </w:pPr>
      <w:r>
        <w:t xml:space="preserve"> </w:t>
      </w:r>
      <w:r>
        <w:t xml:space="preserve"> </w:t>
      </w:r>
    </w:p>
    <w:bookmarkStart w:id="110" w:name="standard-meta-analysis"/>
    <w:p>
      <w:pPr>
        <w:pStyle w:val="Heading4"/>
      </w:pPr>
      <w:r>
        <w:t xml:space="preserve">Standard meta-analysis</w:t>
      </w:r>
    </w:p>
    <w:p>
      <w:pPr>
        <w:pStyle w:val="FirstParagraph"/>
      </w:pPr>
      <w:r>
        <w:t xml:space="preserve">Both a fixed-effect and random-effects meta-analysis model was employed to combine the different included studies.</w:t>
      </w:r>
      <w:r>
        <w:t xml:space="preserve"> </w:t>
      </w:r>
      <w:r>
        <w:t xml:space="preserve"> </w:t>
      </w:r>
      <w:r>
        <w:t xml:space="preserve">The fixed-effect method was implemented as:</w:t>
      </w:r>
    </w:p>
    <w:p>
      <w:pPr>
        <w:pStyle w:val="BodyText"/>
      </w:pPr>
      <m:oMathPara>
        <m:oMathParaPr>
          <m:jc m:val="center"/>
        </m:oMathParaPr>
        <m:oMath>
          <m:sSub>
            <m:e>
              <m:r>
                <m:t>θ</m:t>
              </m:r>
            </m:e>
            <m:sub>
              <m:r>
                <m:t>i</m:t>
              </m:r>
            </m:sub>
          </m:sSub>
          <m:r>
            <m:rPr>
              <m:sty m:val="p"/>
            </m:rPr>
            <m:t>=</m:t>
          </m:r>
          <m:r>
            <m:t>μ</m:t>
          </m:r>
          <m:r>
            <m:rPr>
              <m:sty m:val="p"/>
            </m:rPr>
            <m:t>+</m:t>
          </m:r>
          <m:sSub>
            <m:e>
              <m:r>
                <m:t>u</m:t>
              </m:r>
            </m:e>
            <m:sub>
              <m:r>
                <m:t>i</m:t>
              </m:r>
            </m:sub>
          </m:sSub>
          <m:r>
            <m:t>  </m:t>
          </m:r>
          <m:r>
            <m:rPr>
              <m:sty m:val="p"/>
            </m:rPr>
            <m:t>(</m:t>
          </m:r>
          <m:r>
            <m:t>8</m:t>
          </m:r>
          <m:r>
            <m:rPr>
              <m:sty m:val="p"/>
            </m:rPr>
            <m:t>)</m:t>
          </m:r>
        </m:oMath>
      </m:oMathPara>
    </w:p>
    <w:p>
      <w:pPr>
        <w:pStyle w:val="FirstParagraph"/>
      </w:pPr>
      <m:oMathPara>
        <m:oMathParaPr>
          <m:jc m:val="center"/>
        </m:oMathParaPr>
        <m:oMath>
          <m:r>
            <m:t>w</m:t>
          </m:r>
          <m:r>
            <m:t>e</m:t>
          </m:r>
          <m:r>
            <m:t>i</m:t>
          </m:r>
          <m:r>
            <m:t>g</m:t>
          </m:r>
          <m:r>
            <m:t>h</m:t>
          </m:r>
          <m:r>
            <m:t>t</m:t>
          </m:r>
          <m:r>
            <m:t>e</m:t>
          </m:r>
          <m:r>
            <m:t>d</m:t>
          </m:r>
          <m:r>
            <m:t> </m:t>
          </m:r>
          <m:r>
            <m:t>a</m:t>
          </m:r>
          <m:r>
            <m:t>v</m:t>
          </m:r>
          <m:r>
            <m:t>e</m:t>
          </m:r>
          <m:r>
            <m:t>r</m:t>
          </m:r>
          <m:r>
            <m:t>a</m:t>
          </m:r>
          <m:r>
            <m:t>g</m:t>
          </m:r>
          <m:r>
            <m:t>e</m:t>
          </m:r>
          <m:r>
            <m:rPr>
              <m:sty m:val="p"/>
            </m:rPr>
            <m:t>=</m:t>
          </m:r>
          <m:f>
            <m:fPr>
              <m:type m:val="bar"/>
            </m:fPr>
            <m:num>
              <m:r>
                <m:rPr>
                  <m:sty m:val="p"/>
                </m:rPr>
                <m:t>∑</m:t>
              </m:r>
              <m:sSub>
                <m:e>
                  <m:r>
                    <m:t>Y</m:t>
                  </m:r>
                </m:e>
                <m:sub>
                  <m:r>
                    <m:t>i</m:t>
                  </m:r>
                </m:sub>
              </m:sSub>
              <m:r>
                <m:rPr>
                  <m:sty m:val="p"/>
                </m:rPr>
                <m:t>(</m:t>
              </m:r>
              <m:r>
                <m:t>1</m:t>
              </m:r>
              <m:r>
                <m:rPr>
                  <m:sty m:val="p"/>
                </m:rPr>
                <m:t>/</m:t>
              </m:r>
              <m:r>
                <m:t>S</m:t>
              </m:r>
              <m:sSubSup>
                <m:e>
                  <m:r>
                    <m:t>E</m:t>
                  </m:r>
                </m:e>
                <m:sub>
                  <m:r>
                    <m:t>i</m:t>
                  </m:r>
                </m:sub>
                <m:sup>
                  <m:r>
                    <m:t>2</m:t>
                  </m:r>
                </m:sup>
              </m:sSubSup>
              <m:r>
                <m:rPr>
                  <m:sty m:val="p"/>
                </m:rPr>
                <m:t>)</m:t>
              </m:r>
            </m:num>
            <m:den>
              <m:r>
                <m:rPr>
                  <m:sty m:val="p"/>
                </m:rPr>
                <m:t>∑</m:t>
              </m:r>
              <m:r>
                <m:rPr>
                  <m:sty m:val="p"/>
                </m:rPr>
                <m:t>(</m:t>
              </m:r>
              <m:r>
                <m:t>1</m:t>
              </m:r>
              <m:r>
                <m:rPr>
                  <m:sty m:val="p"/>
                </m:rPr>
                <m:t>/</m:t>
              </m:r>
              <m:r>
                <m:t>S</m:t>
              </m:r>
              <m:sSubSup>
                <m:e>
                  <m:r>
                    <m:t>E</m:t>
                  </m:r>
                </m:e>
                <m:sub>
                  <m:r>
                    <m:t>i</m:t>
                  </m:r>
                </m:sub>
                <m:sup>
                  <m:r>
                    <m:t>2</m:t>
                  </m:r>
                </m:sup>
              </m:sSubSup>
              <m:r>
                <m:rPr>
                  <m:sty m:val="p"/>
                </m:rPr>
                <m:t>)</m:t>
              </m:r>
            </m:den>
          </m:f>
          <m:r>
            <m:t>  </m:t>
          </m:r>
          <m:r>
            <m:rPr>
              <m:sty m:val="p"/>
            </m:rPr>
            <m:t>(</m:t>
          </m:r>
          <m:r>
            <m:t>9</m:t>
          </m:r>
          <m:r>
            <m:rPr>
              <m:sty m:val="p"/>
            </m:rPr>
            <m:t>)</m:t>
          </m:r>
        </m:oMath>
      </m:oMathPara>
    </w:p>
    <w:bookmarkEnd w:id="110"/>
    <w:bookmarkStart w:id="111" w:name="dose-response-analyses"/>
    <w:p>
      <w:pPr>
        <w:pStyle w:val="Heading4"/>
      </w:pPr>
      <w:r>
        <w:t xml:space="preserve">Dose-response analyses</w:t>
      </w:r>
    </w:p>
    <w:p>
      <w:pPr>
        <w:pStyle w:val="FirstParagraph"/>
      </w:pPr>
      <w:r>
        <w:t xml:space="preserve">This was particularly important for the dose response meta-analysis, where the number of participants and the cut-offs per category were often not reported.</w:t>
      </w:r>
    </w:p>
    <w:p>
      <w:pPr>
        <w:pStyle w:val="BodyText"/>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 In order to address this limitation, I performed a dose-response meta-analysis in those studies reporting more than two categories for lipid levels.</w:t>
      </w:r>
    </w:p>
    <w:p>
      <w:pPr>
        <w:pStyle w:val="BodyText"/>
      </w:pPr>
      <w:r>
        <w:t xml:space="preserve">Studies were excluded from this analysis if the number of categories was less than three, if the exposure cut-off points for for each category were not reported (e.g. if the study reports splitting participants into quartiles and comparing the highest vs lowest without giving the quartile bands).</w:t>
      </w:r>
    </w:p>
    <w:p>
      <w:pPr>
        <w:pStyle w:val="BodyText"/>
      </w:pPr>
      <w:r>
        <w:t xml:space="preserve">A restricted cubic spline model was fitted to allow for a non-linear relationship, for example a U or J-shaped relationship, where low and high levels of the exposure can have different effects versus a</w:t>
      </w:r>
      <w:r>
        <w:t xml:space="preserve"> </w:t>
      </w:r>
      <w:r>
        <w:t xml:space="preserve">“</w:t>
      </w:r>
      <w:r>
        <w:t xml:space="preserve">normal</w:t>
      </w:r>
      <w:r>
        <w:t xml:space="preserve">”</w:t>
      </w:r>
      <w:r>
        <w:t xml:space="preserve"> </w:t>
      </w:r>
      <w:r>
        <w:t xml:space="preserve">reference dose. The locations of the knots in the model wer identified using fixed percentiles (25th, 50th, 75th) of the exposure data.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Due to the requirements for the dose response analysis, studies were excluded from this secondary analysis if they did not provide the require information: cut-off points.</w:t>
      </w:r>
    </w:p>
    <w:p>
      <w:pPr>
        <w:pStyle w:val="BodyText"/>
      </w:pPr>
      <w:r>
        <w:t xml:space="preserve">Where this was not reported in the study, I contacted the corresponding author to attempt to obtain the required information (see Section</w:t>
      </w:r>
      <w:r>
        <w:t xml:space="preserve"> </w:t>
      </w:r>
      <w:r>
        <w:t xml:space="preserve">4.3.6.4</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 </w:t>
      </w:r>
      <w:r>
        <w:t xml:space="preserve"> </w:t>
      </w:r>
    </w:p>
    <w:bookmarkEnd w:id="111"/>
    <w:bookmarkStart w:id="112" w:name="sensitivity-analyses"/>
    <w:p>
      <w:pPr>
        <w:pStyle w:val="Heading4"/>
      </w:pPr>
      <w:r>
        <w:t xml:space="preserve">Sensitivity analyses</w:t>
      </w:r>
    </w:p>
    <w:p>
      <w:pPr>
        <w:pStyle w:val="FirstParagraph"/>
      </w:pPr>
      <w:r>
        <w:t xml:space="preserve">I conducted a leave-one-out analysis in order to explore the impact of any results on the summary effect estimate.</w:t>
      </w:r>
      <w:r>
        <w:t xml:space="preserve"> </w:t>
      </w:r>
      <w:r>
        <w:t xml:space="preserve"> </w:t>
      </w:r>
      <w:r>
        <w:t xml:space="preserve">In addition, 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w:t>
      </w:r>
      <w:r>
        <w:t xml:space="preserve"> </w:t>
      </w:r>
    </w:p>
    <w:p>
      <w:pPr>
        <w:pStyle w:val="BodyText"/>
      </w:pPr>
      <w:r>
        <w:t xml:space="preserve"> </w:t>
      </w:r>
      <w:r>
        <w:t xml:space="preserve"> </w:t>
      </w:r>
    </w:p>
    <w:bookmarkEnd w:id="112"/>
    <w:bookmarkStart w:id="113" w:name="visualisation-of-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143</w:t>
        </w:r>
      </w:hyperlink>
      <w:r>
        <w:t xml:space="preserve"> </w:t>
      </w:r>
      <w:r>
        <w:t xml:space="preserve">As such, the location of each individual study contributing to the evidence base was quantified and visualised on a world map.</w:t>
      </w:r>
    </w:p>
    <w:p>
      <w:pPr>
        <w:pStyle w:val="BodyText"/>
      </w:pPr>
      <w:r>
        <w:t xml:space="preserve">One of the limitations of current risk-of-bias assessments in systematic reviews is that they are often divorced from the results to which they refer, and are infrequently incorporated into the analysis.</w:t>
      </w:r>
    </w:p>
    <w:p>
      <w:pPr>
        <w:pStyle w:val="BodyText"/>
      </w:pPr>
      <w:r>
        <w:t xml:space="preserve">In response to this criticism, I develope a new visualisation tool was designed to allow for</w:t>
      </w:r>
      <w:r>
        <w:t xml:space="preserve"> </w:t>
      </w:r>
      <w:r>
        <w:t xml:space="preserve">“</w:t>
      </w:r>
      <w:r>
        <w:t xml:space="preserve">paired</w:t>
      </w:r>
      <w:r>
        <w:t xml:space="preserve">”</w:t>
      </w:r>
      <w:r>
        <w:t xml:space="preserve"> </w:t>
      </w:r>
      <w:r>
        <w:t xml:space="preserve">forest plots, as recommended by the ROB2 publication, where the risk-of-bias assessment is presented alongside the results.</w:t>
      </w:r>
      <w:hyperlink w:anchor="ref-sterne2019">
        <w:r>
          <w:rPr>
            <w:rStyle w:val="Hyperlink"/>
            <w:vertAlign w:val="superscript"/>
          </w:rPr>
          <w:t xml:space="preserve">138</w:t>
        </w:r>
      </w:hyperlink>
      <w:r>
        <w:t xml:space="preserve"> </w:t>
      </w:r>
      <w:r>
        <w:t xml:space="preserve">This tool was developed as an adjunct to this thesis to aid in creating standardised risk-of-bias figures,</w:t>
      </w:r>
      <w:hyperlink w:anchor="ref-mcguinness2020robvisPaper">
        <w:r>
          <w:rPr>
            <w:rStyle w:val="Hyperlink"/>
            <w:vertAlign w:val="superscript"/>
          </w:rPr>
          <w:t xml:space="preserve">144</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145</w:t>
        </w:r>
      </w:hyperlink>
      <w:r>
        <w:t xml:space="preserve"> </w:t>
      </w:r>
      <w:r>
        <w:t xml:space="preserve"> </w:t>
      </w:r>
      <w:r>
        <w:t xml:space="preserve">A summary of this tool is contained in Appendix</w:t>
      </w:r>
      <w:r>
        <w:t xml:space="preserve"> </w:t>
      </w:r>
      <w:r>
        <w:t xml:space="preserve">11.2</w:t>
      </w:r>
      <w:r>
        <w:t xml:space="preserve">, and all forest plots presented in this Chapter were created using this tool.</w:t>
      </w:r>
    </w:p>
    <w:p>
      <w:pPr>
        <w:pStyle w:val="BodyText"/>
      </w:pPr>
      <w:r>
        <w:t xml:space="preserve"> </w:t>
      </w:r>
      <w:r>
        <w:t xml:space="preserve"> </w:t>
      </w:r>
    </w:p>
    <w:bookmarkEnd w:id="113"/>
    <w:bookmarkStart w:id="114" w:name="X70e6c291630de5daf4cc0c432796c9ea205184d"/>
    <w:p>
      <w:pPr>
        <w:pStyle w:val="Heading4"/>
      </w:pPr>
      <w:r>
        <w:t xml:space="preserve">Assessment of added value of including preprints</w:t>
      </w:r>
    </w:p>
    <w:p>
      <w:pPr>
        <w:pStyle w:val="FirstParagraph"/>
      </w:pPr>
      <w:r>
        <w:t xml:space="preserve">Preprints are considered a valuable evidence source within this thesis (see Introduction, Section</w:t>
      </w:r>
      <w:r>
        <w:t xml:space="preserve"> </w:t>
      </w:r>
      <w:r>
        <w:t xml:space="preserve">2.6.1</w:t>
      </w:r>
      <w:r>
        <w:t xml:space="preserve">) but their inclusion in a systematic review.</w:t>
      </w:r>
    </w:p>
    <w:p>
      <w:pPr>
        <w:pStyle w:val="BodyText"/>
      </w:pPr>
      <w:r>
        <w:t xml:space="preserve">As a sensitivity analysis, I explored the additional evidential value of including preprints in each meta-analysis performed, assessed using the fixed effect weight from a standard meta-analysis.</w:t>
      </w:r>
    </w:p>
    <w:p>
      <w:pPr>
        <w:pStyle w:val="BodyText"/>
      </w:pPr>
      <w:r>
        <w:t xml:space="preserve">Additionally, I followedpreprints up over time to investigate whether all identified preprints included in the review were subsequently published (in which case preprints provide a snapshot into the future, and a systematic review update would capture these reports) or alternatively, if some preprints were not published, then preprints provide a distinct evidence source.</w:t>
      </w:r>
    </w:p>
    <w:p>
      <w:pPr>
        <w:pStyle w:val="BodyText"/>
      </w:pPr>
      <w:r>
        <w:t xml:space="preserve"> </w:t>
      </w:r>
      <w:r>
        <w:t xml:space="preserve"> </w:t>
      </w:r>
    </w:p>
    <w:bookmarkEnd w:id="114"/>
    <w:bookmarkEnd w:id="115"/>
    <w:bookmarkEnd w:id="116"/>
    <w:bookmarkStart w:id="132" w:name="results"/>
    <w:p>
      <w:pPr>
        <w:pStyle w:val="Heading2"/>
      </w:pPr>
      <w:r>
        <w:t xml:space="preserve">Results</w:t>
      </w:r>
    </w:p>
    <w:bookmarkStart w:id="117" w:name="X9867a2731246839864e605e1b5b36dae9f3382a"/>
    <w:p>
      <w:pPr>
        <w:pStyle w:val="Heading3"/>
      </w:pPr>
      <w:r>
        <w:t xml:space="preserve">Initial search and validation of search filters</w:t>
      </w:r>
    </w:p>
    <w:p>
      <w:pPr>
        <w:pStyle w:val="FirstParagraph"/>
      </w:pPr>
      <w:r>
        <w:t xml:space="preserve">The database search identified 23,447 records, of which</w:t>
      </w:r>
    </w:p>
    <w:p>
      <w:pPr>
        <w:pStyle w:val="BodyText"/>
      </w:pPr>
      <w:r>
        <w:t xml:space="preserve">Of the random sample of 500 records screened to ensure the accuracy of the study design filters, no eligible records were identified. Many of those excluded by the filters were basic science studies, commentaries or educational articles, as expected.</w:t>
      </w:r>
      <w:r>
        <w:t xml:space="preserve"> </w:t>
      </w:r>
    </w:p>
    <w:p>
      <w:pPr>
        <w:pStyle w:val="BodyText"/>
      </w:pPr>
      <w:r>
        <w:t xml:space="preserve"> </w:t>
      </w:r>
      <w:r>
        <w:t xml:space="preserve"> </w:t>
      </w:r>
    </w:p>
    <w:bookmarkEnd w:id="117"/>
    <w:bookmarkStart w:id="118"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r>
        <w:t xml:space="preserve"> </w:t>
      </w:r>
    </w:p>
    <w:p>
      <w:pPr>
        <w:pStyle w:val="BodyText"/>
      </w:pPr>
      <w:r>
        <w:t xml:space="preserve">A PRISMA (Preferred Reporting Items for Systematic Reviews and Meta-analyses) flow diagram,</w:t>
      </w:r>
      <w:hyperlink w:anchor="ref-page2021">
        <w:r>
          <w:rPr>
            <w:rStyle w:val="Hyperlink"/>
            <w:vertAlign w:val="superscript"/>
          </w:rPr>
          <w:t xml:space="preserve">79</w:t>
        </w:r>
      </w:hyperlink>
      <w:r>
        <w:t xml:space="preserve"> </w:t>
      </w:r>
      <w:r>
        <w:t xml:space="preserve"> </w:t>
      </w:r>
      <w:r>
        <w:t xml:space="preserve">presented in Figure</w:t>
      </w:r>
      <w:r>
        <w:t xml:space="preserve"> </w:t>
      </w:r>
      <w:r>
        <w:t xml:space="preserve">4</w:t>
      </w:r>
      <w:r>
        <w:t xml:space="preserve">, illustrates the movement of articles through the review. 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Common reasons for exclusion at the full text-stage included studies that reported on the wrong exposures (n = XXX; most commonly a inelgible lipid fraction), used the wrong study design (n= XXX), or reported on a wrong outcome (n=24; e.g. change in cognitive scores).</w:t>
      </w:r>
    </w:p>
    <w:bookmarkEnd w:id="118"/>
    <w:bookmarkStart w:id="120" w:name="validation-of-screening"/>
    <w:p>
      <w:pPr>
        <w:pStyle w:val="Heading3"/>
      </w:pPr>
      <w:r>
        <w:t xml:space="preserve">Validation of screening</w:t>
      </w:r>
    </w:p>
    <w:p>
      <w:pPr>
        <w:pStyle w:val="FirstParagraph"/>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a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9"/>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standarad bibliographic databases and preprint servers to the review are indicated.</w:t>
      </w:r>
    </w:p>
    <w:p>
      <w:pPr>
        <w:pStyle w:val="BodyText"/>
      </w:pPr>
      <w:r>
        <w:t xml:space="preserve">For the assessment of the intra-/inter-rater reliability, the estimated values of</w:t>
      </w:r>
      <w:r>
        <w:t xml:space="preserve"> </w:t>
      </w:r>
      <m:oMath>
        <m:r>
          <m:t>A</m:t>
        </m:r>
        <m:r>
          <m:t>C</m:t>
        </m:r>
        <m:r>
          <m:t>1</m:t>
        </m:r>
      </m:oMath>
      <w:r>
        <w:t xml:space="preserve"> </w:t>
      </w:r>
      <w:r>
        <w:t xml:space="preserve">were interpreted against the categories presented in Table</w:t>
      </w:r>
      <w:r>
        <w:t xml:space="preserve"> </w:t>
      </w:r>
      <w:r>
        <w:t xml:space="preserve">7</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146</w:t>
        </w:r>
      </w:hyperlink>
    </w:p>
    <w:p>
      <w:pPr>
        <w:pStyle w:val="BodyText"/>
      </w:pPr>
      <w:r>
        <w:t xml:space="preserve"> </w:t>
      </w:r>
    </w:p>
    <w:p>
      <w:pPr>
        <w:pStyle w:val="BodyText"/>
      </w:pPr>
      <w:r>
        <w:t xml:space="preserve">(ref:agreeInter-caption) Inter-rater agreement on a subset of records, indicating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Those records which were excluded in the initial screening, but were included by the second reviewer (n=26, Table</w:t>
      </w:r>
      <w:r>
        <w:t xml:space="preserve"> </w:t>
      </w:r>
      <w:r>
        <w:t xml:space="preserve">8</w:t>
      </w:r>
      <w:r>
        <w:t xml:space="preserve">) were investigated. This discrepancy between the two reviewers was explained in all cases by differing interpretations of the inclusion criteria, specifically around the definition of cognitive decline/MCI versus dementia, and the definition of eligible lipids fractions.</w:t>
      </w:r>
    </w:p>
    <w:p>
      <w:pPr>
        <w:pStyle w:val="BodyText"/>
      </w:pPr>
      <w:r>
        <w:t xml:space="preserve"> </w:t>
      </w:r>
      <w:r>
        <w:t xml:space="preserve"> </w:t>
      </w:r>
    </w:p>
    <w:bookmarkEnd w:id="120"/>
    <w:bookmarkStart w:id="122" w:name="characteristics-of-included-studies"/>
    <w:p>
      <w:pPr>
        <w:pStyle w:val="Heading3"/>
      </w:pPr>
      <w:r>
        <w:t xml:space="preserve">Characteristics of included studies</w:t>
      </w:r>
    </w:p>
    <w:p>
      <w:pPr>
        <w:pStyle w:val="FirstParagraph"/>
      </w:pPr>
      <w:r>
        <w:t xml:space="preserve">Following full-text screening,</w:t>
      </w:r>
      <w:r>
        <w:t xml:space="preserve"> </w:t>
      </w:r>
      <w:r>
        <w:rPr>
          <w:bCs/>
          <w:b/>
        </w:rPr>
        <w:t xml:space="preserve">XXXX</w:t>
      </w:r>
      <w:r>
        <w:t xml:space="preserve"> </w:t>
      </w:r>
      <w:r>
        <w:t xml:space="preserve">studies met the criteria for inclusion in the review.</w:t>
      </w:r>
    </w:p>
    <w:p>
      <w:pPr>
        <w:pStyle w:val="BodyText"/>
      </w:pPr>
      <w:r>
        <w:t xml:space="preserve">Table</w:t>
      </w:r>
      <w:r>
        <w:t xml:space="preserve"> </w:t>
      </w:r>
      <w:r>
        <w:t xml:space="preserve">10</w:t>
      </w:r>
      <w:r>
        <w:t xml:space="preserve"> </w:t>
      </w:r>
      <w:r>
        <w:t xml:space="preserve">presents a summary of the characteristics of each study.</w:t>
      </w:r>
    </w:p>
    <w:p>
      <w:pPr>
        <w:pStyle w:val="BodyText"/>
      </w:pPr>
      <w:r>
        <w:t xml:space="preserve">The majority of studies were non-randomised, with only two included randomised controlled trials, both of which examined all-cause dementia.</w:t>
      </w:r>
    </w:p>
    <w:p>
      <w:pPr>
        <w:pStyle w:val="BodyText"/>
      </w:pPr>
      <w:r>
        <w:t xml:space="preserve">Similarly, the majority of the few included and a relative small number of Mendelian randomisation studies. Of the non-randomised studies, many were assessments of the relationship with statis use.</w:t>
      </w:r>
    </w:p>
    <w:p>
      <w:pPr>
        <w:pStyle w:val="BodyText"/>
      </w:pPr>
      <w:r>
        <w:t xml:space="preserve">The vast majority of studies examined either all-cause dementia or Alzheimer’s disease, with only a small proportion examining vascular dementia (n=XXX, %).</w:t>
      </w:r>
    </w:p>
    <w:p>
      <w:pPr>
        <w:pStyle w:val="BodyText"/>
      </w:pPr>
      <w:r>
        <w:t xml:space="preserve">Of note, several studies provided evidence on a lipid fraction as part of a wider study on Mets. Raffatin/Ng</w:t>
      </w:r>
    </w:p>
    <w:p>
      <w:pPr>
        <w:pStyle w:val="BodyText"/>
      </w:pPr>
      <w:r>
        <w:t xml:space="preserve">Of the studies examining lipid levels, by far the most common fraction assessed was total cholesterol. The association with triglyceride levels was not consider in many papers.</w:t>
      </w:r>
      <w:r>
        <w:t xml:space="preserve"> </w:t>
      </w:r>
    </w:p>
    <w:p>
      <w:pPr>
        <w:pStyle w:val="BodyText"/>
      </w:pPr>
      <w:r>
        <w:t xml:space="preserve">Many studies using electronic health records as their data source did not accurately report the diagnostic criteria used to identify cases.</w:t>
      </w:r>
    </w:p>
    <w:p>
      <w:pPr>
        <w:pStyle w:val="BodyText"/>
      </w:pPr>
      <w:r>
        <w:t xml:space="preserve">Midlife cholesterol levels were of particular interest, with several studies examining this age-range.</w:t>
      </w:r>
    </w:p>
    <w:p>
      <w:pPr>
        <w:pStyle w:val="BodyText"/>
      </w:pPr>
      <w:r>
        <w:t xml:space="preserve">Three included reports were preprints (denoted in the Table</w:t>
      </w:r>
      <w:r>
        <w:t xml:space="preserve"> </w:t>
      </w:r>
      <w:r>
        <w:t xml:space="preserve">10</w:t>
      </w:r>
      <w:r>
        <w:t xml:space="preserve"> </w:t>
      </w:r>
      <w:r>
        <w:t xml:space="preserve">using an asterik), one of which had subsequently been published and was captured by the primary literature serachr. All three included preprints were obtained from the bioRxiv preprint server and described Mendelian randomisation analyses.</w:t>
      </w:r>
    </w:p>
    <w:p>
      <w:pPr>
        <w:pStyle w:val="BodyText"/>
      </w:pPr>
      <w:r>
        <w:t xml:space="preserve">Several Mendelian random studies made use of summary level data from the same published GWAS (the Global Lipids Genetics Consortium and the IGAP consortium</w:t>
      </w:r>
      <w:r>
        <w:t xml:space="preserve"> </w:t>
      </w:r>
      <w:r>
        <w:t xml:space="preserve">). As this could incur double counting of participants, and so produce artifically precise estimates if meta-analysed, only results from one of these studies were included</w:t>
      </w:r>
      <w:r>
        <w:t xml:space="preserve"> </w:t>
      </w:r>
      <w:r>
        <w:t xml:space="preserve">. As discussed in Section</w:t>
      </w:r>
      <w:r>
        <w:t xml:space="preserve"> </w:t>
      </w:r>
      <w:r>
        <w:t xml:space="preserve">4.5.4</w:t>
      </w:r>
      <w:r>
        <w:t xml:space="preserve">, the choice was not material, as the results from all studies using these data sources were comparable.</w:t>
      </w:r>
    </w:p>
    <w:p>
      <w:pPr>
        <w:pStyle w:val="BodyText"/>
      </w:pPr>
      <w:r>
        <w:t xml:space="preserve"> </w:t>
      </w:r>
    </w:p>
    <w:p>
      <w:pPr>
        <w:pStyle w:val="TableCaption"/>
      </w:pPr>
      <w:r>
        <w:t xml:space="preserve">Table 10:</w:t>
      </w:r>
      <w:r>
        <w:t xml:space="preserve"> </w:t>
      </w:r>
      <w:bookmarkStart w:id="57457fde-5113-4516-a65b-79b1b50423d6" w:name="tab:studyCharacteristics-table"/>
      <w:r>
        <w:t xml:space="preserve">Characteristics of included studies, stratified by study design.</w:t>
      </w:r>
      <w:bookmarkEnd w:id="57457fde-5113-4516-a65b-79b1b50423d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66(median)60-71(IQR)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Non-HDL-c; HDL-c; TG; 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Fibrate; LRA (exlc. statin +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Non-HDL-c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56(median)46-66(range)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PCSK-9; HMGCR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NA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42(39–46)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Non-HDL-c; HDL-c; TG; 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48.4(13.3)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HDL-c; LDL-c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79(75-85)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TC; LDL-c; HDL-c;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PCSK-9; HMGCR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NA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HDL-c;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bl>
    <w:p>
      <w:pPr>
        <w:pStyle w:val="BodyText"/>
      </w:pPr>
      <w:r>
        <w:t xml:space="preserve">As illustrated in Figure</w:t>
      </w:r>
      <w:r>
        <w:t xml:space="preserve"> </w:t>
      </w:r>
      <w:r>
        <w:t xml:space="preserve">5</w:t>
      </w:r>
      <w:r>
        <w:t xml:space="preserve">, the majority of study cohorts were based in the developed world.</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1"/>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bookmarkEnd w:id="122"/>
    <w:bookmarkStart w:id="123" w:name="risk-of-bias-subheading"/>
    <w:p>
      <w:pPr>
        <w:pStyle w:val="Heading3"/>
      </w:pPr>
      <w:r>
        <w:t xml:space="preserve">Risk of bias</w:t>
      </w:r>
    </w:p>
    <w:p>
      <w:pPr>
        <w:pStyle w:val="FirstParagraph"/>
      </w:pPr>
      <w:r>
        <w:t xml:space="preserve">As discussed, the results of the risk of bias assessments are presented alongside their corresponding result.</w:t>
      </w:r>
    </w:p>
    <w:p>
      <w:pPr>
        <w:pStyle w:val="BodyText"/>
      </w:pPr>
      <w:r>
        <w:t xml:space="preserve">However, as a brief summary of the biases at play:</w:t>
      </w:r>
    </w:p>
    <w:p>
      <w:pPr>
        <w:pStyle w:val="BodyText"/>
      </w:pPr>
      <w:r>
        <w:t xml:space="preserve">Both randomised controlled trials were considered to be at low risk of bias.</w:t>
      </w:r>
    </w:p>
    <w:p>
      <w:pPr>
        <w:pStyle w:val="BodyText"/>
      </w:pPr>
      <w:r>
        <w:t xml:space="preserve">For NRSI</w:t>
      </w:r>
      <w:r>
        <w:t xml:space="preserve"> </w:t>
      </w:r>
      <w:r>
        <w:t xml:space="preserve">For NRSE</w:t>
      </w:r>
    </w:p>
    <w:p>
      <w:pPr>
        <w:pStyle w:val="BodyText"/>
      </w:pPr>
      <w:r>
        <w:t xml:space="preserve">For MR studies</w:t>
      </w:r>
    </w:p>
    <w:p>
      <w:pPr>
        <w:pStyle w:val="BodyText"/>
      </w:pPr>
      <w:r>
        <w:t xml:space="preserve">Additionally, Several synthesis were also assessed to be at risk of bias due to missing evidence. A key issue identified relating to bias due to missing data was the potential for the search to miss relevant Mendelian randomisation studies which had examined the association between Alzhiemer’s disease and multiple risk factors. This is discussed further in Section</w:t>
      </w:r>
      <w:r>
        <w:t xml:space="preserve"> </w:t>
      </w:r>
      <w:r>
        <w:t xml:space="preserve">4.5.4</w:t>
      </w:r>
      <w:r>
        <w:t xml:space="preserve">.</w:t>
      </w:r>
    </w:p>
    <w:p>
      <w:pPr>
        <w:pStyle w:val="BodyText"/>
      </w:pPr>
      <w:r>
        <w:t xml:space="preserve">Haag is a good example of potentially missing results - number of cases of other outcoems reported, but no analysis performed.</w:t>
      </w:r>
    </w:p>
    <w:p>
      <w:pPr>
        <w:pStyle w:val="BodyText"/>
      </w:pPr>
      <w:r>
        <w:t xml:space="preserve"> </w:t>
      </w:r>
      <w:r>
        <w:t xml:space="preserve"> </w:t>
      </w:r>
    </w:p>
    <w:bookmarkEnd w:id="123"/>
    <w:bookmarkStart w:id="126" w:name="statins"/>
    <w:p>
      <w:pPr>
        <w:pStyle w:val="Heading3"/>
      </w:pPr>
      <w:r>
        <w:t xml:space="preserve">Statins</w:t>
      </w:r>
    </w:p>
    <w:p>
      <w:pPr>
        <w:pStyle w:val="FirstParagraph"/>
      </w:pPr>
      <w:r>
        <w:t xml:space="preserve">In the two included RCTs, statin use was not associated with dementia outcomes</w:t>
      </w:r>
    </w:p>
    <w:p>
      <w:pPr>
        <w:pStyle w:val="BodyText"/>
      </w:pPr>
      <w:r>
        <w:drawing>
          <wp:inline>
            <wp:extent cx="5943600" cy="2228850"/>
            <wp:effectExtent b="0" l="0" r="0" t="0"/>
            <wp:docPr descr="Figure 6: Random effects meta-analysis of statins on all-cause dementia:" title="" id="1" name="Picture"/>
            <a:graphic>
              <a:graphicData uri="http://schemas.openxmlformats.org/drawingml/2006/picture">
                <pic:pic>
                  <pic:nvPicPr>
                    <pic:cNvPr descr="figures/sys-rev/forest_statins_rct.png" id="0" name="Picture"/>
                    <pic:cNvPicPr>
                      <a:picLocks noChangeArrowheads="1" noChangeAspect="1"/>
                    </pic:cNvPicPr>
                  </pic:nvPicPr>
                  <pic:blipFill>
                    <a:blip r:embed="rId124"/>
                    <a:stretch>
                      <a:fillRect/>
                    </a:stretch>
                  </pic:blipFill>
                  <pic:spPr bwMode="auto">
                    <a:xfrm>
                      <a:off x="0" y="0"/>
                      <a:ext cx="5943600" cy="2228850"/>
                    </a:xfrm>
                    <a:prstGeom prst="rect">
                      <a:avLst/>
                    </a:prstGeom>
                    <a:noFill/>
                    <a:ln w="9525">
                      <a:noFill/>
                      <a:headEnd/>
                      <a:tailEnd/>
                    </a:ln>
                  </pic:spPr>
                </pic:pic>
              </a:graphicData>
            </a:graphic>
          </wp:inline>
        </w:drawing>
      </w:r>
      <w:r>
        <w:t xml:space="preserve"> </w:t>
      </w:r>
    </w:p>
    <w:p>
      <w:pPr>
        <w:pStyle w:val="BodyText"/>
      </w:pPr>
      <w:r>
        <w:t xml:space="preserve">In NRSI, statin use was associated with a reduce risk of all-cause dementia (OR: 0.76, 95%CI: 0.66-0.88, Figure</w:t>
      </w:r>
      <w:r>
        <w:t xml:space="preserve"> </w:t>
      </w:r>
      <w:r>
        <w:t xml:space="preserve">7</w:t>
      </w:r>
      <w:r>
        <w:t xml:space="preserve">).</w:t>
      </w:r>
    </w:p>
    <w:p>
      <w:pPr>
        <w:pStyle w:val="BodyText"/>
      </w:pPr>
      <w:r>
        <w:t xml:space="preserve"> </w:t>
      </w:r>
      <w:r>
        <w:t xml:space="preserve"> </w:t>
      </w:r>
    </w:p>
    <w:p>
      <w:pPr>
        <w:pStyle w:val="BodyText"/>
      </w:pPr>
      <w:r>
        <w:drawing>
          <wp:inline>
            <wp:extent cx="5943600" cy="5618837"/>
            <wp:effectExtent b="0" l="0" r="0" t="0"/>
            <wp:docPr descr="Figure 7: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p>
    <w:p>
      <w:pPr>
        <w:pStyle w:val="BodyText"/>
      </w:pPr>
      <w:r>
        <w:t xml:space="preserve">In Mendelian randomisation studies, a similar blah blah blah</w:t>
      </w:r>
    </w:p>
    <w:p>
      <w:pPr>
        <w:pStyle w:val="BodyText"/>
      </w:pPr>
      <w:r>
        <w:drawing>
          <wp:inline>
            <wp:extent cx="5943600" cy="5618837"/>
            <wp:effectExtent b="0" l="0" r="0" t="0"/>
            <wp:docPr descr="Figure 8: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p>
    <w:p>
      <w:pPr>
        <w:pStyle w:val="BodyText"/>
      </w:pPr>
      <w:r>
        <w:t xml:space="preserve"> </w:t>
      </w:r>
    </w:p>
    <w:bookmarkEnd w:id="126"/>
    <w:bookmarkStart w:id="127" w:name="hypercholesterolemia-and-lipid-levels"/>
    <w:p>
      <w:pPr>
        <w:pStyle w:val="Heading3"/>
      </w:pPr>
      <w:r>
        <w:t xml:space="preserve">Hypercholesterolemia and lipid levels</w:t>
      </w:r>
    </w:p>
    <w:p>
      <w:pPr>
        <w:pStyle w:val="FirstParagraph"/>
      </w:pPr>
      <w:r>
        <w:drawing>
          <wp:inline>
            <wp:extent cx="5943600" cy="5618837"/>
            <wp:effectExtent b="0" l="0" r="0" t="0"/>
            <wp:docPr descr="Figure 9: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p>
    <w:p>
      <w:pPr>
        <w:pStyle w:val="BodyText"/>
      </w:pPr>
      <w:r>
        <w:t xml:space="preserve">Several studies presented results per SD change in a lipid fraction.</w:t>
      </w:r>
    </w:p>
    <w:p>
      <w:pPr>
        <w:pStyle w:val="BodyText"/>
      </w:pPr>
      <w:r>
        <w:drawing>
          <wp:inline>
            <wp:extent cx="5943600" cy="5618837"/>
            <wp:effectExtent b="0" l="0" r="0" t="0"/>
            <wp:docPr descr="Figure 10: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p>
    <w:p>
      <w:pPr>
        <w:pStyle w:val="BodyText"/>
      </w:pPr>
      <w:r>
        <w:t xml:space="preserve"> </w:t>
      </w:r>
    </w:p>
    <w:bookmarkEnd w:id="127"/>
    <w:bookmarkStart w:id="128" w:name="dose-response-results"/>
    <w:p>
      <w:pPr>
        <w:pStyle w:val="Heading3"/>
      </w:pPr>
      <w:r>
        <w:t xml:space="preserve">Dose response meta-analysis of lipid levels</w:t>
      </w:r>
    </w:p>
    <w:p>
      <w:pPr>
        <w:pStyle w:val="FirstParagraph"/>
      </w:pPr>
      <w:r>
        <w:t xml:space="preserve">Several studies were excluded from the dose-response meta-analysis, as the number of cases/controls per dose group could not be calculated and the corresponding author for the study did not respond to clarification requests. The results from the dose response analysis can be seen in Figure</w:t>
      </w:r>
      <w:r>
        <w:t xml:space="preserve"> </w:t>
      </w:r>
      <w:r>
        <w:t xml:space="preserve">11</w:t>
      </w:r>
      <w:r>
        <w:t xml:space="preserve">.</w:t>
      </w:r>
    </w:p>
    <w:p>
      <w:pPr>
        <w:pStyle w:val="BodyText"/>
      </w:pPr>
      <w:r>
        <w:drawing>
          <wp:inline>
            <wp:extent cx="5943600" cy="5618837"/>
            <wp:effectExtent b="0" l="0" r="0" t="0"/>
            <wp:docPr descr="Figure 11: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p>
    <w:p>
      <w:pPr>
        <w:pStyle w:val="BodyText"/>
      </w:pPr>
      <w:r>
        <w:t xml:space="preserve"> </w:t>
      </w:r>
      <w:r>
        <w:t xml:space="preserve"> </w:t>
      </w:r>
    </w:p>
    <w:p>
      <w:pPr>
        <w:pStyle w:val="BodyText"/>
      </w:pPr>
      <w:r>
        <w:t xml:space="preserve">Planned to investigate effect of sex and age at baseline.</w:t>
      </w:r>
    </w:p>
    <w:p>
      <w:pPr>
        <w:pStyle w:val="BodyText"/>
      </w:pPr>
      <w:r>
        <w:t xml:space="preserve">Plus other such as education level and baseline cognitive scores, but data were either not reported for most studies or when reported, were too diverse to synthesize.</w:t>
      </w:r>
    </w:p>
    <w:p>
      <w:pPr>
        <w:pStyle w:val="BodyText"/>
      </w:pPr>
      <w:r>
        <w:t xml:space="preserve"> </w:t>
      </w:r>
      <w:r>
        <w:t xml:space="preserve"> </w:t>
      </w:r>
    </w:p>
    <w:bookmarkEnd w:id="128"/>
    <w:bookmarkStart w:id="130" w:name="sys-rev-pub-bias"/>
    <w:p>
      <w:pPr>
        <w:pStyle w:val="Heading3"/>
      </w:pPr>
      <w:r>
        <w:t xml:space="preserve">Publication bias</w:t>
      </w:r>
    </w:p>
    <w:p>
      <w:pPr>
        <w:pStyle w:val="FirstParagraph"/>
      </w:pPr>
      <w:r>
        <w:t xml:space="preserve">There was little evidence of publication bias across the evidence base (Figure</w:t>
      </w:r>
      <w:r>
        <w:t xml:space="preserve"> </w:t>
      </w:r>
      <w:r>
        <w:t xml:space="preserve">12</w:t>
      </w:r>
      <w:r>
        <w:t xml:space="preserve">).</w:t>
      </w:r>
    </w:p>
    <w:p>
      <w:pPr>
        <w:pStyle w:val="BodyText"/>
      </w:pPr>
      <w:r>
        <w:t xml:space="preserve"> </w:t>
      </w:r>
      <w:r>
        <w:t xml:space="preserve"> </w:t>
      </w:r>
    </w:p>
    <w:p>
      <w:pPr>
        <w:pStyle w:val="BodyText"/>
      </w:pPr>
      <w:r>
        <w:drawing>
          <wp:inline>
            <wp:extent cx="5943600" cy="5943600"/>
            <wp:effectExtent b="0" l="0" r="0" t="0"/>
            <wp:docPr descr="Figure 12: Funnel plot of results examining the relationship between statins and any dementia" title="" id="1" name="Picture"/>
            <a:graphic>
              <a:graphicData uri="http://schemas.openxmlformats.org/drawingml/2006/picture">
                <pic:pic>
                  <pic:nvPicPr>
                    <pic:cNvPr descr="figures/sys-rev/funnel_statins_any.png" id="0" name="Picture"/>
                    <pic:cNvPicPr>
                      <a:picLocks noChangeArrowheads="1" noChangeAspect="1"/>
                    </pic:cNvPicPr>
                  </pic:nvPicPr>
                  <pic:blipFill>
                    <a:blip r:embed="rId129"/>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 </w:t>
      </w:r>
      <w:r>
        <w:t xml:space="preserve"> </w:t>
      </w:r>
    </w:p>
    <w:bookmarkEnd w:id="130"/>
    <w:bookmarkStart w:id="131" w:name="sys-rev-including-preprints"/>
    <w:p>
      <w:pPr>
        <w:pStyle w:val="Heading3"/>
      </w:pPr>
      <w:r>
        <w:t xml:space="preserve">Added evidental value of including preprints</w:t>
      </w:r>
    </w:p>
    <w:p>
      <w:pPr>
        <w:pStyle w:val="FirstParagraph"/>
      </w:pPr>
      <w:r>
        <w:t xml:space="preserve">I had intended to assess the added evidental value of including preprints as a literautre source.</w:t>
      </w:r>
    </w:p>
    <w:p>
      <w:pPr>
        <w:pStyle w:val="BodyText"/>
      </w:pPr>
      <w:r>
        <w:t xml:space="preserve">As show in Figure</w:t>
      </w:r>
      <w:r>
        <w:t xml:space="preserve"> </w:t>
      </w:r>
      <w:r>
        <w:t xml:space="preserve">??</w:t>
      </w:r>
      <w:r>
        <w:t xml:space="preserve">, the number of results returned by the preprint searching was not substantial (bioRxiv = 256, medRxiv = 0).</w:t>
      </w:r>
      <w:r>
        <w:t xml:space="preserve"> </w:t>
      </w:r>
    </w:p>
    <w:p>
      <w:pPr>
        <w:pStyle w:val="BodyText"/>
      </w:pPr>
      <w:r>
        <w:t xml:space="preserve">No unique preprints were identified as part of this review, with the published version of the few/sole</w:t>
      </w:r>
      <w:r>
        <w:t xml:space="preserve"> </w:t>
      </w:r>
      <w:r>
        <w:t xml:space="preserve"> </w:t>
      </w:r>
      <w:r>
        <w:t xml:space="preserve">relevant preprint(s) being captured by the main search.</w:t>
      </w:r>
    </w:p>
    <w:p>
      <w:pPr>
        <w:pStyle w:val="BodyText"/>
      </w:pPr>
      <w:r>
        <w:t xml:space="preserve"> </w:t>
      </w:r>
      <w:r>
        <w:t xml:space="preserve"> </w:t>
      </w:r>
    </w:p>
    <w:bookmarkEnd w:id="131"/>
    <w:bookmarkEnd w:id="132"/>
    <w:bookmarkStart w:id="144" w:name="discussion-1"/>
    <w:p>
      <w:pPr>
        <w:pStyle w:val="Heading2"/>
      </w:pPr>
      <w:r>
        <w:t xml:space="preserve">Discussion</w:t>
      </w:r>
    </w:p>
    <w:bookmarkStart w:id="134" w:name="summary-of-findings"/>
    <w:p>
      <w:pPr>
        <w:pStyle w:val="Heading3"/>
      </w:pPr>
      <w:r>
        <w:t xml:space="preserve">Summary of findings</w:t>
      </w:r>
    </w:p>
    <w:p>
      <w:pPr>
        <w:pStyle w:val="FirstParagraph"/>
      </w:pPr>
      <w:r>
        <w:t xml:space="preserve">There was some evidence of protective effect of statins on all-cause and Alzheimer’s disease dementia when looking at solely at observational studies. This finding was not supported by evidence from the single available RCT, or by studies that emulated statin treatment using a genetic proxy, suggesting that these findings are a</w:t>
      </w:r>
    </w:p>
    <w:p>
      <w:pPr>
        <w:pStyle w:val="BodyText"/>
      </w:pPr>
      <w:r>
        <w:t xml:space="preserve">In addition, there were some concerns over the potential for estimates to be missing from the meta-analysis of observational studies not at random, given the preferential reporting of</w:t>
      </w:r>
    </w:p>
    <w:p>
      <w:pPr>
        <w:pStyle w:val="BodyText"/>
      </w:pPr>
      <w:r>
        <w:t xml:space="preserve">Some evidence that age has impact on observed lipid-dementia relationship - use to link</w:t>
      </w:r>
    </w:p>
    <w:p>
      <w:pPr>
        <w:pStyle w:val="BodyText"/>
      </w:pPr>
      <w:r>
        <w:t xml:space="preserve">This review has presented a summary of the available evidence on the association between lipids, and treatments that modify lipids such as statins, and the subsequent risk of dementia.</w:t>
      </w:r>
    </w:p>
    <w:p>
      <w:pPr>
        <w:pStyle w:val="BodyText"/>
      </w:pPr>
      <w:r>
        <w:t xml:space="preserve">The distribution of evidence between analytical designs is to be expected. Randomised controlled trials of dementia are particularly challenging, as the long follow-up, necessary due to the long latent period of the condition, makes trials logistically challenging and financial expensive. Similarly, Mendelian randomisation is a relatively new study design, and so only appears in the literature in recent years, driven by the growth of dementia GWASs (Figure</w:t>
      </w:r>
      <w:r>
        <w:t xml:space="preserve"> </w:t>
      </w:r>
      <w:r>
        <w:t xml:space="preserve">13</w:t>
      </w:r>
      <w:r>
        <w:t xml:space="preserve">).</w:t>
      </w:r>
    </w:p>
    <w:p>
      <w:pPr>
        <w:pStyle w:val="BodyText"/>
      </w:pPr>
      <w:r>
        <w:t xml:space="preserve">(ref:typeByYear-cap)</w:t>
      </w:r>
      <w:r>
        <w:t xml:space="preserve"> </w:t>
      </w:r>
      <w:r>
        <w:rPr>
          <w:bCs/>
          <w:b/>
        </w:rPr>
        <w:t xml:space="preserve">Study designs by year of publication</w:t>
      </w:r>
      <w:r>
        <w:t xml:space="preserve"> </w:t>
      </w:r>
      <w:r>
        <w:t xml:space="preserve">-</w:t>
      </w:r>
    </w:p>
    <w:p>
      <w:pPr>
        <w:pStyle w:val="BodyText"/>
      </w:pPr>
      <w:r>
        <w:drawing>
          <wp:inline>
            <wp:extent cx="4587290" cy="2752374"/>
            <wp:effectExtent b="0" l="0" r="0" t="0"/>
            <wp:docPr descr="Figure 13: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33"/>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A common theme across the evidence base was a lack of data on the association of vascular dementia. This is particularly interesting given that lipids and statins are primarily related to vascular disease. There is the potential that studies encountered similar difficulties in address the unexpected results observed in the CPRD analysis in Chapter</w:t>
      </w:r>
      <w:r>
        <w:t xml:space="preserve"> </w:t>
      </w:r>
      <w:r>
        <w:t xml:space="preserve">5</w:t>
      </w:r>
      <w:r>
        <w:t xml:space="preserve">, likely due to confounding by indication, and so may suffer from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72</w:t>
        </w:r>
      </w:hyperlink>
      <w:r>
        <w:t xml:space="preserve"> </w:t>
      </w:r>
      <w:r>
        <w:t xml:space="preserve">For vascular dementia, few Mendelian randomisation studies examined this outcome, primarily because of the absence (until recently) of genome wide association studies, which are used in two sample summary Mendelian randomisation studies.</w:t>
      </w:r>
    </w:p>
    <w:p>
      <w:pPr>
        <w:pStyle w:val="BodyText"/>
      </w:pPr>
      <w:r>
        <w:t xml:space="preserve">One item of particular interest is the attenuation of any effects observed by Mendelian randomisation studies following the adjustment for/exclusion of genetic variation in the Apoe4 gene region. As covered in the discussion, ApoE4 genotype is the major risk factor for Alzheimer’s disease, but is also involved in cholesterol transport.</w:t>
      </w:r>
    </w:p>
    <w:p>
      <w:pPr>
        <w:pStyle w:val="BodyText"/>
      </w:pPr>
      <w:r>
        <w:t xml:space="preserve">This review did not include the commonly cited PROSPER study, which examined the effect of pravastatin on CVD risk and is regularly held up as providing no evidence for an effect of the statin on dementia outcomes. While widely cited and included in the Cochrane review on this topic,</w:t>
      </w:r>
      <w:hyperlink w:anchor="ref-mcguinness2016">
        <w:r>
          <w:rPr>
            <w:rStyle w:val="Hyperlink"/>
            <w:vertAlign w:val="superscript"/>
          </w:rPr>
          <w:t xml:space="preserve">147</w:t>
        </w:r>
      </w:hyperlink>
      <w:r>
        <w:t xml:space="preserve"> </w:t>
      </w:r>
      <w:r>
        <w:t xml:space="preserve">only reported the mean change in a range of cognitive measures (MMSE, Stroop test, Picture-Word Learning test, etc.) over follow-up rather than incident. While this is a useful indicator of general cognitive decline, it is not equivalent to a dementia diagnosis using a , as cognitive tests should feed into a broader diagnostic pathway (see section</w:t>
      </w:r>
      <w:r>
        <w:t xml:space="preserve"> </w:t>
      </w:r>
      <w:r>
        <w:t xml:space="preserve">2.3.2</w:t>
      </w:r>
      <w:r>
        <w:t xml:space="preserve">). As such, this trial did not met the inclusion criteria for this review.</w:t>
      </w:r>
    </w:p>
    <w:p>
      <w:pPr>
        <w:pStyle w:val="BodyText"/>
      </w:pPr>
      <w:r>
        <w:t xml:space="preserve">Questions over missing results - evidence from one of the conference abstract analysis pairs that a non-significant results are being suppressed.</w:t>
      </w:r>
      <w:hyperlink w:anchor="ref-yamada2009">
        <w:r>
          <w:rPr>
            <w:rStyle w:val="Hyperlink"/>
            <w:vertAlign w:val="superscript"/>
          </w:rPr>
          <w:t xml:space="preserve">148</w:t>
        </w:r>
      </w:hyperlink>
      <w:r>
        <w:rPr>
          <w:vertAlign w:val="superscript"/>
        </w:rPr>
        <w:t xml:space="preserve">,</w:t>
      </w:r>
      <w:hyperlink w:anchor="ref-yamada2009a">
        <w:r>
          <w:rPr>
            <w:rStyle w:val="Hyperlink"/>
            <w:vertAlign w:val="superscript"/>
          </w:rPr>
          <w:t xml:space="preserve">149</w:t>
        </w:r>
      </w:hyperlink>
      <w:r>
        <w:t xml:space="preserve"> </w:t>
      </w:r>
      <w:r>
        <w:t xml:space="preserve">Tie this in with</w:t>
      </w:r>
    </w:p>
    <w:p>
      <w:pPr>
        <w:pStyle w:val="BodyText"/>
      </w:pPr>
      <w:r>
        <w:t xml:space="preserve"> </w:t>
      </w:r>
    </w:p>
    <w:bookmarkEnd w:id="134"/>
    <w:bookmarkStart w:id="135" w:name="rev-previous-reviews"/>
    <w:p>
      <w:pPr>
        <w:pStyle w:val="Heading3"/>
      </w:pPr>
      <w:r>
        <w:t xml:space="preserve">Previous reviews</w:t>
      </w:r>
    </w:p>
    <w:p>
      <w:pPr>
        <w:pStyle w:val="FirstParagraph"/>
      </w:pPr>
      <w:r>
        <w:rPr>
          <w:bCs/>
          <w:b/>
        </w:rPr>
        <w:t xml:space="preserve">This section will be completed once Georgia has completed her analysis, and can also be cross-references with the meta-meta analysis published is Brain Sciences recently.</w:t>
      </w:r>
    </w:p>
    <w:p>
      <w:pPr>
        <w:pStyle w:val="BodyText"/>
      </w:pPr>
      <w:r>
        <w:t xml:space="preserve">While conducting this review, I identified several previous systematic reviews of this topic.</w:t>
      </w:r>
      <w:hyperlink w:anchor="ref-chu2018">
        <w:r>
          <w:rPr>
            <w:rStyle w:val="Hyperlink"/>
            <w:vertAlign w:val="superscript"/>
          </w:rPr>
          <w:t xml:space="preserve">54</w:t>
        </w:r>
      </w:hyperlink>
      <w:r>
        <w:rPr>
          <w:vertAlign w:val="superscript"/>
        </w:rPr>
        <w:t xml:space="preserve">,</w:t>
      </w:r>
      <w:hyperlink w:anchor="ref-yang2020">
        <w:r>
          <w:rPr>
            <w:rStyle w:val="Hyperlink"/>
            <w:vertAlign w:val="superscript"/>
          </w:rPr>
          <w:t xml:space="preserve">150</w:t>
        </w:r>
      </w:hyperlink>
      <w:r>
        <w:rPr>
          <w:vertAlign w:val="superscript"/>
        </w:rPr>
        <w:t xml:space="preserve">–</w:t>
      </w:r>
      <w:hyperlink w:anchor="ref-kuzma2018a">
        <w:r>
          <w:rPr>
            <w:rStyle w:val="Hyperlink"/>
            <w:vertAlign w:val="superscript"/>
          </w:rPr>
          <w:t xml:space="preserve">153</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138</w:t>
        </w:r>
      </w:hyperlink>
      <w:r>
        <w:t xml:space="preserve"> </w:t>
      </w:r>
      <w:r>
        <w:t xml:space="preserve">to assess the risk of bias in included studies, and explore the heterogeneity of results across different levels of risk of bias levels. Some previous reviews did assess risk of bias, but used non-domain based assessment tools, such as the Newcastle-Ottowa scale.</w:t>
      </w:r>
      <w:hyperlink w:anchor="ref-anstey2015">
        <w:r>
          <w:rPr>
            <w:rStyle w:val="Hyperlink"/>
            <w:vertAlign w:val="superscript"/>
          </w:rPr>
          <w:t xml:space="preserve">53</w:t>
        </w:r>
      </w:hyperlink>
      <w:r>
        <w:rPr>
          <w:vertAlign w:val="superscript"/>
        </w:rPr>
        <w:t xml:space="preserve">,</w:t>
      </w:r>
      <w:hyperlink w:anchor="ref-poly2020">
        <w:r>
          <w:rPr>
            <w:rStyle w:val="Hyperlink"/>
            <w:vertAlign w:val="superscript"/>
          </w:rPr>
          <w:t xml:space="preserve">152</w:t>
        </w:r>
      </w:hyperlink>
    </w:p>
    <w:p>
      <w:pPr>
        <w:pStyle w:val="BodyText"/>
      </w:pPr>
      <w:r>
        <w:t xml:space="preserve">However, despite these differences in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 This approach would have enable more efficient identification of relevant primary studies, to which the methods which sets this review apart from other published reviews could have been applied.</w:t>
      </w:r>
    </w:p>
    <w:p>
      <w:pPr>
        <w:pStyle w:val="BodyText"/>
      </w:pPr>
      <w:r>
        <w:t xml:space="preserve"> </w:t>
      </w:r>
    </w:p>
    <w:p>
      <w:pPr>
        <w:pStyle w:val="BodyText"/>
      </w:pPr>
      <w:r>
        <w:t xml:space="preserve"> </w:t>
      </w:r>
    </w:p>
    <w:bookmarkEnd w:id="135"/>
    <w:bookmarkStart w:id="137"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review explicitly sought to synthesize evidence across different publication statuses (preprinted vs. published). Using the tool described in Chapter</w:t>
      </w:r>
      <w:r>
        <w:t xml:space="preserve"> </w:t>
      </w:r>
      <w:r>
        <w:t xml:space="preserve">3.2</w:t>
      </w:r>
      <w:r>
        <w:t xml:space="preserve">, two preprint serves related to health and biomedical sciences were search as part of this review (see Appendix</w:t>
      </w:r>
      <w:r>
        <w:t xml:space="preserve"> </w:t>
      </w:r>
      <w:r>
        <w:t xml:space="preserve">10.3.3</w:t>
      </w:r>
      <w:r>
        <w:t xml:space="preserve"> </w:t>
      </w:r>
      <w:r>
        <w:t xml:space="preserve">for the code used to search the repositories). There were several relevant preprints captured by the search. The added evidential value of including these preprints was highlighted in Section</w:t>
      </w:r>
      <w:r>
        <w:t xml:space="preserve"> </w:t>
      </w:r>
      <w:r>
        <w:t xml:space="preserve">(sys-rev-including-preprints).</w:t>
      </w:r>
    </w:p>
    <w:p>
      <w:pPr>
        <w:pStyle w:val="BodyText"/>
      </w:pPr>
      <w:r>
        <w:t xml:space="preserve">Three relevant preprints were identified</w:t>
      </w:r>
    </w:p>
    <w:p>
      <w:pPr>
        <w:pStyle w:val="BodyText"/>
      </w:pPr>
      <w:r>
        <w:t xml:space="preserve">medRxiv grew out of the Epidemiology and Clinical Trials categories of the bioRxiv preprint server. The small number of studies return by the searches (or the absence of any hits in the medRxiv database - see Figure</w:t>
      </w:r>
      <w:r>
        <w:t xml:space="preserve"> </w:t>
      </w:r>
      <w:r>
        <w:t xml:space="preserve">4</w:t>
      </w:r>
      <w:r>
        <w:t xml:space="preserve">) is due to the timing of the preprint searches. The searches for this review were performed in mid-July 2019, but the first medRxiv preprint was registered on 25th June 2019. As such, at the point it was searched, the medRxiv database contained only a small number of records (n=148).</w:t>
      </w:r>
    </w:p>
    <w:p>
      <w:pPr>
        <w:pStyle w:val="BodyText"/>
      </w:pPr>
      <w:r>
        <w:t xml:space="preserve">Of the three identified preprints, two were subsequently published as of September 2020. This fits well with the analysis presented in Section</w:t>
      </w:r>
      <w:r>
        <w:t xml:space="preserve"> </w:t>
      </w:r>
      <w:r>
        <w:t xml:space="preserve">3.5.3</w:t>
      </w:r>
      <w:r>
        <w:t xml:space="preserve"> </w:t>
      </w:r>
      <w:r>
        <w:t xml:space="preserve">that, allowing for a two-year lag, approximately two-thirds of preprints are published.</w:t>
      </w:r>
    </w:p>
    <w:p>
      <w:pPr>
        <w:pStyle w:val="BodyText"/>
      </w:pPr>
      <w:r>
        <w:t xml:space="preserve">While none of the preprints contributed uniquely to the review, this is again. Consider the example of one of the Mendelian randomisation analyses of the effect of LDl-c on Alzheimer’s disease, which found no impact of LDL-c on AD following removal of APOE4. The manuscript was initially published in bioRxiv in July 2017</w:t>
      </w:r>
      <w:hyperlink w:anchor="ref-zhu2017">
        <w:r>
          <w:rPr>
            <w:rStyle w:val="Hyperlink"/>
            <w:vertAlign w:val="superscript"/>
          </w:rPr>
          <w:t xml:space="preserve">154</w:t>
        </w:r>
      </w:hyperlink>
      <w:r>
        <w:t xml:space="preserve"> </w:t>
      </w:r>
      <w:r>
        <w:t xml:space="preserve">which was subsequently published in Nature Communications in January 2018, following peer-review.</w:t>
      </w:r>
      <w:hyperlink w:anchor="ref-zhu2018">
        <w:r>
          <w:rPr>
            <w:rStyle w:val="Hyperlink"/>
            <w:vertAlign w:val="superscript"/>
          </w:rPr>
          <w:t xml:space="preserve">155</w:t>
        </w:r>
      </w:hyperlink>
      <w:r>
        <w:t xml:space="preserve"> </w:t>
      </w:r>
      <w:r>
        <w:t xml:space="preserve">While this study was captured by both the preprint and published searches in this review, had the searches been run within this window, the preprint would have contributed unique data to the review. This illustrates that while it may not have aided this review, if the aim is to find the current state of the art in the topic area at the time of searching, inclusion of preprints is a necessity.</w:t>
      </w:r>
    </w:p>
    <w:p>
      <w:pPr>
        <w:pStyle w:val="BodyText"/>
      </w:pPr>
      <w:r>
        <w:t xml:space="preserve">Of note, since the start of my review, inclusion of preprints in systematic reviews has now become widespread due to the role of preprint servers, in particular medRxiv, as a key evidence dissemination venue during the early stages of the COVID-19 pandemic. However, how well this adoption of preprints will transfer to other topics, where the speed of research does not put the same focus on preprinted articles, is currently unknown.</w:t>
      </w:r>
    </w:p>
    <w:p>
      <w:pPr>
        <w:pStyle w:val="BodyText"/>
      </w:pPr>
      <w:r>
        <w:drawing>
          <wp:inline>
            <wp:extent cx="5504749" cy="6422207"/>
            <wp:effectExtent b="0" l="0" r="0" t="0"/>
            <wp:docPr descr="Figure 14: Growth of preprint repositories over time - Given the relative sizes of the preprint repositories at the time the searches for this review were conducted (bioRxiv n= 56,007, medRxiv n = 148), the relativ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36"/>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t xml:space="preserve"> </w:t>
      </w:r>
    </w:p>
    <w:p>
      <w:pPr>
        <w:pStyle w:val="BodyText"/>
      </w:pPr>
      <w:r>
        <w:t xml:space="preserve"> </w:t>
      </w:r>
    </w:p>
    <w:bookmarkEnd w:id="137"/>
    <w:bookmarkStart w:id="139" w:name="rev-discussion-MR"/>
    <w:p>
      <w:pPr>
        <w:pStyle w:val="Heading3"/>
      </w:pPr>
      <w:r>
        <w:t xml:space="preserve">Inclusion of Mendelian randomisations studies</w:t>
      </w:r>
    </w:p>
    <w:p>
      <w:pPr>
        <w:pStyle w:val="FirstParagraph"/>
      </w:pPr>
      <w:r>
        <w:t xml:space="preserve">One of the strengths of this review is it’s inclusion of Mendelian randomisation studies as a source of evidence.</w:t>
      </w:r>
    </w:p>
    <w:p>
      <w:pPr>
        <w:pStyle w:val="BodyText"/>
      </w:pPr>
      <w:r>
        <w:t xml:space="preserve">Mendelian randomisation is a powerful analytical technique, using natural variation in participants genomes to (assuming the assumptions of the method are valid), though it’s inclusion as an acceptable study design in this review was complicated by a number of factors.</w:t>
      </w:r>
    </w:p>
    <w:p>
      <w:pPr>
        <w:pStyle w:val="BodyText"/>
      </w:pPr>
      <w:r>
        <w:t xml:space="preserve">Firstly, this study design is relatively new, particularly when compared to randomised trials or cohort studies. Figure</w:t>
      </w:r>
      <w:r>
        <w:t xml:space="preserve"> </w:t>
      </w:r>
      <w:r>
        <w:t xml:space="preserve">13</w:t>
      </w:r>
      <w:r>
        <w:t xml:space="preserve"> </w:t>
      </w:r>
      <w:r>
        <w:t xml:space="preserve">demonstrates that Mendelian randomisation studies only begin to appear in the evidence base much later than NRSE/NRSI. As such, the process and tools for systematically assessing them are not as well developed, likely due to the limited availabilt of large scale GWAS datasets needed for two sample MR. A key example of this is in the absence of validated search filters for Mendelian randomisations studies. This limitation is further complicated by the varying terminology used to describe the method, particularly in the early years of it’s application.</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 @ref().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156</w:t>
        </w:r>
      </w:hyperlink>
      <w:r>
        <w:t xml:space="preserve"> </w:t>
      </w:r>
      <w:r>
        <w:t xml:space="preserve">While this tool addresses the studies used, it does not access the additional methodological considerations of the analysis of the Mendelian randomisation analysis itself.</w:t>
      </w:r>
      <w:r>
        <w:t xml:space="preserve"> </w:t>
      </w:r>
      <w:r>
        <w:t xml:space="preserve"> </w:t>
      </w:r>
      <w:r>
        <w:t xml:space="preserve">For this review, I utilised the best available author-devised tool, sourced on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157</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158</w:t>
        </w:r>
      </w:hyperlink>
      <w:r>
        <w:rPr>
          <w:vertAlign w:val="superscript"/>
        </w:rPr>
        <w:t xml:space="preserve">,</w:t>
      </w:r>
      <w:hyperlink w:anchor="ref-wagner2020">
        <w:r>
          <w:rPr>
            <w:rStyle w:val="Hyperlink"/>
            <w:vertAlign w:val="superscript"/>
          </w:rPr>
          <w:t xml:space="preserve">159</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by a panel of methodologists and analysts would be of substantial benefit.</w:t>
      </w:r>
    </w:p>
    <w:p>
      <w:pPr>
        <w:pStyle w:val="BodyText"/>
      </w:pPr>
      <w:r>
        <w:t xml:space="preserve">Talk about problem with studies sharing underlying datasets in two sample Mendelian randomisation frameworks - c.f. EHR databases, which contain the same underlying sample but use different sub-samples on account of the distinct codes/conditions and timepoints used to defined the study cohorts, Mendelian randomisation analysis can be multiple studies using the exact same summary statistics from the same cohorts</w:t>
      </w:r>
    </w:p>
    <w:p>
      <w:pPr>
        <w:pStyle w:val="BodyText"/>
      </w:pPr>
      <w:r>
        <w:t xml:space="preserve">Introduce assumptions underlying Mendelian randomisation (with image). Higlight that most if not all included analysis initially describing a protective effect of LDL-c, which attenuates to the NULL once ApoE4 gene regions are removed. Note the region must be quite wide - talk about controversy surrounding Benn paper</w:t>
      </w:r>
    </w:p>
    <w:p>
      <w:pPr>
        <w:pStyle w:val="BodyText"/>
      </w:pPr>
      <w:r>
        <w:t xml:space="preserve">Additionally many of the studies suggested a link between, but then in the sensitivity analyses or in the Discussion disclaim that when adjusted for ApoE4, any association was attenuated to the null. This point is important given one of the core assumptions of</w:t>
      </w:r>
    </w:p>
    <w:p>
      <w:pPr>
        <w:pStyle w:val="BodyText"/>
      </w:pPr>
      <w:r>
        <w:t xml:space="preserve">MR are limited by the need for SNP to be present in both datasets (for TSMR).</w:t>
      </w:r>
    </w:p>
    <w:p>
      <w:pPr>
        <w:pStyle w:val="BodyText"/>
      </w:pPr>
      <w:r>
        <w:drawing>
          <wp:inline>
            <wp:extent cx="5943600" cy="2228850"/>
            <wp:effectExtent b="0" l="0" r="0" t="0"/>
            <wp:docPr descr="Figure 15: Summary of duplication of Mendelian randomisation studies which used similar data from the Global Lipid"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8"/>
                    <a:stretch>
                      <a:fillRect/>
                    </a:stretch>
                  </pic:blipFill>
                  <pic:spPr bwMode="auto">
                    <a:xfrm>
                      <a:off x="0" y="0"/>
                      <a:ext cx="5943600" cy="2228850"/>
                    </a:xfrm>
                    <a:prstGeom prst="rect">
                      <a:avLst/>
                    </a:prstGeom>
                    <a:noFill/>
                    <a:ln w="9525">
                      <a:noFill/>
                      <a:headEnd/>
                      <a:tailEnd/>
                    </a:ln>
                  </pic:spPr>
                </pic:pic>
              </a:graphicData>
            </a:graphic>
          </wp:inline>
        </w:drawing>
      </w:r>
      <w:r>
        <w:t xml:space="preserve"> </w:t>
      </w:r>
    </w:p>
    <w:p>
      <w:pPr>
        <w:pStyle w:val="BodyText"/>
      </w:pPr>
      <w:r>
        <w:t xml:space="preserve">Recommend future large scale GWAS of other dementia outcomes, notably vascular dementia, or the use of exisitng GWASes to</w:t>
      </w:r>
      <w:r>
        <w:t xml:space="preserve"> </w:t>
      </w:r>
    </w:p>
    <w:p>
      <w:pPr>
        <w:pStyle w:val="BodyText"/>
      </w:pPr>
      <w:r>
        <w:t xml:space="preserve">A key example of the importance of . In almost all cases, Mendelian randomisation studies examine. A clear exampe of this is Ben et al, 2017, where the ApoE variants were not sufficient identified and excluded, and the published paper detailed evidence for a protective effect of LDL-c was identified (</w:t>
      </w:r>
      <w:r>
        <w:rPr>
          <w:rStyle w:val="VerbatimChar"/>
        </w:rPr>
        <w:t xml:space="preserve">estimate(0.83, .75,.92,"RR")</w:t>
      </w:r>
      <w:r>
        <w:t xml:space="preserve">).</w:t>
      </w:r>
      <w:hyperlink w:anchor="ref-benn2017">
        <w:r>
          <w:rPr>
            <w:rStyle w:val="Hyperlink"/>
            <w:vertAlign w:val="superscript"/>
          </w:rPr>
          <w:t xml:space="preserve">63</w:t>
        </w:r>
      </w:hyperlink>
      <w:r>
        <w:t xml:space="preserve"> </w:t>
      </w:r>
      <w:r>
        <w:t xml:space="preserve">Following several rapid responses, the data was re-analysed excluding a larger area around ApoE4 which attenuated this finding towards the null.</w:t>
      </w:r>
      <w:hyperlink w:anchor="ref-benn2017a">
        <w:r>
          <w:rPr>
            <w:rStyle w:val="Hyperlink"/>
            <w:vertAlign w:val="superscript"/>
          </w:rPr>
          <w:t xml:space="preserve">160</w:t>
        </w:r>
      </w:hyperlink>
    </w:p>
    <w:p>
      <w:pPr>
        <w:pStyle w:val="BodyText"/>
      </w:pPr>
      <w:r>
        <w:t xml:space="preserve"> </w:t>
      </w:r>
      <w:r>
        <w:t xml:space="preserve"> </w:t>
      </w:r>
    </w:p>
    <w:p>
      <w:pPr>
        <w:pStyle w:val="BodyText"/>
      </w:pPr>
      <w:r>
        <w:t xml:space="preserve"> </w:t>
      </w:r>
    </w:p>
    <w:bookmarkEnd w:id="139"/>
    <w:bookmarkStart w:id="140" w:name="sys-rev-open-data"/>
    <w:p>
      <w:pPr>
        <w:pStyle w:val="Heading3"/>
      </w:pPr>
      <w:r>
        <w:t xml:space="preserve">Open data sharing</w:t>
      </w:r>
    </w:p>
    <w:p>
      <w:pPr>
        <w:pStyle w:val="FirstParagraph"/>
      </w:pPr>
      <w:r>
        <w:t xml:space="preserve">As discussed in Section</w:t>
      </w:r>
      <w:r>
        <w:t xml:space="preserve"> </w:t>
      </w:r>
      <w:r>
        <w:t xml:space="preserve">4.4.8</w:t>
      </w:r>
      <w:r>
        <w:t xml:space="preserve">, many primary studies did not report important elements, and so these could not be extracted. This limiation was compounded by the expected low response rate to requests for further information from primary authors (although, in hindsight, the form of contact used (email) has been shown to be less successful in eliciting responses from authors when compared with telephoning</w:t>
      </w:r>
      <w:hyperlink w:anchor="ref-danko2019">
        <w:r>
          <w:rPr>
            <w:rStyle w:val="Hyperlink"/>
            <w:vertAlign w:val="superscript"/>
          </w:rPr>
          <w:t xml:space="preserve">161</w:t>
        </w:r>
      </w:hyperlink>
      <w:r>
        <w:t xml:space="preserve">).</w:t>
      </w:r>
    </w:p>
    <w:p>
      <w:pPr>
        <w:pStyle w:val="BodyText"/>
      </w:pPr>
      <w:r>
        <w:t xml:space="preserve">While contacting authors is worthwhile, as it can substantially change the conclusion of a systematic review</w:t>
      </w:r>
      <w:hyperlink w:anchor="ref-meursingereynders2019">
        <w:r>
          <w:rPr>
            <w:rStyle w:val="Hyperlink"/>
            <w:vertAlign w:val="superscript"/>
          </w:rPr>
          <w:t xml:space="preserve">162</w:t>
        </w:r>
      </w:hyperlink>
      <w:r>
        <w:t xml:space="preserve"> </w:t>
      </w:r>
      <w:r>
        <w:t xml:space="preserve">and is not too costly to systematic reviewers,</w:t>
      </w:r>
      <w:hyperlink w:anchor="ref-cooper2019">
        <w:r>
          <w:rPr>
            <w:rStyle w:val="Hyperlink"/>
            <w:vertAlign w:val="superscript"/>
          </w:rPr>
          <w:t xml:space="preserve">163</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co-wrote an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164</w:t>
        </w:r>
      </w:hyperlink>
    </w:p>
    <w:p>
      <w:pPr>
        <w:pStyle w:val="BodyText"/>
      </w:pPr>
      <w:r>
        <w:t xml:space="preserve">Similarly, a substantial amount of time and effort has gone into making the data obtained by this review openly available to other researchers.</w:t>
      </w:r>
      <w:r>
        <w:t xml:space="preserve"> </w:t>
      </w:r>
    </w:p>
    <w:p>
      <w:pPr>
        <w:pStyle w:val="BodyText"/>
      </w:pPr>
      <w:r>
        <w:t xml:space="preserve"> </w:t>
      </w:r>
      <w:r>
        <w:t xml:space="preserve"> </w:t>
      </w:r>
    </w:p>
    <w:bookmarkEnd w:id="140"/>
    <w:bookmarkStart w:id="143" w:name="strengths-and-limitations"/>
    <w:p>
      <w:pPr>
        <w:pStyle w:val="Heading3"/>
      </w:pPr>
      <w:r>
        <w:t xml:space="preserve">Strengths and limitations</w:t>
      </w:r>
    </w:p>
    <w:bookmarkStart w:id="141" w:name="strengths"/>
    <w:p>
      <w:pPr>
        <w:pStyle w:val="Heading4"/>
      </w:pPr>
      <w:r>
        <w:t xml:space="preserve">Strengths</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09"/>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54</w:t>
        </w:r>
      </w:hyperlink>
      <w:r>
        <w:rPr>
          <w:vertAlign w:val="superscript"/>
        </w:rPr>
        <w:t xml:space="preserve">,</w:t>
      </w:r>
      <w:hyperlink w:anchor="ref-yang2020">
        <w:r>
          <w:rPr>
            <w:rStyle w:val="Hyperlink"/>
            <w:vertAlign w:val="superscript"/>
          </w:rPr>
          <w:t xml:space="preserve">150</w:t>
        </w:r>
      </w:hyperlink>
      <w:r>
        <w:rPr>
          <w:vertAlign w:val="superscript"/>
        </w:rPr>
        <w:t xml:space="preserve">–</w:t>
      </w:r>
      <w:hyperlink w:anchor="ref-poly2020">
        <w:r>
          <w:rPr>
            <w:rStyle w:val="Hyperlink"/>
            <w:vertAlign w:val="superscript"/>
          </w:rPr>
          <w:t xml:space="preserve">152</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w:t>
      </w:r>
    </w:p>
    <w:p>
      <w:pPr>
        <w:numPr>
          <w:ilvl w:val="0"/>
          <w:numId w:val="1009"/>
        </w:numPr>
      </w:pPr>
      <w:r>
        <w:rPr>
          <w:iCs/>
          <w:i/>
        </w:rPr>
        <w:t xml:space="preserve">Structured risk-of-bias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09"/>
        </w:numPr>
      </w:pPr>
      <w:r>
        <w:rPr>
          <w:iCs/>
          <w:i/>
        </w:rPr>
        <w:t xml:space="preserve">Inclusion of preprints:</w:t>
      </w:r>
      <w:r>
        <w:t xml:space="preserve"> </w:t>
      </w:r>
      <w:r>
        <w:t xml:space="preserve">Unlike other available reviews and enabled by the tool described in Chapter</w:t>
      </w:r>
      <w:r>
        <w:t xml:space="preserve"> </w:t>
      </w:r>
      <w:r>
        <w:t xml:space="preserve">3</w:t>
      </w:r>
      <w:r>
        <w:t xml:space="preserve">,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0"/>
        </w:numPr>
        <w:pStyle w:val="Compact"/>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End w:id="141"/>
    <w:bookmarkStart w:id="142"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165</w:t>
        </w:r>
      </w:hyperlink>
      <w:r>
        <w:t xml:space="preserve"> </w:t>
      </w:r>
      <w:hyperlink w:anchor="ref-mcguinness2019validity">
        <w:r>
          <w:rPr>
            <w:rStyle w:val="Hyperlink"/>
            <w:vertAlign w:val="superscript"/>
          </w:rPr>
          <w:t xml:space="preserve">166</w:t>
        </w:r>
      </w:hyperlink>
      <w:r>
        <w:rPr>
          <w:vertAlign w:val="superscript"/>
        </w:rPr>
        <w:t xml:space="preserve">,</w:t>
      </w:r>
      <w:hyperlink w:anchor="ref-wilkinson2018">
        <w:r>
          <w:rPr>
            <w:rStyle w:val="Hyperlink"/>
            <w:vertAlign w:val="superscript"/>
          </w:rPr>
          <w:t xml:space="preserve">167</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risk-of-bias assessment is the fact that the ROBINS-E assessments were performed without the tool being finalised. This meant that there were no signalling questions to guide the domain-level risk-of-bias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168</w:t>
        </w:r>
      </w:hyperlink>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42"/>
    <w:bookmarkEnd w:id="143"/>
    <w:bookmarkEnd w:id="144"/>
    <w:bookmarkStart w:id="145"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45"/>
    <w:bookmarkStart w:id="146" w:name="references-2"/>
    <w:p>
      <w:pPr>
        <w:pStyle w:val="Heading2"/>
      </w:pPr>
      <w:r>
        <w:t xml:space="preserve">References</w:t>
      </w:r>
    </w:p>
    <w:bookmarkEnd w:id="146"/>
    <w:bookmarkEnd w:id="147"/>
    <w:bookmarkStart w:id="199" w:name="cprd-analysis-heading"/>
    <w:p>
      <w:pPr>
        <w:pStyle w:val="Heading1"/>
      </w:pPr>
      <w:r>
        <w:t xml:space="preserve">Primary analysis of lipid regulating agents and dementia outcomes</w:t>
      </w:r>
    </w:p>
    <w:p>
      <w:pPr>
        <w:pStyle w:val="FirstParagraph"/>
      </w:pPr>
    </w:p>
    <w:bookmarkStart w:id="148"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Little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48"/>
    <w:bookmarkStart w:id="149"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8</w:t>
      </w:r>
      <w:r>
        <w:t xml:space="preserve">.</w:t>
      </w:r>
    </w:p>
    <w:p>
      <w:pPr>
        <w:pStyle w:val="BodyText"/>
      </w:pPr>
      <w:r>
        <w:t xml:space="preserve"> </w:t>
      </w:r>
    </w:p>
    <w:bookmarkEnd w:id="149"/>
    <w:bookmarkStart w:id="169" w:name="methods-1"/>
    <w:p>
      <w:pPr>
        <w:pStyle w:val="Heading2"/>
      </w:pPr>
      <w:r>
        <w:t xml:space="preserve">Methods</w:t>
      </w:r>
    </w:p>
    <w:bookmarkStart w:id="150"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169</w:t>
        </w:r>
      </w:hyperlink>
      <w:r>
        <w:t xml:space="preserve"> </w:t>
      </w:r>
      <w:r>
        <w:t xml:space="preserve">and amendments to this are recorded in Appendix</w:t>
      </w:r>
      <w:r>
        <w:t xml:space="preserve"> </w:t>
      </w:r>
      <w:r>
        <w:t xml:space="preserve">10.4.1</w:t>
      </w:r>
      <w:r>
        <w:t xml:space="preserve">.</w:t>
      </w:r>
      <w:hyperlink w:anchor="ref-vonelm2008">
        <w:r>
          <w:rPr>
            <w:rStyle w:val="Hyperlink"/>
            <w:vertAlign w:val="superscript"/>
          </w:rPr>
          <w:t xml:space="preserve">170</w:t>
        </w:r>
      </w:hyperlink>
    </w:p>
    <w:p>
      <w:pPr>
        <w:pStyle w:val="BodyText"/>
      </w:pPr>
      <w:r>
        <w:t xml:space="preserve"> </w:t>
      </w:r>
    </w:p>
    <w:bookmarkEnd w:id="150"/>
    <w:bookmarkStart w:id="151"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171</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172</w:t>
        </w:r>
      </w:hyperlink>
      <w:r>
        <w:rPr>
          <w:vertAlign w:val="superscript"/>
        </w:rPr>
        <w:t xml:space="preserve">,</w:t>
      </w:r>
      <w:hyperlink w:anchor="ref-wood2001revitalizing">
        <w:r>
          <w:rPr>
            <w:rStyle w:val="Hyperlink"/>
            <w:vertAlign w:val="superscript"/>
          </w:rPr>
          <w:t xml:space="preserve">173</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171</w:t>
        </w:r>
      </w:hyperlink>
      <w:r>
        <w:rPr>
          <w:vertAlign w:val="superscript"/>
        </w:rPr>
        <w:t xml:space="preserve">,</w:t>
      </w:r>
      <w:hyperlink w:anchor="ref-mathur2014">
        <w:r>
          <w:rPr>
            <w:rStyle w:val="Hyperlink"/>
            <w:vertAlign w:val="superscript"/>
          </w:rPr>
          <w:t xml:space="preserve">174</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175</w:t>
        </w:r>
      </w:hyperlink>
      <w:r>
        <w:t xml:space="preserve"> </w:t>
      </w:r>
      <w:r>
        <w:t xml:space="preserve">All clinical events, included clinical test results and diagnoses, can be identified by a specific Read code. The codes use a nested approach (see Table</w:t>
      </w:r>
      <w:r>
        <w:t xml:space="preserve"> </w:t>
      </w:r>
      <w:r>
        <w:t xml:space="preserve">11</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11:</w:t>
      </w:r>
      <w:r>
        <w:t xml:space="preserve"> </w:t>
      </w:r>
      <w:bookmarkStart w:id="97180475-52da-4b62-a19d-7d281cbcc23e"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97180475-52da-4b62-a19d-7d281cbcc23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51"/>
    <w:bookmarkStart w:id="152"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176</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52"/>
    <w:bookmarkStart w:id="153"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177</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1"/>
        </w:numPr>
        <w:pStyle w:val="Compact"/>
      </w:pPr>
      <w:r>
        <w:rPr>
          <w:bCs/>
          <w:b/>
        </w:rPr>
        <w:t xml:space="preserve">stopped</w:t>
      </w:r>
      <w:r>
        <w:t xml:space="preserve">: defined as the last prescription of the primary class being followed by at least six months of observation;</w:t>
      </w:r>
    </w:p>
    <w:p>
      <w:pPr>
        <w:numPr>
          <w:ilvl w:val="0"/>
          <w:numId w:val="1011"/>
        </w:numPr>
        <w:pStyle w:val="Compact"/>
      </w:pPr>
      <w:r>
        <w:rPr>
          <w:bCs/>
          <w:b/>
        </w:rPr>
        <w:t xml:space="preserve">added</w:t>
      </w:r>
      <w:r>
        <w:t xml:space="preserve">: defined as a second drug class being prescribed before the last prescription of the initial class; and</w:t>
      </w:r>
    </w:p>
    <w:p>
      <w:pPr>
        <w:numPr>
          <w:ilvl w:val="0"/>
          <w:numId w:val="1011"/>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53"/>
    <w:bookmarkStart w:id="155"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16</w:t>
      </w:r>
      <w:r>
        <w:t xml:space="preserve">). The diagnosis date of the outcome was determined by the first record of a relevant code.</w:t>
      </w:r>
    </w:p>
    <w:p>
      <w:pPr>
        <w:pStyle w:val="BodyText"/>
      </w:pPr>
      <w:r>
        <w:drawing>
          <wp:inline>
            <wp:extent cx="5943600" cy="3168282"/>
            <wp:effectExtent b="0" l="0" r="0" t="0"/>
            <wp:docPr descr="Figure 16: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54"/>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55"/>
    <w:bookmarkStart w:id="156"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178</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56"/>
    <w:bookmarkStart w:id="157"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179</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180</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181</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179</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182</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183</w:t>
        </w:r>
      </w:hyperlink>
      <w:r>
        <w:t xml:space="preserve"> </w:t>
      </w:r>
      <w:r>
        <w:t xml:space="preserve">to investigate the impact of multiple imputation on the results.</w:t>
      </w:r>
    </w:p>
    <w:p>
      <w:pPr>
        <w:pStyle w:val="BodyText"/>
      </w:pPr>
      <w:r>
        <w:t xml:space="preserve"> </w:t>
      </w:r>
      <w:r>
        <w:t xml:space="preserve"> </w:t>
      </w:r>
    </w:p>
    <w:bookmarkEnd w:id="157"/>
    <w:bookmarkStart w:id="158"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10</m:t>
          </m:r>
          <m:r>
            <m:rPr>
              <m:sty m:val="p"/>
            </m:rPr>
            <m:t>)</m:t>
          </m:r>
        </m:oMath>
      </m:oMathPara>
    </w:p>
    <w:p>
      <w:pPr>
        <w:pStyle w:val="FirstParagraph"/>
      </w:pPr>
      <w:r>
        <w:t xml:space="preserve">where:</w:t>
      </w:r>
    </w:p>
    <w:p>
      <w:pPr>
        <w:numPr>
          <w:ilvl w:val="0"/>
          <w:numId w:val="1012"/>
        </w:numPr>
        <w:pStyle w:val="Compact"/>
      </w:pPr>
      <m:oMath>
        <m:r>
          <m:t>t</m:t>
        </m:r>
      </m:oMath>
      <w:r>
        <w:t xml:space="preserve"> </w:t>
      </w:r>
      <w:r>
        <w:t xml:space="preserve">is the survival time;</w:t>
      </w:r>
    </w:p>
    <w:p>
      <w:pPr>
        <w:numPr>
          <w:ilvl w:val="0"/>
          <w:numId w:val="1012"/>
        </w:numPr>
        <w:pStyle w:val="Compact"/>
      </w:pPr>
      <m:oMath>
        <m:r>
          <m:t>h</m:t>
        </m:r>
        <m:r>
          <m:rPr>
            <m:sty m:val="p"/>
          </m:rPr>
          <m:t>(</m:t>
        </m:r>
        <m:r>
          <m:t>t</m:t>
        </m:r>
        <m:r>
          <m:rPr>
            <m:sty m:val="p"/>
          </m:rPr>
          <m:t>)</m:t>
        </m:r>
      </m:oMath>
      <w:r>
        <w:t xml:space="preserve"> </w:t>
      </w:r>
      <w:r>
        <w:t xml:space="preserve">is the hazard function; and</w:t>
      </w:r>
    </w:p>
    <w:p>
      <w:pPr>
        <w:numPr>
          <w:ilvl w:val="0"/>
          <w:numId w:val="1012"/>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2"/>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58"/>
    <w:bookmarkStart w:id="160"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17</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184</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17</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4.4.5</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184</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17: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59"/>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60"/>
    <w:bookmarkStart w:id="161"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185</w:t>
        </w:r>
      </w:hyperlink>
      <w:r>
        <w:rPr>
          <w:vertAlign w:val="superscript"/>
        </w:rPr>
        <w:t xml:space="preserve">–</w:t>
      </w:r>
      <w:hyperlink w:anchor="ref-pencina2007">
        <w:r>
          <w:rPr>
            <w:rStyle w:val="Hyperlink"/>
            <w:vertAlign w:val="superscript"/>
          </w:rPr>
          <w:t xml:space="preserve">187</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61"/>
    <w:bookmarkStart w:id="168" w:name="sensitivity-analyses-1"/>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63"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188</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18</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189</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association of statin use with muscle pain</w:t>
      </w:r>
      <w:hyperlink w:anchor="ref-herrett2021">
        <w:r>
          <w:rPr>
            <w:rStyle w:val="Hyperlink"/>
            <w:vertAlign w:val="superscript"/>
          </w:rPr>
          <w:t xml:space="preserve">190</w:t>
        </w:r>
      </w:hyperlink>
      <w:r>
        <w:t xml:space="preserve"> </w:t>
      </w:r>
      <w:r>
        <w:t xml:space="preserve">have found little evidence supporting an effect. As such, if statins are not associated with backpain in this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18: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62"/>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63"/>
    <w:bookmarkStart w:id="164"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64"/>
    <w:bookmarkStart w:id="165"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191</w:t>
        </w:r>
      </w:hyperlink>
    </w:p>
    <w:p>
      <w:pPr>
        <w:pStyle w:val="BodyText"/>
      </w:pPr>
      <w:r>
        <w:t xml:space="preserve"> </w:t>
      </w:r>
    </w:p>
    <w:bookmarkEnd w:id="165"/>
    <w:bookmarkStart w:id="166"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associations in the statin analysis varied by statin property, a sensitivity analysis was performed, stratifying by statin lipophilicity.</w:t>
      </w:r>
    </w:p>
    <w:p>
      <w:pPr>
        <w:pStyle w:val="BodyText"/>
      </w:pPr>
      <w:r>
        <w:t xml:space="preserve"> </w:t>
      </w:r>
    </w:p>
    <w:bookmarkEnd w:id="166"/>
    <w:bookmarkStart w:id="167"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192</w:t>
        </w:r>
      </w:hyperlink>
    </w:p>
    <w:p>
      <w:pPr>
        <w:pStyle w:val="BodyText"/>
      </w:pPr>
      <w:r>
        <w:t xml:space="preserve">This previous study used a propensity matching approach to estimate the association of statins with a range of outcomes, and found evidence for a protective effect of statin use on all-cause dementia (HR: 0.81, 95%CI: 0.69-0.96) and non-AD dementia (HR: 0.82, 95%CI: 0.69-0.97), but little evidence of an effect on AD (HR: 0.81, 95%CI: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67"/>
    <w:bookmarkEnd w:id="168"/>
    <w:bookmarkEnd w:id="169"/>
    <w:bookmarkStart w:id="190" w:name="results-1"/>
    <w:p>
      <w:pPr>
        <w:pStyle w:val="Heading2"/>
      </w:pPr>
      <w:r>
        <w:t xml:space="preserve">Results</w:t>
      </w:r>
    </w:p>
    <w:bookmarkStart w:id="171"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19</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19: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70"/>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(IQR):48-67) and participants were followed up for a median of 5.9 years (IQR:2.7-9.7). During follow-up, an all-cause dementia diagnosis was recorded for 41,830 patients (12,647 probable AD, 9,954 possible AD, 8,466 vascular dementia, 10,763 other dementia: Table</w:t>
      </w:r>
      <w:r>
        <w:t xml:space="preserve"> </w:t>
      </w:r>
      <w:r>
        <w:t xml:space="preserve">14</w:t>
      </w:r>
      <w:r>
        <w:t xml:space="preserve">). The distribution of baseline characteristics across the seven drug classes can be seen in Table</w:t>
      </w:r>
      <w:r>
        <w:t xml:space="preserve"> </w:t>
      </w:r>
      <w:r>
        <w:t xml:space="preserve">12</w:t>
      </w:r>
      <w:r>
        <w:t xml:space="preserve">.</w:t>
      </w:r>
    </w:p>
    <w:p>
      <w:pPr>
        <w:pStyle w:val="TableCaption"/>
      </w:pPr>
      <w:r>
        <w:t xml:space="preserve">Table 12:</w:t>
      </w:r>
      <w:r>
        <w:t xml:space="preserve"> </w:t>
      </w:r>
      <w:bookmarkStart w:id="57aba6f3-447d-497b-9734-9826c867914d" w:name="tab:cprdCharacteristics-table"/>
      <w:r>
        <w:t xml:space="preserve">Patient characteristics by drug class. Summary statistics are presented as "% (N)" unless otherwise specified in the variable name.</w:t>
      </w:r>
      <w:bookmarkEnd w:id="57aba6f3-447d-497b-9734-9826c867914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43.6% (72)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83.0%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(87)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12</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13:</w:t>
      </w:r>
      <w:r>
        <w:t xml:space="preserve"> </w:t>
      </w:r>
      <w:bookmarkStart w:id="af0fae99-cffb-4336-81fb-7502116aa33e" w:name="tab:cprdSSA-table"/>
      <w:r>
        <w:t xml:space="preserve">Participants who stopped, switched or added treatments by initial treatment type.</w:t>
      </w:r>
      <w:bookmarkEnd w:id="af0fae99-cffb-4336-81fb-7502116aa33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13</w:t>
      </w:r>
      <w:r>
        <w:t xml:space="preserve">).</w:t>
      </w:r>
    </w:p>
    <w:p>
      <w:pPr>
        <w:pStyle w:val="BodyText"/>
      </w:pPr>
      <w:r>
        <w:t xml:space="preserve"> </w:t>
      </w:r>
    </w:p>
    <w:bookmarkEnd w:id="171"/>
    <w:bookmarkStart w:id="172"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72"/>
    <w:bookmarkStart w:id="174" w:name="primary-analysis"/>
    <w:p>
      <w:pPr>
        <w:pStyle w:val="Heading3"/>
      </w:pPr>
      <w:r>
        <w:t xml:space="preserve">Primary analysis</w:t>
      </w:r>
    </w:p>
    <w:p>
      <w:pPr>
        <w:pStyle w:val="FirstParagraph"/>
      </w:pPr>
      <w:r>
        <w:t xml:space="preserve">Crude rate ratios per 100,000 participant-years-at-risk were calculated for each outcome and class of interest and are presented in Table</w:t>
      </w:r>
      <w:r>
        <w:t xml:space="preserve"> </w:t>
      </w:r>
      <w:r>
        <w:t xml:space="preserve">14</w:t>
      </w:r>
      <w:r>
        <w:t xml:space="preserve">.</w:t>
      </w:r>
    </w:p>
    <w:p>
      <w:pPr>
        <w:pStyle w:val="TableCaption"/>
      </w:pPr>
      <w:r>
        <w:t xml:space="preserve">Table 14:</w:t>
      </w:r>
      <w:r>
        <w:t xml:space="preserve"> </w:t>
      </w:r>
      <w:bookmarkStart w:id="d1ab8f97-3e0a-4de6-afe9-a69909fd8d92" w:name="tab:followUp-table"/>
      <w:r>
        <w:t xml:space="preserve">Summary</w:t>
      </w:r>
      <w:bookmarkEnd w:id="d1ab8f97-3e0a-4de6-afe9-a69909fd8d9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5,872,690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5,817,933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5,806,982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5,801,506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5,812,457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4,870,637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4,758,385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4,747,433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4,752,909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4,755,647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Fatty Acid Groups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Bile acid sequestrants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10,836,413</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10,666,667</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10,655,715</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r>
    </w:tbl>
    <w:p>
      <w:pPr>
        <w:pStyle w:val="BodyText"/>
      </w:pPr>
      <w:r>
        <w:t xml:space="preserve">The results of the primary analysis using the fully adjusted Cox proportional hazards model with participant age as the time scale are presented for each drug/outcome combination in Figure</w:t>
      </w:r>
      <w:r>
        <w:t xml:space="preserve"> </w:t>
      </w:r>
      <w:r>
        <w:t xml:space="preserve">20</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0: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73"/>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with no treatment, with the sole exception of fibrates on probable Alzheimer’s disease (HR:1.28, 95%CI:1.08-1.52).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(HR:1.17, 95%CI:1.14-1.19), but the magnitude of the association was not as extreme as that observed for the vascular dementia subgroup. There was also some evidence that fibrates were associated with increased risk of all-cause dementia (HR:1.28, 95%CI:1.08-1.52).</w:t>
      </w:r>
    </w:p>
    <w:p>
      <w:pPr>
        <w:pStyle w:val="BodyText"/>
      </w:pPr>
      <w:r>
        <w:t xml:space="preserve"> </w:t>
      </w:r>
    </w:p>
    <w:bookmarkEnd w:id="174"/>
    <w:bookmarkStart w:id="189" w:name="sensitivity-analyses-2"/>
    <w:p>
      <w:pPr>
        <w:pStyle w:val="Heading3"/>
      </w:pPr>
      <w:r>
        <w:t xml:space="preserve">Sensitivity analyses</w:t>
      </w:r>
    </w:p>
    <w:p>
      <w:pPr>
        <w:pStyle w:val="FirstParagraph"/>
      </w:pPr>
      <w:r>
        <w:t xml:space="preserve">The results of the series of sensitivity analyses performed are described in the following sections.</w:t>
      </w:r>
    </w:p>
    <w:bookmarkStart w:id="176"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180</w:t>
        </w:r>
      </w:hyperlink>
    </w:p>
    <w:p>
      <w:pPr>
        <w:pStyle w:val="BodyText"/>
      </w:pPr>
      <w:r>
        <w:t xml:space="preserve"> </w:t>
      </w:r>
    </w:p>
    <w:p>
      <w:pPr>
        <w:pStyle w:val="BodyText"/>
      </w:pPr>
      <w:r>
        <w:drawing>
          <wp:inline>
            <wp:extent cx="5943600" cy="4087549"/>
            <wp:effectExtent b="0" l="0" r="0" t="0"/>
            <wp:docPr descr="Figure 21: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75"/>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76"/>
    <w:bookmarkStart w:id="178"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22</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w:t>
      </w:r>
    </w:p>
    <w:p>
      <w:pPr>
        <w:pStyle w:val="BodyText"/>
      </w:pPr>
      <w:r>
        <w:t xml:space="preserve"> </w:t>
      </w:r>
    </w:p>
    <w:p>
      <w:pPr>
        <w:pStyle w:val="BodyText"/>
      </w:pPr>
      <w:r>
        <w:drawing>
          <wp:inline>
            <wp:extent cx="5943600" cy="2135368"/>
            <wp:effectExtent b="0" l="0" r="0" t="0"/>
            <wp:docPr descr="Figure 22: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77"/>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78"/>
    <w:bookmarkStart w:id="180"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23</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3: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79"/>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80"/>
    <w:bookmarkStart w:id="182"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24</w:t>
      </w:r>
      <w:r>
        <w:t xml:space="preserve">).</w:t>
      </w:r>
    </w:p>
    <w:p>
      <w:pPr>
        <w:pStyle w:val="BodyText"/>
      </w:pPr>
      <w:r>
        <w:t xml:space="preserve"> </w:t>
      </w:r>
    </w:p>
    <w:p>
      <w:pPr>
        <w:pStyle w:val="BodyText"/>
      </w:pPr>
      <w:r>
        <w:drawing>
          <wp:inline>
            <wp:extent cx="5943600" cy="1664208"/>
            <wp:effectExtent b="0" l="0" r="0" t="0"/>
            <wp:docPr descr="Figure 24: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81"/>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15:</w:t>
      </w:r>
      <w:r>
        <w:t xml:space="preserve"> </w:t>
      </w:r>
      <w:bookmarkStart w:id="bb61345d-7034-4302-ae35-cf4165c184dc" w:name="tab:diagnosisType-table"/>
      <w:r>
        <w:t xml:space="preserve">Frequency of diagnoses by grouped year of cohort entry</w:t>
      </w:r>
      <w:bookmarkEnd w:id="bb61345d-7034-4302-ae35-cf4165c184d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82"/>
    <w:bookmarkStart w:id="184"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25</w:t>
      </w:r>
      <w:r>
        <w:t xml:space="preserve">).</w:t>
      </w:r>
    </w:p>
    <w:p>
      <w:pPr>
        <w:pStyle w:val="BodyText"/>
      </w:pPr>
      <w:r>
        <w:drawing>
          <wp:inline>
            <wp:extent cx="5943600" cy="4068214"/>
            <wp:effectExtent b="0" l="0" r="0" t="0"/>
            <wp:docPr descr="Figure 25: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83"/>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84"/>
    <w:bookmarkStart w:id="186"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e12a53c4-7bbb-4bc9-a1c7-45ee3ad83e72" w:name="tab:statinTypeTable-table"/>
      <w:r>
        <w:t xml:space="preserve">Summary of statin properties (lipophilicity vs hydrophilicity) by grouped year of prescription.</w:t>
      </w:r>
      <w:bookmarkEnd w:id="e12a53c4-7bbb-4bc9-a1c7-45ee3ad83e7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26</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26: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85"/>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86"/>
    <w:bookmarkStart w:id="188" w:name="comparing-codelists"/>
    <w:p>
      <w:pPr>
        <w:pStyle w:val="Heading4"/>
      </w:pPr>
      <w:r>
        <w:t xml:space="preserve">Comparing codelists</w:t>
      </w:r>
    </w:p>
    <w:p>
      <w:pPr>
        <w:pStyle w:val="FirstParagraph"/>
      </w:pPr>
      <w:r>
        <w:t xml:space="preserve">When using the Smeeth et al code lists to define dementia outcomes, effect estimates of HR: 1.19 (95%CI: 1.07-1.32) and HR: 1.33 (95%CI: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27</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192</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27: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87"/>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188"/>
    <w:bookmarkEnd w:id="189"/>
    <w:bookmarkEnd w:id="190"/>
    <w:bookmarkStart w:id="197" w:name="discussion-2"/>
    <w:p>
      <w:pPr>
        <w:pStyle w:val="Heading2"/>
      </w:pPr>
      <w:r>
        <w:t xml:space="preserve">Discussion</w:t>
      </w:r>
    </w:p>
    <w:bookmarkStart w:id="191" w:name="summary-of-findings-1"/>
    <w:p>
      <w:pPr>
        <w:pStyle w:val="Heading3"/>
      </w:pPr>
      <w:r>
        <w:t xml:space="preserve">Summary of findings</w:t>
      </w:r>
    </w:p>
    <w:p>
      <w:pPr>
        <w:pStyle w:val="FirstParagraph"/>
      </w:pPr>
      <w:r>
        <w:t xml:space="preserve">Lipid-regulating agents showed little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191"/>
    <w:bookmarkStart w:id="193"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4</w:t>
      </w:r>
      <w:r>
        <w:t xml:space="preserve">) and the individual patient data analysis (Chapter</w:t>
      </w:r>
      <w:r>
        <w:t xml:space="preserve"> </w:t>
      </w:r>
      <w:r>
        <w:t xml:space="preserve">6</w:t>
      </w:r>
      <w:r>
        <w:t xml:space="preserve">), see Section</w:t>
      </w:r>
      <w:r>
        <w:t xml:space="preserve"> </w:t>
      </w:r>
      <w:r>
        <w:t xml:space="preserve">8</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193</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28</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194</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28: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92"/>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16</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95%CI: 1.04-1.66).</w:t>
      </w:r>
      <w:hyperlink w:anchor="ref-danaei2013b">
        <w:r>
          <w:rPr>
            <w:rStyle w:val="Hyperlink"/>
            <w:vertAlign w:val="superscript"/>
          </w:rPr>
          <w:t xml:space="preserve">195</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196</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4.4.9</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193"/>
    <w:bookmarkStart w:id="194" w:name="strengths-and-limitations-1"/>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197</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166</w:t>
        </w:r>
      </w:hyperlink>
      <w:r>
        <w:rPr>
          <w:vertAlign w:val="superscript"/>
        </w:rPr>
        <w:t xml:space="preserve">,</w:t>
      </w:r>
      <w:hyperlink w:anchor="ref-wilkinson2018">
        <w:r>
          <w:rPr>
            <w:rStyle w:val="Hyperlink"/>
            <w:vertAlign w:val="superscript"/>
          </w:rPr>
          <w:t xml:space="preserve">167</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194"/>
    <w:bookmarkStart w:id="195"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4.5.5</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198</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199</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195"/>
    <w:bookmarkStart w:id="196"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little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195</w:t>
        </w:r>
      </w:hyperlink>
    </w:p>
    <w:p>
      <w:pPr>
        <w:pStyle w:val="BodyText"/>
      </w:pPr>
      <w:r>
        <w:t xml:space="preserve">Regardless, this analysis has provided an additional source of evidence for the triangulation exercise presented in Chapter</w:t>
      </w:r>
      <w:r>
        <w:t xml:space="preserve"> </w:t>
      </w:r>
      <w:r>
        <w:t xml:space="preserve">8</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196"/>
    <w:bookmarkEnd w:id="197"/>
    <w:bookmarkStart w:id="198" w:name="references-3"/>
    <w:p>
      <w:pPr>
        <w:pStyle w:val="Heading2"/>
      </w:pPr>
      <w:r>
        <w:t xml:space="preserve">References</w:t>
      </w:r>
    </w:p>
    <w:p>
      <w:pPr>
        <w:pStyle w:val="FirstParagraph"/>
      </w:pPr>
      <w:r>
        <w:t xml:space="preserve">— Hold — Hold</w:t>
      </w:r>
    </w:p>
    <w:bookmarkEnd w:id="198"/>
    <w:bookmarkEnd w:id="199"/>
    <w:bookmarkStart w:id="232" w:name="ipd-heading"/>
    <w:p>
      <w:pPr>
        <w:pStyle w:val="Heading1"/>
      </w:pPr>
      <w:r>
        <w:t xml:space="preserve">Individual participant data meta-analysis</w:t>
      </w:r>
    </w:p>
    <w:p>
      <w:pPr>
        <w:pStyle w:val="FirstParagraph"/>
      </w:pPr>
    </w:p>
    <w:bookmarkStart w:id="200" w:name="lay-summary-4"/>
    <w:p>
      <w:pPr>
        <w:pStyle w:val="Heading2"/>
      </w:pPr>
      <w:r>
        <w:t xml:space="preserve">Lay Summary</w:t>
      </w:r>
    </w:p>
    <w:p>
      <w:pPr>
        <w:pStyle w:val="FirstParagraph"/>
      </w:pPr>
      <w:r>
        <w:t xml:space="preserve"> </w:t>
      </w:r>
    </w:p>
    <w:p>
      <w:pPr>
        <w:pStyle w:val="BodyText"/>
      </w:pPr>
      <w:r>
        <w:t xml:space="preserve"> </w:t>
      </w:r>
    </w:p>
    <w:bookmarkEnd w:id="200"/>
    <w:bookmarkStart w:id="201" w:name="introduction-2"/>
    <w:p>
      <w:pPr>
        <w:pStyle w:val="Heading2"/>
      </w:pPr>
      <w:r>
        <w:t xml:space="preserve">Introduction</w:t>
      </w:r>
    </w:p>
    <w:p>
      <w:pPr>
        <w:pStyle w:val="FirstParagraph"/>
      </w:pPr>
      <w:r>
        <w:t xml:space="preserve">Is there a good way to visualise input of cohorts into an IPD analysis?</w:t>
      </w:r>
    </w:p>
    <w:p>
      <w:pPr>
        <w:pStyle w:val="BodyText"/>
      </w:pPr>
      <w:r>
        <w:t xml:space="preserve">Justify analysis based on findings of systematic review - suggestion of variation of effect by age, specifically</w:t>
      </w:r>
    </w:p>
    <w:p>
      <w:pPr>
        <w:pStyle w:val="BodyText"/>
      </w:pPr>
      <w:r>
        <w:t xml:space="preserve"> </w:t>
      </w:r>
    </w:p>
    <w:bookmarkEnd w:id="201"/>
    <w:bookmarkStart w:id="224" w:name="methods-2"/>
    <w:p>
      <w:pPr>
        <w:pStyle w:val="Heading2"/>
      </w:pPr>
      <w:r>
        <w:t xml:space="preserve">Methods</w:t>
      </w:r>
    </w:p>
    <w:p>
      <w:pPr>
        <w:pStyle w:val="FirstParagraph"/>
      </w:pPr>
      <w:r>
        <w:t xml:space="preserve">As part</w:t>
      </w:r>
    </w:p>
    <w:p>
      <w:pPr>
        <w:pStyle w:val="BodyText"/>
      </w:pPr>
      <w:r>
        <w:t xml:space="preserve">As part of the IPD analysis, relevant cohort studies were identified from the sty and approached. In the first instance, the corresponding author on the main man</w:t>
      </w:r>
    </w:p>
    <w:p>
      <w:pPr>
        <w:pStyle w:val="BodyText"/>
      </w:pPr>
      <w:r>
        <w:t xml:space="preserve">Talk about how different covariates were managed across cohorts,</w:t>
      </w:r>
      <w:r>
        <w:t xml:space="preserve"> </w:t>
      </w:r>
      <w:r>
        <w:t xml:space="preserve">c</w:t>
      </w:r>
      <w:r>
        <w:t xml:space="preserve"> </w:t>
      </w:r>
    </w:p>
    <w:p>
      <w:pPr>
        <w:pStyle w:val="BodyText"/>
      </w:pPr>
      <w:r>
        <w:t xml:space="preserve"> </w:t>
      </w:r>
    </w:p>
    <w:bookmarkStart w:id="211"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These data source</w:t>
      </w:r>
    </w:p>
    <w:p>
      <w:pPr>
        <w:pStyle w:val="BodyText"/>
      </w:pPr>
      <w:r>
        <w:t xml:space="preserve">Each should have:</w:t>
      </w:r>
    </w:p>
    <w:p>
      <w:pPr>
        <w:numPr>
          <w:ilvl w:val="0"/>
          <w:numId w:val="1013"/>
        </w:numPr>
        <w:pStyle w:val="Compact"/>
      </w:pPr>
      <w:r>
        <w:t xml:space="preserve">Description (including observation period, numbers, numbers with outcome, etc)</w:t>
      </w:r>
    </w:p>
    <w:p>
      <w:pPr>
        <w:pStyle w:val="FirstParagraph"/>
      </w:pPr>
      <w:r>
        <w:t xml:space="preserve"> </w:t>
      </w:r>
    </w:p>
    <w:bookmarkStart w:id="202"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200</w:t>
        </w:r>
      </w:hyperlink>
      <w:r>
        <w:rPr>
          <w:vertAlign w:val="superscript"/>
        </w:rPr>
        <w:t xml:space="preserve">,</w:t>
      </w:r>
      <w:hyperlink w:anchor="ref-riboli2002">
        <w:r>
          <w:rPr>
            <w:rStyle w:val="Hyperlink"/>
            <w:vertAlign w:val="superscript"/>
          </w:rPr>
          <w:t xml:space="preserve">201</w:t>
        </w:r>
      </w:hyperlink>
    </w:p>
    <w:p>
      <w:pPr>
        <w:pStyle w:val="BodyText"/>
      </w:pPr>
      <w:r>
        <w:t xml:space="preserve">Has only 8 events</w:t>
      </w:r>
    </w:p>
    <w:bookmarkEnd w:id="202"/>
    <w:bookmarkStart w:id="203" w:name="caps"/>
    <w:p>
      <w:pPr>
        <w:pStyle w:val="Heading4"/>
      </w:pPr>
      <w:r>
        <w:t xml:space="preserve">CaPS</w:t>
      </w:r>
    </w:p>
    <w:bookmarkEnd w:id="203"/>
    <w:bookmarkStart w:id="204"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171</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171</w:t>
        </w:r>
      </w:hyperlink>
      <w:r>
        <w:rPr>
          <w:vertAlign w:val="superscript"/>
        </w:rPr>
        <w:t xml:space="preserve">,</w:t>
      </w:r>
      <w:hyperlink w:anchor="ref-mathur2014">
        <w:r>
          <w:rPr>
            <w:rStyle w:val="Hyperlink"/>
            <w:vertAlign w:val="superscript"/>
          </w:rPr>
          <w:t xml:space="preserve">174</w:t>
        </w:r>
      </w:hyperlink>
    </w:p>
    <w:p>
      <w:pPr>
        <w:pStyle w:val="BodyText"/>
      </w:pPr>
      <w:r>
        <w:t xml:space="preserve">The CPRD is introduced more fully in . Briefly, a similar approach to the cohort definition as used in Chapter</w:t>
      </w:r>
    </w:p>
    <w:p>
      <w:pPr>
        <w:pStyle w:val="BodyText"/>
      </w:pPr>
      <w:r>
        <w:t xml:space="preserve">Participants were included from the first date of lipid measurement, so no issues with immortal time bias as discussed in Chapter …</w:t>
      </w:r>
    </w:p>
    <w:p>
      <w:pPr>
        <w:pStyle w:val="BodyText"/>
      </w:pPr>
      <w:r>
        <w:t xml:space="preserve">Additionally, ther number of participants is larger in this analysis as there is no restriction on the level which lipids should be in order to be included in the analysis.</w:t>
      </w:r>
    </w:p>
    <w:p>
      <w:pPr>
        <w:pStyle w:val="BodyText"/>
      </w:pPr>
      <w:r>
        <w:t xml:space="preserve">the</w:t>
      </w:r>
    </w:p>
    <w:bookmarkEnd w:id="204"/>
    <w:bookmarkStart w:id="205" w:name="epic-norfolk-1"/>
    <w:p>
      <w:pPr>
        <w:pStyle w:val="Heading4"/>
      </w:pPr>
      <w:r>
        <w:t xml:space="preserve">EPIC Norfolk</w:t>
      </w:r>
    </w:p>
    <w:bookmarkEnd w:id="205"/>
    <w:bookmarkStart w:id="206" w:name="generation-scotland"/>
    <w:p>
      <w:pPr>
        <w:pStyle w:val="Heading4"/>
      </w:pPr>
      <w:r>
        <w:t xml:space="preserve">Generation Scotland</w:t>
      </w:r>
    </w:p>
    <w:bookmarkEnd w:id="206"/>
    <w:bookmarkStart w:id="207" w:name="nicola"/>
    <w:p>
      <w:pPr>
        <w:pStyle w:val="Heading4"/>
      </w:pPr>
      <w:r>
        <w:t xml:space="preserve">NICOLA</w:t>
      </w:r>
    </w:p>
    <w:bookmarkEnd w:id="207"/>
    <w:bookmarkStart w:id="208" w:name="track-hd"/>
    <w:p>
      <w:pPr>
        <w:pStyle w:val="Heading4"/>
      </w:pPr>
      <w:r>
        <w:t xml:space="preserve">TRACK HD</w:t>
      </w:r>
    </w:p>
    <w:bookmarkEnd w:id="208"/>
    <w:bookmarkStart w:id="210"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09">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included in previous IPD meta-analysis (Endnote ID: 2140)</w:t>
      </w:r>
    </w:p>
    <w:p>
      <w:pPr>
        <w:pStyle w:val="BodyText"/>
      </w:pPr>
      <w:r>
        <w:t xml:space="preserve">Different approaches to combining subgroups.</w:t>
      </w:r>
      <w:hyperlink w:anchor="ref-fisher2017">
        <w:r>
          <w:rPr>
            <w:rStyle w:val="Hyperlink"/>
            <w:vertAlign w:val="superscript"/>
          </w:rPr>
          <w:t xml:space="preserve">202</w:t>
        </w:r>
      </w:hyperlink>
    </w:p>
    <w:p>
      <w:pPr>
        <w:pStyle w:val="BodyText"/>
      </w:pPr>
      <w:r>
        <w:t xml:space="preserve"> </w:t>
      </w:r>
    </w:p>
    <w:bookmarkEnd w:id="210"/>
    <w:bookmarkEnd w:id="211"/>
    <w:bookmarkStart w:id="217" w:name="X3d2607aa26e979940de45ad969f6b88fe46252b"/>
    <w:p>
      <w:pPr>
        <w:pStyle w:val="Heading3"/>
      </w:pPr>
      <w:r>
        <w:t xml:space="preserve">Cohorts provided data but ultimately excluded</w:t>
      </w:r>
    </w:p>
    <w:p>
      <w:pPr>
        <w:pStyle w:val="FirstParagraph"/>
      </w:pPr>
      <w:r>
        <w:t xml:space="preserve">Several cohorts were excluded on the basis of a lack of exposure variables, including Cam-CAN (had cardiovascular category, but only contained blood pressure).</w:t>
      </w:r>
    </w:p>
    <w:bookmarkStart w:id="212" w:name="brace"/>
    <w:p>
      <w:pPr>
        <w:pStyle w:val="Heading4"/>
      </w:pPr>
      <w:r>
        <w:t xml:space="preserve">BRACE</w:t>
      </w:r>
    </w:p>
    <w:p>
      <w:pPr>
        <w:pStyle w:val="FirstParagraph"/>
      </w:pPr>
      <w:r>
        <w:t xml:space="preserve">Likley had dementia at baseline</w:t>
      </w:r>
    </w:p>
    <w:bookmarkEnd w:id="212"/>
    <w:bookmarkStart w:id="213" w:name="memento"/>
    <w:p>
      <w:pPr>
        <w:pStyle w:val="Heading4"/>
      </w:pPr>
      <w:r>
        <w:t xml:space="preserve">Memento</w:t>
      </w:r>
    </w:p>
    <w:p>
      <w:pPr>
        <w:pStyle w:val="FirstParagraph"/>
      </w:pPr>
      <w:r>
        <w:t xml:space="preserve">Excluded as criteria for entry was outpatients from memory clinic (unlikely to be dementia free at baseline)</w:t>
      </w:r>
    </w:p>
    <w:bookmarkEnd w:id="213"/>
    <w:bookmarkStart w:id="214" w:name="generation-scotland-1"/>
    <w:p>
      <w:pPr>
        <w:pStyle w:val="Heading4"/>
      </w:pPr>
      <w:r>
        <w:t xml:space="preserve">Generation Scotland</w:t>
      </w:r>
    </w:p>
    <w:p>
      <w:pPr>
        <w:pStyle w:val="FirstParagraph"/>
      </w:pPr>
      <w:r>
        <w:t xml:space="preserve">Cross-sectional data only</w:t>
      </w:r>
    </w:p>
    <w:bookmarkEnd w:id="214"/>
    <w:bookmarkStart w:id="215" w:name="nicola-1"/>
    <w:p>
      <w:pPr>
        <w:pStyle w:val="Heading4"/>
      </w:pPr>
      <w:r>
        <w:t xml:space="preserve">NICOLA</w:t>
      </w:r>
    </w:p>
    <w:p>
      <w:pPr>
        <w:pStyle w:val="FirstParagraph"/>
      </w:pPr>
      <w:r>
        <w:t xml:space="preserve">NICOLA study - only had cross-sectional data</w:t>
      </w:r>
    </w:p>
    <w:bookmarkEnd w:id="215"/>
    <w:bookmarkStart w:id="216" w:name="elsa"/>
    <w:p>
      <w:pPr>
        <w:pStyle w:val="Heading4"/>
      </w:pPr>
      <w:r>
        <w:t xml:space="preserve">ELSA</w:t>
      </w:r>
    </w:p>
    <w:p>
      <w:pPr>
        <w:pStyle w:val="FirstParagraph"/>
      </w:pPr>
      <w:r>
        <w:t xml:space="preserve">Data provided but only had ever high cholesterol as a binary variable. Not compatible with</w:t>
      </w:r>
    </w:p>
    <w:p>
      <w:pPr>
        <w:pStyle w:val="BodyText"/>
      </w:pPr>
      <w:r>
        <w:t xml:space="preserve"> </w:t>
      </w:r>
    </w:p>
    <w:bookmarkEnd w:id="216"/>
    <w:bookmarkEnd w:id="217"/>
    <w:bookmarkStart w:id="218" w:name="X21956c5bb1220e1050675bc21f8db7a8b7dcfce"/>
    <w:p>
      <w:pPr>
        <w:pStyle w:val="Heading3"/>
      </w:pPr>
      <w:r>
        <w:t xml:space="preserve">Cohorts identified the systematic review but excluded from the IPD analysis</w:t>
      </w:r>
    </w:p>
    <w:p>
      <w:pPr>
        <w:pStyle w:val="FirstParagraph"/>
      </w:pPr>
      <w:r>
        <w:t xml:space="preserve">Electronic health record co</w:t>
      </w:r>
    </w:p>
    <w:p>
      <w:pPr>
        <w:pStyle w:val="BodyText"/>
      </w:pPr>
      <w:r>
        <w:t xml:space="preserve">LBC - 1936</w:t>
      </w:r>
    </w:p>
    <w:p>
      <w:pPr>
        <w:pStyle w:val="BodyText"/>
      </w:pPr>
      <w:r>
        <w:t xml:space="preserve">Taiwan etc,</w:t>
      </w:r>
    </w:p>
    <w:p>
      <w:pPr>
        <w:pStyle w:val="BodyText"/>
      </w:pPr>
      <w:r>
        <w:t xml:space="preserve"> </w:t>
      </w:r>
    </w:p>
    <w:bookmarkEnd w:id="218"/>
    <w:bookmarkStart w:id="219" w:name="cohorts-approach-but-received-no-answer"/>
    <w:p>
      <w:pPr>
        <w:pStyle w:val="Heading3"/>
      </w:pPr>
      <w:r>
        <w:t xml:space="preserve">Cohorts approach but received no answer</w:t>
      </w:r>
    </w:p>
    <w:p>
      <w:pPr>
        <w:pStyle w:val="FirstParagraph"/>
      </w:pPr>
      <w:r>
        <w:t xml:space="preserve">Maybe discuss here t</w:t>
      </w:r>
    </w:p>
    <w:p>
      <w:pPr>
        <w:pStyle w:val="BodyText"/>
      </w:pPr>
      <w:r>
        <w:t xml:space="preserve">This was particularly frustrating in the case of cohorts which had a dedicated data access panel, for example, the Three City Study. Despite multiple attempts to contact the team, there was no response received.</w:t>
      </w:r>
    </w:p>
    <w:p>
      <w:pPr>
        <w:pStyle w:val="BodyText"/>
      </w:pPr>
      <w:r>
        <w:t xml:space="preserve"> </w:t>
      </w:r>
    </w:p>
    <w:bookmarkEnd w:id="219"/>
    <w:bookmarkStart w:id="220" w:name="data-cleaning"/>
    <w:p>
      <w:pPr>
        <w:pStyle w:val="Heading3"/>
      </w:pPr>
      <w:r>
        <w:t xml:space="preserve">Data cleaning</w:t>
      </w:r>
    </w:p>
    <w:p>
      <w:pPr>
        <w:pStyle w:val="FirstParagraph"/>
      </w:pPr>
      <w:r>
        <w:t xml:space="preserve">Across all cohorts, data cleaning was performed in a similary manner, using commonly named variables, so that a single model could be applied using functional programming.</w:t>
      </w:r>
    </w:p>
    <w:p>
      <w:pPr>
        <w:pStyle w:val="BodyText"/>
      </w:pPr>
      <w:r>
        <w:t xml:space="preserve">The one exception to this is the CPRD data, which was held in a different system to the rest.</w:t>
      </w:r>
    </w:p>
    <w:p>
      <w:pPr>
        <w:pStyle w:val="BodyText"/>
      </w:pPr>
      <w:r>
        <w:t xml:space="preserve">The advantage of this approach is that it reduces the liklihood of errors in model mis-speciication if needing to change variables names from cohort to cohort.</w:t>
      </w:r>
    </w:p>
    <w:p>
      <w:pPr>
        <w:pStyle w:val="BodyText"/>
      </w:pPr>
      <w:r>
        <w:t xml:space="preserve">For all cohorts, the first lipid measurement was used for the exposure method,</w:t>
      </w:r>
    </w:p>
    <w:p>
      <w:pPr>
        <w:pStyle w:val="BodyText"/>
      </w:pPr>
      <w:r>
        <w:t xml:space="preserve">For heterogeneity across the cohorts, the total time-at-risk was investigated.</w:t>
      </w:r>
    </w:p>
    <w:p>
      <w:pPr>
        <w:pStyle w:val="BodyText"/>
      </w:pPr>
      <w:r>
        <w:t xml:space="preserve"> </w:t>
      </w:r>
    </w:p>
    <w:bookmarkEnd w:id="220"/>
    <w:bookmarkStart w:id="221" w:name="missing-data-2"/>
    <w:p>
      <w:pPr>
        <w:pStyle w:val="Heading3"/>
      </w:pPr>
      <w:r>
        <w:t xml:space="preserve">Missing data</w:t>
      </w:r>
    </w:p>
    <w:p>
      <w:pPr>
        <w:pStyle w:val="FirstParagraph"/>
      </w:pPr>
      <w:r>
        <w:t xml:space="preserve">Talk about missing data was handled</w:t>
      </w:r>
      <w:r>
        <w:t xml:space="preserve"> </w:t>
      </w:r>
    </w:p>
    <w:p>
      <w:pPr>
        <w:pStyle w:val="BodyText"/>
      </w:pPr>
      <w:r>
        <w:t xml:space="preserve"> </w:t>
      </w:r>
    </w:p>
    <w:bookmarkEnd w:id="221"/>
    <w:bookmarkStart w:id="222" w:name="risk-of-bias-assessment"/>
    <w:p>
      <w:pPr>
        <w:pStyle w:val="Heading3"/>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4.3.7</w:t>
      </w:r>
      <w:r>
        <w:t xml:space="preserve">.</w:t>
      </w:r>
    </w:p>
    <w:p>
      <w:pPr>
        <w:pStyle w:val="BodyText"/>
      </w:pPr>
      <w:r>
        <w:t xml:space="preserve">There is some concerns about performing risk of bias assessments on your own analysis, and so</w:t>
      </w:r>
    </w:p>
    <w:p>
      <w:pPr>
        <w:pStyle w:val="BodyText"/>
      </w:pPr>
      <w:r>
        <w:t xml:space="preserve"> </w:t>
      </w:r>
    </w:p>
    <w:bookmarkEnd w:id="222"/>
    <w:bookmarkStart w:id="223" w:name="analysis"/>
    <w:p>
      <w:pPr>
        <w:pStyle w:val="Heading3"/>
      </w:pPr>
      <w:r>
        <w:t xml:space="preserve">Analysis</w:t>
      </w:r>
    </w:p>
    <w:p>
      <w:pPr>
        <w:pStyle w:val="FirstParagraph"/>
      </w:pPr>
      <w:r>
        <w:t xml:space="preserve">All analysis were standardised by changes in 1-SD of the exposure variable.</w:t>
      </w:r>
    </w:p>
    <w:p>
      <w:pPr>
        <w:pStyle w:val="BodyText"/>
      </w:pPr>
      <w:r>
        <w:t xml:space="preserve">This was done to aid interpretability of the outcome.</w:t>
      </w:r>
    </w:p>
    <w:p>
      <w:pPr>
        <w:pStyle w:val="BodyText"/>
      </w:pPr>
      <w:r>
        <w:t xml:space="preserve">Similary,</w:t>
      </w:r>
    </w:p>
    <w:p>
      <w:pPr>
        <w:pStyle w:val="BodyText"/>
      </w:pPr>
      <w:r>
        <w:t xml:space="preserve">Clustering within studies was accounted for, given the evidence that …</w:t>
      </w:r>
      <w:hyperlink w:anchor="ref-abo-zaid2013">
        <w:r>
          <w:rPr>
            <w:rStyle w:val="Hyperlink"/>
            <w:vertAlign w:val="superscript"/>
          </w:rPr>
          <w:t xml:space="preserve">203</w:t>
        </w:r>
      </w:hyperlink>
    </w:p>
    <w:p>
      <w:pPr>
        <w:pStyle w:val="BodyText"/>
      </w:pPr>
      <w:r>
        <w:t xml:space="preserve">Stratified by age-at-entry and sex, and ethnicity where possible.</w:t>
      </w:r>
    </w:p>
    <w:p>
      <w:pPr>
        <w:pStyle w:val="BodyText"/>
      </w:pPr>
      <w:r>
        <w:t xml:space="preserve">Hazard ratios were utilised to</w:t>
      </w:r>
    </w:p>
    <w:p>
      <w:pPr>
        <w:pStyle w:val="BodyText"/>
      </w:pPr>
      <w:r>
        <w:t xml:space="preserve">In order to investigate the interaction of sex with</w:t>
      </w:r>
    </w:p>
    <w:p>
      <w:pPr>
        <w:pStyle w:val="BodyText"/>
      </w:pPr>
      <w:r>
        <w:t xml:space="preserve">A two-stage model was used out of necessity, with the one-stage model being recluded by the different datasets being in protected data silos.</w:t>
      </w:r>
    </w:p>
    <w:p>
      <w:pPr>
        <w:pStyle w:val="BodyText"/>
      </w:pPr>
      <w:r>
        <w:t xml:space="preserve">A discrete proportional hazards model was employed to account for the interval censoring introduced by design o fthe longitudinal cohort studies.</w:t>
      </w:r>
      <w:hyperlink w:anchor="ref-wang2017">
        <w:r>
          <w:rPr>
            <w:rStyle w:val="Hyperlink"/>
            <w:vertAlign w:val="superscript"/>
          </w:rPr>
          <w:t xml:space="preserve">204</w:t>
        </w:r>
      </w:hyperlink>
    </w:p>
    <w:p>
      <w:pPr>
        <w:pStyle w:val="BodyText"/>
      </w:pPr>
      <w:r>
        <w:t xml:space="preserve"> </w:t>
      </w:r>
    </w:p>
    <w:bookmarkEnd w:id="223"/>
    <w:bookmarkEnd w:id="224"/>
    <w:bookmarkStart w:id="225" w:name="results-2"/>
    <w:p>
      <w:pPr>
        <w:pStyle w:val="Heading2"/>
      </w:pPr>
      <w:r>
        <w:t xml:space="preserve">Results</w:t>
      </w:r>
    </w:p>
    <w:p>
      <w:pPr>
        <w:pStyle w:val="FirstParagraph"/>
      </w:pPr>
      <w:r>
        <w:t xml:space="preserve">Data</w:t>
      </w:r>
    </w:p>
    <w:p>
      <w:pPr>
        <w:pStyle w:val="BodyText"/>
      </w:pPr>
      <w:r>
        <w:t xml:space="preserve"> </w:t>
      </w:r>
    </w:p>
    <w:bookmarkEnd w:id="225"/>
    <w:bookmarkStart w:id="230" w:name="discussion-3"/>
    <w:p>
      <w:pPr>
        <w:pStyle w:val="Heading2"/>
      </w:pPr>
      <w:r>
        <w:t xml:space="preserve">Discussion</w:t>
      </w:r>
    </w:p>
    <w:p>
      <w:pPr>
        <w:pStyle w:val="FirstParagraph"/>
      </w:pPr>
      <w:r>
        <w:t xml:space="preserve">Useful citation for discussion</w:t>
      </w:r>
      <w:hyperlink w:anchor="ref-levis2021">
        <w:r>
          <w:rPr>
            <w:rStyle w:val="Hyperlink"/>
            <w:vertAlign w:val="superscript"/>
          </w:rPr>
          <w:t xml:space="preserve">205</w:t>
        </w:r>
      </w:hyperlink>
    </w:p>
    <w:bookmarkStart w:id="227" w:name="limitations-1"/>
    <w:p>
      <w:pPr>
        <w:pStyle w:val="Heading3"/>
      </w:pPr>
      <w:r>
        <w:t xml:space="preserve">Limitations</w:t>
      </w:r>
    </w:p>
    <w:bookmarkStart w:id="226" w:name="low-response-rate-to-request-for-data"/>
    <w:p>
      <w:pPr>
        <w:pStyle w:val="Heading4"/>
      </w:pPr>
      <w:r>
        <w:t xml:space="preserve">Low response rate to request for data</w:t>
      </w:r>
    </w:p>
    <w:p>
      <w:pPr>
        <w:pStyle w:val="FirstParagraph"/>
      </w:pPr>
      <w:r>
        <w:t xml:space="preserve">This review had a low response rate to requests for data access.</w:t>
      </w:r>
    </w:p>
    <w:p>
      <w:pPr>
        <w:pStyle w:val="BodyText"/>
      </w:pPr>
      <w:r>
        <w:t xml:space="preserve">While this is not unexpected, given that a review of IPD studies published between 1987 and 2015 found that fewer than half managed to obtained data from greater than 80% of studies, and that in many cases, the exact percentage of studies for which data was obtained was not accurately reported.</w:t>
      </w:r>
      <w:r>
        <w:t xml:space="preserve"> </w:t>
      </w:r>
      <w:r>
        <w:t xml:space="preserve">test</w:t>
      </w:r>
      <w:r>
        <w:t xml:space="preserve"> </w:t>
      </w:r>
      <w:r>
        <w:t xml:space="preserve">There are likely several reasons for this.</w:t>
      </w:r>
    </w:p>
    <w:p>
      <w:pPr>
        <w:numPr>
          <w:ilvl w:val="0"/>
          <w:numId w:val="1014"/>
        </w:numPr>
      </w:pPr>
      <w:r>
        <w:t xml:space="preserve">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90</w:t>
        </w:r>
      </w:hyperlink>
    </w:p>
    <w:p>
      <w:pPr>
        <w:numPr>
          <w:ilvl w:val="0"/>
          <w:numId w:val="1014"/>
        </w:numPr>
      </w:pPr>
      <w:r>
        <w:t xml:space="preserve">While there is no</w:t>
      </w:r>
    </w:p>
    <w:p>
      <w:pPr>
        <w:pStyle w:val="FirstParagraph"/>
      </w:pPr>
      <w:r>
        <w:t xml:space="preserve">For many other reasons also - if</w:t>
      </w:r>
    </w:p>
    <w:p>
      <w:pPr>
        <w:pStyle w:val="BodyText"/>
      </w:pPr>
      <w:r>
        <w:t xml:space="preserve">A potential further reason was highlighted during my attendance at the</w:t>
      </w:r>
    </w:p>
    <w:p>
      <w:pPr>
        <w:pStyle w:val="BodyText"/>
      </w:pPr>
      <w:r>
        <w:t xml:space="preserve">Letters sent to all cohorts identified through the systematic review</w:t>
      </w:r>
      <w:r>
        <w:t xml:space="preserve"> </w:t>
      </w:r>
    </w:p>
    <w:p>
      <w:pPr>
        <w:pStyle w:val="BodyText"/>
      </w:pPr>
      <w:r>
        <w:t xml:space="preserve">This is likely due to my junior position as a early career research combined with the impact</w:t>
      </w:r>
    </w:p>
    <w:p>
      <w:pPr>
        <w:pStyle w:val="BodyText"/>
      </w:pPr>
      <w:r>
        <w:t xml:space="preserve">Range of reasons why data is not readily available. Privacy concerns, concerns around scoping or</w:t>
      </w:r>
      <w:r>
        <w:t xml:space="preserve"> </w:t>
      </w:r>
      <w:r>
        <w:t xml:space="preserve">“</w:t>
      </w:r>
      <w:r>
        <w:t xml:space="preserve">parasitic</w:t>
      </w:r>
      <w:r>
        <w:t xml:space="preserve">”</w:t>
      </w:r>
      <w:r>
        <w:t xml:space="preserve"> </w:t>
      </w:r>
      <w:r>
        <w:t xml:space="preserve">behaviour, and a lack of trust (i.e. primary researchers do not trust secondary researchers).</w:t>
      </w:r>
    </w:p>
    <w:p>
      <w:pPr>
        <w:pStyle w:val="BodyText"/>
      </w:pPr>
      <w:r>
        <w:t xml:space="preserve">Unfortunately,</w:t>
      </w:r>
    </w:p>
    <w:p>
      <w:pPr>
        <w:pStyle w:val="BodyText"/>
      </w:pPr>
      <w:r>
        <w:t xml:space="preserve">The low response rate and the</w:t>
      </w:r>
    </w:p>
    <w:p>
      <w:pPr>
        <w:pStyle w:val="BodyText"/>
      </w:pPr>
      <w:r>
        <w:t xml:space="preserve">Whether or not to press ahead with an IPD analysis in the absence of all (or even most) data is a personal decision, and some have highlighted where they decided not to pursue an IPD study.</w:t>
      </w:r>
      <w:hyperlink w:anchor="ref-jaspers2014">
        <w:r>
          <w:rPr>
            <w:rStyle w:val="Hyperlink"/>
            <w:vertAlign w:val="superscript"/>
          </w:rPr>
          <w:t xml:space="preserve">206</w:t>
        </w:r>
      </w:hyperlink>
    </w:p>
    <w:p>
      <w:pPr>
        <w:pStyle w:val="BodyText"/>
      </w:pPr>
      <w:r>
        <w:t xml:space="preserve"> </w:t>
      </w:r>
      <w:r>
        <w:t xml:space="preserve"> </w:t>
      </w:r>
    </w:p>
    <w:bookmarkEnd w:id="226"/>
    <w:bookmarkEnd w:id="227"/>
    <w:bookmarkStart w:id="228" w:name="reflections-on-data-access"/>
    <w:p>
      <w:pPr>
        <w:pStyle w:val="Heading3"/>
      </w:pPr>
      <w:r>
        <w:t xml:space="preserve">Reflections on data access</w:t>
      </w:r>
    </w:p>
    <w:p>
      <w:pPr>
        <w:pStyle w:val="FirstParagraph"/>
      </w:pPr>
      <w:r>
        <w:t xml:space="preserve">Describe your experience of trying to access the DPUK - while a great resources, frustrating at times. The portal would benefit from a centralised management system and</w:t>
      </w:r>
    </w:p>
    <w:p>
      <w:pPr>
        <w:pStyle w:val="BodyText"/>
      </w:pPr>
      <w:r>
        <w:t xml:space="preserve">Even with the guaranteed data access afforded by the DPUK, accessing sufficient data was</w:t>
      </w:r>
    </w:p>
    <w:p>
      <w:pPr>
        <w:pStyle w:val="BodyText"/>
      </w:pPr>
      <w:r>
        <w:t xml:space="preserve">Of teh XXX cohorts requested from the DPUK, a response was recieved from only XXX, while of those responding XXX</w:t>
      </w:r>
    </w:p>
    <w:p>
      <w:pPr>
        <w:pStyle w:val="BodyText"/>
      </w:pPr>
      <w:r>
        <w:t xml:space="preserve">Talk about all the normal stuff of data not being available as.</w:t>
      </w:r>
    </w:p>
    <w:p>
      <w:pPr>
        <w:pStyle w:val="BodyText"/>
      </w:pPr>
      <w:r>
        <w:t xml:space="preserve"> </w:t>
      </w:r>
    </w:p>
    <w:bookmarkEnd w:id="228"/>
    <w:bookmarkStart w:id="229" w:name="study-within-a-review"/>
    <w:p>
      <w:pPr>
        <w:pStyle w:val="Heading3"/>
      </w:pPr>
      <w:r>
        <w:t xml:space="preserve">Study within a review</w:t>
      </w:r>
    </w:p>
    <w:p>
      <w:pPr>
        <w:pStyle w:val="FirstParagraph"/>
      </w:pPr>
      <w:r>
        <w:t xml:space="preserve">In future, it could have been worth running a</w:t>
      </w:r>
      <w:r>
        <w:t xml:space="preserve"> </w:t>
      </w:r>
      <w:r>
        <w:t xml:space="preserve">“</w:t>
      </w:r>
      <w:r>
        <w:t xml:space="preserve">study within a review</w:t>
      </w:r>
      <w:r>
        <w:t xml:space="preserve">”</w:t>
      </w:r>
      <w:r>
        <w:t xml:space="preserve">, such as that used to examine the best method</w:t>
      </w:r>
      <w:hyperlink w:anchor="ref-godolphin2019a">
        <w:r>
          <w:rPr>
            <w:rStyle w:val="Hyperlink"/>
            <w:vertAlign w:val="superscript"/>
          </w:rPr>
          <w:t xml:space="preserve">207</w:t>
        </w:r>
      </w:hyperlink>
      <w:r>
        <w:t xml:space="preserve"> </w:t>
      </w:r>
      <w:r>
        <w:t xml:space="preserve">to identify and access study data.</w:t>
      </w:r>
    </w:p>
    <w:p>
      <w:pPr>
        <w:pStyle w:val="BodyText"/>
      </w:pPr>
      <w:r>
        <w:t xml:space="preserve">Options could include</w:t>
      </w:r>
    </w:p>
    <w:p>
      <w:pPr>
        <w:pStyle w:val="BodyText"/>
      </w:pPr>
      <w:r>
        <w:t xml:space="preserve">Previous SWARs have been registered as protocols, but have not yet reported!</w:t>
      </w:r>
    </w:p>
    <w:p>
      <w:r>
        <w:br w:type="page"/>
      </w:r>
    </w:p>
    <w:bookmarkEnd w:id="229"/>
    <w:bookmarkEnd w:id="230"/>
    <w:bookmarkStart w:id="231" w:name="references-4"/>
    <w:p>
      <w:pPr>
        <w:pStyle w:val="Heading2"/>
      </w:pPr>
      <w:r>
        <w:t xml:space="preserve">References</w:t>
      </w:r>
    </w:p>
    <w:p>
      <w:pPr>
        <w:pStyle w:val="FirstParagraph"/>
      </w:pPr>
      <w:r>
        <w:t xml:space="preserve">— Hold — Hold</w:t>
      </w:r>
    </w:p>
    <w:bookmarkEnd w:id="231"/>
    <w:bookmarkEnd w:id="232"/>
    <w:bookmarkStart w:id="241" w:name="tri-heading"/>
    <w:p>
      <w:pPr>
        <w:pStyle w:val="Heading1"/>
      </w:pPr>
      <w:r>
        <w:t xml:space="preserve">Triangulation</w:t>
      </w:r>
    </w:p>
    <w:bookmarkStart w:id="233" w:name="lay-summary-5"/>
    <w:p>
      <w:pPr>
        <w:pStyle w:val="Heading2"/>
      </w:pPr>
      <w:r>
        <w:t xml:space="preserve">Lay Summary</w:t>
      </w:r>
    </w:p>
    <w:p>
      <w:pPr>
        <w:pStyle w:val="FirstParagraph"/>
      </w:pPr>
      <w:r>
        <w:t xml:space="preserve"> </w:t>
      </w:r>
    </w:p>
    <w:bookmarkEnd w:id="233"/>
    <w:bookmarkStart w:id="237" w:name="introduction-3"/>
    <w:p>
      <w:pPr>
        <w:pStyle w:val="Heading2"/>
      </w:pPr>
      <w:r>
        <w:t xml:space="preserve">Introduction</w:t>
      </w:r>
    </w:p>
    <w:p>
      <w:pPr>
        <w:pStyle w:val="FirstParagraph"/>
      </w:pPr>
      <w:r>
        <w:t xml:space="preserve">This chapter will attempt to triangulate the evidence identified by the systematic review in Chapter</w:t>
      </w:r>
      <w:r>
        <w:t xml:space="preserve"> </w:t>
      </w:r>
      <w:r>
        <w:t xml:space="preserve">(sys-rev-heading)</w:t>
      </w:r>
    </w:p>
    <w:bookmarkStart w:id="234" w:name="definition-of-the-causal-question"/>
    <w:p>
      <w:pPr>
        <w:pStyle w:val="Heading3"/>
      </w:pPr>
      <w:r>
        <w:t xml:space="preserve">Definition of the causal question</w:t>
      </w:r>
    </w:p>
    <w:bookmarkEnd w:id="234"/>
    <w:bookmarkStart w:id="235" w:name="summary-of-triangulation"/>
    <w:p>
      <w:pPr>
        <w:pStyle w:val="Heading3"/>
      </w:pPr>
      <w:r>
        <w:t xml:space="preserve">Summary of triangulation</w:t>
      </w:r>
    </w:p>
    <w:p>
      <w:pPr>
        <w:pStyle w:val="FirstParagraph"/>
      </w:pPr>
      <w:r>
        <w:t xml:space="preserve">Need to check how much I talk about this in the introduction</w:t>
      </w:r>
    </w:p>
    <w:p>
      <w:pPr>
        <w:pStyle w:val="BodyText"/>
      </w:pPr>
      <w:r>
        <w:t xml:space="preserve">Describe in detail</w:t>
      </w:r>
    </w:p>
    <w:bookmarkEnd w:id="235"/>
    <w:bookmarkStart w:id="236" w:name="risk-of-bias-tool"/>
    <w:p>
      <w:pPr>
        <w:pStyle w:val="Heading3"/>
      </w:pPr>
      <w:r>
        <w:t xml:space="preserve">risk of bias tool</w:t>
      </w:r>
    </w:p>
    <w:p>
      <w:pPr>
        <w:pStyle w:val="FirstParagraph"/>
      </w:pPr>
      <w:r>
        <w:t xml:space="preserve">In addition, the tool also aim to capture the potential direction of bias for each result. Possible responses included:</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w:t>
      </w:r>
      <w:r>
        <w:t xml:space="preserve"> </w:t>
      </w:r>
      <w:r>
        <w:t xml:space="preserve">“</w:t>
      </w:r>
      <w:r>
        <w:t xml:space="preserve">Towards null</w:t>
      </w:r>
      <w:r>
        <w:t xml:space="preserve">”</w:t>
      </w:r>
      <w:r>
        <w:t xml:space="preserve">,</w:t>
      </w:r>
      <w:r>
        <w:t xml:space="preserve"> </w:t>
      </w:r>
      <w:r>
        <w:t xml:space="preserve">“</w:t>
      </w:r>
      <w:r>
        <w:t xml:space="preserve">Away from null</w:t>
      </w:r>
      <w:r>
        <w:t xml:space="preserve">”</w:t>
      </w:r>
      <w:r>
        <w:t xml:space="preserve">, and</w:t>
      </w:r>
      <w:r>
        <w:t xml:space="preserve"> </w:t>
      </w:r>
      <w:r>
        <w:t xml:space="preserve">“</w:t>
      </w:r>
      <w:r>
        <w:t xml:space="preserve">Unpredictable</w:t>
      </w:r>
      <w:r>
        <w:t xml:space="preserve">”</w:t>
      </w:r>
      <w:r>
        <w:t xml:space="preserve">.</w:t>
      </w:r>
    </w:p>
    <w:p>
      <w:pPr>
        <w:pStyle w:val="BodyText"/>
      </w:pPr>
      <w:r>
        <w:t xml:space="preserve">these levels only apply to existing tools, not the MR tool. However, a similar approach was employed.</w:t>
      </w:r>
    </w:p>
    <w:bookmarkEnd w:id="236"/>
    <w:bookmarkEnd w:id="237"/>
    <w:bookmarkStart w:id="238" w:name="graphical-representation"/>
    <w:p>
      <w:pPr>
        <w:pStyle w:val="Heading2"/>
      </w:pPr>
      <w:r>
        <w:t xml:space="preserve">Graphical representation</w:t>
      </w:r>
    </w:p>
    <w:p>
      <w:pPr>
        <w:pStyle w:val="FirstParagraph"/>
      </w:pPr>
      <w:r>
        <w:t xml:space="preserve">For the graphs, the direction of bias is important.</w:t>
      </w:r>
    </w:p>
    <w:p>
      <w:pPr>
        <w:pStyle w:val="BodyText"/>
      </w:pPr>
      <w:r>
        <w:t xml:space="preserve">Where the direction of bias was unclear/could not be determined from the</w:t>
      </w:r>
    </w:p>
    <w:p>
      <w:pPr>
        <w:pStyle w:val="BodyText"/>
      </w:pPr>
      <w:r>
        <w:t xml:space="preserve">A different approach was taken for the confounding versus other domains, as confounding will either pull to the left or right, regardless of where the effect estimate is, while other domains will pull towards/away from the null (e.g. non-differential misclassification). In this case, the program accounted for the position of the effect estimate when assigning a directional arrow to the</w:t>
      </w:r>
    </w:p>
    <w:p>
      <w:pPr>
        <w:pStyle w:val="BodyText"/>
      </w:pPr>
      <w:r>
        <w:t xml:space="preserve">These graphs were built using the risk of bias tool described in Appendix</w:t>
      </w:r>
      <w:r>
        <w:t xml:space="preserve"> </w:t>
      </w:r>
      <w:r>
        <w:t xml:space="preserve">()</w:t>
      </w:r>
    </w:p>
    <w:bookmarkEnd w:id="238"/>
    <w:bookmarkStart w:id="239" w:name="results-3"/>
    <w:p>
      <w:pPr>
        <w:pStyle w:val="Heading2"/>
      </w:pPr>
      <w:r>
        <w:t xml:space="preserve">Results</w:t>
      </w:r>
    </w:p>
    <w:p>
      <w:pPr>
        <w:pStyle w:val="FirstParagraph"/>
      </w:pPr>
      <w:r>
        <w:t xml:space="preserve">Compare bias-adjusted and</w:t>
      </w:r>
    </w:p>
    <w:p>
      <w:pPr>
        <w:pStyle w:val="BodyText"/>
      </w:pPr>
      <w:r>
        <w:t xml:space="preserve">See what happens if using additive (l=1,m=2,s=3,c=4) vs multiplicative/log scale (l=1,m=2,s=4,c=8). Present adjusted results and meta-analysis of adjusted results.</w:t>
      </w:r>
    </w:p>
    <w:bookmarkEnd w:id="239"/>
    <w:bookmarkStart w:id="240" w:name="discussion-4"/>
    <w:p>
      <w:pPr>
        <w:pStyle w:val="Heading2"/>
      </w:pPr>
      <w:r>
        <w:t xml:space="preserve">Discussion</w:t>
      </w:r>
    </w:p>
    <w:p>
      <w:pPr>
        <w:pStyle w:val="FirstParagraph"/>
      </w:pPr>
      <w:r>
        <w:t xml:space="preserve">I hope this presents step forward in how researchers think about and visualise triangulation at the result level, rather than simply saying that certain</w:t>
      </w:r>
    </w:p>
    <w:p>
      <w:pPr>
        <w:pStyle w:val="BodyText"/>
      </w:pPr>
      <w:r>
        <w:t xml:space="preserve">Compare and contrast with the nice example presented in the triangulation paper - realities of non-exemplars is that it is very hard to get this right.</w:t>
      </w:r>
    </w:p>
    <w:p>
      <w:pPr>
        <w:pStyle w:val="BodyText"/>
      </w:pPr>
      <w:r>
        <w:t xml:space="preserve">— Hold — Hold</w:t>
      </w:r>
    </w:p>
    <w:bookmarkEnd w:id="240"/>
    <w:bookmarkEnd w:id="241"/>
    <w:bookmarkStart w:id="255" w:name="discussion-heading"/>
    <w:p>
      <w:pPr>
        <w:pStyle w:val="Heading1"/>
      </w:pPr>
      <w:r>
        <w:t xml:space="preserve">Discussion</w:t>
      </w:r>
    </w:p>
    <w:p>
      <w:pPr>
        <w:pStyle w:val="FirstParagraph"/>
      </w:pPr>
    </w:p>
    <w:bookmarkStart w:id="243" w:name="Xaed70c6bfbe9ac75ed11abe63d990e0ab7358f2"/>
    <w:p>
      <w:pPr>
        <w:pStyle w:val="Heading2"/>
      </w:pPr>
      <w:r>
        <w:t xml:space="preserve">Triangulation across exisiting evidence and evidence produced in this thesis</w:t>
      </w:r>
    </w:p>
    <w:bookmarkStart w:id="242"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p>
    <w:bookmarkEnd w:id="242"/>
    <w:bookmarkEnd w:id="243"/>
    <w:bookmarkStart w:id="245" w:name="Xdd879574ed7e4402680cdf12424a81de2cba061"/>
    <w:p>
      <w:pPr>
        <w:pStyle w:val="Heading2"/>
      </w:pPr>
      <w:r>
        <w:t xml:space="preserve">Qualitative vs qunatitative triangulation</w:t>
      </w:r>
    </w:p>
    <w:bookmarkStart w:id="244" w:name="researcher-positionality-statement"/>
    <w:p>
      <w:pPr>
        <w:pStyle w:val="Heading3"/>
      </w:pPr>
      <w:r>
        <w:t xml:space="preserve">Researcher positionality statement</w:t>
      </w:r>
    </w:p>
    <w:p>
      <w:pPr>
        <w:pStyle w:val="FirstParagraph"/>
      </w:pPr>
      <w:r>
        <w:t xml:space="preserve"> </w:t>
      </w:r>
    </w:p>
    <w:bookmarkEnd w:id="244"/>
    <w:bookmarkEnd w:id="245"/>
    <w:bookmarkStart w:id="246"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p>
    <w:bookmarkEnd w:id="246"/>
    <w:bookmarkStart w:id="247" w:name="X19a11de4ab8606b74b5ad332dc48f14a8936b74"/>
    <w:p>
      <w:pPr>
        <w:pStyle w:val="Heading2"/>
      </w:pPr>
      <w:r>
        <w:t xml:space="preserve">Use of concensus panel to bring everything together</w:t>
      </w:r>
    </w:p>
    <w:p>
      <w:pPr>
        <w:pStyle w:val="FirstParagraph"/>
      </w:pPr>
      <w:r>
        <w:t xml:space="preserve"> </w:t>
      </w:r>
    </w:p>
    <w:bookmarkEnd w:id="247"/>
    <w:bookmarkStart w:id="248"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5"/>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p>
    <w:bookmarkEnd w:id="248"/>
    <w:bookmarkStart w:id="249" w:name="X3b130fc6d67361b601b7baea6ee52fa2c3412e8"/>
    <w:p>
      <w:pPr>
        <w:pStyle w:val="Heading2"/>
      </w:pPr>
      <w:r>
        <w:t xml:space="preserve">Summary of findings (and implications for policy makers)</w:t>
      </w:r>
    </w:p>
    <w:p>
      <w:pPr>
        <w:pStyle w:val="FirstParagraph"/>
      </w:pPr>
      <w:r>
        <w:t xml:space="preserve"> </w:t>
      </w:r>
    </w:p>
    <w:bookmarkEnd w:id="249"/>
    <w:bookmarkStart w:id="250" w:name="strengths-and-limitations-2"/>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208</w:t>
        </w:r>
      </w:hyperlink>
    </w:p>
    <w:p>
      <w:pPr>
        <w:pStyle w:val="BodyText"/>
      </w:pPr>
      <w:r>
        <w:t xml:space="preserve"> </w:t>
      </w:r>
      <w:r>
        <w:t xml:space="preserve"> </w:t>
      </w:r>
    </w:p>
    <w:bookmarkEnd w:id="250"/>
    <w:bookmarkStart w:id="251"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51"/>
    <w:bookmarkStart w:id="252"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52"/>
    <w:bookmarkStart w:id="253" w:name="future-work"/>
    <w:p>
      <w:pPr>
        <w:pStyle w:val="Heading2"/>
      </w:pPr>
      <w:r>
        <w:t xml:space="preserve">Future work</w:t>
      </w:r>
    </w:p>
    <w:p>
      <w:pPr>
        <w:pStyle w:val="FirstParagraph"/>
      </w:pPr>
      <w:r>
        <w:t xml:space="preserve"> </w:t>
      </w:r>
      <w:r>
        <w:t xml:space="preserve"> </w:t>
      </w:r>
    </w:p>
    <w:bookmarkEnd w:id="253"/>
    <w:bookmarkStart w:id="254" w:name="overall-conclusions"/>
    <w:p>
      <w:pPr>
        <w:pStyle w:val="Heading2"/>
      </w:pPr>
      <w:r>
        <w:t xml:space="preserve">Overall conclusions</w:t>
      </w:r>
    </w:p>
    <w:bookmarkEnd w:id="254"/>
    <w:bookmarkEnd w:id="255"/>
    <w:bookmarkStart w:id="256" w:name="bibliography"/>
    <w:p>
      <w:pPr>
        <w:pStyle w:val="Heading1"/>
      </w:pPr>
      <w:r>
        <w:t xml:space="preserve">Bibliography</w:t>
      </w:r>
    </w:p>
    <w:bookmarkEnd w:id="256"/>
    <w:bookmarkStart w:id="483" w:name="bibliography-1"/>
    <w:p>
      <w:pPr>
        <w:pStyle w:val="Heading1"/>
      </w:pPr>
      <w:r>
        <w:t xml:space="preserve">Bibliography</w:t>
      </w:r>
    </w:p>
    <w:bookmarkStart w:id="482" w:name="refs"/>
    <w:bookmarkStart w:id="257"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57"/>
    <w:bookmarkStart w:id="258"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58"/>
    <w:bookmarkStart w:id="259"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59"/>
    <w:bookmarkStart w:id="260"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60"/>
    <w:bookmarkStart w:id="261"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61"/>
    <w:bookmarkStart w:id="262"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62"/>
    <w:bookmarkStart w:id="263"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63"/>
    <w:bookmarkStart w:id="264"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264"/>
    <w:bookmarkStart w:id="265"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265"/>
    <w:bookmarkStart w:id="266"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266"/>
    <w:bookmarkStart w:id="267"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267"/>
    <w:bookmarkStart w:id="268"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268"/>
    <w:bookmarkStart w:id="269"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269"/>
    <w:bookmarkStart w:id="270"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270"/>
    <w:bookmarkStart w:id="271"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271"/>
    <w:bookmarkStart w:id="272"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72"/>
    <w:bookmarkStart w:id="274"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73">
        <w:r>
          <w:rPr>
            <w:rStyle w:val="Hyperlink"/>
          </w:rPr>
          <w:t xml:space="preserve">10.1016/j.neuropharm.2020.108352</w:t>
        </w:r>
      </w:hyperlink>
    </w:p>
    <w:bookmarkEnd w:id="274"/>
    <w:bookmarkStart w:id="275"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75"/>
    <w:bookmarkStart w:id="276"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76"/>
    <w:bookmarkStart w:id="277"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77"/>
    <w:bookmarkStart w:id="278" w:name="ref-anstey2019"/>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278"/>
    <w:bookmarkStart w:id="279"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79"/>
    <w:bookmarkStart w:id="280"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80"/>
    <w:bookmarkStart w:id="281"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81"/>
    <w:bookmarkStart w:id="282"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82"/>
    <w:bookmarkStart w:id="283"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83"/>
    <w:bookmarkStart w:id="284"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84"/>
    <w:bookmarkStart w:id="285"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85"/>
    <w:bookmarkStart w:id="286"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86"/>
    <w:bookmarkStart w:id="287"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87"/>
    <w:bookmarkStart w:id="288"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288"/>
    <w:bookmarkStart w:id="289"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289"/>
    <w:bookmarkStart w:id="290"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290"/>
    <w:bookmarkStart w:id="291"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91"/>
    <w:bookmarkStart w:id="292"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92"/>
    <w:bookmarkStart w:id="293"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93"/>
    <w:bookmarkStart w:id="294"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94"/>
    <w:bookmarkStart w:id="295"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95"/>
    <w:bookmarkStart w:id="296"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96"/>
    <w:bookmarkStart w:id="297"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97"/>
    <w:bookmarkStart w:id="298"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98"/>
    <w:bookmarkStart w:id="299"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99"/>
    <w:bookmarkStart w:id="300"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00"/>
    <w:bookmarkStart w:id="301"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01"/>
    <w:bookmarkStart w:id="302"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02"/>
    <w:bookmarkStart w:id="303"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03"/>
    <w:bookmarkStart w:id="304"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04"/>
    <w:bookmarkStart w:id="305"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05"/>
    <w:bookmarkStart w:id="306" w:name="ref-mainous2005"/>
    <w:p>
      <w:pPr>
        <w:pStyle w:val="Bibliography"/>
      </w:pPr>
      <w:r>
        <w:t xml:space="preserve">49.</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06"/>
    <w:bookmarkStart w:id="307" w:name="ref-mielke2010"/>
    <w:p>
      <w:pPr>
        <w:pStyle w:val="Bibliography"/>
      </w:pPr>
      <w:r>
        <w:t xml:space="preserve">50.</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07"/>
    <w:bookmarkStart w:id="308" w:name="ref-mielke2005"/>
    <w:p>
      <w:pPr>
        <w:pStyle w:val="Bibliography"/>
      </w:pPr>
      <w:r>
        <w:t xml:space="preserve">51.</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08"/>
    <w:bookmarkStart w:id="309" w:name="ref-moroney1999"/>
    <w:p>
      <w:pPr>
        <w:pStyle w:val="Bibliography"/>
      </w:pPr>
      <w:r>
        <w:t xml:space="preserve">52.</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09"/>
    <w:bookmarkStart w:id="310" w:name="ref-anstey2015"/>
    <w:p>
      <w:pPr>
        <w:pStyle w:val="Bibliography"/>
      </w:pPr>
      <w:r>
        <w:t xml:space="preserve">53.</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 (2015).</w:t>
      </w:r>
    </w:p>
    <w:bookmarkEnd w:id="310"/>
    <w:bookmarkStart w:id="311" w:name="ref-chu2018"/>
    <w:p>
      <w:pPr>
        <w:pStyle w:val="Bibliography"/>
      </w:pPr>
      <w:r>
        <w:t xml:space="preserve">54.</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11"/>
    <w:bookmarkStart w:id="312" w:name="ref-ritchie2015"/>
    <w:p>
      <w:pPr>
        <w:pStyle w:val="Bibliography"/>
      </w:pPr>
      <w:r>
        <w:t xml:space="preserve">55.</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12"/>
    <w:bookmarkStart w:id="313" w:name="ref-trompet2010"/>
    <w:p>
      <w:pPr>
        <w:pStyle w:val="Bibliography"/>
      </w:pPr>
      <w:r>
        <w:t xml:space="preserve">56.</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13"/>
    <w:bookmarkStart w:id="314" w:name="ref-daveysmith2014"/>
    <w:p>
      <w:pPr>
        <w:pStyle w:val="Bibliography"/>
      </w:pPr>
      <w:r>
        <w:t xml:space="preserve">57.</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14"/>
    <w:bookmarkStart w:id="315" w:name="ref-greenland2000"/>
    <w:p>
      <w:pPr>
        <w:pStyle w:val="Bibliography"/>
      </w:pPr>
      <w:r>
        <w:t xml:space="preserve">58.</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15"/>
    <w:bookmarkStart w:id="316" w:name="ref-davies2018"/>
    <w:p>
      <w:pPr>
        <w:pStyle w:val="Bibliography"/>
      </w:pPr>
      <w:r>
        <w:t xml:space="preserve">59.</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16"/>
    <w:bookmarkStart w:id="317" w:name="ref-larsson2017c"/>
    <w:p>
      <w:pPr>
        <w:pStyle w:val="Bibliography"/>
      </w:pPr>
      <w:r>
        <w:t xml:space="preserve">60.</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17"/>
    <w:bookmarkStart w:id="318" w:name="ref-ostergaard2015"/>
    <w:p>
      <w:pPr>
        <w:pStyle w:val="Bibliography"/>
      </w:pPr>
      <w:r>
        <w:t xml:space="preserve">61.</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18"/>
    <w:bookmarkStart w:id="319" w:name="ref-kim2009"/>
    <w:p>
      <w:pPr>
        <w:pStyle w:val="Bibliography"/>
      </w:pPr>
      <w:r>
        <w:t xml:space="preserve">62.</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19"/>
    <w:bookmarkStart w:id="320" w:name="ref-benn2017"/>
    <w:p>
      <w:pPr>
        <w:pStyle w:val="Bibliography"/>
      </w:pPr>
      <w:r>
        <w:t xml:space="preserve">63.</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320"/>
    <w:bookmarkStart w:id="321" w:name="ref-donnelly2018a"/>
    <w:p>
      <w:pPr>
        <w:pStyle w:val="Bibliography"/>
      </w:pPr>
      <w:r>
        <w:t xml:space="preserve">64.</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21"/>
    <w:bookmarkStart w:id="322" w:name="ref-chandler2019chapter"/>
    <w:p>
      <w:pPr>
        <w:pStyle w:val="Bibliography"/>
      </w:pPr>
      <w:r>
        <w:t xml:space="preserve">65.</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22"/>
    <w:bookmarkStart w:id="323" w:name="ref-conn2003"/>
    <w:p>
      <w:pPr>
        <w:pStyle w:val="Bibliography"/>
      </w:pPr>
      <w:r>
        <w:t xml:space="preserve">66.</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23"/>
    <w:bookmarkStart w:id="324" w:name="ref-mcauley2000"/>
    <w:p>
      <w:pPr>
        <w:pStyle w:val="Bibliography"/>
      </w:pPr>
      <w:r>
        <w:t xml:space="preserve">67.</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24"/>
    <w:bookmarkStart w:id="326" w:name="ref-hopewell2007"/>
    <w:p>
      <w:pPr>
        <w:pStyle w:val="Bibliography"/>
      </w:pPr>
      <w:r>
        <w:t xml:space="preserve">68.</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325">
        <w:r>
          <w:rPr>
            <w:rStyle w:val="Hyperlink"/>
          </w:rPr>
          <w:t xml:space="preserve">10.1002/14651858.MR000010.pub3</w:t>
        </w:r>
      </w:hyperlink>
    </w:p>
    <w:bookmarkEnd w:id="326"/>
    <w:bookmarkStart w:id="327" w:name="ref-lefebvre2019searching"/>
    <w:p>
      <w:pPr>
        <w:pStyle w:val="Bibliography"/>
      </w:pPr>
      <w:r>
        <w:t xml:space="preserve">69.</w:t>
      </w:r>
      <w:r>
        <w:t xml:space="preserve"> </w:t>
      </w:r>
      <w:r>
        <w:t xml:space="preserve">	</w:t>
      </w:r>
      <w:r>
        <w:t xml:space="preserve">Lefebvre, C.</w:t>
      </w:r>
      <w:r>
        <w:t xml:space="preserve"> </w:t>
      </w:r>
      <w:r>
        <w:rPr>
          <w:iCs/>
          <w:i/>
        </w:rPr>
        <w:t xml:space="preserve">et al.</w:t>
      </w:r>
      <w:r>
        <w:t xml:space="preserve"> Chapter 4:</w:t>
      </w:r>
      <w:r>
        <w:t xml:space="preserve"> </w:t>
      </w:r>
      <w:r>
        <w:t xml:space="preserve">Searching</w:t>
      </w:r>
      <w:r>
        <w:t xml:space="preserve"> </w:t>
      </w:r>
      <w:r>
        <w:t xml:space="preserve">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327"/>
    <w:bookmarkStart w:id="328" w:name="ref-committeeonpublicationethicscope2018"/>
    <w:p>
      <w:pPr>
        <w:pStyle w:val="Bibliography"/>
      </w:pPr>
      <w:r>
        <w:t xml:space="preserve">70.</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328"/>
    <w:bookmarkStart w:id="329" w:name="ref-vale2016"/>
    <w:p>
      <w:pPr>
        <w:pStyle w:val="Bibliography"/>
      </w:pPr>
      <w:r>
        <w:t xml:space="preserve">71.</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329"/>
    <w:bookmarkStart w:id="330" w:name="ref-rosenthal1979"/>
    <w:p>
      <w:pPr>
        <w:pStyle w:val="Bibliography"/>
      </w:pPr>
      <w:r>
        <w:t xml:space="preserve">72.</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330"/>
    <w:bookmarkStart w:id="331" w:name="ref-maslove2018"/>
    <w:p>
      <w:pPr>
        <w:pStyle w:val="Bibliography"/>
      </w:pPr>
      <w:r>
        <w:t xml:space="preserve">73.</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331"/>
    <w:bookmarkStart w:id="332" w:name="ref-schalkwyk2020"/>
    <w:p>
      <w:pPr>
        <w:pStyle w:val="Bibliography"/>
      </w:pPr>
      <w:r>
        <w:t xml:space="preserve">74.</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332"/>
    <w:bookmarkStart w:id="333" w:name="ref-mahood2014"/>
    <w:p>
      <w:pPr>
        <w:pStyle w:val="Bibliography"/>
      </w:pPr>
      <w:r>
        <w:t xml:space="preserve">75.</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333"/>
    <w:bookmarkStart w:id="334" w:name="ref-klein2019"/>
    <w:p>
      <w:pPr>
        <w:pStyle w:val="Bibliography"/>
      </w:pPr>
      <w:r>
        <w:t xml:space="preserve">76.</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34"/>
    <w:bookmarkStart w:id="336" w:name="ref-nicholson2021"/>
    <w:p>
      <w:pPr>
        <w:pStyle w:val="Bibliography"/>
      </w:pPr>
      <w:r>
        <w:t xml:space="preserve">77.</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35">
        <w:r>
          <w:rPr>
            <w:rStyle w:val="Hyperlink"/>
          </w:rPr>
          <w:t xml:space="preserve">10.1101/2021.03.04.433874</w:t>
        </w:r>
      </w:hyperlink>
    </w:p>
    <w:bookmarkEnd w:id="336"/>
    <w:bookmarkStart w:id="337" w:name="ref-munafo2018"/>
    <w:p>
      <w:pPr>
        <w:pStyle w:val="Bibliography"/>
      </w:pPr>
      <w:r>
        <w:t xml:space="preserve">78.</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37"/>
    <w:bookmarkStart w:id="338" w:name="ref-page2021"/>
    <w:p>
      <w:pPr>
        <w:pStyle w:val="Bibliography"/>
      </w:pPr>
      <w:r>
        <w:t xml:space="preserve">79.</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38"/>
    <w:bookmarkStart w:id="339" w:name="ref-mcguinness2018"/>
    <w:p>
      <w:pPr>
        <w:pStyle w:val="Bibliography"/>
      </w:pPr>
      <w:r>
        <w:t xml:space="preserve">80.</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39"/>
    <w:bookmarkStart w:id="340" w:name="ref-riley2010"/>
    <w:p>
      <w:pPr>
        <w:pStyle w:val="Bibliography"/>
      </w:pPr>
      <w:r>
        <w:t xml:space="preserve">81.</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40"/>
    <w:bookmarkStart w:id="341" w:name="ref-stewart1993"/>
    <w:p>
      <w:pPr>
        <w:pStyle w:val="Bibliography"/>
      </w:pPr>
      <w:r>
        <w:t xml:space="preserve">82.</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41"/>
    <w:bookmarkStart w:id="342" w:name="ref-arain2009"/>
    <w:p>
      <w:pPr>
        <w:pStyle w:val="Bibliography"/>
      </w:pPr>
      <w:r>
        <w:t xml:space="preserve">83.</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42"/>
    <w:bookmarkStart w:id="343" w:name="ref-clayton2018"/>
    <w:p>
      <w:pPr>
        <w:pStyle w:val="Bibliography"/>
      </w:pPr>
      <w:r>
        <w:t xml:space="preserve">84.</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43"/>
    <w:bookmarkStart w:id="344" w:name="ref-mccartney2016"/>
    <w:p>
      <w:pPr>
        <w:pStyle w:val="Bibliography"/>
      </w:pPr>
      <w:r>
        <w:t xml:space="preserve">85.</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44"/>
    <w:bookmarkStart w:id="345" w:name="ref-letenneur1999"/>
    <w:p>
      <w:pPr>
        <w:pStyle w:val="Bibliography"/>
      </w:pPr>
      <w:r>
        <w:t xml:space="preserve">86.</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45"/>
    <w:bookmarkStart w:id="346" w:name="ref-riley2020"/>
    <w:p>
      <w:pPr>
        <w:pStyle w:val="Bibliography"/>
      </w:pPr>
      <w:r>
        <w:t xml:space="preserve">87.</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346"/>
    <w:bookmarkStart w:id="347" w:name="ref-stewart2002"/>
    <w:p>
      <w:pPr>
        <w:pStyle w:val="Bibliography"/>
      </w:pPr>
      <w:r>
        <w:t xml:space="preserve">88.</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47"/>
    <w:bookmarkStart w:id="348" w:name="ref-tugwell2010"/>
    <w:p>
      <w:pPr>
        <w:pStyle w:val="Bibliography"/>
      </w:pPr>
      <w:r>
        <w:t xml:space="preserve">89.</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48"/>
    <w:bookmarkStart w:id="349" w:name="ref-nevitt2017a"/>
    <w:p>
      <w:pPr>
        <w:pStyle w:val="Bibliography"/>
      </w:pPr>
      <w:r>
        <w:t xml:space="preserve">90.</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349"/>
    <w:bookmarkStart w:id="350" w:name="ref-ventresca2020"/>
    <w:p>
      <w:pPr>
        <w:pStyle w:val="Bibliography"/>
      </w:pPr>
      <w:r>
        <w:t xml:space="preserve">91.</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50"/>
    <w:bookmarkStart w:id="351" w:name="ref-alsheikh-ali2011"/>
    <w:p>
      <w:pPr>
        <w:pStyle w:val="Bibliography"/>
      </w:pPr>
      <w:r>
        <w:t xml:space="preserve">92.</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51"/>
    <w:bookmarkStart w:id="352" w:name="ref-vines2014"/>
    <w:p>
      <w:pPr>
        <w:pStyle w:val="Bibliography"/>
      </w:pPr>
      <w:r>
        <w:t xml:space="preserve">93.</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52"/>
    <w:bookmarkStart w:id="353" w:name="ref-wartenberg2010"/>
    <w:p>
      <w:pPr>
        <w:pStyle w:val="Bibliography"/>
      </w:pPr>
      <w:r>
        <w:t xml:space="preserve">94.</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53"/>
    <w:bookmarkStart w:id="354" w:name="ref-bauermeister2020"/>
    <w:p>
      <w:pPr>
        <w:pStyle w:val="Bibliography"/>
      </w:pPr>
      <w:r>
        <w:t xml:space="preserve">95.</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54"/>
    <w:bookmarkStart w:id="355" w:name="ref-rawlinson2019"/>
    <w:p>
      <w:pPr>
        <w:pStyle w:val="Bibliography"/>
      </w:pPr>
      <w:r>
        <w:t xml:space="preserve">96.</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55"/>
    <w:bookmarkStart w:id="357" w:name="ref-sever2019"/>
    <w:p>
      <w:pPr>
        <w:pStyle w:val="Bibliography"/>
      </w:pPr>
      <w:r>
        <w:t xml:space="preserve">97.</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56">
        <w:r>
          <w:rPr>
            <w:rStyle w:val="Hyperlink"/>
          </w:rPr>
          <w:t xml:space="preserve">10.1101/833400</w:t>
        </w:r>
      </w:hyperlink>
    </w:p>
    <w:bookmarkEnd w:id="357"/>
    <w:bookmarkStart w:id="358" w:name="ref-bramer2018a"/>
    <w:p>
      <w:pPr>
        <w:pStyle w:val="Bibliography"/>
      </w:pPr>
      <w:r>
        <w:t xml:space="preserve">98.</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58"/>
    <w:bookmarkStart w:id="359" w:name="ref-gusenbauer2020"/>
    <w:p>
      <w:pPr>
        <w:pStyle w:val="Bibliography"/>
      </w:pPr>
      <w:r>
        <w:t xml:space="preserve">99.</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59"/>
    <w:bookmarkStart w:id="360" w:name="ref-zotero-15029"/>
    <w:p>
      <w:pPr>
        <w:pStyle w:val="Bibliography"/>
      </w:pPr>
      <w:r>
        <w:t xml:space="preserve">100.</w:t>
      </w:r>
      <w:r>
        <w:t xml:space="preserve"> </w:t>
      </w:r>
      <w:r>
        <w:t xml:space="preserve">	</w:t>
      </w:r>
      <w:r>
        <w:t xml:space="preserve">Ropensci/medrxivr:</w:t>
      </w:r>
      <w:r>
        <w:t xml:space="preserve"> </w:t>
      </w:r>
      <w:r>
        <w:t xml:space="preserve">Access</w:t>
      </w:r>
      <w:r>
        <w:t xml:space="preserve"> </w:t>
      </w:r>
      <w:r>
        <w:t xml:space="preserve">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360"/>
    <w:bookmarkStart w:id="361" w:name="ref-wateridge1995"/>
    <w:p>
      <w:pPr>
        <w:pStyle w:val="Bibliography"/>
      </w:pPr>
      <w:r>
        <w:t xml:space="preserve">101.</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61"/>
    <w:bookmarkStart w:id="362" w:name="ref-abdill2019"/>
    <w:p>
      <w:pPr>
        <w:pStyle w:val="Bibliography"/>
      </w:pPr>
      <w:r>
        <w:t xml:space="preserve">102.</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62"/>
    <w:bookmarkStart w:id="363" w:name="ref-zotero-15027"/>
    <w:p>
      <w:pPr>
        <w:pStyle w:val="Bibliography"/>
      </w:pPr>
      <w:r>
        <w:t xml:space="preserve">103.</w:t>
      </w:r>
      <w:r>
        <w:t xml:space="preserve"> </w:t>
      </w:r>
      <w:r>
        <w:t xml:space="preserve">	</w:t>
      </w:r>
      <w:r>
        <w:t xml:space="preserve">Rxivist:</w:t>
      </w:r>
      <w:r>
        <w:t xml:space="preserve"> </w:t>
      </w:r>
      <w:r>
        <w:t xml:space="preserve">Explore</w:t>
      </w:r>
      <w:r>
        <w:t xml:space="preserve"> </w:t>
      </w:r>
      <w:r>
        <w:t xml:space="preserve">popular biology preprints.</w:t>
      </w:r>
    </w:p>
    <w:bookmarkEnd w:id="363"/>
    <w:bookmarkStart w:id="364" w:name="ref-iwema2016"/>
    <w:p>
      <w:pPr>
        <w:pStyle w:val="Bibliography"/>
      </w:pPr>
      <w:r>
        <w:t xml:space="preserve">104.</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64"/>
    <w:bookmarkStart w:id="366" w:name="ref-shaw2002"/>
    <w:p>
      <w:pPr>
        <w:pStyle w:val="Bibliography"/>
      </w:pPr>
      <w:r>
        <w:t xml:space="preserve">105.</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65">
        <w:r>
          <w:rPr>
            <w:rStyle w:val="Hyperlink"/>
          </w:rPr>
          <w:t xml:space="preserve">10.1145/582128.582152</w:t>
        </w:r>
      </w:hyperlink>
    </w:p>
    <w:bookmarkEnd w:id="366"/>
    <w:bookmarkStart w:id="367" w:name="ref-laprie1992"/>
    <w:p>
      <w:pPr>
        <w:pStyle w:val="Bibliography"/>
      </w:pPr>
      <w:r>
        <w:t xml:space="preserve">106.</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67"/>
    <w:bookmarkStart w:id="368" w:name="ref-rcoreteam2019"/>
    <w:p>
      <w:pPr>
        <w:pStyle w:val="Bibliography"/>
      </w:pPr>
      <w:r>
        <w:t xml:space="preserve">107.</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68"/>
    <w:bookmarkStart w:id="369" w:name="ref-zotero-15031"/>
    <w:p>
      <w:pPr>
        <w:pStyle w:val="Bibliography"/>
      </w:pPr>
      <w:r>
        <w:t xml:space="preserve">108.</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369"/>
    <w:bookmarkStart w:id="370" w:name="ref-rethlefsen2021prisma"/>
    <w:p>
      <w:pPr>
        <w:pStyle w:val="Bibliography"/>
      </w:pPr>
      <w:r>
        <w:t xml:space="preserve">109.</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370"/>
    <w:bookmarkStart w:id="371" w:name="ref-bramer2018"/>
    <w:p>
      <w:pPr>
        <w:pStyle w:val="Bibliography"/>
      </w:pPr>
      <w:r>
        <w:t xml:space="preserve">110.</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71"/>
    <w:bookmarkStart w:id="373" w:name="ref-kodvanj2020"/>
    <w:p>
      <w:pPr>
        <w:pStyle w:val="Bibliography"/>
      </w:pPr>
      <w:r>
        <w:t xml:space="preserve">111.</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72">
        <w:r>
          <w:rPr>
            <w:rStyle w:val="Hyperlink"/>
          </w:rPr>
          <w:t xml:space="preserve">10.1101/2020.11.23.394577</w:t>
        </w:r>
      </w:hyperlink>
    </w:p>
    <w:bookmarkEnd w:id="373"/>
    <w:bookmarkStart w:id="374" w:name="ref-noone2020"/>
    <w:p>
      <w:pPr>
        <w:pStyle w:val="Bibliography"/>
      </w:pPr>
      <w:r>
        <w:t xml:space="preserve">112.</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74"/>
    <w:bookmarkStart w:id="375" w:name="ref-grassly2020"/>
    <w:p>
      <w:pPr>
        <w:pStyle w:val="Bibliography"/>
      </w:pPr>
      <w:r>
        <w:t xml:space="preserve">113.</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75"/>
    <w:bookmarkStart w:id="376" w:name="ref-boettiger2015"/>
    <w:p>
      <w:pPr>
        <w:pStyle w:val="Bibliography"/>
      </w:pPr>
      <w:r>
        <w:t xml:space="preserve">114.</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76"/>
    <w:bookmarkStart w:id="377" w:name="ref-zotero-15016"/>
    <w:p>
      <w:pPr>
        <w:pStyle w:val="Bibliography"/>
      </w:pPr>
      <w:r>
        <w:t xml:space="preserve">115.</w:t>
      </w:r>
      <w:r>
        <w:t xml:space="preserve"> </w:t>
      </w:r>
      <w:r>
        <w:t xml:space="preserve">	</w:t>
      </w:r>
      <w:r>
        <w:t xml:space="preserve">Issue #380 - medrxivr:</w:t>
      </w:r>
      <w:r>
        <w:t xml:space="preserve"> </w:t>
      </w:r>
      <w:r>
        <w:t xml:space="preserve">Accessing</w:t>
      </w:r>
      <w:r>
        <w:t xml:space="preserve"> </w:t>
      </w:r>
      <w:r>
        <w:t xml:space="preserve">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377"/>
    <w:bookmarkStart w:id="379" w:name="ref-bong2019"/>
    <w:p>
      <w:pPr>
        <w:pStyle w:val="Bibliography"/>
      </w:pPr>
      <w:r>
        <w:t xml:space="preserve">116.</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78">
        <w:r>
          <w:rPr>
            <w:rStyle w:val="Hyperlink"/>
          </w:rPr>
          <w:t xml:space="preserve">10.1101/19000265</w:t>
        </w:r>
      </w:hyperlink>
    </w:p>
    <w:bookmarkEnd w:id="379"/>
    <w:bookmarkStart w:id="380" w:name="ref-song2010"/>
    <w:p>
      <w:pPr>
        <w:pStyle w:val="Bibliography"/>
      </w:pPr>
      <w:r>
        <w:t xml:space="preserve">117.</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80"/>
    <w:bookmarkStart w:id="381" w:name="ref-abdill2019b"/>
    <w:p>
      <w:pPr>
        <w:pStyle w:val="Bibliography"/>
      </w:pPr>
      <w:r>
        <w:t xml:space="preserve">118.</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381"/>
    <w:bookmarkStart w:id="383" w:name="ref-vuorre2020"/>
    <w:p>
      <w:pPr>
        <w:pStyle w:val="Bibliography"/>
      </w:pPr>
      <w:r>
        <w:t xml:space="preserve">119.</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82">
        <w:r>
          <w:rPr>
            <w:rStyle w:val="Hyperlink"/>
          </w:rPr>
          <w:t xml:space="preserve">10.3758/s13428-020-01436-x</w:t>
        </w:r>
      </w:hyperlink>
    </w:p>
    <w:bookmarkEnd w:id="383"/>
    <w:bookmarkStart w:id="385" w:name="ref-mcguinnessluke2020"/>
    <w:p>
      <w:pPr>
        <w:pStyle w:val="Bibliography"/>
      </w:pPr>
      <w:r>
        <w:t xml:space="preserve">120.</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384">
        <w:r>
          <w:rPr>
            <w:rStyle w:val="Hyperlink"/>
          </w:rPr>
          <w:t xml:space="preserve">10.17605/OSF.IO/VTW5Y</w:t>
        </w:r>
      </w:hyperlink>
    </w:p>
    <w:bookmarkEnd w:id="385"/>
    <w:bookmarkStart w:id="386" w:name="ref-gusenbauer2020a"/>
    <w:p>
      <w:pPr>
        <w:pStyle w:val="Bibliography"/>
      </w:pPr>
      <w:r>
        <w:t xml:space="preserve">121.</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86"/>
    <w:bookmarkStart w:id="387" w:name="ref-bramer2016"/>
    <w:p>
      <w:pPr>
        <w:pStyle w:val="Bibliography"/>
      </w:pPr>
      <w:r>
        <w:t xml:space="preserve">122.</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87"/>
    <w:bookmarkStart w:id="388" w:name="ref-hupe2019"/>
    <w:p>
      <w:pPr>
        <w:pStyle w:val="Bibliography"/>
      </w:pPr>
      <w:r>
        <w:t xml:space="preserve">123.</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388"/>
    <w:bookmarkStart w:id="389" w:name="ref-ouzzani2016"/>
    <w:p>
      <w:pPr>
        <w:pStyle w:val="Bibliography"/>
      </w:pPr>
      <w:r>
        <w:t xml:space="preserve">124.</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89"/>
    <w:bookmarkStart w:id="390" w:name="ref-roman1993"/>
    <w:p>
      <w:pPr>
        <w:pStyle w:val="Bibliography"/>
      </w:pPr>
      <w:r>
        <w:t xml:space="preserve">125.</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390"/>
    <w:bookmarkStart w:id="391" w:name="ref-edition2013"/>
    <w:p>
      <w:pPr>
        <w:pStyle w:val="Bibliography"/>
      </w:pPr>
      <w:r>
        <w:t xml:space="preserve">126.</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391"/>
    <w:bookmarkStart w:id="392" w:name="ref-gwet2008"/>
    <w:p>
      <w:pPr>
        <w:pStyle w:val="Bibliography"/>
      </w:pPr>
      <w:r>
        <w:t xml:space="preserve">127.</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92"/>
    <w:bookmarkStart w:id="393" w:name="ref-cohen1960"/>
    <w:p>
      <w:pPr>
        <w:pStyle w:val="Bibliography"/>
      </w:pPr>
      <w:r>
        <w:t xml:space="preserve">128.</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93"/>
    <w:bookmarkStart w:id="394" w:name="ref-wongpakaran2013"/>
    <w:p>
      <w:pPr>
        <w:pStyle w:val="Bibliography"/>
      </w:pPr>
      <w:r>
        <w:t xml:space="preserve">129.</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94"/>
    <w:bookmarkStart w:id="395" w:name="ref-brennan1992"/>
    <w:p>
      <w:pPr>
        <w:pStyle w:val="Bibliography"/>
      </w:pPr>
      <w:r>
        <w:t xml:space="preserve">130.</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395"/>
    <w:bookmarkStart w:id="396" w:name="ref-mchugh2012"/>
    <w:p>
      <w:pPr>
        <w:pStyle w:val="Bibliography"/>
      </w:pPr>
      <w:r>
        <w:t xml:space="preserve">131.</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96"/>
    <w:bookmarkStart w:id="397" w:name="ref-higgins2019"/>
    <w:p>
      <w:pPr>
        <w:pStyle w:val="Bibliography"/>
      </w:pPr>
      <w:r>
        <w:t xml:space="preserve">132.</w:t>
      </w:r>
      <w:r>
        <w:t xml:space="preserve"> </w:t>
      </w:r>
      <w:r>
        <w:t xml:space="preserve">	</w:t>
      </w:r>
      <w:r>
        <w:t xml:space="preserve">Higgins, J. P., Li, T. &amp; Deeks, J. J. Section 6.5.2.10 :</w:t>
      </w:r>
      <w:r>
        <w:t xml:space="preserve"> </w:t>
      </w:r>
      <w:r>
        <w:t xml:space="preserve">Combining</w:t>
      </w:r>
      <w:r>
        <w:t xml:space="preserve"> </w:t>
      </w:r>
      <w:r>
        <w:t xml:space="preserve">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397"/>
    <w:bookmarkStart w:id="398" w:name="ref-reynders2019"/>
    <w:p>
      <w:pPr>
        <w:pStyle w:val="Bibliography"/>
      </w:pPr>
      <w:r>
        <w:t xml:space="preserve">133.</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398"/>
    <w:bookmarkStart w:id="399" w:name="ref-mckenzie2019"/>
    <w:p>
      <w:pPr>
        <w:pStyle w:val="Bibliography"/>
      </w:pPr>
      <w:r>
        <w:t xml:space="preserve">134.</w:t>
      </w:r>
      <w:r>
        <w:t xml:space="preserve"> </w:t>
      </w:r>
      <w:r>
        <w:t xml:space="preserve">	</w:t>
      </w:r>
      <w:r>
        <w:t xml:space="preserve">McKenzie, J. E. &amp; Brennan, S. E. Section 12.1:</w:t>
      </w:r>
      <w:r>
        <w:t xml:space="preserve"> </w:t>
      </w:r>
      <w:r>
        <w:t xml:space="preserve">Why</w:t>
      </w:r>
      <w:r>
        <w:t xml:space="preserve"> </w:t>
      </w:r>
      <w:r>
        <w:t xml:space="preserve">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399"/>
    <w:bookmarkStart w:id="400" w:name="ref-sterne2016"/>
    <w:p>
      <w:pPr>
        <w:pStyle w:val="Bibliography"/>
      </w:pPr>
      <w:r>
        <w:t xml:space="preserve">135.</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00"/>
    <w:bookmarkStart w:id="401" w:name="ref-campbell1957"/>
    <w:p>
      <w:pPr>
        <w:pStyle w:val="Bibliography"/>
      </w:pPr>
      <w:r>
        <w:t xml:space="preserve">136.</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401"/>
    <w:bookmarkStart w:id="402" w:name="ref-juni2001"/>
    <w:p>
      <w:pPr>
        <w:pStyle w:val="Bibliography"/>
      </w:pPr>
      <w:r>
        <w:t xml:space="preserve">137.</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402"/>
    <w:bookmarkStart w:id="403" w:name="ref-sterne2019"/>
    <w:p>
      <w:pPr>
        <w:pStyle w:val="Bibliography"/>
      </w:pPr>
      <w:r>
        <w:t xml:space="preserve">138.</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403"/>
    <w:bookmarkStart w:id="404" w:name="ref-morganr2020"/>
    <w:p>
      <w:pPr>
        <w:pStyle w:val="Bibliography"/>
      </w:pPr>
      <w:r>
        <w:t xml:space="preserve">139.</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404"/>
    <w:bookmarkStart w:id="405" w:name="ref-french2019"/>
    <w:p>
      <w:pPr>
        <w:pStyle w:val="Bibliography"/>
      </w:pPr>
      <w:r>
        <w:t xml:space="preserve">140.</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405"/>
    <w:bookmarkStart w:id="406" w:name="ref-wells2000"/>
    <w:p>
      <w:pPr>
        <w:pStyle w:val="Bibliography"/>
      </w:pPr>
      <w:r>
        <w:t xml:space="preserve">141.</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406"/>
    <w:bookmarkStart w:id="407" w:name="ref-mamluk2020"/>
    <w:p>
      <w:pPr>
        <w:pStyle w:val="Bibliography"/>
      </w:pPr>
      <w:r>
        <w:t xml:space="preserve">142.</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407"/>
    <w:bookmarkStart w:id="408" w:name="ref-saran2018"/>
    <w:p>
      <w:pPr>
        <w:pStyle w:val="Bibliography"/>
      </w:pPr>
      <w:r>
        <w:t xml:space="preserve">143.</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408"/>
    <w:bookmarkStart w:id="409" w:name="ref-mcguinness2020robvisPaper"/>
    <w:p>
      <w:pPr>
        <w:pStyle w:val="Bibliography"/>
      </w:pPr>
      <w:r>
        <w:t xml:space="preserve">144.</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409"/>
    <w:bookmarkStart w:id="410" w:name="ref-zotero-14999"/>
    <w:p>
      <w:pPr>
        <w:pStyle w:val="Bibliography"/>
      </w:pPr>
      <w:r>
        <w:t xml:space="preserve">145.</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410"/>
    <w:bookmarkStart w:id="411" w:name="ref-feinstein1990"/>
    <w:p>
      <w:pPr>
        <w:pStyle w:val="Bibliography"/>
      </w:pPr>
      <w:r>
        <w:t xml:space="preserve">146.</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411"/>
    <w:bookmarkStart w:id="413" w:name="ref-mcguinness2016"/>
    <w:p>
      <w:pPr>
        <w:pStyle w:val="Bibliography"/>
      </w:pPr>
      <w:r>
        <w:t xml:space="preserve">147.</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412">
        <w:r>
          <w:rPr>
            <w:rStyle w:val="Hyperlink"/>
          </w:rPr>
          <w:t xml:space="preserve">10.1002/14651858.CD003160.pub3</w:t>
        </w:r>
      </w:hyperlink>
    </w:p>
    <w:bookmarkEnd w:id="413"/>
    <w:bookmarkStart w:id="414" w:name="ref-yamada2009"/>
    <w:p>
      <w:pPr>
        <w:pStyle w:val="Bibliography"/>
      </w:pPr>
      <w:r>
        <w:t xml:space="preserve">148.</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Radiation 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414"/>
    <w:bookmarkStart w:id="415" w:name="ref-yamada2009a"/>
    <w:p>
      <w:pPr>
        <w:pStyle w:val="Bibliography"/>
      </w:pPr>
      <w:r>
        <w:t xml:space="preserve">149.</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The</w:t>
      </w:r>
      <w:r>
        <w:t xml:space="preserve"> </w:t>
      </w:r>
      <w:r>
        <w:t xml:space="preserve">adult health study.</w:t>
      </w:r>
      <w:r>
        <w:t xml:space="preserve"> </w:t>
      </w:r>
      <w:r>
        <w:rPr>
          <w:iCs/>
          <w:i/>
        </w:rPr>
        <w:t xml:space="preserve">Journal of the Neurological Sciences</w:t>
      </w:r>
      <w:r>
        <w:t xml:space="preserve"> </w:t>
      </w:r>
      <w:r>
        <w:rPr>
          <w:bCs/>
          <w:b/>
        </w:rPr>
        <w:t xml:space="preserve">283</w:t>
      </w:r>
      <w:r>
        <w:t xml:space="preserve">, 306 (2009).</w:t>
      </w:r>
    </w:p>
    <w:bookmarkEnd w:id="415"/>
    <w:bookmarkStart w:id="416" w:name="ref-yang2020"/>
    <w:p>
      <w:pPr>
        <w:pStyle w:val="Bibliography"/>
      </w:pPr>
      <w:r>
        <w:t xml:space="preserve">150.</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416"/>
    <w:bookmarkStart w:id="418" w:name="ref-muangpaisan2010"/>
    <w:p>
      <w:pPr>
        <w:pStyle w:val="Bibliography"/>
      </w:pPr>
      <w:r>
        <w:t xml:space="preserve">151.</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417">
        <w:r>
          <w:rPr>
            <w:rStyle w:val="Hyperlink"/>
          </w:rPr>
          <w:t xml:space="preserve">10.1111/j.1447-0594.2009.00579.x</w:t>
        </w:r>
      </w:hyperlink>
    </w:p>
    <w:bookmarkEnd w:id="418"/>
    <w:bookmarkStart w:id="419" w:name="ref-poly2020"/>
    <w:p>
      <w:pPr>
        <w:pStyle w:val="Bibliography"/>
      </w:pPr>
      <w:r>
        <w:t xml:space="preserve">152.</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419"/>
    <w:bookmarkStart w:id="420" w:name="ref-kuzma2018a"/>
    <w:p>
      <w:pPr>
        <w:pStyle w:val="Bibliography"/>
      </w:pPr>
      <w:r>
        <w:t xml:space="preserve">153.</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w:t>
      </w:r>
      <w:r>
        <w:t xml:space="preserve"> </w:t>
      </w:r>
      <w:r>
        <w:t xml:space="preserve">A 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420"/>
    <w:bookmarkStart w:id="422" w:name="ref-zhu2017"/>
    <w:p>
      <w:pPr>
        <w:pStyle w:val="Bibliography"/>
      </w:pPr>
      <w:r>
        <w:t xml:space="preserve">154.</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421">
        <w:r>
          <w:rPr>
            <w:rStyle w:val="Hyperlink"/>
          </w:rPr>
          <w:t xml:space="preserve">10.1101/168674</w:t>
        </w:r>
      </w:hyperlink>
    </w:p>
    <w:bookmarkEnd w:id="422"/>
    <w:bookmarkStart w:id="423" w:name="ref-zhu2018"/>
    <w:p>
      <w:pPr>
        <w:pStyle w:val="Bibliography"/>
      </w:pPr>
      <w:r>
        <w:t xml:space="preserve">155.</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423"/>
    <w:bookmarkStart w:id="424" w:name="ref-sohani2015"/>
    <w:p>
      <w:pPr>
        <w:pStyle w:val="Bibliography"/>
      </w:pPr>
      <w:r>
        <w:t xml:space="preserve">156.</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424"/>
    <w:bookmarkStart w:id="425" w:name="ref-larsson2017b"/>
    <w:p>
      <w:pPr>
        <w:pStyle w:val="Bibliography"/>
      </w:pPr>
      <w:r>
        <w:t xml:space="preserve">157.</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425"/>
    <w:bookmarkStart w:id="426" w:name="ref-waffenschmidt2020"/>
    <w:p>
      <w:pPr>
        <w:pStyle w:val="Bibliography"/>
      </w:pPr>
      <w:r>
        <w:t xml:space="preserve">158.</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426"/>
    <w:bookmarkStart w:id="427" w:name="ref-wagner2020"/>
    <w:p>
      <w:pPr>
        <w:pStyle w:val="Bibliography"/>
      </w:pPr>
      <w:r>
        <w:t xml:space="preserve">159.</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427"/>
    <w:bookmarkStart w:id="428" w:name="ref-benn2017a"/>
    <w:p>
      <w:pPr>
        <w:pStyle w:val="Bibliography"/>
      </w:pPr>
      <w:r>
        <w:t xml:space="preserve">160.</w:t>
      </w:r>
      <w:r>
        <w:t xml:space="preserve"> </w:t>
      </w:r>
      <w:r>
        <w:t xml:space="preserve">	</w:t>
      </w:r>
      <w:r>
        <w:t xml:space="preserve">Benn, M. Re:</w:t>
      </w:r>
      <w:r>
        <w:t xml:space="preserve"> </w:t>
      </w:r>
      <w:r>
        <w:t xml:space="preserve">Low 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t xml:space="preserve">(2017).</w:t>
      </w:r>
    </w:p>
    <w:bookmarkEnd w:id="428"/>
    <w:bookmarkStart w:id="429" w:name="ref-danko2019"/>
    <w:p>
      <w:pPr>
        <w:pStyle w:val="Bibliography"/>
      </w:pPr>
      <w:r>
        <w:t xml:space="preserve">161.</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429"/>
    <w:bookmarkStart w:id="430" w:name="ref-meursingereynders2019"/>
    <w:p>
      <w:pPr>
        <w:pStyle w:val="Bibliography"/>
      </w:pPr>
      <w:r>
        <w:t xml:space="preserve">162.</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30"/>
    <w:bookmarkStart w:id="431" w:name="ref-cooper2019"/>
    <w:p>
      <w:pPr>
        <w:pStyle w:val="Bibliography"/>
      </w:pPr>
      <w:r>
        <w:t xml:space="preserve">163.</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431"/>
    <w:bookmarkStart w:id="432" w:name="ref-hennessy2021"/>
    <w:p>
      <w:pPr>
        <w:pStyle w:val="Bibliography"/>
      </w:pPr>
      <w:r>
        <w:t xml:space="preserve">164.</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54">
        <w:r>
          <w:rPr>
            <w:rStyle w:val="Hyperlink"/>
          </w:rPr>
          <w:t xml:space="preserve">10.1007/s11121-021-01279-8</w:t>
        </w:r>
      </w:hyperlink>
    </w:p>
    <w:bookmarkEnd w:id="432"/>
    <w:bookmarkStart w:id="433" w:name="ref-hsieh2019"/>
    <w:p>
      <w:pPr>
        <w:pStyle w:val="Bibliography"/>
      </w:pPr>
      <w:r>
        <w:t xml:space="preserve">165.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433"/>
    <w:bookmarkStart w:id="434" w:name="ref-mcguinness2019validity"/>
    <w:p>
      <w:pPr>
        <w:pStyle w:val="Bibliography"/>
      </w:pPr>
      <w:r>
        <w:t xml:space="preserve">166.</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434"/>
    <w:bookmarkStart w:id="435" w:name="ref-wilkinson2018"/>
    <w:p>
      <w:pPr>
        <w:pStyle w:val="Bibliography"/>
      </w:pPr>
      <w:r>
        <w:t xml:space="preserve">167.</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435"/>
    <w:bookmarkStart w:id="436" w:name="ref-jeyaraman2020"/>
    <w:p>
      <w:pPr>
        <w:pStyle w:val="Bibliography"/>
      </w:pPr>
      <w:r>
        <w:t xml:space="preserve">168.</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436"/>
    <w:bookmarkStart w:id="437" w:name="ref-walker2016"/>
    <w:p>
      <w:pPr>
        <w:pStyle w:val="Bibliography"/>
      </w:pPr>
      <w:r>
        <w:t xml:space="preserve">169.</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437"/>
    <w:bookmarkStart w:id="438" w:name="ref-vonelm2008"/>
    <w:p>
      <w:pPr>
        <w:pStyle w:val="Bibliography"/>
      </w:pPr>
      <w:r>
        <w:t xml:space="preserve">170.</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438"/>
    <w:bookmarkStart w:id="439" w:name="ref-herrett2015"/>
    <w:p>
      <w:pPr>
        <w:pStyle w:val="Bibliography"/>
      </w:pPr>
      <w:r>
        <w:t xml:space="preserve">171.</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439"/>
    <w:bookmarkStart w:id="440" w:name="ref-williams2012"/>
    <w:p>
      <w:pPr>
        <w:pStyle w:val="Bibliography"/>
      </w:pPr>
      <w:r>
        <w:t xml:space="preserve">172.</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440"/>
    <w:bookmarkStart w:id="441" w:name="ref-wood2001revitalizing"/>
    <w:p>
      <w:pPr>
        <w:pStyle w:val="Bibliography"/>
      </w:pPr>
      <w:r>
        <w:t xml:space="preserve">173.</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441"/>
    <w:bookmarkStart w:id="442" w:name="ref-mathur2014"/>
    <w:p>
      <w:pPr>
        <w:pStyle w:val="Bibliography"/>
      </w:pPr>
      <w:r>
        <w:t xml:space="preserve">174.</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442"/>
    <w:bookmarkStart w:id="443" w:name="ref-booth1994"/>
    <w:p>
      <w:pPr>
        <w:pStyle w:val="Bibliography"/>
      </w:pPr>
      <w:r>
        <w:t xml:space="preserve">175.</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443"/>
    <w:bookmarkStart w:id="444" w:name="ref-wolf2019"/>
    <w:p>
      <w:pPr>
        <w:pStyle w:val="Bibliography"/>
      </w:pPr>
      <w:r>
        <w:t xml:space="preserve">176.</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444"/>
    <w:bookmarkStart w:id="445" w:name="ref-wishart2017"/>
    <w:p>
      <w:pPr>
        <w:pStyle w:val="Bibliography"/>
      </w:pPr>
      <w:r>
        <w:t xml:space="preserve">177.</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445"/>
    <w:bookmarkStart w:id="446" w:name="ref-charlson1987new"/>
    <w:p>
      <w:pPr>
        <w:pStyle w:val="Bibliography"/>
      </w:pPr>
      <w:r>
        <w:t xml:space="preserve">178.</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446"/>
    <w:bookmarkStart w:id="447" w:name="ref-wells2013strategies"/>
    <w:p>
      <w:pPr>
        <w:pStyle w:val="Bibliography"/>
      </w:pPr>
      <w:r>
        <w:t xml:space="preserve">179.</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447"/>
    <w:bookmarkStart w:id="448" w:name="ref-sterne2009"/>
    <w:p>
      <w:pPr>
        <w:pStyle w:val="Bibliography"/>
      </w:pPr>
      <w:r>
        <w:t xml:space="preserve">180.</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448"/>
    <w:bookmarkStart w:id="449" w:name="ref-moons2006using"/>
    <w:p>
      <w:pPr>
        <w:pStyle w:val="Bibliography"/>
      </w:pPr>
      <w:r>
        <w:t xml:space="preserve">181.</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449"/>
    <w:bookmarkStart w:id="450" w:name="ref-pigott2001review"/>
    <w:p>
      <w:pPr>
        <w:pStyle w:val="Bibliography"/>
      </w:pPr>
      <w:r>
        <w:t xml:space="preserve">182.</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450"/>
    <w:bookmarkStart w:id="451" w:name="ref-hughes2019"/>
    <w:p>
      <w:pPr>
        <w:pStyle w:val="Bibliography"/>
      </w:pPr>
      <w:r>
        <w:t xml:space="preserve">183.</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451"/>
    <w:bookmarkStart w:id="452" w:name="ref-levesque2010"/>
    <w:p>
      <w:pPr>
        <w:pStyle w:val="Bibliography"/>
      </w:pPr>
      <w:r>
        <w:t xml:space="preserve">184.</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452"/>
    <w:bookmarkStart w:id="453" w:name="ref-lamarca1998"/>
    <w:p>
      <w:pPr>
        <w:pStyle w:val="Bibliography"/>
      </w:pPr>
      <w:r>
        <w:t xml:space="preserve">185.</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453"/>
    <w:bookmarkStart w:id="454" w:name="ref-gail2009"/>
    <w:p>
      <w:pPr>
        <w:pStyle w:val="Bibliography"/>
      </w:pPr>
      <w:r>
        <w:t xml:space="preserve">186.</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454"/>
    <w:bookmarkStart w:id="455" w:name="ref-pencina2007"/>
    <w:p>
      <w:pPr>
        <w:pStyle w:val="Bibliography"/>
      </w:pPr>
      <w:r>
        <w:t xml:space="preserve">187.</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455"/>
    <w:bookmarkStart w:id="456" w:name="ref-lipsitch2010"/>
    <w:p>
      <w:pPr>
        <w:pStyle w:val="Bibliography"/>
      </w:pPr>
      <w:r>
        <w:t xml:space="preserve">188.</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456"/>
    <w:bookmarkStart w:id="457" w:name="ref-selva-ocallaghan2018"/>
    <w:p>
      <w:pPr>
        <w:pStyle w:val="Bibliography"/>
      </w:pPr>
      <w:r>
        <w:t xml:space="preserve">189.</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457"/>
    <w:bookmarkStart w:id="458" w:name="ref-herrett2021"/>
    <w:p>
      <w:pPr>
        <w:pStyle w:val="Bibliography"/>
      </w:pPr>
      <w:r>
        <w:t xml:space="preserve">190.</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458"/>
    <w:bookmarkStart w:id="459" w:name="ref-karalis2016"/>
    <w:p>
      <w:pPr>
        <w:pStyle w:val="Bibliography"/>
      </w:pPr>
      <w:r>
        <w:t xml:space="preserve">191.</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459"/>
    <w:bookmarkStart w:id="460" w:name="ref-smeeth2009"/>
    <w:p>
      <w:pPr>
        <w:pStyle w:val="Bibliography"/>
      </w:pPr>
      <w:r>
        <w:t xml:space="preserve">192.</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460"/>
    <w:bookmarkStart w:id="461" w:name="ref-salas1999"/>
    <w:p>
      <w:pPr>
        <w:pStyle w:val="Bibliography"/>
      </w:pPr>
      <w:r>
        <w:t xml:space="preserve">193.</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461"/>
    <w:bookmarkStart w:id="462" w:name="ref-suttorp2015"/>
    <w:p>
      <w:pPr>
        <w:pStyle w:val="Bibliography"/>
      </w:pPr>
      <w:r>
        <w:t xml:space="preserve">194.</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462"/>
    <w:bookmarkStart w:id="463" w:name="ref-danaei2013b"/>
    <w:p>
      <w:pPr>
        <w:pStyle w:val="Bibliography"/>
      </w:pPr>
      <w:r>
        <w:t xml:space="preserve">195.</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463"/>
    <w:bookmarkStart w:id="465" w:name="ref-korologou-linden2020"/>
    <w:p>
      <w:pPr>
        <w:pStyle w:val="Bibliography"/>
      </w:pPr>
      <w:r>
        <w:t xml:space="preserve">196.</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464">
        <w:r>
          <w:rPr>
            <w:rStyle w:val="Hyperlink"/>
          </w:rPr>
          <w:t xml:space="preserve">10.1101/2019.12.18.19013847</w:t>
        </w:r>
      </w:hyperlink>
    </w:p>
    <w:bookmarkEnd w:id="465"/>
    <w:bookmarkStart w:id="466" w:name="ref-porta2014dictionary"/>
    <w:p>
      <w:pPr>
        <w:pStyle w:val="Bibliography"/>
      </w:pPr>
      <w:r>
        <w:t xml:space="preserve">197.</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466"/>
    <w:bookmarkStart w:id="467" w:name="ref-goldacre2019c"/>
    <w:p>
      <w:pPr>
        <w:pStyle w:val="Bibliography"/>
      </w:pPr>
      <w:r>
        <w:t xml:space="preserve">198.</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467"/>
    <w:bookmarkStart w:id="468" w:name="ref-vandenbroucke2007"/>
    <w:p>
      <w:pPr>
        <w:pStyle w:val="Bibliography"/>
      </w:pPr>
      <w:r>
        <w:t xml:space="preserve">199.</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468"/>
    <w:bookmarkStart w:id="469" w:name="ref-riboli1997"/>
    <w:p>
      <w:pPr>
        <w:pStyle w:val="Bibliography"/>
      </w:pPr>
      <w:r>
        <w:t xml:space="preserve">200.</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469"/>
    <w:bookmarkStart w:id="470" w:name="ref-riboli2002"/>
    <w:p>
      <w:pPr>
        <w:pStyle w:val="Bibliography"/>
      </w:pPr>
      <w:r>
        <w:t xml:space="preserve">201.</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470"/>
    <w:bookmarkStart w:id="471" w:name="ref-fisher2017"/>
    <w:p>
      <w:pPr>
        <w:pStyle w:val="Bibliography"/>
      </w:pPr>
      <w:r>
        <w:t xml:space="preserve">202.</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471"/>
    <w:bookmarkStart w:id="472" w:name="ref-abo-zaid2013"/>
    <w:p>
      <w:pPr>
        <w:pStyle w:val="Bibliography"/>
      </w:pPr>
      <w:r>
        <w:t xml:space="preserve">203.</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472"/>
    <w:bookmarkStart w:id="473" w:name="ref-wang2017"/>
    <w:p>
      <w:pPr>
        <w:pStyle w:val="Bibliography"/>
      </w:pPr>
      <w:r>
        <w:t xml:space="preserve">204.</w:t>
      </w:r>
      <w:r>
        <w:t xml:space="preserve"> </w:t>
      </w:r>
      <w:r>
        <w:t xml:space="preserve">	</w:t>
      </w:r>
      <w:r>
        <w:t xml:space="preserve">Wang, L.</w:t>
      </w:r>
      <w:r>
        <w:t xml:space="preserve"> </w:t>
      </w:r>
      <w:r>
        <w:rPr>
          <w:iCs/>
          <w:i/>
        </w:rPr>
        <w:t xml:space="preserve">et al.</w:t>
      </w:r>
      <w:r>
        <w:t xml:space="preserve"> Assessing robustness of hazard ratio estimates to outcome misclassification in longitudinal panel studies with application to</w:t>
      </w:r>
      <w:r>
        <w:t xml:space="preserve"> </w:t>
      </w:r>
      <w:r>
        <w:t xml:space="preserve">Alzheimer</w:t>
      </w:r>
      <w:r>
        <w:t xml:space="preserve">’s disease.</w:t>
      </w:r>
      <w:r>
        <w:t xml:space="preserve"> </w:t>
      </w:r>
      <w:r>
        <w:rPr>
          <w:iCs/>
          <w:i/>
        </w:rPr>
        <w:t xml:space="preserve">PLOS ONE</w:t>
      </w:r>
      <w:r>
        <w:t xml:space="preserve"> </w:t>
      </w:r>
      <w:r>
        <w:rPr>
          <w:bCs/>
          <w:b/>
        </w:rPr>
        <w:t xml:space="preserve">12</w:t>
      </w:r>
      <w:r>
        <w:t xml:space="preserve">, e0190107 (2017).</w:t>
      </w:r>
    </w:p>
    <w:bookmarkEnd w:id="473"/>
    <w:bookmarkStart w:id="474" w:name="ref-levis2021"/>
    <w:p>
      <w:pPr>
        <w:pStyle w:val="Bibliography"/>
      </w:pPr>
      <w:r>
        <w:t xml:space="preserve">205.</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474"/>
    <w:bookmarkStart w:id="475" w:name="ref-jaspers2014"/>
    <w:p>
      <w:pPr>
        <w:pStyle w:val="Bibliography"/>
      </w:pPr>
      <w:r>
        <w:t xml:space="preserve">206.</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475"/>
    <w:bookmarkStart w:id="476" w:name="ref-godolphin2019a"/>
    <w:p>
      <w:pPr>
        <w:pStyle w:val="Bibliography"/>
      </w:pPr>
      <w:r>
        <w:t xml:space="preserve">207.</w:t>
      </w:r>
      <w:r>
        <w:t xml:space="preserve"> </w:t>
      </w:r>
      <w:r>
        <w:t xml:space="preserve">	</w:t>
      </w:r>
      <w:r>
        <w:t xml:space="preserve">Godolphin, P. J., Bath, P. M. &amp; Montgomery, A. A. Short email with attachment versus long email without attachment when contacting authors to request unpublished data for a systematic review: A nested randomised trial.</w:t>
      </w:r>
      <w:r>
        <w:t xml:space="preserve"> </w:t>
      </w:r>
      <w:r>
        <w:rPr>
          <w:iCs/>
          <w:i/>
        </w:rPr>
        <w:t xml:space="preserve">BMJ Open</w:t>
      </w:r>
      <w:r>
        <w:t xml:space="preserve"> </w:t>
      </w:r>
      <w:r>
        <w:rPr>
          <w:bCs/>
          <w:b/>
        </w:rPr>
        <w:t xml:space="preserve">9</w:t>
      </w:r>
      <w:r>
        <w:t xml:space="preserve">, e025273 (2019).</w:t>
      </w:r>
    </w:p>
    <w:bookmarkEnd w:id="476"/>
    <w:bookmarkStart w:id="477" w:name="ref-yusuf1984"/>
    <w:p>
      <w:pPr>
        <w:pStyle w:val="Bibliography"/>
      </w:pPr>
      <w:r>
        <w:t xml:space="preserve">208.</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477"/>
    <w:bookmarkStart w:id="478" w:name="ref-wilson2014"/>
    <w:p>
      <w:pPr>
        <w:pStyle w:val="Bibliography"/>
      </w:pPr>
      <w:r>
        <w:t xml:space="preserve">209.</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78"/>
    <w:bookmarkStart w:id="479" w:name="ref-wilson2017"/>
    <w:p>
      <w:pPr>
        <w:pStyle w:val="Bibliography"/>
      </w:pPr>
      <w:r>
        <w:t xml:space="preserve">210.</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79"/>
    <w:bookmarkStart w:id="480" w:name="ref-simillis2020"/>
    <w:p>
      <w:pPr>
        <w:pStyle w:val="Bibliography"/>
      </w:pPr>
      <w:r>
        <w:t xml:space="preserve">211.</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80"/>
    <w:bookmarkStart w:id="481" w:name="ref-tanneru2020"/>
    <w:p>
      <w:pPr>
        <w:pStyle w:val="Bibliography"/>
      </w:pPr>
      <w:r>
        <w:t xml:space="preserve">212.</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81"/>
    <w:bookmarkEnd w:id="482"/>
    <w:bookmarkEnd w:id="483"/>
    <w:bookmarkStart w:id="484" w:name="appendix"/>
    <w:p>
      <w:pPr>
        <w:pStyle w:val="Heading1"/>
      </w:pPr>
      <w:r>
        <w:t xml:space="preserve">Appendix</w:t>
      </w:r>
    </w:p>
    <w:bookmarkEnd w:id="484"/>
    <w:bookmarkStart w:id="503" w:name="chapter-appendix-heading"/>
    <w:p>
      <w:pPr>
        <w:pStyle w:val="Heading1"/>
      </w:pPr>
      <w:r>
        <w:t xml:space="preserve">By Chapter</w:t>
      </w:r>
    </w:p>
    <w:bookmarkStart w:id="487" w:name="appendix-into"/>
    <w:p>
      <w:pPr>
        <w:pStyle w:val="Heading2"/>
      </w:pPr>
      <w:r>
        <w:t xml:space="preserve">Chapter</w:t>
      </w:r>
      <w:r>
        <w:t xml:space="preserve"> </w:t>
      </w:r>
      <w:r>
        <w:t xml:space="preserve">2</w:t>
      </w:r>
    </w:p>
    <w:bookmarkStart w:id="485" w:name="appendix-publications"/>
    <w:p>
      <w:pPr>
        <w:pStyle w:val="Heading3"/>
      </w:pPr>
      <w:r>
        <w:t xml:space="preserve">Publications beyond the scope of this thesis</w:t>
      </w:r>
    </w:p>
    <w:p>
      <w:pPr>
        <w:pStyle w:val="FirstParagraph"/>
      </w:pPr>
      <w:r>
        <w:rPr>
          <w:bCs/>
          <w:b/>
        </w:rPr>
        <w:t xml:space="preserve">Peer reviewed</w:t>
      </w:r>
    </w:p>
    <w:p>
      <w:pPr>
        <w:numPr>
          <w:ilvl w:val="0"/>
          <w:numId w:val="1016"/>
        </w:numPr>
      </w:pPr>
      <w:r>
        <w:t xml:space="preserve">PRISMA main paper</w:t>
      </w:r>
    </w:p>
    <w:p>
      <w:pPr>
        <w:numPr>
          <w:ilvl w:val="0"/>
          <w:numId w:val="1016"/>
        </w:numPr>
      </w:pPr>
      <w:r>
        <w:t xml:space="preserve">PRISMA E&amp;E</w:t>
      </w:r>
    </w:p>
    <w:p>
      <w:pPr>
        <w:numPr>
          <w:ilvl w:val="0"/>
          <w:numId w:val="1016"/>
        </w:numPr>
      </w:pPr>
      <w:r>
        <w:t xml:space="preserve">PRISMA 2020 software</w:t>
      </w:r>
    </w:p>
    <w:p>
      <w:pPr>
        <w:numPr>
          <w:ilvl w:val="0"/>
          <w:numId w:val="1016"/>
        </w:numPr>
      </w:pPr>
      <w:r>
        <w:t xml:space="preserve">COVID Suicide Living Review</w:t>
      </w:r>
    </w:p>
    <w:p>
      <w:pPr>
        <w:numPr>
          <w:ilvl w:val="0"/>
          <w:numId w:val="1016"/>
        </w:numPr>
      </w:pPr>
      <w:r>
        <w:t xml:space="preserve">Data extraction tools systematic review</w:t>
      </w:r>
    </w:p>
    <w:p>
      <w:pPr>
        <w:pStyle w:val="FirstParagraph"/>
      </w:pPr>
      <w:r>
        <w:rPr>
          <w:bCs/>
          <w:b/>
        </w:rPr>
        <w:t xml:space="preserve">Under review/Preprints</w:t>
      </w:r>
    </w:p>
    <w:p>
      <w:pPr>
        <w:numPr>
          <w:ilvl w:val="0"/>
          <w:numId w:val="1017"/>
        </w:numPr>
      </w:pPr>
      <w:r>
        <w:t xml:space="preserve">MSc Paper on systematic reviews of this thesis topic</w:t>
      </w:r>
    </w:p>
    <w:bookmarkEnd w:id="485"/>
    <w:bookmarkStart w:id="486"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86"/>
    <w:bookmarkEnd w:id="487"/>
    <w:bookmarkStart w:id="489" w:name="appendix-sys-rev-tools"/>
    <w:p>
      <w:pPr>
        <w:pStyle w:val="Heading2"/>
      </w:pPr>
      <w:r>
        <w:t xml:space="preserve">Chapter</w:t>
      </w:r>
      <w:r>
        <w:t xml:space="preserve"> </w:t>
      </w:r>
      <w:r>
        <w:t xml:space="preserve">3</w:t>
      </w:r>
    </w:p>
    <w:bookmarkStart w:id="488"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488"/>
    <w:bookmarkEnd w:id="489"/>
    <w:bookmarkStart w:id="494" w:name="appendix-sys-rev"/>
    <w:p>
      <w:pPr>
        <w:pStyle w:val="Heading2"/>
      </w:pPr>
      <w:r>
        <w:t xml:space="preserve">Chapter</w:t>
      </w:r>
      <w:r>
        <w:t xml:space="preserve"> </w:t>
      </w:r>
      <w:r>
        <w:t xml:space="preserve">4</w:t>
      </w:r>
    </w:p>
    <w:bookmarkStart w:id="490" w:name="appendix-search-strategy"/>
    <w:p>
      <w:pPr>
        <w:pStyle w:val="Heading3"/>
      </w:pPr>
      <w:r>
        <w:t xml:space="preserve">Search strategy</w:t>
      </w:r>
    </w:p>
    <w:p>
      <w:pPr>
        <w:pStyle w:val="FirstParagraph"/>
      </w:pPr>
      <w:r>
        <w:t xml:space="preserve"> </w:t>
      </w:r>
    </w:p>
    <w:p>
      <w:pPr>
        <w:pStyle w:val="TableCaption"/>
      </w:pPr>
      <w:r>
        <w:t xml:space="preserve">Table 17:</w:t>
      </w:r>
      <w:r>
        <w:t xml:space="preserve"> </w:t>
      </w:r>
      <w:bookmarkStart w:id="08de0823-863c-41d8-96d6-8c14b1ca920e" w:name="tab:searchHits-table"/>
      <w:r>
        <w:t xml:space="preserve">Overview of the full Medline search strategy.</w:t>
      </w:r>
      <w:bookmarkEnd w:id="08de0823-863c-41d8-96d6-8c14b1ca920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490"/>
    <w:bookmarkStart w:id="491" w:name="appendix-wos-databases"/>
    <w:p>
      <w:pPr>
        <w:pStyle w:val="Heading3"/>
      </w:pPr>
      <w:r>
        <w:t xml:space="preserve">Web of Science Databases Searched</w:t>
      </w:r>
    </w:p>
    <w:p>
      <w:pPr>
        <w:pStyle w:val="FirstParagraph"/>
      </w:pPr>
      <w:r>
        <w:t xml:space="preserve"> </w:t>
      </w:r>
    </w:p>
    <w:p>
      <w:pPr>
        <w:pStyle w:val="TableCaption"/>
      </w:pPr>
      <w:r>
        <w:t xml:space="preserve">Table 18: Summary of Web of Science databases searched.</w:t>
      </w:r>
    </w:p>
    <w:tbl>
      <w:tblPr>
        <w:tblStyle w:val="Table"/>
        <w:tblW w:type="pct" w:w="5000.0"/>
        <w:tblLook w:firstRow="1" w:lastRow="0" w:firstColumn="0" w:lastColumn="0" w:noHBand="0" w:noVBand="0" w:val="0020"/>
        <w:tblCaption w:val="Table 18: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491"/>
    <w:bookmarkStart w:id="492"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92"/>
    <w:bookmarkStart w:id="493" w:name="appendix-mr-rob"/>
    <w:p>
      <w:pPr>
        <w:pStyle w:val="Heading3"/>
      </w:pPr>
      <w:r>
        <w:t xml:space="preserve">MR risk of bias tool</w:t>
      </w:r>
    </w:p>
    <w:p>
      <w:pPr>
        <w:pStyle w:val="TableCaption"/>
      </w:pPr>
      <w:r>
        <w:t xml:space="preserve">Table 19: Tool used to assess risk of bias in Mendelian randomisation studies, adapted from that developed by Mamluk et al.</w:t>
      </w:r>
      <w:hyperlink w:anchor="ref-mamluk2020">
        <w:r>
          <w:rPr>
            <w:rStyle w:val="Hyperlink"/>
            <w:vertAlign w:val="superscript"/>
          </w:rPr>
          <w:t xml:space="preserve">142</w:t>
        </w:r>
      </w:hyperlink>
    </w:p>
    <w:tbl>
      <w:tblPr>
        <w:tblStyle w:val="Table"/>
        <w:tblW w:type="pct" w:w="5000.0"/>
        <w:tblLook w:firstRow="1" w:lastRow="0" w:firstColumn="0" w:lastColumn="0" w:noHBand="0" w:noVBand="0" w:val="0020"/>
        <w:tblCaption w:val="Table 19: Tool used to assess risk of bias in Mendelian randomisation studies, adapted from that developed by Mamluk et al.142"/>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493"/>
    <w:bookmarkEnd w:id="494"/>
    <w:bookmarkStart w:id="497" w:name="appendix-cprd-analysis"/>
    <w:p>
      <w:pPr>
        <w:pStyle w:val="Heading2"/>
      </w:pPr>
      <w:r>
        <w:t xml:space="preserve">Chapter</w:t>
      </w:r>
      <w:r>
        <w:t xml:space="preserve"> </w:t>
      </w:r>
      <w:r>
        <w:t xml:space="preserve">5</w:t>
      </w:r>
    </w:p>
    <w:bookmarkStart w:id="495" w:name="appendix-cprd-amendments"/>
    <w:p>
      <w:pPr>
        <w:pStyle w:val="Heading3"/>
      </w:pPr>
      <w:r>
        <w:t xml:space="preserve">Amendments to protocol</w:t>
      </w:r>
    </w:p>
    <w:bookmarkEnd w:id="495"/>
    <w:bookmarkStart w:id="496" w:name="code-lists"/>
    <w:p>
      <w:pPr>
        <w:pStyle w:val="Heading3"/>
      </w:pPr>
      <w:r>
        <w:t xml:space="preserve">Code lists</w:t>
      </w:r>
    </w:p>
    <w:bookmarkEnd w:id="496"/>
    <w:bookmarkEnd w:id="497"/>
    <w:bookmarkStart w:id="500" w:name="appendix-ipd-analysis"/>
    <w:p>
      <w:pPr>
        <w:pStyle w:val="Heading2"/>
      </w:pPr>
      <w:r>
        <w:t xml:space="preserve">Chapter</w:t>
      </w:r>
      <w:r>
        <w:t xml:space="preserve"> </w:t>
      </w:r>
      <w:r>
        <w:t xml:space="preserve">6</w:t>
      </w:r>
    </w:p>
    <w:bookmarkStart w:id="498" w:name="section-1"/>
    <w:p>
      <w:pPr>
        <w:pStyle w:val="Heading3"/>
      </w:pPr>
      <w:r>
        <w:t xml:space="preserve">Section 1</w:t>
      </w:r>
    </w:p>
    <w:bookmarkEnd w:id="498"/>
    <w:bookmarkStart w:id="499" w:name="section-2"/>
    <w:p>
      <w:pPr>
        <w:pStyle w:val="Heading3"/>
      </w:pPr>
      <w:r>
        <w:t xml:space="preserve">Section 2</w:t>
      </w:r>
    </w:p>
    <w:bookmarkEnd w:id="499"/>
    <w:bookmarkEnd w:id="500"/>
    <w:bookmarkStart w:id="502" w:name="chapter-8"/>
    <w:p>
      <w:pPr>
        <w:pStyle w:val="Heading2"/>
      </w:pPr>
      <w:r>
        <w:t xml:space="preserve">Chapter</w:t>
      </w:r>
      <w:r>
        <w:t xml:space="preserve"> </w:t>
      </w:r>
      <w:r>
        <w:t xml:space="preserve">8</w:t>
      </w:r>
    </w:p>
    <w:bookmarkStart w:id="501" w:name="catalogue-of-failures"/>
    <w:p>
      <w:pPr>
        <w:pStyle w:val="Heading3"/>
      </w:pPr>
      <w:r>
        <w:t xml:space="preserve">Catalogue of failures</w:t>
      </w:r>
    </w:p>
    <w:p>
      <w:pPr>
        <w:pStyle w:val="FirstParagraph"/>
      </w:pPr>
      <w:r>
        <w:t xml:space="preserve">Short section detailing the things I tried to do but which did not work.</w:t>
      </w:r>
    </w:p>
    <w:bookmarkEnd w:id="501"/>
    <w:bookmarkEnd w:id="502"/>
    <w:bookmarkEnd w:id="503"/>
    <w:bookmarkStart w:id="517" w:name="other-appendix-heading"/>
    <w:p>
      <w:pPr>
        <w:pStyle w:val="Heading1"/>
      </w:pPr>
      <w:r>
        <w:t xml:space="preserve">Other Appendix</w:t>
      </w:r>
    </w:p>
    <w:bookmarkStart w:id="504"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atrix">
        <w:r>
          <w:rPr>
            <w:rStyle w:val="Hyperlink"/>
            <w:bCs/>
            <w:b/>
            <w:vertAlign w:val="superscript"/>
          </w:rPr>
          <w:t xml:space="preserve">R-Matrix?</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metafor">
        <w:r>
          <w:rPr>
            <w:rStyle w:val="Hyperlink"/>
            <w:bCs/>
            <w:b/>
            <w:vertAlign w:val="superscript"/>
          </w:rPr>
          <w:t xml:space="preserve">R-metafor?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metafor2010">
        <w:r>
          <w:rPr>
            <w:rStyle w:val="Hyperlink"/>
            <w:bCs/>
            <w:b/>
            <w:vertAlign w:val="superscript"/>
          </w:rPr>
          <w:t xml:space="preserve">metafor2010?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209</w:t>
        </w:r>
      </w:hyperlink>
      <w:r>
        <w:rPr>
          <w:vertAlign w:val="superscript"/>
        </w:rPr>
        <w:t xml:space="preserve">,</w:t>
      </w:r>
      <w:hyperlink w:anchor="ref-wilson2017">
        <w:r>
          <w:rPr>
            <w:rStyle w:val="Hyperlink"/>
            <w:vertAlign w:val="superscript"/>
          </w:rPr>
          <w:t xml:space="preserve">210</w:t>
        </w:r>
      </w:hyperlink>
    </w:p>
    <w:bookmarkEnd w:id="504"/>
    <w:bookmarkStart w:id="514" w:name="appendix-robvis"/>
    <w:p>
      <w:pPr>
        <w:pStyle w:val="Heading2"/>
      </w:pPr>
      <w:r>
        <w:t xml:space="preserve">Producing risk-of-bias visualisations with</w:t>
      </w:r>
      <w:r>
        <w:t xml:space="preserve"> </w:t>
      </w:r>
      <w:r>
        <w:rPr>
          <w:rStyle w:val="VerbatimChar"/>
        </w:rPr>
        <w:t xml:space="preserve">robvis</w:t>
      </w:r>
    </w:p>
    <w:bookmarkStart w:id="507" w:name="introduction-4"/>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135</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505">
        <w:r>
          <w:rPr>
            <w:rStyle w:val="Hyperlink"/>
          </w:rPr>
          <w:t xml:space="preserve">https://cran.r-project.org/package=robvis</w:t>
        </w:r>
      </w:hyperlink>
      <w:r>
        <w:t xml:space="preserve">); or access and contribute to the development version via GitHub (</w:t>
      </w:r>
      <w:hyperlink r:id="rId506">
        <w:r>
          <w:rPr>
            <w:rStyle w:val="Hyperlink"/>
          </w:rPr>
          <w:t xml:space="preserve">https://github.com/mcguinlu/robvis</w:t>
        </w:r>
      </w:hyperlink>
      <w:r>
        <w:t xml:space="preserve">).</w:t>
      </w:r>
    </w:p>
    <w:bookmarkEnd w:id="507"/>
    <w:bookmarkStart w:id="508"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211</w:t>
        </w:r>
      </w:hyperlink>
      <w:r>
        <w:rPr>
          <w:vertAlign w:val="superscript"/>
        </w:rPr>
        <w:t xml:space="preserve">,</w:t>
      </w:r>
      <w:hyperlink w:anchor="ref-tanneru2020">
        <w:r>
          <w:rPr>
            <w:rStyle w:val="Hyperlink"/>
            <w:vertAlign w:val="superscript"/>
          </w:rPr>
          <w:t xml:space="preserve">212</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508"/>
    <w:bookmarkStart w:id="509"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509"/>
    <w:bookmarkStart w:id="512"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20</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29</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29: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510"/>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29: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30</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30: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511"/>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30: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20</w:t>
      </w:r>
    </w:p>
    <w:p>
      <w:pPr>
        <w:pStyle w:val="BodyText"/>
      </w:pPr>
      <w:r>
        <w:t xml:space="preserve"> </w:t>
      </w:r>
    </w:p>
    <w:p>
      <w:pPr>
        <w:pStyle w:val="TableCaption"/>
      </w:pPr>
      <w:r>
        <w:t xml:space="preserve">Table 20: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20: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512"/>
    <w:bookmarkStart w:id="513"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14400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513"/>
    <w:bookmarkEnd w:id="514"/>
    <w:bookmarkStart w:id="515" w:name="creating"/>
    <w:p>
      <w:pPr>
        <w:pStyle w:val="Heading2"/>
      </w:pPr>
      <w:r>
        <w:t xml:space="preserve">Creating</w:t>
      </w:r>
    </w:p>
    <w:bookmarkEnd w:id="515"/>
    <w:bookmarkStart w:id="516" w:name="published-papers"/>
    <w:p>
      <w:pPr>
        <w:pStyle w:val="Heading2"/>
      </w:pPr>
      <w:r>
        <w:t xml:space="preserve">Copies of papers arising from this thesis</w:t>
      </w:r>
    </w:p>
    <w:bookmarkEnd w:id="516"/>
    <w:bookmarkEnd w:id="517"/>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70" Target="media/rId170.png" /><Relationship Type="http://schemas.openxmlformats.org/officeDocument/2006/relationships/image" Id="rId154" Target="media/rId154.png" /><Relationship Type="http://schemas.openxmlformats.org/officeDocument/2006/relationships/image" Id="rId181" Target="media/rId181.png" /><Relationship Type="http://schemas.openxmlformats.org/officeDocument/2006/relationships/image" Id="rId175" Target="media/rId175.png" /><Relationship Type="http://schemas.openxmlformats.org/officeDocument/2006/relationships/image" Id="rId177" Target="media/rId177.png" /><Relationship Type="http://schemas.openxmlformats.org/officeDocument/2006/relationships/image" Id="rId173" Target="media/rId173.png" /><Relationship Type="http://schemas.openxmlformats.org/officeDocument/2006/relationships/image" Id="rId183" Target="media/rId183.png" /><Relationship Type="http://schemas.openxmlformats.org/officeDocument/2006/relationships/image" Id="rId185" Target="media/rId185.png" /><Relationship Type="http://schemas.openxmlformats.org/officeDocument/2006/relationships/image" Id="rId179" Target="media/rId179.png" /><Relationship Type="http://schemas.openxmlformats.org/officeDocument/2006/relationships/image" Id="rId159" Target="media/rId159.png" /><Relationship Type="http://schemas.openxmlformats.org/officeDocument/2006/relationships/image" Id="rId192" Target="media/rId192.png" /><Relationship Type="http://schemas.openxmlformats.org/officeDocument/2006/relationships/image" Id="rId162" Target="media/rId162.png" /><Relationship Type="http://schemas.openxmlformats.org/officeDocument/2006/relationships/image" Id="rId187" Target="media/rId187.png" /><Relationship Type="http://schemas.openxmlformats.org/officeDocument/2006/relationships/image" Id="rId75" Target="media/rId75.png" /><Relationship Type="http://schemas.openxmlformats.org/officeDocument/2006/relationships/image" Id="rId511" Target="media/rId511.png" /><Relationship Type="http://schemas.openxmlformats.org/officeDocument/2006/relationships/image" Id="rId510" Target="media/rId510.png" /><Relationship Type="http://schemas.openxmlformats.org/officeDocument/2006/relationships/image" Id="rId67" Target="media/rId67.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8" Target="media/rId138.png" /><Relationship Type="http://schemas.openxmlformats.org/officeDocument/2006/relationships/image" Id="rId136" Target="media/rId136.png" /><Relationship Type="http://schemas.openxmlformats.org/officeDocument/2006/relationships/image" Id="rId119" Target="media/rId119.png" /><Relationship Type="http://schemas.openxmlformats.org/officeDocument/2006/relationships/image" Id="rId133" Target="media/rId133.png" /><Relationship Type="http://schemas.openxmlformats.org/officeDocument/2006/relationships/hyperlink" Id="rId505"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412" Target="https://doi.org/10.1002/14651858.CD003160.pub3" TargetMode="External" /><Relationship Type="http://schemas.openxmlformats.org/officeDocument/2006/relationships/hyperlink" Id="rId325"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73" Target="https://doi.org/10.1016/j.neuropharm.2020.108352" TargetMode="External" /><Relationship Type="http://schemas.openxmlformats.org/officeDocument/2006/relationships/hyperlink" Id="rId421" Target="https://doi.org/10.1101/168674" TargetMode="External" /><Relationship Type="http://schemas.openxmlformats.org/officeDocument/2006/relationships/hyperlink" Id="rId378" Target="https://doi.org/10.1101/19000265" TargetMode="External" /><Relationship Type="http://schemas.openxmlformats.org/officeDocument/2006/relationships/hyperlink" Id="rId464" Target="https://doi.org/10.1101/2019.12.18.19013847" TargetMode="External" /><Relationship Type="http://schemas.openxmlformats.org/officeDocument/2006/relationships/hyperlink" Id="rId372" Target="https://doi.org/10.1101/2020.11.23.394577" TargetMode="External" /><Relationship Type="http://schemas.openxmlformats.org/officeDocument/2006/relationships/hyperlink" Id="rId335" Target="https://doi.org/10.1101/2021.03.04.433874" TargetMode="External" /><Relationship Type="http://schemas.openxmlformats.org/officeDocument/2006/relationships/hyperlink" Id="rId356" Target="https://doi.org/10.1101/833400" TargetMode="External" /><Relationship Type="http://schemas.openxmlformats.org/officeDocument/2006/relationships/hyperlink" Id="rId417" Target="https://doi.org/10.1111/j.1447-0594.2009.00579.x" TargetMode="External" /><Relationship Type="http://schemas.openxmlformats.org/officeDocument/2006/relationships/hyperlink" Id="rId365"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84"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82" Target="https://doi.org/10.3758/s13428-020-01436-x" TargetMode="External" /><Relationship Type="http://schemas.openxmlformats.org/officeDocument/2006/relationships/hyperlink" Id="rId506"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09"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505"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412" Target="https://doi.org/10.1002/14651858.CD003160.pub3" TargetMode="External" /><Relationship Type="http://schemas.openxmlformats.org/officeDocument/2006/relationships/hyperlink" Id="rId325"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73" Target="https://doi.org/10.1016/j.neuropharm.2020.108352" TargetMode="External" /><Relationship Type="http://schemas.openxmlformats.org/officeDocument/2006/relationships/hyperlink" Id="rId421" Target="https://doi.org/10.1101/168674" TargetMode="External" /><Relationship Type="http://schemas.openxmlformats.org/officeDocument/2006/relationships/hyperlink" Id="rId378" Target="https://doi.org/10.1101/19000265" TargetMode="External" /><Relationship Type="http://schemas.openxmlformats.org/officeDocument/2006/relationships/hyperlink" Id="rId464" Target="https://doi.org/10.1101/2019.12.18.19013847" TargetMode="External" /><Relationship Type="http://schemas.openxmlformats.org/officeDocument/2006/relationships/hyperlink" Id="rId372" Target="https://doi.org/10.1101/2020.11.23.394577" TargetMode="External" /><Relationship Type="http://schemas.openxmlformats.org/officeDocument/2006/relationships/hyperlink" Id="rId335" Target="https://doi.org/10.1101/2021.03.04.433874" TargetMode="External" /><Relationship Type="http://schemas.openxmlformats.org/officeDocument/2006/relationships/hyperlink" Id="rId356" Target="https://doi.org/10.1101/833400" TargetMode="External" /><Relationship Type="http://schemas.openxmlformats.org/officeDocument/2006/relationships/hyperlink" Id="rId417" Target="https://doi.org/10.1111/j.1447-0594.2009.00579.x" TargetMode="External" /><Relationship Type="http://schemas.openxmlformats.org/officeDocument/2006/relationships/hyperlink" Id="rId365"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84"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82" Target="https://doi.org/10.3758/s13428-020-01436-x" TargetMode="External" /><Relationship Type="http://schemas.openxmlformats.org/officeDocument/2006/relationships/hyperlink" Id="rId506"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09"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2021-09-24T19:06:57Z</dcterms:created>
  <dcterms:modified xsi:type="dcterms:W3CDTF">2021-09-24T19:06:57Z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26723</vt:lpwstr>
  </property>
</Properties>
</file>