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7.png" ContentType="image/png"/>
  <Override PartName="/word/media/rId169.png" ContentType="image/png"/>
  <Override PartName="/word/media/rId153.png" ContentType="image/png"/>
  <Override PartName="/word/media/rId180.png" ContentType="image/png"/>
  <Override PartName="/word/media/rId174.png" ContentType="image/png"/>
  <Override PartName="/word/media/rId176.png" ContentType="image/png"/>
  <Override PartName="/word/media/rId172.png" ContentType="image/png"/>
  <Override PartName="/word/media/rId182.png" ContentType="image/png"/>
  <Override PartName="/word/media/rId184.png" ContentType="image/png"/>
  <Override PartName="/word/media/rId178.png" ContentType="image/png"/>
  <Override PartName="/word/media/rId158.png" ContentType="image/png"/>
  <Override PartName="/word/media/rId191.png" ContentType="image/png"/>
  <Override PartName="/word/media/rId161.png" ContentType="image/png"/>
  <Override PartName="/word/media/rId186.png" ContentType="image/png"/>
  <Override PartName="/word/media/rId75.png" ContentType="image/png"/>
  <Override PartName="/word/media/rId486.png" ContentType="image/png"/>
  <Override PartName="/word/media/rId485.png" ContentType="image/png"/>
  <Override PartName="/word/media/rId67.png" ContentType="image/png"/>
  <Override PartName="/word/media/rId119.png" ContentType="image/png"/>
  <Override PartName="/word/media/rId122.png" ContentType="image/png"/>
  <Override PartName="/word/media/rId125.png" ContentType="image/png"/>
  <Override PartName="/word/media/rId133.png" ContentType="image/png"/>
  <Override PartName="/word/media/rId117.png" ContentType="image/png"/>
  <Override PartName="/word/media/rId1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25005</w:t>
      </w:r>
    </w:p>
    <w:p>
      <w:pPr>
        <w:pStyle w:val="BodyText"/>
      </w:pPr>
      <w:r>
        <w:t xml:space="preserve">Days: 266</w:t>
      </w:r>
    </w:p>
    <w:p>
      <w:pPr>
        <w:pStyle w:val="BodyText"/>
      </w:pPr>
      <w:r>
        <w:t xml:space="preserve">Words behind: -6377</w:t>
      </w:r>
    </w:p>
    <w:p>
      <w:pPr>
        <w:pStyle w:val="BodyText"/>
      </w:pPr>
      <w:r>
        <w:t xml:space="preserve">Words today: 594</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2.7.2</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705d8c83-6c7d-44a9-aedf-fe0091f91672" w:name="tab:diagnosticCriteria-table"/>
      <w:r>
        <w:t xml:space="preserve">Overview of the DSM-5 criteria for dementia and vascular dementia.[@edition2013diagnostic]</w:t>
      </w:r>
      <w:bookmarkEnd w:id="705d8c83-6c7d-44a9-aedf-fe0091f9167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a">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40" w:name="serum-lipids"/>
    <w:p>
      <w:pPr>
        <w:pStyle w:val="Heading2"/>
      </w:pPr>
      <w:r>
        <w:t xml:space="preserve">Serum lipids</w:t>
      </w:r>
    </w:p>
    <w:bookmarkStart w:id="36"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26"/>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6"/>
    <w:bookmarkStart w:id="38"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(HMG-CoA-R).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7"/>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circualting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TableCaption"/>
      </w:pPr>
      <w:r>
        <w:t xml:space="preserve">Table 3: Overview of commonly-prescribed statins, summarising their approval date (US), properties and lipid-lowering effect.</w:t>
      </w:r>
    </w:p>
    <w:tbl>
      <w:tblPr>
        <w:tblStyle w:val="Table"/>
        <w:tblW w:type="pct" w:w="0.0"/>
        <w:tblLook w:firstRow="1" w:lastRow="0" w:firstColumn="0" w:lastColumn="0" w:noHBand="0" w:noVBand="0" w:val="0020"/>
        <w:tblCaption w:val="Table 3: Overview of commonly-prescribed statins, summarising their approval date (US), properties and lipid-lowering effect."/>
      </w:tblPr>
      <w:tblGrid/>
      <w:tr>
        <w:tc>
          <w:p>
            <w:pPr>
              <w:pStyle w:val="Compact"/>
              <w:jc w:val="left"/>
            </w:pPr>
            <w:r>
              <w:t xml:space="preserve">Name</w:t>
            </w:r>
          </w:p>
        </w:tc>
        <w:tc>
          <w:p>
            <w:pPr>
              <w:pStyle w:val="Compact"/>
              <w:jc w:val="left"/>
            </w:pPr>
            <w:r>
              <w:t xml:space="preserve">Brand name</w:t>
            </w:r>
          </w:p>
        </w:tc>
        <w:tc>
          <w:p>
            <w:pPr>
              <w:pStyle w:val="Compact"/>
              <w:jc w:val="left"/>
            </w:pPr>
            <w:r>
              <w:t xml:space="preserve">Year approved</w:t>
            </w:r>
          </w:p>
        </w:tc>
        <w:tc>
          <w:p>
            <w:pPr>
              <w:pStyle w:val="Compact"/>
              <w:jc w:val="left"/>
            </w:pPr>
            <w:r>
              <w:t xml:space="preserve">Properties</w:t>
            </w:r>
          </w:p>
        </w:tc>
        <w:tc>
          <w:p>
            <w:pPr>
              <w:pStyle w:val="Compact"/>
              <w:jc w:val="left"/>
            </w:pPr>
            <w:r>
              <w:t xml:space="preserve">Lipid-lowering effect</w:t>
            </w:r>
          </w:p>
        </w:tc>
      </w:tr>
      <w:tr>
        <w:tc>
          <w:p>
            <w:pPr>
              <w:pStyle w:val="Compact"/>
              <w:jc w:val="left"/>
            </w:pPr>
            <w:r>
              <w:t xml:space="preserve">Atorvastatin</w:t>
            </w:r>
          </w:p>
        </w:tc>
        <w:tc>
          <w:p>
            <w:pPr>
              <w:pStyle w:val="Compact"/>
              <w:jc w:val="left"/>
            </w:pPr>
            <w:r>
              <w:t xml:space="preserve">Lipitor</w:t>
            </w:r>
          </w:p>
        </w:tc>
        <w:tc>
          <w:p>
            <w:pPr>
              <w:pStyle w:val="Compact"/>
              <w:jc w:val="left"/>
            </w:pPr>
            <w:r>
              <w:t xml:space="preserve">1996</w:t>
            </w:r>
          </w:p>
        </w:tc>
        <w:tc>
          <w:p>
            <w:pPr>
              <w:pStyle w:val="Compact"/>
              <w:jc w:val="left"/>
            </w:pPr>
            <w:r>
              <w:t xml:space="preserve">Lipophilic</w:t>
            </w:r>
          </w:p>
        </w:tc>
        <w:tc>
          <w:p>
            <w:pPr>
              <w:pStyle w:val="Compact"/>
              <w:jc w:val="left"/>
            </w:pPr>
            <w:r>
              <w:t xml:space="preserve">+++</w:t>
            </w:r>
          </w:p>
        </w:tc>
      </w:tr>
      <w:tr>
        <w:tc>
          <w:p>
            <w:pPr>
              <w:pStyle w:val="Compact"/>
              <w:jc w:val="left"/>
            </w:pPr>
            <w:r>
              <w:t xml:space="preserve">Pravastatin</w:t>
            </w:r>
          </w:p>
        </w:tc>
        <w:tc>
          <w:p>
            <w:pPr>
              <w:pStyle w:val="Compact"/>
              <w:jc w:val="left"/>
            </w:pPr>
            <w:r>
              <w:t xml:space="preserve">Lipostat</w:t>
            </w:r>
          </w:p>
        </w:tc>
        <w:tc>
          <w:p>
            <w:pPr>
              <w:pStyle w:val="Compact"/>
              <w:jc w:val="left"/>
            </w:pPr>
            <w:r>
              <w:t xml:space="preserve">1989</w:t>
            </w:r>
          </w:p>
        </w:tc>
        <w:tc>
          <w:p>
            <w:pPr>
              <w:pStyle w:val="Compact"/>
              <w:jc w:val="left"/>
            </w:pPr>
            <w:r>
              <w:t xml:space="preserve">Hydrophilic</w:t>
            </w:r>
          </w:p>
        </w:tc>
        <w:tc>
          <w:p>
            <w:pPr>
              <w:pStyle w:val="Compact"/>
              <w:jc w:val="left"/>
            </w:pPr>
            <w:r>
              <w:t xml:space="preserve">+</w:t>
            </w:r>
          </w:p>
        </w:tc>
      </w:tr>
      <w:tr>
        <w:tc>
          <w:p>
            <w:pPr>
              <w:pStyle w:val="Compact"/>
              <w:jc w:val="left"/>
            </w:pPr>
            <w:r>
              <w:t xml:space="preserve">Rosuvastatin</w:t>
            </w:r>
          </w:p>
        </w:tc>
        <w:tc>
          <w:p>
            <w:pPr>
              <w:pStyle w:val="Compact"/>
              <w:jc w:val="left"/>
            </w:pPr>
            <w:r>
              <w:t xml:space="preserve">Crestor</w:t>
            </w:r>
          </w:p>
        </w:tc>
        <w:tc>
          <w:p>
            <w:pPr>
              <w:pStyle w:val="Compact"/>
              <w:jc w:val="left"/>
            </w:pPr>
            <w:r>
              <w:t xml:space="preserve">2003</w:t>
            </w:r>
          </w:p>
        </w:tc>
        <w:tc>
          <w:p>
            <w:pPr>
              <w:pStyle w:val="Compact"/>
              <w:jc w:val="left"/>
            </w:pPr>
            <w:r>
              <w:t xml:space="preserve">Hydrophilic</w:t>
            </w:r>
          </w:p>
        </w:tc>
        <w:tc>
          <w:p>
            <w:pPr>
              <w:pStyle w:val="Compact"/>
              <w:jc w:val="left"/>
            </w:pPr>
            <w:r>
              <w:t xml:space="preserve">++++</w:t>
            </w:r>
          </w:p>
        </w:tc>
      </w:tr>
      <w:tr>
        <w:tc>
          <w:p>
            <w:pPr>
              <w:pStyle w:val="Compact"/>
              <w:jc w:val="left"/>
            </w:pPr>
            <w:r>
              <w:t xml:space="preserve">Simvastatin</w:t>
            </w:r>
          </w:p>
        </w:tc>
        <w:tc>
          <w:p>
            <w:pPr>
              <w:pStyle w:val="Compact"/>
              <w:jc w:val="left"/>
            </w:pPr>
            <w:r>
              <w:t xml:space="preserve">Zocor</w:t>
            </w:r>
          </w:p>
        </w:tc>
        <w:tc>
          <w:p>
            <w:pPr>
              <w:pStyle w:val="Compact"/>
              <w:jc w:val="left"/>
            </w:pPr>
            <w:r>
              <w:t xml:space="preserve">1992</w:t>
            </w:r>
          </w:p>
        </w:tc>
        <w:tc>
          <w:p>
            <w:pPr>
              <w:pStyle w:val="Compact"/>
              <w:jc w:val="left"/>
            </w:pPr>
            <w:r>
              <w:t xml:space="preserve">Lipophilic</w:t>
            </w:r>
          </w:p>
        </w:tc>
        <w:tc>
          <w:p>
            <w:pPr>
              <w:pStyle w:val="Compact"/>
              <w:jc w:val="left"/>
            </w:pPr>
            <w:r>
              <w:t xml:space="preserve">++</w:t>
            </w:r>
          </w:p>
        </w:tc>
      </w:tr>
    </w:tbl>
    <w:p>
      <w:pPr>
        <w:pStyle w:val="BodyText"/>
      </w:pPr>
      <w:r>
        <w:t xml:space="preserve"> </w:t>
      </w:r>
    </w:p>
    <w:bookmarkEnd w:id="38"/>
    <w:bookmarkStart w:id="39"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4: Summary of available treatments for hyperlipidaemia.</w:t>
      </w:r>
    </w:p>
    <w:tbl>
      <w:tblPr>
        <w:tblStyle w:val="Table"/>
        <w:tblW w:type="pct" w:w="5000.0"/>
        <w:tblLook w:firstRow="1" w:lastRow="0" w:firstColumn="0" w:lastColumn="0" w:noHBand="0" w:noVBand="0" w:val="0020"/>
        <w:tblCaption w:val="Table 4: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p>
    <w:bookmarkEnd w:id="39"/>
    <w:bookmarkEnd w:id="40"/>
    <w:bookmarkStart w:id="45"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1"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41"/>
    <w:bookmarkStart w:id="42"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mainous2005">
        <w:r>
          <w:rPr>
            <w:rStyle w:val="Hyperlink"/>
            <w:vertAlign w:val="superscript"/>
          </w:rPr>
          <w:t xml:space="preserve">49</w:t>
        </w:r>
      </w:hyperlink>
      <w:r>
        <w:rPr>
          <w:vertAlign w:val="superscript"/>
        </w:rPr>
        <w:t xml:space="preserve">,</w:t>
      </w:r>
      <w:hyperlink w:anchor="ref-mielke2010">
        <w:r>
          <w:rPr>
            <w:rStyle w:val="Hyperlink"/>
            <w:vertAlign w:val="superscript"/>
          </w:rPr>
          <w:t xml:space="preserve">50</w:t>
        </w:r>
      </w:hyperlink>
      <w:r>
        <w:rPr>
          <w:vertAlign w:val="superscript"/>
        </w:rPr>
        <w:t xml:space="preserve">,</w:t>
      </w:r>
      <w:hyperlink w:anchor="ref-li2005a">
        <w:r>
          <w:rPr>
            <w:rStyle w:val="Hyperlink"/>
            <w:bCs/>
            <w:b/>
            <w:vertAlign w:val="superscript"/>
          </w:rPr>
          <w:t xml:space="preserve">li2005a?</w:t>
        </w:r>
      </w:hyperlink>
      <w:r>
        <w:rPr>
          <w:vertAlign w:val="superscript"/>
        </w:rPr>
        <w:t xml:space="preserve">,</w:t>
      </w:r>
      <w:hyperlink w:anchor="ref-tan2003a">
        <w:r>
          <w:rPr>
            <w:rStyle w:val="Hyperlink"/>
            <w:bCs/>
            <w:b/>
            <w:vertAlign w:val="superscript"/>
          </w:rPr>
          <w:t xml:space="preserve">tan2003a?</w:t>
        </w:r>
      </w:hyperlink>
      <w:r>
        <w:t xml:space="preserve"> </w:t>
      </w:r>
      <w:r>
        <w:t xml:space="preserve">or a reduced susceptibility.</w:t>
      </w:r>
      <w:hyperlink w:anchor="ref-mielke2005">
        <w:r>
          <w:rPr>
            <w:rStyle w:val="Hyperlink"/>
            <w:vertAlign w:val="superscript"/>
          </w:rPr>
          <w:t xml:space="preserve">51</w:t>
        </w:r>
      </w:hyperlink>
      <w:r>
        <w:rPr>
          <w:vertAlign w:val="superscript"/>
        </w:rPr>
        <w:t xml:space="preserve">,</w:t>
      </w:r>
      <w:hyperlink w:anchor="ref-reitz2004a">
        <w:r>
          <w:rPr>
            <w:rStyle w:val="Hyperlink"/>
            <w:bCs/>
            <w:b/>
            <w:vertAlign w:val="superscript"/>
          </w:rPr>
          <w:t xml:space="preserve">reitz2004a?</w:t>
        </w:r>
      </w:hyperlink>
      <w:r>
        <w:t xml:space="preserve"> With regards vascular dementia, decreased levels of HDL-c appear to be associated with increased risk,</w:t>
      </w:r>
      <w:hyperlink w:anchor="ref-reitz2004a">
        <w:r>
          <w:rPr>
            <w:rStyle w:val="Hyperlink"/>
            <w:bCs/>
            <w:b/>
            <w:vertAlign w:val="superscript"/>
          </w:rPr>
          <w:t xml:space="preserve">reitz2004a?</w:t>
        </w:r>
      </w:hyperlink>
      <w:r>
        <w:t xml:space="preserve"> while for LDL-c, studies have reported both positive and negative associations.</w:t>
      </w:r>
      <w:hyperlink w:anchor="ref-moroney1999">
        <w:r>
          <w:rPr>
            <w:rStyle w:val="Hyperlink"/>
            <w:vertAlign w:val="superscript"/>
          </w:rPr>
          <w:t xml:space="preserve">52</w:t>
        </w:r>
      </w:hyperlink>
      <w:r>
        <w:rPr>
          <w:vertAlign w:val="superscript"/>
        </w:rPr>
        <w:t xml:space="preserve">,</w:t>
      </w:r>
      <w:hyperlink w:anchor="ref-reitz2004a">
        <w:r>
          <w:rPr>
            <w:rStyle w:val="Hyperlink"/>
            <w:bCs/>
            <w:b/>
            <w:vertAlign w:val="superscript"/>
          </w:rPr>
          <w:t xml:space="preserve">reitz2004a?</w:t>
        </w:r>
      </w:hyperlink>
    </w:p>
    <w:p>
      <w:pPr>
        <w:pStyle w:val="BodyText"/>
      </w:pPr>
      <w:r>
        <w:t xml:space="preserve">Several previous systematic review of observational studies examining the effect of lipids</w:t>
      </w:r>
      <w:hyperlink w:anchor="ref-anstey">
        <w:r>
          <w:rPr>
            <w:rStyle w:val="Hyperlink"/>
            <w:vertAlign w:val="superscript"/>
          </w:rPr>
          <w:t xml:space="preserve">53</w:t>
        </w:r>
      </w:hyperlink>
      <w:r>
        <w:t xml:space="preserve"> </w:t>
      </w:r>
      <w:r>
        <w:t xml:space="preserve">and lipid-regulating agents</w:t>
      </w:r>
      <w:hyperlink w:anchor="ref-chu2018b">
        <w:r>
          <w:rPr>
            <w:rStyle w:val="Hyperlink"/>
            <w:bCs/>
            <w:b/>
            <w:vertAlign w:val="superscript"/>
          </w:rPr>
          <w:t xml:space="preserve">chu2018b?</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
        <w:r>
          <w:rPr>
            <w:rStyle w:val="Hyperlink"/>
            <w:vertAlign w:val="superscript"/>
          </w:rPr>
          <w:t xml:space="preserve">53</w:t>
        </w:r>
      </w:hyperlink>
      <w:r>
        <w:rPr>
          <w:vertAlign w:val="superscript"/>
        </w:rPr>
        <w:t xml:space="preserve">,</w:t>
      </w:r>
      <w:hyperlink w:anchor="ref-poly2020c">
        <w:r>
          <w:rPr>
            <w:rStyle w:val="Hyperlink"/>
            <w:bCs/>
            <w:b/>
            <w:vertAlign w:val="superscript"/>
          </w:rPr>
          <w:t xml:space="preserve">poly2020c?</w:t>
        </w:r>
      </w:hyperlink>
    </w:p>
    <w:bookmarkEnd w:id="42"/>
    <w:bookmarkStart w:id="43"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54</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55</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55</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43"/>
    <w:bookmarkStart w:id="44"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56</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57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56</w:t>
        </w:r>
      </w:hyperlink>
      <w:r>
        <w:t xml:space="preserve"> </w:t>
      </w:r>
      <w:r>
        <w:t xml:space="preserve">The analytic method relies on several assumptions about the instrumental variable (IV),</w:t>
      </w:r>
      <w:hyperlink w:anchor="ref-davies2018">
        <w:r>
          <w:rPr>
            <w:rStyle w:val="Hyperlink"/>
            <w:vertAlign w:val="superscript"/>
          </w:rPr>
          <w:t xml:space="preserve">58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59</w:t>
        </w:r>
      </w:hyperlink>
      <w:r>
        <w:rPr>
          <w:vertAlign w:val="superscript"/>
        </w:rPr>
        <w:t xml:space="preserve">,</w:t>
      </w:r>
      <w:hyperlink w:anchor="ref-ostergaard2015">
        <w:r>
          <w:rPr>
            <w:rStyle w:val="Hyperlink"/>
            <w:vertAlign w:val="superscript"/>
          </w:rPr>
          <w:t xml:space="preserve">60</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61</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62</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44"/>
    <w:bookmarkEnd w:id="45"/>
    <w:bookmarkStart w:id="49"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63</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6"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65</w:t>
        </w:r>
      </w:hyperlink>
      <w:r>
        <w:rPr>
          <w:vertAlign w:val="superscript"/>
        </w:rPr>
        <w:t xml:space="preserve">–</w:t>
      </w:r>
      <w:hyperlink w:anchor="ref-hopewell2007">
        <w:r>
          <w:rPr>
            <w:rStyle w:val="Hyperlink"/>
            <w:vertAlign w:val="superscript"/>
          </w:rPr>
          <w:t xml:space="preserve">67</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68</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69</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70</w:t>
        </w:r>
      </w:hyperlink>
      <w:r>
        <w:t xml:space="preserve"> </w:t>
      </w:r>
      <w:r>
        <w:t xml:space="preserve">to rapidly disseminate research findings, as occurred during the COVID-19 pandemic,</w:t>
      </w:r>
      <w:hyperlink w:anchor="ref-fraser2020a">
        <w:r>
          <w:rPr>
            <w:rStyle w:val="Hyperlink"/>
            <w:bCs/>
            <w:b/>
            <w:vertAlign w:val="superscript"/>
          </w:rPr>
          <w:t xml:space="preserve">fraser2020a?</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71</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72</w:t>
        </w:r>
      </w:hyperlink>
      <w:r>
        <w:rPr>
          <w:vertAlign w:val="superscript"/>
        </w:rPr>
        <w:t xml:space="preserve">,</w:t>
      </w:r>
      <w:hyperlink w:anchor="ref-schalkwyk2020">
        <w:r>
          <w:rPr>
            <w:rStyle w:val="Hyperlink"/>
            <w:vertAlign w:val="superscript"/>
          </w:rPr>
          <w:t xml:space="preserve">73</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68</w:t>
        </w:r>
      </w:hyperlink>
      <w:r>
        <w:rPr>
          <w:vertAlign w:val="superscript"/>
        </w:rPr>
        <w:t xml:space="preserve">,</w:t>
      </w:r>
      <w:hyperlink w:anchor="ref-mahood2014">
        <w:r>
          <w:rPr>
            <w:rStyle w:val="Hyperlink"/>
            <w:vertAlign w:val="superscript"/>
          </w:rPr>
          <w:t xml:space="preserve">74</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75</w:t>
        </w:r>
      </w:hyperlink>
      <w:r>
        <w:rPr>
          <w:vertAlign w:val="superscript"/>
        </w:rPr>
        <w:t xml:space="preserve">,</w:t>
      </w:r>
      <w:hyperlink w:anchor="ref-nicholson2021">
        <w:r>
          <w:rPr>
            <w:rStyle w:val="Hyperlink"/>
            <w:vertAlign w:val="superscript"/>
          </w:rPr>
          <w:t xml:space="preserve">76</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74</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6"/>
    <w:bookmarkStart w:id="47" w:name="intro-triangulation"/>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77</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78</w:t>
        </w:r>
      </w:hyperlink>
      <w:r>
        <w:rPr>
          <w:vertAlign w:val="superscript"/>
        </w:rPr>
        <w:t xml:space="preserve">,</w:t>
      </w:r>
      <w:hyperlink w:anchor="ref-mcguinness2018">
        <w:r>
          <w:rPr>
            <w:rStyle w:val="Hyperlink"/>
            <w:vertAlign w:val="superscript"/>
          </w:rPr>
          <w:t xml:space="preserve">79</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7"/>
    <w:bookmarkStart w:id="48"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80</w:t>
        </w:r>
      </w:hyperlink>
      <w:r>
        <w:rPr>
          <w:vertAlign w:val="superscript"/>
        </w:rPr>
        <w:t xml:space="preserve">,</w:t>
      </w:r>
      <w:hyperlink w:anchor="ref-stewart1993">
        <w:r>
          <w:rPr>
            <w:rStyle w:val="Hyperlink"/>
            <w:vertAlign w:val="superscript"/>
          </w:rPr>
          <w:t xml:space="preserve">81</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80</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82</w:t>
        </w:r>
      </w:hyperlink>
      <w:r>
        <w:rPr>
          <w:vertAlign w:val="superscript"/>
        </w:rPr>
        <w:t xml:space="preserve">–</w:t>
      </w:r>
      <w:hyperlink w:anchor="ref-mccartney2016">
        <w:r>
          <w:rPr>
            <w:rStyle w:val="Hyperlink"/>
            <w:vertAlign w:val="superscript"/>
          </w:rPr>
          <w:t xml:space="preserve">84</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80</w:t>
        </w:r>
      </w:hyperlink>
      <w:r>
        <w:t xml:space="preserve"> </w:t>
      </w:r>
      <w:r>
        <w:t xml:space="preserve">In terms of this thesis, patient sex is considered to be of particular interest.</w:t>
      </w:r>
      <w:hyperlink w:anchor="ref-arain2009">
        <w:r>
          <w:rPr>
            <w:rStyle w:val="Hyperlink"/>
            <w:vertAlign w:val="superscript"/>
          </w:rPr>
          <w:t xml:space="preserve">82</w:t>
        </w:r>
      </w:hyperlink>
      <w:r>
        <w:rPr>
          <w:vertAlign w:val="superscript"/>
        </w:rPr>
        <w:t xml:space="preserve">,</w:t>
      </w:r>
      <w:hyperlink w:anchor="ref-letenneur1999">
        <w:r>
          <w:rPr>
            <w:rStyle w:val="Hyperlink"/>
            <w:vertAlign w:val="superscript"/>
          </w:rPr>
          <w:t xml:space="preserve">85</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86</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87</w:t>
        </w:r>
      </w:hyperlink>
    </w:p>
    <w:p>
      <w:pPr>
        <w:pStyle w:val="BodyText"/>
      </w:pPr>
      <w:r>
        <w:t xml:space="preserve">Despite their advantages, IPD meta-analysis are rarely performed.</w:t>
      </w:r>
      <w:hyperlink w:anchor="ref-tugwell2010">
        <w:r>
          <w:rPr>
            <w:rStyle w:val="Hyperlink"/>
            <w:vertAlign w:val="superscript"/>
          </w:rPr>
          <w:t xml:space="preserve">88</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89</w:t>
        </w:r>
      </w:hyperlink>
      <w:r>
        <w:rPr>
          <w:vertAlign w:val="superscript"/>
        </w:rPr>
        <w:t xml:space="preserve">,</w:t>
      </w:r>
      <w:hyperlink w:anchor="ref-ventresca2020">
        <w:r>
          <w:rPr>
            <w:rStyle w:val="Hyperlink"/>
            <w:vertAlign w:val="superscript"/>
          </w:rPr>
          <w:t xml:space="preserve">90</w:t>
        </w:r>
      </w:hyperlink>
      <w:r>
        <w:t xml:space="preserve"> </w:t>
      </w:r>
      <w:r>
        <w:t xml:space="preserve">The data underlying primary studies are frequently not publicly available,</w:t>
      </w:r>
      <w:hyperlink w:anchor="ref-alsheikh-ali2011">
        <w:r>
          <w:rPr>
            <w:rStyle w:val="Hyperlink"/>
            <w:vertAlign w:val="superscript"/>
          </w:rPr>
          <w:t xml:space="preserve">91</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92</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93</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94</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8"/>
    <w:bookmarkEnd w:id="49"/>
    <w:bookmarkStart w:id="52" w:name="thesis-overview"/>
    <w:p>
      <w:pPr>
        <w:pStyle w:val="Heading2"/>
      </w:pPr>
      <w:r>
        <w:t xml:space="preserve">Thesis overview</w:t>
      </w:r>
    </w:p>
    <w:bookmarkStart w:id="50"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7.9</w:t>
      </w:r>
      <w:r>
        <w:t xml:space="preserve"> </w:t>
      </w:r>
      <w:r>
        <w:t xml:space="preserve">for a discussion of the group’s involvement and Appendix</w:t>
      </w:r>
      <w:r>
        <w:t xml:space="preserve"> </w:t>
      </w:r>
      <w:r>
        <w:t xml:space="preserve">9.1.2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5</w:t>
      </w:r>
    </w:p>
    <w:p>
      <w:pPr>
        <w:pStyle w:val="TableCaption"/>
      </w:pPr>
      <w:r>
        <w:t xml:space="preserve">Table 5: Summary of studies included in this thesis, and used as evidence sources in the triangulation exercise performed in Chapter</w:t>
      </w:r>
      <w:r>
        <w:t xml:space="preserve"> </w:t>
      </w:r>
      <w:r>
        <w:t xml:space="preserve">7</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5: Summary of studies included in this thesis, and used as evidence sources in the triangulation exercise performed in Chapter 7.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54">
        <w:r>
          <w:rPr>
            <w:rStyle w:val="Hyperlink"/>
            <w:iCs/>
            <w:i/>
          </w:rPr>
          <w:t xml:space="preserve">10.1007/s11121-021-01279-8</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10.2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6">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9.1.1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95</w:t>
        </w:r>
      </w:hyperlink>
      <w:r>
        <w:t xml:space="preserve"> </w:t>
      </w:r>
      <w:r>
        <w:t xml:space="preserve">and bioRxiv</w:t>
      </w:r>
      <w:hyperlink w:anchor="ref-sever2019">
        <w:r>
          <w:rPr>
            <w:rStyle w:val="Hyperlink"/>
            <w:vertAlign w:val="superscript"/>
          </w:rPr>
          <w:t xml:space="preserve">96</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10.2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89"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8"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96</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95</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97</w:t>
        </w:r>
      </w:hyperlink>
      <w:r>
        <w:rPr>
          <w:vertAlign w:val="superscript"/>
        </w:rPr>
        <w:t xml:space="preserve">,</w:t>
      </w:r>
      <w:hyperlink w:anchor="ref-gusenbauer2020">
        <w:r>
          <w:rPr>
            <w:rStyle w:val="Hyperlink"/>
            <w:vertAlign w:val="superscript"/>
          </w:rPr>
          <w:t xml:space="preserve">98</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65">
        <w:r>
          <w:rPr>
            <w:rStyle w:val="Hyperlink"/>
          </w:rPr>
          <w:t xml:space="preserve">https://github.com/ropensci/medrxivr</w:t>
        </w:r>
      </w:hyperlink>
      <w:r>
        <w:t xml:space="preserve"> </w:t>
      </w:r>
      <w:r>
        <w:t xml:space="preserve">and</w:t>
      </w:r>
      <w:r>
        <w:t xml:space="preserve"> </w:t>
      </w:r>
      <w:hyperlink r:id="rId66">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99</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7"/>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8"/>
    <w:bookmarkStart w:id="73" w:name="development"/>
    <w:p>
      <w:pPr>
        <w:pStyle w:val="Heading2"/>
      </w:pPr>
      <w:r>
        <w:t xml:space="preserve">Development</w:t>
      </w:r>
    </w:p>
    <w:bookmarkStart w:id="69"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100</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9"/>
    <w:bookmarkStart w:id="70"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101</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102</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103</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0"/>
    <w:bookmarkStart w:id="71"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104</w:t>
        </w:r>
      </w:hyperlink>
      <w:r>
        <w:rPr>
          <w:vertAlign w:val="superscript"/>
        </w:rPr>
        <w:t xml:space="preserve">,</w:t>
      </w:r>
      <w:hyperlink w:anchor="ref-laprie1992">
        <w:r>
          <w:rPr>
            <w:rStyle w:val="Hyperlink"/>
            <w:vertAlign w:val="superscript"/>
          </w:rPr>
          <w:t xml:space="preserve">105</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me to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105</w:t>
        </w:r>
      </w:hyperlink>
    </w:p>
    <w:p>
      <w:pPr>
        <w:pStyle w:val="BodyText"/>
      </w:pPr>
      <w:r>
        <w:t xml:space="preserve"> </w:t>
      </w:r>
    </w:p>
    <w:bookmarkEnd w:id="71"/>
    <w:bookmarkStart w:id="72"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106</w:t>
        </w:r>
      </w:hyperlink>
      <w:r>
        <w:t xml:space="preserve"> </w:t>
      </w:r>
      <w:r>
        <w:t xml:space="preserve">and followed development best-practice, including development of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2"/>
    <w:bookmarkEnd w:id="73"/>
    <w:bookmarkStart w:id="81"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74"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4"/>
    <w:bookmarkStart w:id="76"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w:t>
      </w:r>
      <w:r>
        <w:t xml:space="preserve"> </w:t>
      </w:r>
      <w:r>
        <w:t xml:space="preserve"> </w:t>
      </w:r>
      <w:r>
        <w:t xml:space="preserve">requires a time-intensive process of cycling through multiple pages. Secondly, the API can become unavailable, either during peak usage times or planned maintainence windows.</w:t>
      </w:r>
    </w:p>
    <w:p>
      <w:pPr>
        <w:pStyle w:val="BodyText"/>
      </w:pPr>
      <w:r>
        <w:t xml:space="preserve">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107</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to an online server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w:t>
      </w:r>
    </w:p>
    <w:p>
      <w:pPr>
        <w:pStyle w:val="BodyText"/>
      </w:pPr>
      <w:r>
        <w:t xml:space="preserve">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5"/>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6"/>
    <w:bookmarkStart w:id="77"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7"/>
    <w:bookmarkStart w:id="78"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108</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109</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8"/>
    <w:bookmarkStart w:id="79"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9"/>
    <w:bookmarkStart w:id="80"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0"/>
    <w:bookmarkEnd w:id="81"/>
    <w:bookmarkStart w:id="86" w:name="discussion"/>
    <w:p>
      <w:pPr>
        <w:pStyle w:val="Heading2"/>
      </w:pPr>
      <w:r>
        <w:t xml:space="preserve">Discussion</w:t>
      </w:r>
    </w:p>
    <w:bookmarkStart w:id="82"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4500 times), and several use cases have been reported. It has been used to investigate the role of preprints in the response to the 2019 coronavirus outbreak,</w:t>
      </w:r>
      <w:hyperlink w:anchor="ref-kodvanj2020">
        <w:r>
          <w:rPr>
            <w:rStyle w:val="Hyperlink"/>
            <w:vertAlign w:val="superscript"/>
          </w:rPr>
          <w:t xml:space="preserve">110</w:t>
        </w:r>
      </w:hyperlink>
      <w:r>
        <w:t xml:space="preserve"> </w:t>
      </w:r>
      <w:r>
        <w:t xml:space="preserve">perform searches of preprints as part of a systematic review,</w:t>
      </w:r>
      <w:hyperlink w:anchor="ref-noone2020">
        <w:r>
          <w:rPr>
            <w:rStyle w:val="Hyperlink"/>
            <w:vertAlign w:val="superscript"/>
          </w:rPr>
          <w:t xml:space="preserve">111</w:t>
        </w:r>
      </w:hyperlink>
      <w:r>
        <w:rPr>
          <w:vertAlign w:val="superscript"/>
        </w:rPr>
        <w:t xml:space="preserve">,</w:t>
      </w:r>
      <w:hyperlink w:anchor="ref-grassly2020">
        <w:r>
          <w:rPr>
            <w:rStyle w:val="Hyperlink"/>
            <w:vertAlign w:val="superscript"/>
          </w:rPr>
          <w:t xml:space="preserve">112</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bCs/>
            <w:b/>
            <w:vertAlign w:val="superscript"/>
          </w:rPr>
          <w:t xml:space="preserve">mcguinness2020c?</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113</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hyperlink w:anchor="ref-zotero-15016">
        <w:r>
          <w:rPr>
            <w:rStyle w:val="Hyperlink"/>
            <w:vertAlign w:val="superscript"/>
          </w:rPr>
          <w:t xml:space="preserve">114</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2"/>
    <w:bookmarkStart w:id="83" w:name="use-case"/>
    <w:p>
      <w:pPr>
        <w:pStyle w:val="Heading3"/>
      </w:pPr>
      <w:r>
        <w:t xml:space="preserve">Use case</w:t>
      </w:r>
    </w:p>
    <w:p>
      <w:pPr>
        <w:pStyle w:val="FirstParagraph"/>
      </w:pPr>
      <w:r>
        <w:t xml:space="preserve">In addition to being used to search systematically search health-related preprint servers, as illustrated in the systematic review presented in Chapter</w:t>
      </w:r>
      <w:r>
        <w:t xml:space="preserve"> </w:t>
      </w:r>
      <w:r>
        <w:t xml:space="preserve">4</w:t>
      </w:r>
      <w:r>
        <w:t xml:space="preserve">,</w:t>
      </w:r>
      <w:r>
        <w:t xml:space="preserve"> </w:t>
      </w:r>
      <w:r>
        <w:rPr>
          <w:rStyle w:val="VerbatimChar"/>
        </w:rPr>
        <w:t xml:space="preserve">medrxivr</w:t>
      </w:r>
      <w:r>
        <w:t xml:space="preserve"> </w:t>
      </w:r>
      <w:r>
        <w:t xml:space="preserve">has other uses. 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w:t>
      </w:r>
    </w:p>
    <w:p>
      <w:pPr>
        <w:pStyle w:val="BodyText"/>
      </w:pPr>
      <w:r>
        <w:t xml:space="preserve">By comparing the preprinted and published versions of the data availability statement, I could examine the same manuscript (same content, authors and funders) under two differnt publication policies, and examine whether stricter policies which require data sharing as a condition of publication actually result in increased data availability. We found some evidence that data availability statements more frequently described open data on publication when the journal mandated data sharing compared to when the journal did not mandate data sharing. This study has since been published in PLOS One, and a copy is included in Appendix</w:t>
      </w:r>
      <w:r>
        <w:t xml:space="preserve"> </w:t>
      </w:r>
      <w:r>
        <w:t xml:space="preserve">10.4</w:t>
      </w:r>
      <w:r>
        <w:t xml:space="preserve">. Author contributions are discussed in the</w:t>
      </w:r>
    </w:p>
    <w:p>
      <w:pPr>
        <w:pStyle w:val="BodyText"/>
      </w:pPr>
      <w:r>
        <w:t xml:space="preserve">In short, this use case illustrates that easy access to medRxiv/bioRxiv metadata has applications beyond systematic searching of preprints as a part of evidence synthesis exercises.</w:t>
      </w:r>
    </w:p>
    <w:bookmarkEnd w:id="83"/>
    <w:bookmarkStart w:id="84" w:name="limitations-of-medrxivr"/>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115</w:t>
        </w:r>
      </w:hyperlink>
    </w:p>
    <w:p>
      <w:pPr>
        <w:pStyle w:val="BodyText"/>
      </w:pPr>
      <w:r>
        <w:t xml:space="preserve">There is also the potential that the cross-section of literature posted on medrxiv/bioRxiv is substantially different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116</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71</w:t>
        </w:r>
      </w:hyperlink>
    </w:p>
    <w:p>
      <w:pPr>
        <w:pStyle w:val="BodyText"/>
      </w:pPr>
      <w:r>
        <w:t xml:space="preserve">Allowing for a two year lag, previous work has found that two-thirds of bioRxiv preprints were published in a peer-reviewed journal,</w:t>
      </w:r>
      <w:hyperlink w:anchor="ref-abdill2019b">
        <w:r>
          <w:rPr>
            <w:rStyle w:val="Hyperlink"/>
            <w:vertAlign w:val="superscript"/>
          </w:rPr>
          <w:t xml:space="preserve">117</w:t>
        </w:r>
      </w:hyperlink>
      <w:r>
        <w:t xml:space="preserve"> </w:t>
      </w:r>
      <w:r>
        <w:t xml:space="preserve">indicating that s not-insignificant number of preprints are never publishe but are accessible as preprints.</w:t>
      </w:r>
    </w:p>
    <w:p>
      <w:pPr>
        <w:pStyle w:val="BodyText"/>
      </w:pP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4"/>
    <w:bookmarkStart w:id="85"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hamper the efforts of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118</w:t>
        </w:r>
      </w:hyperlink>
    </w:p>
    <w:bookmarkEnd w:id="85"/>
    <w:bookmarkEnd w:id="86"/>
    <w:bookmarkStart w:id="87"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7"/>
    <w:bookmarkStart w:id="88" w:name="references-1"/>
    <w:p>
      <w:pPr>
        <w:pStyle w:val="Heading2"/>
      </w:pPr>
      <w:r>
        <w:t xml:space="preserve">References</w:t>
      </w:r>
    </w:p>
    <w:bookmarkEnd w:id="88"/>
    <w:bookmarkEnd w:id="89"/>
    <w:bookmarkStart w:id="146" w:name="sys-rev-heading"/>
    <w:p>
      <w:pPr>
        <w:pStyle w:val="Heading1"/>
      </w:pPr>
      <w:r>
        <w:t xml:space="preserve">Systematic review of all evidence available on the association between blood lipids (and treatment) and dementia outcomes</w:t>
      </w:r>
    </w:p>
    <w:p>
      <w:pPr>
        <w:pStyle w:val="FirstParagraph"/>
      </w:pPr>
    </w:p>
    <w:bookmarkStart w:id="90" w:name="lay-summary-2"/>
    <w:p>
      <w:pPr>
        <w:pStyle w:val="Heading2"/>
      </w:pPr>
      <w:r>
        <w:t xml:space="preserve">Lay summary</w:t>
      </w:r>
    </w:p>
    <w:p>
      <w:pPr>
        <w:pStyle w:val="FirstParagraph"/>
      </w:pPr>
      <w:r>
        <w:t xml:space="preserve">Systematic reviews are a type of research that aim to use all existing evidence to provide the best answer to an important research question. They do this by finding and combining the results from many related primary research studies. Reviews involve multiple steps including: searching of existing studies; assessment of the studies against predefined inclusion criteria; collection of data from each study; assessment of each study’s methods.</w:t>
      </w:r>
    </w:p>
    <w:p>
      <w:pPr>
        <w:pStyle w:val="BodyText"/>
      </w:pPr>
      <w:r>
        <w:t xml:space="preserve">This chapter presents a systematic review of primary studies that have examined the relationship between the levels of blood lipids (such as cholesterol and triglycerides), and treatments that change these levels, and dementia.</w:t>
      </w:r>
    </w:p>
    <w:p>
      <w:pPr>
        <w:pStyle w:val="BodyText"/>
      </w:pPr>
      <w:r>
        <w:t xml:space="preserve">There were 127 primary studies</w:t>
      </w:r>
      <w:r>
        <w:t xml:space="preserve"> </w:t>
      </w:r>
      <w:r>
        <w:t xml:space="preserve">that contained information on this relationship. I found that statins reduce the risk of Alzheimer’s disease, but had no effect of vascular dementia. Lipids were not associated with any outcome. The methods used in some of the primary studies meant that I was less confident in the accuracy of their results.</w:t>
      </w:r>
    </w:p>
    <w:p>
      <w:pPr>
        <w:pStyle w:val="BodyText"/>
      </w:pPr>
      <w:r>
        <w:t xml:space="preserve">The use of the results of this review in subsequent chapters is dicussed.</w:t>
      </w:r>
    </w:p>
    <w:p>
      <w:pPr>
        <w:pStyle w:val="BodyText"/>
      </w:pPr>
      <w:r>
        <w:t xml:space="preserve"> </w:t>
      </w:r>
    </w:p>
    <w:bookmarkEnd w:id="90"/>
    <w:bookmarkStart w:id="91"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 This analysis sought to address two specific aims.</w:t>
      </w:r>
    </w:p>
    <w:p>
      <w:pPr>
        <w:pStyle w:val="BodyText"/>
      </w:pPr>
      <w:r>
        <w:t xml:space="preserve">Firstly, as discussed in the Introduction to this thesis (Section</w:t>
      </w:r>
      <w:r>
        <w:t xml:space="preserve"> </w:t>
      </w:r>
      <w:r>
        <w:t xml:space="preserve">2.5</w:t>
      </w:r>
      <w:r>
        <w:t xml:space="preserve">), several diverse forms of evidence on the relationship of lipids and dementia exist. These include randomised controlled trials, observational studies of different analytical design (cohort, case-control, etc),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regardless of study design.</w:t>
      </w:r>
    </w:p>
    <w:p>
      <w:pPr>
        <w:pStyle w:val="BodyText"/>
      </w:pPr>
      <w:r>
        <w:t xml:space="preserve">Secondly, I explicitly sought to include health-related preprint servers as a potential evidence source in this review, as they are infrequently considered by evidence syntheists but may contain important unpublished studies. As an adjunct analysis to the systematic review presented in this chapter, I sought to quantify the additional evidential value of including preprints. This inclusion of preprint serves makes use of the preprint search tool presented in Chapter</w:t>
      </w:r>
      <w:r>
        <w:t xml:space="preserve"> </w:t>
      </w:r>
      <w:r>
        <w:t xml:space="preserve">3</w:t>
      </w:r>
      <w:r>
        <w:t xml:space="preserve">.</w:t>
      </w:r>
    </w:p>
    <w:p>
      <w:pPr>
        <w:pStyle w:val="BodyText"/>
      </w:pPr>
      <w:r>
        <w:t xml:space="preserve">The results of this review are used to guide the primary analysis presented in Chapter</w:t>
      </w:r>
      <w:r>
        <w:t xml:space="preserve"> </w:t>
      </w:r>
      <w:r>
        <w:t xml:space="preserve">5</w:t>
      </w:r>
      <w:r>
        <w:t xml:space="preserve">, in addition to forming a key evidence source used in the triangulation exercise presented in Chapter</w:t>
      </w:r>
      <w:r>
        <w:t xml:space="preserve"> </w:t>
      </w:r>
      <w:r>
        <w:t xml:space="preserve">7</w:t>
      </w:r>
      <w:r>
        <w:t xml:space="preserve">.</w:t>
      </w:r>
    </w:p>
    <w:p>
      <w:pPr>
        <w:pStyle w:val="BodyText"/>
      </w:pPr>
      <w:r>
        <w:t xml:space="preserve"> </w:t>
      </w:r>
      <w:r>
        <w:t xml:space="preserve"> </w:t>
      </w:r>
    </w:p>
    <w:bookmarkEnd w:id="91"/>
    <w:bookmarkStart w:id="115" w:name="methods"/>
    <w:p>
      <w:pPr>
        <w:pStyle w:val="Heading2"/>
      </w:pPr>
      <w:r>
        <w:t xml:space="preserve">Methods</w:t>
      </w:r>
    </w:p>
    <w:bookmarkStart w:id="92" w:name="protocol"/>
    <w:p>
      <w:pPr>
        <w:pStyle w:val="Heading3"/>
      </w:pPr>
      <w:r>
        <w:t xml:space="preserve">Protocol</w:t>
      </w:r>
    </w:p>
    <w:p>
      <w:pPr>
        <w:pStyle w:val="FirstParagraph"/>
      </w:pPr>
      <w:r>
        <w:t xml:space="preserve">A pre-specified protocol for this analysis was registered using the Open Science Framework, and is available for inspection.</w:t>
      </w:r>
      <w:hyperlink w:anchor="ref-mcguinnessluke2020">
        <w:r>
          <w:rPr>
            <w:rStyle w:val="Hyperlink"/>
            <w:vertAlign w:val="superscript"/>
          </w:rPr>
          <w:t xml:space="preserve">119</w:t>
        </w:r>
      </w:hyperlink>
      <w:r>
        <w:t xml:space="preserve"> </w:t>
      </w:r>
      <w:r>
        <w:t xml:space="preserve">Deviations from this protocol are detailed in the relevant sections.</w:t>
      </w:r>
    </w:p>
    <w:p>
      <w:pPr>
        <w:pStyle w:val="BodyText"/>
      </w:pPr>
      <w:r>
        <w:t xml:space="preserve"> </w:t>
      </w:r>
    </w:p>
    <w:bookmarkEnd w:id="92"/>
    <w:bookmarkStart w:id="93"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systematic review was performed in conjunction with a team of secondary reviewer. These included Alexandra MacAleenan, Athena Sheppard, Matthew Lee and Lena Schmidt. In addition, Sarah Dawson, and information specialist, provided input to the design of the search strategy.</w:t>
      </w:r>
    </w:p>
    <w:p>
      <w:pPr>
        <w:pStyle w:val="BodyText"/>
      </w:pPr>
      <w:r>
        <w:t xml:space="preserve"> </w:t>
      </w:r>
    </w:p>
    <w:bookmarkEnd w:id="93"/>
    <w:bookmarkStart w:id="94" w:name="search-strategy"/>
    <w:p>
      <w:pPr>
        <w:pStyle w:val="Heading3"/>
      </w:pPr>
      <w:r>
        <w:t xml:space="preserve">Search strategy</w:t>
      </w:r>
    </w:p>
    <w:p>
      <w:pPr>
        <w:pStyle w:val="FirstParagraph"/>
      </w:pPr>
      <w:r>
        <w:t xml:space="preserve">I systematically search electronic bibliographic databases to identify potentially relevant entries (hereafter referred to as</w:t>
      </w:r>
      <w:r>
        <w:t xml:space="preserve"> </w:t>
      </w:r>
      <w:r>
        <w:t xml:space="preserve">“</w:t>
      </w:r>
      <w:r>
        <w:t xml:space="preserve">records</w:t>
      </w:r>
      <w:r>
        <w:t xml:space="preserve">”</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68</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its sub-types, and was designed for MEDLINE before being adapted for use in the other bibliography databases listed. An outline of the general strategy is presented in the Table</w:t>
      </w:r>
      <w:r>
        <w:t xml:space="preserve"> </w:t>
      </w:r>
      <w:r>
        <w:t xml:space="preserve">6</w:t>
      </w:r>
      <w:r>
        <w:t xml:space="preserve"> </w:t>
      </w:r>
      <w:r>
        <w:t xml:space="preserve">below and the full search strategies for each database are presented in Appendix</w:t>
      </w:r>
      <w:r>
        <w:t xml:space="preserve"> </w:t>
      </w:r>
      <w:r>
        <w:t xml:space="preserve">9.2.1</w:t>
      </w:r>
      <w:r>
        <w:t xml:space="preserve">.</w:t>
      </w:r>
      <w:r>
        <w:t xml:space="preserve"> </w:t>
      </w:r>
    </w:p>
    <w:p>
      <w:pPr>
        <w:pStyle w:val="BodyText"/>
      </w:pPr>
      <w:r>
        <w:t xml:space="preserve"> </w:t>
      </w:r>
    </w:p>
    <w:p>
      <w:pPr>
        <w:pStyle w:val="TableCaption"/>
      </w:pPr>
      <w:r>
        <w:t xml:space="preserve">Table 6: Summary of systematic search by topic. The full search strategy including all terms and the number of hits per term is included in Appendix</w:t>
      </w:r>
      <w:r>
        <w:t xml:space="preserve"> </w:t>
      </w:r>
      <w:r>
        <w:t xml:space="preserve">9.2.1</w:t>
      </w:r>
      <w:r>
        <w:t xml:space="preserve">.</w:t>
      </w:r>
    </w:p>
    <w:tbl>
      <w:tblPr>
        <w:tblStyle w:val="Table"/>
        <w:tblW w:type="pct" w:w="0.0"/>
        <w:tblLook w:firstRow="1" w:lastRow="0" w:firstColumn="0" w:lastColumn="0" w:noHBand="0" w:noVBand="0" w:val="0020"/>
        <w:tblCaption w:val="Table 6: Summary of systematic search by topic. The full search strategy including all terms and the number of hits per term is included in Appendix 9.2.1."/>
      </w:tblPr>
      <w:tblGrid/>
      <w:tr>
        <w:tc>
          <w:p>
            <w:pPr>
              <w:pStyle w:val="Compact"/>
              <w:jc w:val="right"/>
            </w:pPr>
            <w:r>
              <w:t xml:space="preserve">No.</w:t>
            </w:r>
          </w:p>
        </w:tc>
        <w:tc>
          <w:p>
            <w:pPr>
              <w:pStyle w:val="Compact"/>
              <w:jc w:val="left"/>
            </w:pPr>
            <w:r>
              <w:t xml:space="preserve">Concept</w:t>
            </w:r>
          </w:p>
        </w:tc>
      </w:tr>
      <w:tr>
        <w:tc>
          <w:p>
            <w:pPr>
              <w:pStyle w:val="Compact"/>
              <w:jc w:val="right"/>
            </w:pPr>
            <w:r>
              <w:t xml:space="preserve">1</w:t>
            </w:r>
          </w:p>
        </w:tc>
        <w:tc>
          <w:p>
            <w:pPr>
              <w:pStyle w:val="Compact"/>
              <w:jc w:val="left"/>
            </w:pPr>
            <w:r>
              <w:t xml:space="preserve">Dementia/Mild Cognitive Impairment</w:t>
            </w:r>
          </w:p>
        </w:tc>
      </w:tr>
      <w:tr>
        <w:tc>
          <w:p>
            <w:pPr>
              <w:pStyle w:val="Compact"/>
              <w:jc w:val="right"/>
            </w:pPr>
            <w:r>
              <w:t xml:space="preserve">2</w:t>
            </w:r>
          </w:p>
        </w:tc>
        <w:tc>
          <w:p>
            <w:pPr>
              <w:pStyle w:val="Compact"/>
              <w:jc w:val="left"/>
            </w:pPr>
            <w:r>
              <w:t xml:space="preserve">Lipids</w:t>
            </w:r>
          </w:p>
        </w:tc>
      </w:tr>
      <w:tr>
        <w:tc>
          <w:p>
            <w:pPr>
              <w:pStyle w:val="Compact"/>
              <w:jc w:val="right"/>
            </w:pPr>
            <w:r>
              <w:t xml:space="preserve">3</w:t>
            </w:r>
          </w:p>
        </w:tc>
        <w:tc>
          <w:p>
            <w:pPr>
              <w:pStyle w:val="Compact"/>
              <w:jc w:val="left"/>
            </w:pPr>
            <w:r>
              <w:t xml:space="preserve">Lipid-modifying treatments</w:t>
            </w:r>
          </w:p>
        </w:tc>
      </w:tr>
      <w:tr>
        <w:tc>
          <w:p>
            <w:pPr>
              <w:pStyle w:val="Compact"/>
              <w:jc w:val="right"/>
            </w:pPr>
            <w:r>
              <w:t xml:space="preserve">4</w:t>
            </w:r>
          </w:p>
        </w:tc>
        <w:tc>
          <w:p>
            <w:pPr>
              <w:pStyle w:val="Compact"/>
              <w:jc w:val="left"/>
            </w:pPr>
            <w:r>
              <w:t xml:space="preserve">1 AND 2</w:t>
            </w:r>
          </w:p>
        </w:tc>
      </w:tr>
      <w:tr>
        <w:tc>
          <w:p>
            <w:pPr>
              <w:pStyle w:val="Compact"/>
              <w:jc w:val="right"/>
            </w:pPr>
            <w:r>
              <w:t xml:space="preserve">5</w:t>
            </w:r>
          </w:p>
        </w:tc>
        <w:tc>
          <w:p>
            <w:pPr>
              <w:pStyle w:val="Compact"/>
              <w:jc w:val="left"/>
            </w:pPr>
            <w:r>
              <w:t xml:space="preserve">1 AND 3</w:t>
            </w:r>
          </w:p>
        </w:tc>
      </w:tr>
      <w:tr>
        <w:tc>
          <w:p>
            <w:pPr>
              <w:pStyle w:val="Compact"/>
              <w:jc w:val="right"/>
            </w:pPr>
            <w:r>
              <w:t xml:space="preserve">6</w:t>
            </w:r>
          </w:p>
        </w:tc>
        <w:tc>
          <w:p>
            <w:pPr>
              <w:pStyle w:val="Compact"/>
              <w:jc w:val="left"/>
            </w:pPr>
            <w:r>
              <w:t xml:space="preserve">4 OR 5</w:t>
            </w:r>
          </w:p>
        </w:tc>
      </w:tr>
      <w:tr>
        <w:tc>
          <w:p>
            <w:pPr>
              <w:pStyle w:val="Compact"/>
              <w:jc w:val="right"/>
            </w:pPr>
            <w:r>
              <w:t xml:space="preserve">7</w:t>
            </w:r>
          </w:p>
        </w:tc>
        <w:tc>
          <w:p>
            <w:pPr>
              <w:pStyle w:val="Compact"/>
              <w:jc w:val="left"/>
            </w:pPr>
            <w:r>
              <w:t xml:space="preserve">Animals NOT (Animals AND Humans)</w:t>
            </w:r>
          </w:p>
        </w:tc>
      </w:tr>
      <w:tr>
        <w:tc>
          <w:p>
            <w:pPr>
              <w:pStyle w:val="Compact"/>
              <w:jc w:val="right"/>
            </w:pPr>
            <w:r>
              <w:t xml:space="preserve">8</w:t>
            </w:r>
          </w:p>
        </w:tc>
        <w:tc>
          <w:p>
            <w:pPr>
              <w:pStyle w:val="Compact"/>
              <w:jc w:val="left"/>
            </w:pPr>
            <w:r>
              <w:t xml:space="preserve">6 NOT 7</w:t>
            </w:r>
          </w:p>
        </w:tc>
      </w:tr>
      <w:tr>
        <w:tc>
          <w:p>
            <w:pPr>
              <w:pStyle w:val="Compact"/>
              <w:jc w:val="right"/>
            </w:pPr>
            <w:r>
              <w:t xml:space="preserve">9</w:t>
            </w:r>
          </w:p>
        </w:tc>
        <w:tc>
          <w:p>
            <w:pPr>
              <w:pStyle w:val="Compact"/>
              <w:jc w:val="left"/>
            </w:pPr>
            <w:r>
              <w:t xml:space="preserve">Observational filter</w:t>
            </w:r>
          </w:p>
        </w:tc>
      </w:tr>
      <w:tr>
        <w:tc>
          <w:p>
            <w:pPr>
              <w:pStyle w:val="Compact"/>
              <w:jc w:val="right"/>
            </w:pPr>
            <w:r>
              <w:t xml:space="preserve">10</w:t>
            </w:r>
          </w:p>
        </w:tc>
        <w:tc>
          <w:p>
            <w:pPr>
              <w:pStyle w:val="Compact"/>
              <w:jc w:val="left"/>
            </w:pPr>
            <w:r>
              <w:t xml:space="preserve">Randomised controlled trial (RCT) filter</w:t>
            </w:r>
          </w:p>
        </w:tc>
      </w:tr>
      <w:tr>
        <w:tc>
          <w:p>
            <w:pPr>
              <w:pStyle w:val="Compact"/>
              <w:jc w:val="right"/>
            </w:pPr>
            <w:r>
              <w:t xml:space="preserve">11</w:t>
            </w:r>
          </w:p>
        </w:tc>
        <w:tc>
          <w:p>
            <w:pPr>
              <w:pStyle w:val="Compact"/>
              <w:jc w:val="left"/>
            </w:pPr>
            <w:r>
              <w:t xml:space="preserve">Mendelian randomisation/Instrumental variable filter</w:t>
            </w:r>
          </w:p>
        </w:tc>
      </w:tr>
      <w:tr>
        <w:tc>
          <w:p>
            <w:pPr>
              <w:pStyle w:val="Compact"/>
              <w:jc w:val="right"/>
            </w:pPr>
            <w:r>
              <w:t xml:space="preserve">12</w:t>
            </w:r>
          </w:p>
        </w:tc>
        <w:tc>
          <w:p>
            <w:pPr>
              <w:pStyle w:val="Compact"/>
              <w:jc w:val="left"/>
            </w:pPr>
            <w:r>
              <w:t xml:space="preserve">OR/ 9-11</w:t>
            </w:r>
          </w:p>
        </w:tc>
      </w:tr>
      <w:tr>
        <w:tc>
          <w:p>
            <w:pPr>
              <w:pStyle w:val="Compact"/>
              <w:jc w:val="right"/>
            </w:pPr>
            <w:r>
              <w:t xml:space="preserve">13</w:t>
            </w:r>
          </w:p>
        </w:tc>
        <w:tc>
          <w:p>
            <w:pPr>
              <w:pStyle w:val="Compact"/>
              <w:jc w:val="left"/>
            </w:pPr>
            <w:r>
              <w:t xml:space="preserve">8 AND 12</w:t>
            </w:r>
          </w:p>
        </w:tc>
      </w:tr>
    </w:tbl>
    <w:p>
      <w:pPr>
        <w:pStyle w:val="BodyText"/>
      </w:pPr>
      <w:r>
        <w:t xml:space="preserve"> </w:t>
      </w:r>
    </w:p>
    <w:p>
      <w:pPr>
        <w:pStyle w:val="BodyText"/>
      </w:pPr>
      <w:r>
        <w:t xml:space="preserve">When searching the bibliographic databases, study design filters were employed to try and reduce the screening load. To ensure that the study design filters are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6</w:t>
      </w:r>
      <w:r>
        <w:t xml:space="preserve">) was screened.</w:t>
      </w:r>
    </w:p>
    <w:p>
      <w:pPr>
        <w:pStyle w:val="BodyText"/>
      </w:pPr>
      <w:r>
        <w:t xml:space="preserve">The following databases were searched from inception onwards: Medline, EMBASE, Psychinfo, Cochrane Central Register of Controlled Trials (CENTRAL), and Web of Science Core Collection. As the contents of the Web of Science Core Collection can vary by institution, the specific database searched via this platform are listed in Appendix</w:t>
      </w:r>
      <w:r>
        <w:t xml:space="preserve"> </w:t>
      </w:r>
      <w:r>
        <w:t xml:space="preserve">9.2.2</w:t>
      </w:r>
      <w:r>
        <w:t xml:space="preserve">. I also search clinical trial registries, for example ClinicalTrials.gov, to identify relevant randomized controlled trials.</w:t>
      </w:r>
    </w:p>
    <w:p>
      <w:pPr>
        <w:pStyle w:val="BodyText"/>
      </w:pPr>
      <w:r>
        <w:t xml:space="preserve">In addition, I searched the bioRxiv and medRxiv preprint repositories using the tool developed in Chapter</w:t>
      </w:r>
      <w:r>
        <w:t xml:space="preserve"> </w:t>
      </w:r>
      <w:r>
        <w:t xml:space="preserve">3</w:t>
      </w:r>
      <w:r>
        <w:t xml:space="preserve"> </w:t>
      </w:r>
      <w:r>
        <w:t xml:space="preserve">to identify potentially relevant preprinted studies.</w:t>
      </w:r>
    </w:p>
    <w:p>
      <w:pPr>
        <w:pStyle w:val="BodyText"/>
      </w:pPr>
      <w:r>
        <w:t xml:space="preserve">Grey literature was also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p>
    <w:p>
      <w:pPr>
        <w:pStyle w:val="BodyText"/>
      </w:pPr>
      <w:r>
        <w:t xml:space="preserve"> </w:t>
      </w:r>
      <w:r>
        <w:t xml:space="preserve"> </w:t>
      </w:r>
    </w:p>
    <w:bookmarkEnd w:id="94"/>
    <w:bookmarkStart w:id="97"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120</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matched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121</w:t>
        </w:r>
      </w:hyperlink>
      <w:r>
        <w:t xml:space="preserve"> </w:t>
      </w:r>
      <w:r>
        <w:t xml:space="preserve">and Rayyan, a web-based screening application.</w:t>
      </w:r>
      <w:hyperlink w:anchor="ref-ouzzani2016">
        <w:r>
          <w:rPr>
            <w:rStyle w:val="Hyperlink"/>
            <w:vertAlign w:val="superscript"/>
          </w:rPr>
          <w:t xml:space="preserve">122</w:t>
        </w:r>
      </w:hyperlink>
      <w:r>
        <w:t xml:space="preserve"> </w:t>
      </w:r>
      <w:r>
        <w:t xml:space="preserve">Title and abstract screening to remove obviously irrelevant records was performed primarily by me, with a random sample of excluded records being screened in duplicate to ensure consistency with the inclusion criteria.</w:t>
      </w:r>
    </w:p>
    <w:p>
      <w:pPr>
        <w:pStyle w:val="BodyText"/>
      </w:pPr>
      <w:r>
        <w:t xml:space="preserve">Similarly, I completed all full-text screening, with a random ~10% being screened in duplicate by a second reviewer. In addition, any records identified I identified as being difficult to assess against the inclusion criteria were screened in duplicate.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78</w:t>
        </w:r>
      </w:hyperlink>
    </w:p>
    <w:p>
      <w:pPr>
        <w:pStyle w:val="BodyText"/>
      </w:pPr>
      <w:r>
        <w:t xml:space="preserve">The criteria used to assess eligibility are presented in the subsequent sections.</w:t>
      </w:r>
    </w:p>
    <w:p>
      <w:pPr>
        <w:pStyle w:val="BodyText"/>
      </w:pPr>
      <w:r>
        <w:t xml:space="preserve"> </w:t>
      </w:r>
    </w:p>
    <w:bookmarkStart w:id="95" w:name="inclusion-criteria"/>
    <w:p>
      <w:pPr>
        <w:pStyle w:val="Heading4"/>
      </w:pPr>
      <w:r>
        <w:t xml:space="preserve">Inclusion criteria</w:t>
      </w:r>
    </w:p>
    <w:p>
      <w:pPr>
        <w:pStyle w:val="FirstParagraph"/>
      </w:pPr>
      <w:r>
        <w:t xml:space="preserve">I sought to include studies that examine the relationship between blood lipid levels (or any specific lipid fraction, including total cholesterol, HDL, LDL, and triglycerides) and risk of incident dementia/MCI.</w:t>
      </w:r>
      <w:r>
        <w:t xml:space="preserve"> </w:t>
      </w:r>
      <w:r>
        <w:t xml:space="preserve"> </w:t>
      </w:r>
      <w:r>
        <w:t xml:space="preserve">Eligible study designs include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were free (or assumed to be free) of dementia/MCI</w:t>
      </w:r>
      <w:r>
        <w:t xml:space="preserve"> </w:t>
      </w:r>
      <w:r>
        <w:t xml:space="preserve"> </w:t>
      </w:r>
      <w:r>
        <w:t xml:space="preserve">at baseline. Studies of any duration were included to allow for exploration of the effect of length of follow-up on the effect estimate using meta-regression. No limits were placed on the sample size of included studies.</w:t>
      </w:r>
    </w:p>
    <w:p>
      <w:pPr>
        <w:pStyle w:val="BodyText"/>
      </w:pPr>
      <w:r>
        <w:t xml:space="preserve">Eligible studies defined dementia according to recognised criteria, for example the National Institute of Neurological Disorders and Stroke Association-Internationale pour la Recherche en l’Enseignement en Neurosciences (NINDS-AIREN), International Classification of Diseases (ICD), or Diagnostic and Statistical Manual of Mental Disorders (DSM) criteria.</w:t>
      </w:r>
      <w:r>
        <w:t xml:space="preserve"> </w:t>
      </w:r>
      <w:r>
        <w:t xml:space="preserve"> </w:t>
      </w:r>
      <w:r>
        <w:t xml:space="preserve"> </w:t>
      </w:r>
      <w:r>
        <w:t xml:space="preserve">For MCI, eligible studies are those that attempted state a definition for diagnoses of MCI (e.g. an adapted version of the Petersen criteria)</w:t>
      </w:r>
      <w:hyperlink w:anchor="ref-petersen1999">
        <w:r>
          <w:rPr>
            <w:rStyle w:val="Hyperlink"/>
            <w:vertAlign w:val="superscript"/>
          </w:rPr>
          <w:t xml:space="preserve">123</w:t>
        </w:r>
      </w:hyperlink>
      <w:r>
        <w:t xml:space="preserve"> and create ordinal groups of patients (e.g. no dementia or dementia/MCI/dementia) based on this definition.</w:t>
      </w:r>
    </w:p>
    <w:p>
      <w:pPr>
        <w:pStyle w:val="BodyText"/>
      </w:pPr>
      <w:r>
        <w:t xml:space="preserve">No limitations were imposed on publication status, publication date, venue or language, although sufficiently detailed reports of the studies to be able to examine their methods were required for inclusion.</w:t>
      </w:r>
    </w:p>
    <w:p>
      <w:pPr>
        <w:pStyle w:val="BodyText"/>
      </w:pPr>
      <w:r>
        <w:t xml:space="preserve"> </w:t>
      </w:r>
    </w:p>
    <w:bookmarkEnd w:id="95"/>
    <w:bookmarkStart w:id="96" w:name="exclusion-criteria"/>
    <w:p>
      <w:pPr>
        <w:pStyle w:val="Heading4"/>
      </w:pPr>
      <w:r>
        <w:t xml:space="preserve">Exclusion criteria</w:t>
      </w:r>
    </w:p>
    <w:p>
      <w:pPr>
        <w:pStyle w:val="FirstParagraph"/>
      </w:pPr>
      <w:r>
        <w:t xml:space="preserve">Case-control studies, cross-sectional studies, qualitative studies, case reports/series and narrative reviews were excluded. Studies which present no evidence of attempting to exclude prevalent cases from their analyses were also excluded. Studies that measure change in continuous cognitive measures (e.g. MoCA score) without attempt to map these scores to ordinal groups (e.g. no dementia/MCI/dementia) were excluded. Conference abstracts with no corresponding full-text publication were examined, and I contacted authors to obtain information on the study’s status. Studies that are reported in insufficient detail (e.g. only in conference abstracts, new, letters, editorials and opinion) were excluded. Previous systematic reviews were not eligible for inclusion, but their reference lists were screened to identify any potentially relevant articles.</w:t>
      </w:r>
      <w:r>
        <w:t xml:space="preserve"> </w:t>
      </w:r>
    </w:p>
    <w:p>
      <w:pPr>
        <w:pStyle w:val="BodyText"/>
      </w:pPr>
      <w:r>
        <w:t xml:space="preserve">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the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were excluded. Finally, studies using a dietary intervention, for example omega-3 fatty acid enriched diet, were excluded as it is difficult to disentangle the effect of other elements contained within the diet. Note, this is distinct from studies which delivered a simple tablet-based omega-3 intervention, which would have been eligible for inclusion.</w:t>
      </w:r>
    </w:p>
    <w:p>
      <w:pPr>
        <w:pStyle w:val="BodyText"/>
      </w:pPr>
      <w:r>
        <w:t xml:space="preserve"> </w:t>
      </w:r>
    </w:p>
    <w:bookmarkEnd w:id="96"/>
    <w:bookmarkEnd w:id="97"/>
    <w:bookmarkStart w:id="98" w:name="validation-of-screening-process"/>
    <w:p>
      <w:pPr>
        <w:pStyle w:val="Heading3"/>
      </w:pPr>
      <w:r>
        <w:t xml:space="preserve">Validation of screening process</w:t>
      </w:r>
    </w:p>
    <w:p>
      <w:pPr>
        <w:pStyle w:val="FirstParagraph"/>
      </w:pPr>
      <w:r>
        <w:t xml:space="preserve">Inter- and intra-rater reliability during the screening stage were assessed for a 10% sub-sample of records at the title and abstract screening stage. Intra-rater reliability involved a single reviewer applying the inclusion criteria to the same set of records while blinded to their previous decisions (i.e. assessment of conistency),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124</w:t>
        </w:r>
      </w:hyperlink>
      <w:r>
        <w:t xml:space="preserve"> </w:t>
      </w:r>
      <w:r>
        <w:t xml:space="preserve">This measure of inter-rater reliability was chosen over other methods of assessing inter-rater reliability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124</w:t>
        </w:r>
      </w:hyperlink>
      <w:r>
        <w:t xml:space="preserve"> </w:t>
      </w:r>
      <w:r>
        <w:t xml:space="preserve">Given the small number of included studies in this review as a proportion of the total number screened, this is an important characteristic.</w:t>
      </w:r>
    </w:p>
    <w:p>
      <w:pPr>
        <w:pStyle w:val="BodyText"/>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3</m:t>
          </m:r>
          <m:r>
            <m:rPr>
              <m:sty m:val="p"/>
            </m:rPr>
            <m:t>)</m:t>
          </m:r>
        </m:oMath>
      </m:oMathPara>
    </w:p>
    <w:p>
      <w:pPr>
        <w:pStyle w:val="FirstParagraph"/>
      </w:pPr>
      <w:r>
        <w:t xml:space="preserve">How to interpret agreement co-efficients is widely debated, and while arbitary cut-off values may mislead,</w:t>
      </w:r>
      <w:hyperlink w:anchor="ref-brennan1992">
        <w:r>
          <w:rPr>
            <w:rStyle w:val="Hyperlink"/>
            <w:vertAlign w:val="superscript"/>
          </w:rPr>
          <w:t xml:space="preserve">127</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128</w:t>
        </w:r>
      </w:hyperlink>
      <w:r>
        <w:t xml:space="preserve"> </w:t>
      </w:r>
      <w:r>
        <w:t xml:space="preserve">presented in Table</w:t>
      </w:r>
      <w:r>
        <w:t xml:space="preserve"> </w:t>
      </w:r>
      <w:r>
        <w:t xml:space="preserve">7</w:t>
      </w:r>
      <w:r>
        <w:t xml:space="preserve">.</w:t>
      </w:r>
    </w:p>
    <w:p>
      <w:pPr>
        <w:pStyle w:val="BodyText"/>
      </w:pPr>
      <w:r>
        <w:t xml:space="preserve"> </w:t>
      </w:r>
    </w:p>
    <w:p>
      <w:pPr>
        <w:pStyle w:val="TableCaption"/>
      </w:pPr>
      <w:r>
        <w:t xml:space="preserve">Table 7: Suggested ranges to aid in interpretation of Gwet’s AC1 inter-rater reliability metric</w:t>
      </w:r>
    </w:p>
    <w:tbl>
      <w:tblPr>
        <w:tblStyle w:val="Table"/>
        <w:tblW w:type="pct" w:w="0.0"/>
        <w:tblLook w:firstRow="1" w:lastRow="0" w:firstColumn="0" w:lastColumn="0" w:noHBand="0" w:noVBand="0" w:val="0020"/>
        <w:tblCaption w:val="Table 7: Suggested ranges to aid in interpretation of Gwet’s AC1 inter-rater reliability metric"/>
      </w:tblPr>
      <w:tblGrid/>
      <w:tr>
        <w:tc>
          <w:p>
            <w:pPr>
              <w:pStyle w:val="Compact"/>
              <w:jc w:val="left"/>
            </w:pPr>
            <w:r>
              <w:t xml:space="preserve">Kappa</w:t>
            </w:r>
          </w:p>
        </w:tc>
        <w:tc>
          <w:p>
            <w:pPr>
              <w:pStyle w:val="Compact"/>
              <w:jc w:val="left"/>
            </w:pPr>
            <w:r>
              <w:t xml:space="preserve">Interpretation</w:t>
            </w:r>
          </w:p>
        </w:tc>
      </w:tr>
      <w:tr>
        <w:tc>
          <w:p>
            <w:pPr>
              <w:pStyle w:val="Compact"/>
              <w:jc w:val="left"/>
            </w:pPr>
            <w:r>
              <w:t xml:space="preserve">0 – 0.20</w:t>
            </w:r>
          </w:p>
        </w:tc>
        <w:tc>
          <w:p>
            <w:pPr>
              <w:pStyle w:val="Compact"/>
              <w:jc w:val="left"/>
            </w:pPr>
            <w:r>
              <w:t xml:space="preserve">None</w:t>
            </w:r>
          </w:p>
        </w:tc>
      </w:tr>
      <w:tr>
        <w:tc>
          <w:p>
            <w:pPr>
              <w:pStyle w:val="Compact"/>
              <w:jc w:val="left"/>
            </w:pPr>
            <w:r>
              <w:t xml:space="preserve">0.21 – 0.39</w:t>
            </w:r>
          </w:p>
        </w:tc>
        <w:tc>
          <w:p>
            <w:pPr>
              <w:pStyle w:val="Compact"/>
              <w:jc w:val="left"/>
            </w:pPr>
            <w:r>
              <w:t xml:space="preserve">Minimal</w:t>
            </w:r>
          </w:p>
        </w:tc>
      </w:tr>
      <w:tr>
        <w:tc>
          <w:p>
            <w:pPr>
              <w:pStyle w:val="Compact"/>
              <w:jc w:val="left"/>
            </w:pPr>
            <w:r>
              <w:t xml:space="preserve">0.40 – 0.59</w:t>
            </w:r>
          </w:p>
        </w:tc>
        <w:tc>
          <w:p>
            <w:pPr>
              <w:pStyle w:val="Compact"/>
              <w:jc w:val="left"/>
            </w:pPr>
            <w:r>
              <w:t xml:space="preserve">Weak</w:t>
            </w:r>
          </w:p>
        </w:tc>
      </w:tr>
      <w:tr>
        <w:tc>
          <w:p>
            <w:pPr>
              <w:pStyle w:val="Compact"/>
              <w:jc w:val="left"/>
            </w:pPr>
            <w:r>
              <w:t xml:space="preserve">0.60 – 0.79</w:t>
            </w:r>
          </w:p>
        </w:tc>
        <w:tc>
          <w:p>
            <w:pPr>
              <w:pStyle w:val="Compact"/>
              <w:jc w:val="left"/>
            </w:pPr>
            <w:r>
              <w:t xml:space="preserve">Moderate</w:t>
            </w:r>
          </w:p>
        </w:tc>
      </w:tr>
      <w:tr>
        <w:tc>
          <w:p>
            <w:pPr>
              <w:pStyle w:val="Compact"/>
              <w:jc w:val="left"/>
            </w:pPr>
            <w:r>
              <w:t xml:space="preserve">0.80 – 0.90</w:t>
            </w:r>
          </w:p>
        </w:tc>
        <w:tc>
          <w:p>
            <w:pPr>
              <w:pStyle w:val="Compact"/>
              <w:jc w:val="left"/>
            </w:pPr>
            <w:r>
              <w:t xml:space="preserve">Strong</w:t>
            </w:r>
          </w:p>
        </w:tc>
      </w:tr>
      <w:tr>
        <w:tc>
          <w:p>
            <w:pPr>
              <w:pStyle w:val="Compact"/>
              <w:jc w:val="left"/>
            </w:pPr>
            <w:r>
              <w:t xml:space="preserve">&gt; 0.90</w:t>
            </w:r>
          </w:p>
        </w:tc>
        <w:tc>
          <w:p>
            <w:pPr>
              <w:pStyle w:val="Compact"/>
              <w:jc w:val="left"/>
            </w:pPr>
            <w:r>
              <w:t xml:space="preserve">Almost perfect</w:t>
            </w:r>
          </w:p>
        </w:tc>
      </w:tr>
    </w:tbl>
    <w:p>
      <w:pPr>
        <w:pStyle w:val="BodyText"/>
      </w:pPr>
      <w:r>
        <w:t xml:space="preserve"> </w:t>
      </w:r>
    </w:p>
    <w:p>
      <w:pPr>
        <w:pStyle w:val="BodyText"/>
      </w:pPr>
      <w:r>
        <w:t xml:space="preserve">If this assessment demonstrated issues with the screening process, a larger proportion of records would have been dual-screened.</w:t>
      </w:r>
    </w:p>
    <w:p>
      <w:pPr>
        <w:pStyle w:val="BodyText"/>
      </w:pPr>
      <w:r>
        <w:t xml:space="preserve"> </w:t>
      </w:r>
      <w:r>
        <w:t xml:space="preserve"> </w:t>
      </w:r>
    </w:p>
    <w:bookmarkEnd w:id="98"/>
    <w:bookmarkStart w:id="103"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list, journal), study characteristics (location, cohort name, exposure, outcomes, outcome criteria used), patient characteristics (age, sex, baseline cognition scores, baseline education scores), and results (exposure-outcome pairing, effect measure, effect estimate, error estimate, p-value). All data was extracted the data in the first instance and was checked for accuracy by a second member of the review team.</w:t>
      </w:r>
    </w:p>
    <w:bookmarkStart w:id="99" w:name="harmonisation-of-cholesterol-measures"/>
    <w:p>
      <w:pPr>
        <w:pStyle w:val="Heading4"/>
      </w:pPr>
      <w:r>
        <w:t xml:space="preserve">Harmonisation of cholesterol measures</w:t>
      </w:r>
    </w:p>
    <w:p>
      <w:pPr>
        <w:pStyle w:val="FirstParagraph"/>
      </w:pPr>
      <w:r>
        <w:t xml:space="preserve">Harmonization of cholesterol measures across studies was performed, as different studies used different methods to quantify exposure, including comparing differing risks in the highest vs lowest quartiles of a lipid, using a binary classification of patients into a hypercholesterolaemia or not, categorizing lipid levels into high, middle, and low groups according to study-defined criteria, and simply treating the exposure as a continuous variable.</w:t>
      </w:r>
      <w:r>
        <w:t xml:space="preserve"> </w:t>
      </w:r>
      <w:r>
        <w:t xml:space="preserve"> </w:t>
      </w:r>
      <w:r>
        <w:t xml:space="preserve"> </w:t>
      </w: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2.4.1</w:t>
      </w:r>
      <w:r>
        <w:t xml:space="preserve">.</w:t>
      </w:r>
    </w:p>
    <w:bookmarkEnd w:id="99"/>
    <w:bookmarkStart w:id="100" w:name="study-fication"/>
    <w:p>
      <w:pPr>
        <w:pStyle w:val="Heading4"/>
      </w:pPr>
      <w:r>
        <w:t xml:space="preserve">Study-fication</w:t>
      </w:r>
    </w:p>
    <w:p>
      <w:pPr>
        <w:pStyle w:val="FirstParagraph"/>
      </w:pPr>
      <w:r>
        <w:t xml:space="preserve">As part of the data extraction process, multiple resords resulting from the analysis of the same data were included and grouped into single units, hereafter called studies. This is likely in the advent of multiple papers reporting results on the same cohort, but say, at different time points. Study-fication builds out the most comprehensive accounts of the studies and results from as many published articles were applicable.</w:t>
      </w:r>
    </w:p>
    <w:p>
      <w:pPr>
        <w:pStyle w:val="BodyText"/>
      </w:pPr>
      <w:r>
        <w:t xml:space="preserve">This was particularly relevant to preprints and published papers reporting the same study, which were not considered duplicate records. Instead, they were considered as different reports of the same study. This is due to the potential for the published version to offer some information that the preprint did not, and vice versa.</w:t>
      </w:r>
    </w:p>
    <w:p>
      <w:pPr>
        <w:pStyle w:val="BodyText"/>
      </w:pPr>
      <w:r>
        <w:t xml:space="preserve"> </w:t>
      </w:r>
    </w:p>
    <w:bookmarkEnd w:id="100"/>
    <w:bookmarkStart w:id="101" w:name="contacting-authors"/>
    <w:p>
      <w:pPr>
        <w:pStyle w:val="Heading4"/>
      </w:pPr>
      <w:r>
        <w:t xml:space="preserve">Following up with authors</w:t>
      </w:r>
    </w:p>
    <w:p>
      <w:pPr>
        <w:pStyle w:val="FirstParagraph"/>
      </w:pPr>
      <w:r>
        <w:t xml:space="preserve">Where data points required either for the analysis or risk-of-bias assessment but were not reported, the primary authors of the study were contacted. This approach was taken due to the potentially large impact of following up with authors on the results of the review,</w:t>
      </w:r>
      <w:hyperlink w:anchor="ref-reynders2019">
        <w:r>
          <w:rPr>
            <w:rStyle w:val="Hyperlink"/>
            <w:vertAlign w:val="superscript"/>
          </w:rPr>
          <w:t xml:space="preserve">129</w:t>
        </w:r>
      </w:hyperlink>
    </w:p>
    <w:p>
      <w:pPr>
        <w:pStyle w:val="BodyText"/>
      </w:pPr>
      <w:r>
        <w:t xml:space="preserve">This was particularly important for the dose response meta-analysis, where the number of participants and the cut-offs per category were often not reported.</w:t>
      </w:r>
    </w:p>
    <w:p>
      <w:pPr>
        <w:pStyle w:val="BodyText"/>
      </w:pPr>
      <w:r>
        <w:t xml:space="preserve"> </w:t>
      </w:r>
    </w:p>
    <w:bookmarkEnd w:id="101"/>
    <w:bookmarkStart w:id="102" w:name="X6aa521b4162fc400a7f74f3c955d334c2a14d11"/>
    <w:p>
      <w:pPr>
        <w:pStyle w:val="Heading4"/>
      </w:pPr>
      <w:r>
        <w:t xml:space="preserve">Converting between different exposure measures</w:t>
      </w:r>
    </w:p>
    <w:p>
      <w:pPr>
        <w:pStyle w:val="FirstParagraph"/>
      </w:pPr>
      <w:r>
        <w:t xml:space="preserve">The range of effect measures presented by studies (odds ratios, risk ratios, hazard ratios, etc) are not directly interchangeable in the context of systematic review. If the outcome is rare, odds and risk ratios approximate each other.</w:t>
      </w:r>
      <w:r>
        <w:t xml:space="preserve"> </w:t>
      </w:r>
      <w:r>
        <w:t xml:space="preserve">However, hazard ratios provide a very different interpretation, taking into account time-to-event in each treatment group.</w:t>
      </w:r>
    </w:p>
    <w:p>
      <w:pPr>
        <w:pStyle w:val="BodyText"/>
      </w:pPr>
      <w:r>
        <w:t xml:space="preserve">Several existing reviews do not distinguish between the types of effect measures and include all existing studies in a single meta-analysis to produce an overall effect. In adddition, there is some evidence of manipulation of effect estimates in previous reviews,(e.g. Chou, Sci Reports - at least one study disagrees with) but this is not accurately documented in the review text.</w:t>
      </w:r>
    </w:p>
    <w:p>
      <w:pPr>
        <w:pStyle w:val="BodyText"/>
      </w:pPr>
      <w:r>
        <w:t xml:space="preserve"> </w:t>
      </w:r>
    </w:p>
    <w:bookmarkEnd w:id="102"/>
    <w:bookmarkEnd w:id="103"/>
    <w:bookmarkStart w:id="108" w:name="risk-of-bias"/>
    <w:p>
      <w:pPr>
        <w:pStyle w:val="Heading3"/>
      </w:pPr>
      <w:r>
        <w:t xml:space="preserve">Risk of bias assessment</w:t>
      </w:r>
    </w:p>
    <w:p>
      <w:pPr>
        <w:pStyle w:val="FirstParagraph"/>
      </w:pPr>
      <w:r>
        <w:t xml:space="preserve">A key use of the review presented in this chapter is to identify different sources of evidence at risk of a diverse range of biases, and to contrast and compare findings across them (see Section</w:t>
      </w:r>
      <w:r>
        <w:t xml:space="preserve"> </w:t>
      </w:r>
      <w:r>
        <w:t xml:space="preserve">7.1.1</w:t>
      </w:r>
      <w:r>
        <w:t xml:space="preserve"> </w:t>
      </w:r>
      <w:r>
        <w:t xml:space="preserve">for an overview of triangulation and Section</w:t>
      </w:r>
      <w:r>
        <w:t xml:space="preserve"> </w:t>
      </w:r>
      <w:r>
        <w:t xml:space="preserve">2.6.2</w:t>
      </w:r>
      <w:r>
        <w:t xml:space="preserve"> </w:t>
      </w:r>
      <w:r>
        <w:t xml:space="preserve">for the results of this qualitative analysis). To enable this triangulation exercise, a detailed and structured risk of bias assessment formed an important part of this review.</w:t>
      </w:r>
    </w:p>
    <w:p>
      <w:pPr>
        <w:pStyle w:val="BodyText"/>
      </w:pPr>
      <w:r>
        <w:t xml:space="preserve">There has been a recent movement within the evidence synthesis community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79</w:t>
        </w:r>
      </w:hyperlink>
      <w:r>
        <w:rPr>
          <w:vertAlign w:val="superscript"/>
        </w:rPr>
        <w:t xml:space="preserve">,</w:t>
      </w:r>
      <w:hyperlink w:anchor="ref-sterne2016">
        <w:r>
          <w:rPr>
            <w:rStyle w:val="Hyperlink"/>
            <w:vertAlign w:val="superscript"/>
          </w:rPr>
          <w:t xml:space="preserve">130</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131</w:t>
        </w:r>
      </w:hyperlink>
      <w:r>
        <w:rPr>
          <w:vertAlign w:val="superscript"/>
        </w:rPr>
        <w:t xml:space="preserve">,</w:t>
      </w:r>
      <w:hyperlink w:anchor="ref-juni2001">
        <w:r>
          <w:rPr>
            <w:rStyle w:val="Hyperlink"/>
            <w:vertAlign w:val="superscript"/>
          </w:rPr>
          <w:t xml:space="preserve">132</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and challenges in the comparison of results from different tools. As part of this, the community also moved from checklist or score based tools towards domain-based methods, in which different potential sources of bias in a study are assessed in order.</w:t>
      </w:r>
    </w:p>
    <w:p>
      <w:pPr>
        <w:pStyle w:val="BodyText"/>
      </w:pPr>
      <w:r>
        <w:t xml:space="preserve">Additionally, results should be assessed at the result (defined as a a specific outcome at a specific timepoint) rather than the study level. For example, a study may report on the efficacy of an intervention at 6 months and two years follow-up. missing outcome data that is not an issues at 6 months may introduce bias at 2 year follow-up. In this case, assigning a bias judgement to the study as a whole hides this differential biases for each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 In addition, the tool also aim to capture the potential direction of bias for each result. Possible responses included:</w:t>
      </w:r>
      <w:r>
        <w:t xml:space="preserve"> </w:t>
      </w:r>
      <w:r>
        <w:t xml:space="preserve">“</w:t>
      </w:r>
      <w:r>
        <w:t xml:space="preserve">Favours experimental</w:t>
      </w:r>
      <w:r>
        <w:t xml:space="preserve">”</w:t>
      </w:r>
      <w:r>
        <w:t xml:space="preserve">,</w:t>
      </w:r>
      <w:r>
        <w:t xml:space="preserve"> </w:t>
      </w:r>
      <w:r>
        <w:t xml:space="preserve">“</w:t>
      </w:r>
      <w:r>
        <w:t xml:space="preserve">Favours comparator</w:t>
      </w:r>
      <w:r>
        <w:t xml:space="preserve">”</w:t>
      </w:r>
      <w:r>
        <w:t xml:space="preserve">,</w:t>
      </w:r>
      <w:r>
        <w:t xml:space="preserve"> </w:t>
      </w:r>
      <w:r>
        <w:t xml:space="preserve">“</w:t>
      </w:r>
      <w:r>
        <w:t xml:space="preserve">Towards null</w:t>
      </w:r>
      <w:r>
        <w:t xml:space="preserve">”</w:t>
      </w:r>
      <w:r>
        <w:t xml:space="preserve">,</w:t>
      </w:r>
      <w:r>
        <w:t xml:space="preserve"> </w:t>
      </w:r>
      <w:r>
        <w:t xml:space="preserve">“</w:t>
      </w:r>
      <w:r>
        <w:t xml:space="preserve">Away from null</w:t>
      </w:r>
      <w:r>
        <w:t xml:space="preserve">”</w:t>
      </w:r>
      <w:r>
        <w:t xml:space="preserve">, and</w:t>
      </w:r>
      <w:r>
        <w:t xml:space="preserve"> </w:t>
      </w:r>
      <w:r>
        <w:t xml:space="preserve">“</w:t>
      </w:r>
      <w:r>
        <w:t xml:space="preserve">Unpredictable</w:t>
      </w:r>
      <w:r>
        <w:t xml:space="preserve">”</w:t>
      </w:r>
      <w:r>
        <w:t xml:space="preserve">.</w:t>
      </w:r>
    </w:p>
    <w:p>
      <w:pPr>
        <w:pStyle w:val="BodyText"/>
      </w:pPr>
      <w:r>
        <w:t xml:space="preserve"> </w:t>
      </w:r>
    </w:p>
    <w:bookmarkStart w:id="104" w:name="randomised-controlled-trials-1"/>
    <w:p>
      <w:pPr>
        <w:pStyle w:val="Heading4"/>
      </w:pPr>
      <w:r>
        <w:t xml:space="preserve">Randomised controlled trials</w:t>
      </w:r>
    </w:p>
    <w:p>
      <w:pPr>
        <w:pStyle w:val="FirstParagraph"/>
      </w:pPr>
      <w:r>
        <w:t xml:space="preserve">Risk of bias assessment in randomised controlled trials was performed using the domain-based risk-of-bias assessment tool appropriate to the study design. Randomized controlled trials were assessed using the RoB2 tool.</w:t>
      </w:r>
      <w:hyperlink w:anchor="ref-sterne2019">
        <w:r>
          <w:rPr>
            <w:rStyle w:val="Hyperlink"/>
            <w:vertAlign w:val="superscript"/>
          </w:rPr>
          <w:t xml:space="preserve">133</w:t>
        </w:r>
      </w:hyperlink>
    </w:p>
    <w:p>
      <w:pPr>
        <w:pStyle w:val="BodyText"/>
      </w:pP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include: low risk of bias, some concerns, high risk of bias. Each of the 5 domains contains a series of signalling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104"/>
    <w:bookmarkStart w:id="105" w:name="Xf513088a1d727e17747470e463abbbf95a6cdc7"/>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130</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prompting questions per domain, with acceptable judgements including</w:t>
      </w:r>
      <w:r>
        <w:t xml:space="preserve"> </w:t>
      </w:r>
      <w:r>
        <w:t xml:space="preserve">“</w:t>
      </w:r>
      <w:r>
        <w:t xml:space="preserve">Low risk</w:t>
      </w:r>
      <w:r>
        <w:t xml:space="preserve">”</w:t>
      </w:r>
      <w:r>
        <w:t xml:space="preserve">,</w:t>
      </w:r>
      <w:r>
        <w:t xml:space="preserve"> </w:t>
      </w:r>
      <w:r>
        <w:t xml:space="preserve">“</w:t>
      </w:r>
      <w:r>
        <w:t xml:space="preserve">Moderate risk</w:t>
      </w:r>
      <w:r>
        <w:t xml:space="preserve">”</w:t>
      </w:r>
      <w:r>
        <w:t xml:space="preserve">,</w:t>
      </w:r>
      <w:r>
        <w:t xml:space="preserve"> </w:t>
      </w:r>
      <w:r>
        <w:t xml:space="preserve">“</w:t>
      </w:r>
      <w:r>
        <w:t xml:space="preserve">Serious risk</w:t>
      </w:r>
      <w:r>
        <w:t xml:space="preserve">”</w:t>
      </w:r>
      <w:r>
        <w:t xml:space="preserve"> </w:t>
      </w:r>
      <w:r>
        <w:t xml:space="preserve">and</w:t>
      </w:r>
      <w:r>
        <w:t xml:space="preserve"> </w:t>
      </w:r>
      <w:r>
        <w:t xml:space="preserve">“</w:t>
      </w:r>
      <w:r>
        <w:t xml:space="preserve">Critical risk</w:t>
      </w:r>
      <w:r>
        <w:t xml:space="preserve">”</w:t>
      </w:r>
      <w:r>
        <w:t xml:space="preserve">. Ideally, observationals studies should be assessed in reference to an idealised randomised controlled trial. Further, the rare overall judgement of</w:t>
      </w:r>
      <w:r>
        <w:t xml:space="preserve"> </w:t>
      </w:r>
      <w:r>
        <w:t xml:space="preserve">“</w:t>
      </w:r>
      <w:r>
        <w:t xml:space="preserve">Low</w:t>
      </w:r>
      <w:r>
        <w:t xml:space="preserve">”</w:t>
      </w:r>
      <w:r>
        <w:t xml:space="preserve"> </w:t>
      </w:r>
      <w:r>
        <w:t xml:space="preserve">is considered equivalent to a randomised controlled trial.</w:t>
      </w:r>
    </w:p>
    <w:p>
      <w:pPr>
        <w:pStyle w:val="BodyText"/>
      </w:pPr>
      <w:r>
        <w:t xml:space="preserve">For non-randomised studies of exposures (NRSE), I opted to use a preliminary version of the ROBINS-E tool.</w:t>
      </w:r>
      <w:hyperlink w:anchor="ref-morganr2020">
        <w:r>
          <w:rPr>
            <w:rStyle w:val="Hyperlink"/>
            <w:vertAlign w:val="superscript"/>
          </w:rPr>
          <w:t xml:space="preserve">134</w:t>
        </w:r>
      </w:hyperlink>
      <w:r>
        <w:t xml:space="preserve"> </w:t>
      </w:r>
      <w:r>
        <w:t xml:space="preserve">The tool is still in development, but while the signalling questions for each domain are yet to be confirmed, the overarching risk-of-bias domains have been finalised. The motivation for this using this tool above other existing published tools such as the Newcastle-Ottowa scale (NOS).</w:t>
      </w:r>
      <w:hyperlink w:anchor="ref-wells2000">
        <w:r>
          <w:rPr>
            <w:rStyle w:val="Hyperlink"/>
            <w:vertAlign w:val="superscript"/>
          </w:rPr>
          <w:t xml:space="preserve">135</w:t>
        </w:r>
      </w:hyperlink>
      <w:r>
        <w:t xml:space="preserve"> </w:t>
      </w:r>
      <w:r>
        <w:t xml:space="preserve">was two-fold. In the first instance, as mentioned in the introduction to this section, using a domain-based tool has distinct advantages over better-developed checklist-type tools such as the NOS.</w:t>
      </w:r>
      <w:r>
        <w:t xml:space="preserve"> </w:t>
      </w:r>
      <w:r>
        <w:t xml:space="preserve"> </w:t>
      </w:r>
      <w:r>
        <w:t xml:space="preserve">In addition, using a domain-based tool for non-randomised studies of exposures enabled better comparison with risk-of-bias assessments performed for the other study designs.</w:t>
      </w:r>
    </w:p>
    <w:p>
      <w:pPr>
        <w:pStyle w:val="BodyText"/>
      </w:pPr>
      <w:r>
        <w:t xml:space="preserve"> </w:t>
      </w:r>
    </w:p>
    <w:bookmarkEnd w:id="105"/>
    <w:bookmarkStart w:id="106"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136</w:t>
        </w:r>
      </w:hyperlink>
      <w:r>
        <w:t xml:space="preserve"> </w:t>
      </w:r>
      <w:r>
        <w:t xml:space="preserve">as identified by a review of risk of bias assessments in systematic reviews of MR studies (advance results from this review were obtained from contact with the authors.).</w:t>
      </w:r>
      <w:r>
        <w:t xml:space="preserve"> </w:t>
      </w:r>
      <w:r>
        <w:t xml:space="preserve"> </w:t>
      </w:r>
      <w:r>
        <w:t xml:space="preserve">A copy of this tool is available in Appendix</w:t>
      </w:r>
      <w:r>
        <w:t xml:space="preserve"> </w:t>
      </w:r>
      <w:r>
        <w:t xml:space="preserve">9.2.4</w:t>
      </w:r>
      <w:r>
        <w:t xml:space="preserve">.</w:t>
      </w:r>
    </w:p>
    <w:p>
      <w:pPr>
        <w:pStyle w:val="BodyText"/>
      </w:pPr>
      <w:r>
        <w:t xml:space="preserve"> </w:t>
      </w:r>
    </w:p>
    <w:bookmarkEnd w:id="106"/>
    <w:bookmarkStart w:id="107" w:name="risk-of-bias-due-to-missing-evidence"/>
    <w:p>
      <w:pPr>
        <w:pStyle w:val="Heading4"/>
      </w:pPr>
      <w:r>
        <w:t xml:space="preserve">Risk of bias due to missing evidence</w:t>
      </w:r>
    </w:p>
    <w:p>
      <w:pPr>
        <w:pStyle w:val="FirstParagraph"/>
      </w:pPr>
      <w:r>
        <w:t xml:space="preserve">A recent shift towards the assessment of missing evidence due to selective non-reporting - as distinct from the selective reporting of a single result from multiple planned - is demonstrated via the forthcoming RoB-ME (Risk of Bias due to Missing Evidence in a synthesis) tool.</w:t>
      </w:r>
      <w:r>
        <w:t xml:space="preserve"> </w:t>
      </w:r>
      <w:r>
        <w:t xml:space="preserve"> </w:t>
      </w:r>
      <w:r>
        <w:t xml:space="preserve">The tool is in development stages, and as part of this review, I piloted the tool, and provided feedback to the developers.</w:t>
      </w:r>
      <w:r>
        <w:t xml:space="preserve"> </w:t>
      </w:r>
    </w:p>
    <w:p>
      <w:pPr>
        <w:pStyle w:val="BodyText"/>
      </w:pPr>
      <w:r>
        <w:t xml:space="preserve">This additional appraisal marks a departure from the registered protocol, as there was initially no intention to try and examine the risk of bias due to missing evidence. This is because the tool did not exist when the protocol was originally registered.</w:t>
      </w:r>
    </w:p>
    <w:p>
      <w:pPr>
        <w:pStyle w:val="BodyText"/>
      </w:pPr>
      <w:r>
        <w:t xml:space="preserve"> </w:t>
      </w:r>
    </w:p>
    <w:bookmarkEnd w:id="107"/>
    <w:bookmarkEnd w:id="108"/>
    <w:bookmarkStart w:id="114" w:name="analysis-methods"/>
    <w:p>
      <w:pPr>
        <w:pStyle w:val="Heading3"/>
      </w:pPr>
      <w:r>
        <w:t xml:space="preserve">Analysis methods</w:t>
      </w:r>
    </w:p>
    <w:p>
      <w:pPr>
        <w:pStyle w:val="FirstParagraph"/>
      </w:pPr>
      <w:r>
        <w:t xml:space="preserve">An inital qualiatative synthesis of evidence was performed, summarising the data extracted from studies across</w:t>
      </w:r>
    </w:p>
    <w:p>
      <w:pPr>
        <w:pStyle w:val="BodyText"/>
      </w:pPr>
      <w:r>
        <w:t xml:space="preserve">Where individual studies were deemed comparable, they were incoroporated into a quantitative analysis or</w:t>
      </w:r>
      <w:r>
        <w:t xml:space="preserve"> </w:t>
      </w:r>
      <w:r>
        <w:t xml:space="preserve">“</w:t>
      </w:r>
      <w:r>
        <w:t xml:space="preserve">meta-analysis</w:t>
      </w:r>
      <w:r>
        <w:t xml:space="preserve">”</w:t>
      </w:r>
      <w:r>
        <w:t xml:space="preserve">.</w:t>
      </w:r>
      <w:r>
        <w:t xml:space="preserve"> </w:t>
      </w:r>
      <w:r>
        <w:t xml:space="preserve"> </w:t>
      </w:r>
      <w:r>
        <w:t xml:space="preserve">Meta-analysis provides a summary or pooled effect estimate across studies.</w:t>
      </w:r>
    </w:p>
    <w:p>
      <w:pPr>
        <w:pStyle w:val="BodyText"/>
      </w:pPr>
      <w:r>
        <w:t xml:space="preserve">Of note, studies were not combined across different study designs (i.e. RCTs were not combined in a meta-analysis with results from observational studies). The results from each individual analytical approach were summarised, but are compare and contrasted more fully in the triangulation exercise presented in Chapter</w:t>
      </w:r>
      <w:r>
        <w:t xml:space="preserve"> </w:t>
      </w:r>
      <w:r>
        <w:t xml:space="preserve">7</w:t>
      </w:r>
    </w:p>
    <w:p>
      <w:pPr>
        <w:pStyle w:val="BodyText"/>
      </w:pPr>
      <w:r>
        <w:t xml:space="preserve"> </w:t>
      </w:r>
      <w:r>
        <w:t xml:space="preserve"> </w:t>
      </w:r>
    </w:p>
    <w:bookmarkStart w:id="109" w:name="standard-meta-analysis"/>
    <w:p>
      <w:pPr>
        <w:pStyle w:val="Heading4"/>
      </w:pPr>
      <w:r>
        <w:t xml:space="preserve">Standard meta-analysis</w:t>
      </w:r>
    </w:p>
    <w:p>
      <w:pPr>
        <w:pStyle w:val="FirstParagraph"/>
      </w:pPr>
      <w:r>
        <w:t xml:space="preserve">Both a fixed-effect and random-effects meta-analysis model was employed to combine the different included studies.</w:t>
      </w:r>
      <w:r>
        <w:t xml:space="preserve"> </w:t>
      </w:r>
      <w:r>
        <w:t xml:space="preserve"> </w:t>
      </w:r>
      <w:r>
        <w:t xml:space="preserve">The fixed-effect method was implemented as:</w:t>
      </w:r>
    </w:p>
    <w:p>
      <w:pPr>
        <w:pStyle w:val="BodyText"/>
      </w:pPr>
      <m:oMathPara>
        <m:oMathParaPr>
          <m:jc m:val="center"/>
        </m:oMathParaPr>
        <m:oMath>
          <m:sSub>
            <m:e>
              <m:r>
                <m:t>θ</m:t>
              </m:r>
            </m:e>
            <m:sub>
              <m:r>
                <m:t>i</m:t>
              </m:r>
            </m:sub>
          </m:sSub>
          <m:r>
            <m:rPr>
              <m:sty m:val="p"/>
            </m:rPr>
            <m:t>=</m:t>
          </m:r>
          <m:r>
            <m:t>μ</m:t>
          </m:r>
          <m:r>
            <m:rPr>
              <m:sty m:val="p"/>
            </m:rPr>
            <m:t>+</m:t>
          </m:r>
          <m:sSub>
            <m:e>
              <m:r>
                <m:t>u</m:t>
              </m:r>
            </m:e>
            <m:sub>
              <m:r>
                <m:t>i</m:t>
              </m:r>
            </m:sub>
          </m:sSub>
          <m:r>
            <m:t>  </m:t>
          </m:r>
          <m:r>
            <m:rPr>
              <m:sty m:val="p"/>
            </m:rPr>
            <m:t>(</m:t>
          </m:r>
          <m:r>
            <m:t>5</m:t>
          </m:r>
          <m:r>
            <m:rPr>
              <m:sty m:val="p"/>
            </m:rPr>
            <m:t>)</m:t>
          </m:r>
        </m:oMath>
      </m:oMathPara>
    </w:p>
    <w:p>
      <w:pPr>
        <w:pStyle w:val="FirstParagraph"/>
      </w:pPr>
      <m:oMathPara>
        <m:oMathParaPr>
          <m:jc m:val="center"/>
        </m:oMathParaPr>
        <m:oMath>
          <m:r>
            <m:t>w</m:t>
          </m:r>
          <m:r>
            <m:t>e</m:t>
          </m:r>
          <m:r>
            <m:t>i</m:t>
          </m:r>
          <m:r>
            <m:t>g</m:t>
          </m:r>
          <m:r>
            <m:t>h</m:t>
          </m:r>
          <m:r>
            <m:t>t</m:t>
          </m:r>
          <m:r>
            <m:t>e</m:t>
          </m:r>
          <m:r>
            <m:t>d</m:t>
          </m:r>
          <m:r>
            <m:t> </m:t>
          </m:r>
          <m:r>
            <m:t>a</m:t>
          </m:r>
          <m:r>
            <m:t>v</m:t>
          </m:r>
          <m:r>
            <m:t>e</m:t>
          </m:r>
          <m:r>
            <m:t>r</m:t>
          </m:r>
          <m:r>
            <m:t>a</m:t>
          </m:r>
          <m:r>
            <m:t>g</m:t>
          </m:r>
          <m:r>
            <m:t>e</m:t>
          </m:r>
          <m:r>
            <m:rPr>
              <m:sty m:val="p"/>
            </m:rPr>
            <m:t>=</m:t>
          </m:r>
          <m:f>
            <m:fPr>
              <m:type m:val="bar"/>
            </m:fPr>
            <m:num>
              <m:r>
                <m:rPr>
                  <m:sty m:val="p"/>
                </m:rPr>
                <m:t>∑</m:t>
              </m:r>
              <m:sSub>
                <m:e>
                  <m:r>
                    <m:t>Y</m:t>
                  </m:r>
                </m:e>
                <m:sub>
                  <m:r>
                    <m:t>i</m:t>
                  </m:r>
                </m:sub>
              </m:sSub>
              <m:r>
                <m:rPr>
                  <m:sty m:val="p"/>
                </m:rPr>
                <m:t>(</m:t>
              </m:r>
              <m:r>
                <m:t>1</m:t>
              </m:r>
              <m:r>
                <m:rPr>
                  <m:sty m:val="p"/>
                </m:rPr>
                <m:t>/</m:t>
              </m:r>
              <m:r>
                <m:t>S</m:t>
              </m:r>
              <m:sSubSup>
                <m:e>
                  <m:r>
                    <m:t>E</m:t>
                  </m:r>
                </m:e>
                <m:sub>
                  <m:r>
                    <m:t>i</m:t>
                  </m:r>
                </m:sub>
                <m:sup>
                  <m:r>
                    <m:t>2</m:t>
                  </m:r>
                </m:sup>
              </m:sSubSup>
              <m:r>
                <m:rPr>
                  <m:sty m:val="p"/>
                </m:rPr>
                <m:t>)</m:t>
              </m:r>
            </m:num>
            <m:den>
              <m:r>
                <m:rPr>
                  <m:sty m:val="p"/>
                </m:rPr>
                <m:t>∑</m:t>
              </m:r>
              <m:r>
                <m:rPr>
                  <m:sty m:val="p"/>
                </m:rPr>
                <m:t>(</m:t>
              </m:r>
              <m:r>
                <m:t>1</m:t>
              </m:r>
              <m:r>
                <m:rPr>
                  <m:sty m:val="p"/>
                </m:rPr>
                <m:t>/</m:t>
              </m:r>
              <m:r>
                <m:t>S</m:t>
              </m:r>
              <m:sSubSup>
                <m:e>
                  <m:r>
                    <m:t>E</m:t>
                  </m:r>
                </m:e>
                <m:sub>
                  <m:r>
                    <m:t>i</m:t>
                  </m:r>
                </m:sub>
                <m:sup>
                  <m:r>
                    <m:t>2</m:t>
                  </m:r>
                </m:sup>
              </m:sSubSup>
              <m:r>
                <m:rPr>
                  <m:sty m:val="p"/>
                </m:rPr>
                <m:t>)</m:t>
              </m:r>
            </m:den>
          </m:f>
          <m:r>
            <m:t>  </m:t>
          </m:r>
          <m:r>
            <m:rPr>
              <m:sty m:val="p"/>
            </m:rPr>
            <m:t>(</m:t>
          </m:r>
          <m:r>
            <m:t>6</m:t>
          </m:r>
          <m:r>
            <m:rPr>
              <m:sty m:val="p"/>
            </m:rPr>
            <m:t>)</m:t>
          </m:r>
        </m:oMath>
      </m:oMathPara>
    </w:p>
    <w:bookmarkEnd w:id="109"/>
    <w:bookmarkStart w:id="110"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w:t>
      </w:r>
    </w:p>
    <w:p>
      <w:pPr>
        <w:pStyle w:val="BodyText"/>
      </w:pPr>
      <w:r>
        <w:t xml:space="preserve">Where possible, data for all exposure groups was extracted.</w:t>
      </w:r>
      <w:r>
        <w:t xml:space="preserve"> </w:t>
      </w:r>
      <w:r>
        <w:t xml:space="preserve"> </w:t>
      </w:r>
      <w:r>
        <w:t xml:space="preserve">Studies were excluded from this analysis if the number of categories was less than three, if the exposure cut-off points for for each category were not presented (e.g. if the study reports splitting participants into quartiles and comparing the highest vs lowest without giving the quartile bands in mmol/L).</w:t>
      </w:r>
    </w:p>
    <w:p>
      <w:pPr>
        <w:pStyle w:val="BodyText"/>
      </w:pPr>
      <w:r>
        <w:t xml:space="preserve">A</w:t>
      </w:r>
      <w:r>
        <w:t xml:space="preserve"> </w:t>
      </w:r>
      <w:r>
        <w:t xml:space="preserve"> </w:t>
      </w:r>
      <w:r>
        <w:t xml:space="preserve">spline model was fitted to allow for a non-linear relationship, for example a U or J-shaped relationship, where low and high levels of an exposure can have an effect versus the</w:t>
      </w:r>
      <w:r>
        <w:t xml:space="preserve"> </w:t>
      </w:r>
      <w:r>
        <w:t xml:space="preserve">“</w:t>
      </w:r>
      <w:r>
        <w:t xml:space="preserve">normal</w:t>
      </w:r>
      <w:r>
        <w:t xml:space="preserve">”</w:t>
      </w:r>
      <w:r>
        <w:t xml:space="preserve"> </w:t>
      </w:r>
      <w:r>
        <w:t xml:space="preserve">reference dose.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fractions,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Due to the requirements for the dose response analysis, studies were excluded from this secondary analysis if they did not provide the require information: cut-off points. Where this was not reported in the study, I contacted the corresponding author to attempt to obtain the required information (see</w:t>
      </w:r>
      <w:r>
        <w:t xml:space="preserve"> </w:t>
      </w:r>
      <w:r>
        <w:t xml:space="preserve">4.3.6.3</w:t>
      </w:r>
      <w:r>
        <w:t xml:space="preserve">).</w:t>
      </w:r>
    </w:p>
    <w:p>
      <w:pPr>
        <w:pStyle w:val="BodyText"/>
      </w:pPr>
      <w:r>
        <w:t xml:space="preserve">When the highest category was open ended (e.g LDL-c</w:t>
      </w:r>
      <w:r>
        <w:t xml:space="preserve"> </w:t>
      </w:r>
      <m:oMath>
        <m:r>
          <m:rPr>
            <m:sty m:val="p"/>
          </m:rPr>
          <m:t>≥</m:t>
        </m:r>
      </m:oMath>
      <w:r>
        <w:t xml:space="preserve"> </w:t>
      </w:r>
      <w:r>
        <w:t xml:space="preserve">200 mg/dL), I calculated category midpoint by assuming the width of the higest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natually, it was difficult to define).</w:t>
      </w:r>
    </w:p>
    <w:p>
      <w:pPr>
        <w:pStyle w:val="BodyText"/>
      </w:pPr>
      <w:r>
        <w:t xml:space="preserve"> </w:t>
      </w:r>
      <w:r>
        <w:t xml:space="preserve"> </w:t>
      </w:r>
    </w:p>
    <w:bookmarkEnd w:id="110"/>
    <w:bookmarkStart w:id="111" w:name="sensitivity-analyses"/>
    <w:p>
      <w:pPr>
        <w:pStyle w:val="Heading4"/>
      </w:pPr>
      <w:r>
        <w:t xml:space="preserve">Sensitivity analyses</w:t>
      </w:r>
    </w:p>
    <w:p>
      <w:pPr>
        <w:pStyle w:val="FirstParagraph"/>
      </w:pPr>
      <w:r>
        <w:t xml:space="preserve">I conducted a leave-one-out analysis in order to explore the impact of any given study on the results.</w:t>
      </w:r>
      <w:r>
        <w:t xml:space="preserve"> </w:t>
      </w:r>
      <w:r>
        <w:t xml:space="preserve"> </w:t>
      </w:r>
      <w:r>
        <w:t xml:space="preserve">In addition, where available, I performed meta-regression to assess whether the results varied by age or sex.</w:t>
      </w:r>
    </w:p>
    <w:p>
      <w:pPr>
        <w:pStyle w:val="BodyText"/>
      </w:pPr>
      <w:r>
        <w:t xml:space="preserve"> </w:t>
      </w:r>
      <w:r>
        <w:t xml:space="preserve"> </w:t>
      </w:r>
    </w:p>
    <w:bookmarkEnd w:id="111"/>
    <w:bookmarkStart w:id="112" w:name="visualisation-of-results"/>
    <w:p>
      <w:pPr>
        <w:pStyle w:val="Heading4"/>
      </w:pPr>
      <w:r>
        <w:t xml:space="preserve">Visualisation of results</w:t>
      </w:r>
    </w:p>
    <w:p>
      <w:pPr>
        <w:pStyle w:val="FirstParagraph"/>
      </w:pPr>
      <w:r>
        <w:t xml:space="preserve">The use of evidence maps is becoming increasingly common to explore the distibution of research cohorts included in a systematic review.</w:t>
      </w:r>
      <w:r>
        <w:t xml:space="preserve"> </w:t>
      </w:r>
      <w:r>
        <w:t xml:space="preserve">As such, each individual cohort contibuting to the evidence base was quantified and visualised on a world map.</w:t>
      </w:r>
    </w:p>
    <w:p>
      <w:pPr>
        <w:pStyle w:val="BodyText"/>
      </w:pPr>
      <w:r>
        <w:t xml:space="preserve">Further, given the importance of visualising the potential biases of a result alongside the result itself, a new visualisation tool was designed to allow for</w:t>
      </w:r>
      <w:r>
        <w:t xml:space="preserve"> </w:t>
      </w:r>
      <w:r>
        <w:t xml:space="preserve">“</w:t>
      </w:r>
      <w:r>
        <w:t xml:space="preserve">paired</w:t>
      </w:r>
      <w:r>
        <w:t xml:space="preserve">”</w:t>
      </w:r>
      <w:r>
        <w:t xml:space="preserve"> </w:t>
      </w:r>
      <w:r>
        <w:t xml:space="preserve">forest plots (as recommended by the ROB2 publication).</w:t>
      </w:r>
      <w:r>
        <w:t xml:space="preserve"> </w:t>
      </w:r>
      <w:r>
        <w:t xml:space="preserve"> </w:t>
      </w:r>
      <w:r>
        <w:t xml:space="preserve">This tool was developed as an adjunct to this thesis to aid in creating standard risk-of-bias figures,</w:t>
      </w:r>
      <w:hyperlink w:anchor="ref-mcguinness2020robvisPaper">
        <w:r>
          <w:rPr>
            <w:rStyle w:val="Hyperlink"/>
            <w:vertAlign w:val="superscript"/>
          </w:rPr>
          <w:t xml:space="preserve">137</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reserachers to design a modular method for creating these plots.</w:t>
      </w:r>
      <w:hyperlink w:anchor="ref-zotero-14999">
        <w:r>
          <w:rPr>
            <w:rStyle w:val="Hyperlink"/>
            <w:vertAlign w:val="superscript"/>
          </w:rPr>
          <w:t xml:space="preserve">138</w:t>
        </w:r>
      </w:hyperlink>
      <w:r>
        <w:t xml:space="preserve"> </w:t>
      </w:r>
      <w:r>
        <w:t xml:space="preserve"> </w:t>
      </w:r>
      <w:r>
        <w:t xml:space="preserve">A summary of this tool is contained in Appendix</w:t>
      </w:r>
      <w:r>
        <w:t xml:space="preserve"> </w:t>
      </w:r>
      <w:r>
        <w:t xml:space="preserve">10.2</w:t>
      </w:r>
      <w:r>
        <w:t xml:space="preserve">, and all forest plots presented in this analysis were created using this tool.</w:t>
      </w:r>
    </w:p>
    <w:p>
      <w:pPr>
        <w:pStyle w:val="BodyText"/>
      </w:pPr>
      <w:r>
        <w:t xml:space="preserve"> </w:t>
      </w:r>
      <w:r>
        <w:t xml:space="preserve"> </w:t>
      </w:r>
    </w:p>
    <w:bookmarkEnd w:id="112"/>
    <w:bookmarkStart w:id="113" w:name="X70e6c291630de5daf4cc0c432796c9ea205184d"/>
    <w:p>
      <w:pPr>
        <w:pStyle w:val="Heading4"/>
      </w:pPr>
      <w:r>
        <w:t xml:space="preserve">Assessment of added value of including preprints</w:t>
      </w:r>
    </w:p>
    <w:p>
      <w:pPr>
        <w:pStyle w:val="FirstParagraph"/>
      </w:pPr>
      <w:r>
        <w:t xml:space="preserve">Preprints are a valuable evidence source (see Introduction, Section @ref()) but their inclusion in a systematic reivew. As part of a study within this larger review, I also to explore the additional evidental value of including preprints in the meta-analysis, assessed using the fixed effect weight from a standard meta-analysis.</w:t>
      </w:r>
    </w:p>
    <w:p>
      <w:pPr>
        <w:pStyle w:val="BodyText"/>
      </w:pPr>
      <w:r>
        <w:t xml:space="preserve">Additionally, I followed preprints up over time to investigate whether all identified preprints included in the review were subsequently published (in which case preprints provide a snapshot into the future, and a systematic review update would capture these reports) or alternatively, if some preprints were not published, then preprints provide a distinct evidence source.</w:t>
      </w:r>
    </w:p>
    <w:p>
      <w:pPr>
        <w:pStyle w:val="BodyText"/>
      </w:pPr>
      <w:r>
        <w:t xml:space="preserve"> </w:t>
      </w:r>
      <w:r>
        <w:t xml:space="preserve"> </w:t>
      </w:r>
    </w:p>
    <w:bookmarkEnd w:id="113"/>
    <w:bookmarkEnd w:id="114"/>
    <w:bookmarkEnd w:id="115"/>
    <w:bookmarkStart w:id="129" w:name="results"/>
    <w:p>
      <w:pPr>
        <w:pStyle w:val="Heading2"/>
      </w:pPr>
      <w:r>
        <w:t xml:space="preserve">Results</w:t>
      </w:r>
    </w:p>
    <w:bookmarkStart w:id="116" w:name="X9867a2731246839864e605e1b5b36dae9f3382a"/>
    <w:p>
      <w:pPr>
        <w:pStyle w:val="Heading3"/>
      </w:pPr>
      <w:r>
        <w:t xml:space="preserve">Initial search and validation of search filters</w:t>
      </w:r>
    </w:p>
    <w:p>
      <w:pPr>
        <w:pStyle w:val="FirstParagraph"/>
      </w:pPr>
      <w:r>
        <w:t xml:space="preserve">Twenty-three thousand, four hundred forty-seven records were identified through database searches.</w:t>
      </w:r>
    </w:p>
    <w:p>
      <w:pPr>
        <w:pStyle w:val="BodyText"/>
      </w:pPr>
      <w:r>
        <w:t xml:space="preserve">Of the 500 random records screened to ensure the accuracy of the study design filters, no eligible records were identified. Many of those excluded by the filters were basic science studies, commentaries or educational articles.</w:t>
      </w:r>
      <w:r>
        <w:t xml:space="preserve"> </w:t>
      </w:r>
    </w:p>
    <w:p>
      <w:pPr>
        <w:pStyle w:val="BodyText"/>
      </w:pPr>
      <w:r>
        <w:t xml:space="preserve"> </w:t>
      </w:r>
      <w:r>
        <w:t xml:space="preserve"> </w:t>
      </w:r>
    </w:p>
    <w:bookmarkEnd w:id="116"/>
    <w:bookmarkStart w:id="118"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r>
        <w:t xml:space="preserve"> </w:t>
      </w:r>
      <w:r>
        <w:t xml:space="preserve">4</w:t>
      </w:r>
      <w:r>
        <w:t xml:space="preserve"> </w:t>
      </w:r>
    </w:p>
    <w:p>
      <w:pPr>
        <w:pStyle w:val="BodyText"/>
      </w:pPr>
      <w:r>
        <w:t xml:space="preserve">The PRISMA (Preferred Reporting Items for Systematic Reviews and Meta-analyses) flow diagram</w:t>
      </w:r>
      <w:hyperlink w:anchor="ref-page2021">
        <w:r>
          <w:rPr>
            <w:rStyle w:val="Hyperlink"/>
            <w:vertAlign w:val="superscript"/>
          </w:rPr>
          <w:t xml:space="preserve">78</w:t>
        </w:r>
      </w:hyperlink>
      <w:r>
        <w:t xml:space="preserve"> </w:t>
      </w:r>
      <w:r>
        <w:t xml:space="preserve"> </w:t>
      </w:r>
      <w:r>
        <w:t xml:space="preserve">presented in Figure</w:t>
      </w:r>
      <w:r>
        <w:t xml:space="preserve"> </w:t>
      </w:r>
      <w:r>
        <w:t xml:space="preserve">4</w:t>
      </w:r>
      <w:r>
        <w:t xml:space="preserve">, illustrates the movement of articles through the review.</w:t>
      </w:r>
    </w:p>
    <w:p>
      <w:pPr>
        <w:pStyle w:val="BodyText"/>
      </w:pPr>
      <w:r>
        <w:t xml:space="preserve">To highlight the contribution of preprint archives to the review, the flow diagram delineates between those records captured through databases searches (presented on the right of the diagram) and those captured by the search tool described in the previous chapter (presented in grey on the left of the diagram).</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7"/>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databases and preprint servers to the review are indicated.</w:t>
      </w:r>
    </w:p>
    <w:p>
      <w:pPr>
        <w:pStyle w:val="BodyText"/>
      </w:pPr>
      <w:r>
        <w:t xml:space="preserve">The values of</w:t>
      </w:r>
      <w:r>
        <w:t xml:space="preserve"> </w:t>
      </w:r>
      <m:oMath>
        <m:r>
          <m:t>A</m:t>
        </m:r>
        <m:r>
          <m:t>C</m:t>
        </m:r>
        <m:r>
          <m:t>1</m:t>
        </m:r>
      </m:oMath>
      <w:r>
        <w:t xml:space="preserve"> </w:t>
      </w:r>
      <w:r>
        <w:t xml:space="preserve">were interpreted against the categories presented in Table</w:t>
      </w:r>
      <w:r>
        <w:t xml:space="preserve"> </w:t>
      </w:r>
      <w:r>
        <w:t xml:space="preserve">7</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8</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9</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heavy imbalance towards exclusion.</w:t>
      </w:r>
      <w:hyperlink w:anchor="ref-feinstein1990">
        <w:r>
          <w:rPr>
            <w:rStyle w:val="Hyperlink"/>
            <w:vertAlign w:val="superscript"/>
          </w:rPr>
          <w:t xml:space="preserve">139</w:t>
        </w:r>
      </w:hyperlink>
    </w:p>
    <w:p>
      <w:pPr>
        <w:pStyle w:val="BodyText"/>
      </w:pPr>
      <w:r>
        <w:t xml:space="preserve"> </w:t>
      </w:r>
    </w:p>
    <w:p>
      <w:pPr>
        <w:pStyle w:val="BodyText"/>
      </w:pPr>
      <w:r>
        <w:t xml:space="preserve">(ref:agreeInter-caption) Inter-rater agreement on a subset of records, indicating high accuracy.</w:t>
      </w:r>
    </w:p>
    <w:p>
      <w:pPr>
        <w:pStyle w:val="TableCaption"/>
      </w:pPr>
      <w:r>
        <w:t xml:space="preserve">Table 8: (ref:agreeInter-caption)</w:t>
      </w:r>
    </w:p>
    <w:tbl>
      <w:tblPr>
        <w:tblStyle w:val="Table"/>
        <w:tblW w:type="pct" w:w="0.0"/>
        <w:tblLook w:firstRow="1" w:lastRow="0" w:firstColumn="0" w:lastColumn="0" w:noHBand="0" w:noVBand="0" w:val="0020"/>
        <w:tblCaption w:val="Table 8: (ref:agreeInter-caption)"/>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Second reviewer decision</w:t>
            </w:r>
          </w:p>
        </w:tc>
        <w:tc>
          <w:p>
            <w:pPr>
              <w:pStyle w:val="Compact"/>
              <w:jc w:val="left"/>
            </w:pPr>
            <w:r>
              <w:t xml:space="preserve">Exclude</w:t>
            </w:r>
          </w:p>
        </w:tc>
        <w:tc>
          <w:p>
            <w:pPr>
              <w:pStyle w:val="Compact"/>
              <w:jc w:val="right"/>
            </w:pPr>
            <w:r>
              <w:t xml:space="preserve">1244</w:t>
            </w:r>
          </w:p>
        </w:tc>
        <w:tc>
          <w:p>
            <w:pPr>
              <w:pStyle w:val="Compact"/>
              <w:jc w:val="right"/>
            </w:pPr>
            <w:r>
              <w:t xml:space="preserve">9</w:t>
            </w:r>
          </w:p>
        </w:tc>
        <w:tc>
          <w:p>
            <w:pPr>
              <w:pStyle w:val="Compact"/>
              <w:jc w:val="right"/>
            </w:pPr>
            <w:r>
              <w:t xml:space="preserve">1253</w:t>
            </w:r>
          </w:p>
        </w:tc>
      </w:tr>
      <w:tr>
        <w:tc>
          <w:p>
            <w:pPr>
              <w:pStyle w:val="Compact"/>
              <w:jc w:val="left"/>
            </w:pPr>
            <w:r>
              <w:t xml:space="preserve">Second reviewer decision</w:t>
            </w:r>
          </w:p>
        </w:tc>
        <w:tc>
          <w:p>
            <w:pPr>
              <w:pStyle w:val="Compact"/>
              <w:jc w:val="left"/>
            </w:pPr>
            <w:r>
              <w:t xml:space="preserve">Include</w:t>
            </w:r>
          </w:p>
        </w:tc>
        <w:tc>
          <w:p>
            <w:pPr>
              <w:pStyle w:val="Compact"/>
              <w:jc w:val="right"/>
            </w:pPr>
            <w:r>
              <w:t xml:space="preserve">26</w:t>
            </w:r>
          </w:p>
        </w:tc>
        <w:tc>
          <w:p>
            <w:pPr>
              <w:pStyle w:val="Compact"/>
              <w:jc w:val="right"/>
            </w:pPr>
            <w:r>
              <w:t xml:space="preserve">22</w:t>
            </w:r>
          </w:p>
        </w:tc>
        <w:tc>
          <w:p>
            <w:pPr>
              <w:pStyle w:val="Compact"/>
              <w:jc w:val="right"/>
            </w:pPr>
            <w:r>
              <w:t xml:space="preserve">48</w:t>
            </w:r>
          </w:p>
        </w:tc>
      </w:tr>
      <w:tr>
        <w:tc>
          <w:p>
            <w:pPr>
              <w:pStyle w:val="Compact"/>
              <w:jc w:val="left"/>
            </w:pPr>
            <w:r>
              <w:t xml:space="preserve">Second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TableCaption"/>
      </w:pPr>
      <w:r>
        <w:t xml:space="preserve">Table 9: Intra-rater agreement on subset of records, indicating high consistency.</w:t>
      </w:r>
    </w:p>
    <w:tbl>
      <w:tblPr>
        <w:tblStyle w:val="Table"/>
        <w:tblW w:type="pct" w:w="0.0"/>
        <w:tblLook w:firstRow="1" w:lastRow="0" w:firstColumn="0" w:lastColumn="0" w:noHBand="0" w:noVBand="0" w:val="0020"/>
        <w:tblCaption w:val="Table 9: Intra-rater agreement on subset of records, indicating high consistency."/>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Same reviewer decision</w:t>
            </w:r>
          </w:p>
        </w:tc>
        <w:tc>
          <w:p>
            <w:pPr>
              <w:pStyle w:val="Compact"/>
              <w:jc w:val="left"/>
            </w:pPr>
            <w:r>
              <w:t xml:space="preserve">Exclude</w:t>
            </w:r>
          </w:p>
        </w:tc>
        <w:tc>
          <w:p>
            <w:pPr>
              <w:pStyle w:val="Compact"/>
              <w:jc w:val="right"/>
            </w:pPr>
            <w:r>
              <w:t xml:space="preserve">1266</w:t>
            </w:r>
          </w:p>
        </w:tc>
        <w:tc>
          <w:p>
            <w:pPr>
              <w:pStyle w:val="Compact"/>
              <w:jc w:val="right"/>
            </w:pPr>
            <w:r>
              <w:t xml:space="preserve">14</w:t>
            </w:r>
          </w:p>
        </w:tc>
        <w:tc>
          <w:p>
            <w:pPr>
              <w:pStyle w:val="Compact"/>
              <w:jc w:val="right"/>
            </w:pPr>
            <w:r>
              <w:t xml:space="preserve">1280</w:t>
            </w:r>
          </w:p>
        </w:tc>
      </w:tr>
      <w:tr>
        <w:tc>
          <w:p>
            <w:pPr>
              <w:pStyle w:val="Compact"/>
              <w:jc w:val="left"/>
            </w:pPr>
            <w:r>
              <w:t xml:space="preserve">Same reviewer decision</w:t>
            </w:r>
          </w:p>
        </w:tc>
        <w:tc>
          <w:p>
            <w:pPr>
              <w:pStyle w:val="Compact"/>
              <w:jc w:val="left"/>
            </w:pPr>
            <w:r>
              <w:t xml:space="preserve">Include</w:t>
            </w:r>
          </w:p>
        </w:tc>
        <w:tc>
          <w:p>
            <w:pPr>
              <w:pStyle w:val="Compact"/>
              <w:jc w:val="right"/>
            </w:pPr>
            <w:r>
              <w:t xml:space="preserve">4</w:t>
            </w:r>
          </w:p>
        </w:tc>
        <w:tc>
          <w:p>
            <w:pPr>
              <w:pStyle w:val="Compact"/>
              <w:jc w:val="right"/>
            </w:pPr>
            <w:r>
              <w:t xml:space="preserve">17</w:t>
            </w:r>
          </w:p>
        </w:tc>
        <w:tc>
          <w:p>
            <w:pPr>
              <w:pStyle w:val="Compact"/>
              <w:jc w:val="right"/>
            </w:pPr>
            <w:r>
              <w:t xml:space="preserve">21</w:t>
            </w:r>
          </w:p>
        </w:tc>
      </w:tr>
      <w:tr>
        <w:tc>
          <w:p>
            <w:pPr>
              <w:pStyle w:val="Compact"/>
              <w:jc w:val="left"/>
            </w:pPr>
            <w:r>
              <w:t xml:space="preserve">Same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BodyText"/>
      </w:pPr>
      <w:r>
        <w:t xml:space="preserve"> </w:t>
      </w:r>
    </w:p>
    <w:p>
      <w:pPr>
        <w:pStyle w:val="BodyText"/>
      </w:pPr>
      <w:r>
        <w:t xml:space="preserve">Those records which were excluded in the initial screening, but were included by the second reviewer (n=26, Table @ref(tab: agreeInter-table)) were investigated. This discrepancy between the two reviewers was explained in all cases by differing interpretations of the inclusion criteria, specifically around the definition of cognitive decline versus mild cognitive impairment, and the definition of eligible lipids fractions.</w:t>
      </w:r>
    </w:p>
    <w:p>
      <w:pPr>
        <w:pStyle w:val="BodyText"/>
      </w:pPr>
      <w:r>
        <w:t xml:space="preserve"> </w:t>
      </w:r>
      <w:r>
        <w:t xml:space="preserve"> </w:t>
      </w:r>
    </w:p>
    <w:bookmarkEnd w:id="118"/>
    <w:bookmarkStart w:id="120" w:name="characteristics-of-included-studies"/>
    <w:p>
      <w:pPr>
        <w:pStyle w:val="Heading3"/>
      </w:pPr>
      <w:r>
        <w:t xml:space="preserve">Characteristics of included studies</w:t>
      </w:r>
    </w:p>
    <w:p>
      <w:pPr>
        <w:pStyle w:val="FirstParagraph"/>
      </w:pPr>
      <w:r>
        <w:t xml:space="preserve">Following full-text screening,</w:t>
      </w:r>
      <w:r>
        <w:t xml:space="preserve"> </w:t>
      </w:r>
      <w:r>
        <w:rPr>
          <w:bCs/>
          <w:b/>
        </w:rPr>
        <w:t xml:space="preserve">XXXX</w:t>
      </w:r>
      <w:r>
        <w:t xml:space="preserve"> </w:t>
      </w:r>
      <w:r>
        <w:t xml:space="preserve">studies met the criteria for inclusion in the review. Table</w:t>
      </w:r>
      <w:r>
        <w:t xml:space="preserve"> </w:t>
      </w:r>
      <w:r>
        <w:t xml:space="preserve">10</w:t>
      </w:r>
      <w:r>
        <w:t xml:space="preserve"> </w:t>
      </w:r>
      <w:r>
        <w:t xml:space="preserve">presents a summary of the characteristics of each study.</w:t>
      </w:r>
    </w:p>
    <w:p>
      <w:pPr>
        <w:pStyle w:val="BodyText"/>
      </w:pPr>
      <w:r>
        <w:t xml:space="preserve"> </w:t>
      </w:r>
    </w:p>
    <w:p>
      <w:pPr>
        <w:pStyle w:val="TableCaption"/>
      </w:pPr>
      <w:r>
        <w:t xml:space="preserve">Table 10:</w:t>
      </w:r>
      <w:r>
        <w:t xml:space="preserve"> </w:t>
      </w:r>
      <w:bookmarkStart w:id="6ebdb4fd-f1c9-4404-ad2c-76bdca5c41f5" w:name="tab:studyCharacteristics-table"/>
      <w:r>
        <w:t xml:space="preserve">studyCharacteristics</w:t>
      </w:r>
      <w:bookmarkEnd w:id="6ebdb4fd-f1c9-4404-ad2c-76bdca5c41f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Data source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Three City Study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Three City Study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LDL-c; HDL-c</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Religious Orders Study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Statin - Lipophilic; Statin - Hydrophilic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Dufouil 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Three City Study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National Health Insurance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of America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HMO (Group Health Cooperative)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Three City Study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Rasmussen 2018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Denmark</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Ontario Health Insurance Plan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Public Health Centre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FINRISK</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of America</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Veterans Affairs Medical Center</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bl>
    <w:p>
      <w:pPr>
        <w:pStyle w:val="BodyText"/>
      </w:pPr>
      <w:r>
        <w:t xml:space="preserve">png</w:t>
      </w:r>
      <w:r>
        <w:t xml:space="preserve"> </w:t>
      </w:r>
      <w:r>
        <w:t xml:space="preserve">2</w:t>
      </w:r>
      <w:r>
        <w:t xml:space="preserve"> </w:t>
      </w:r>
      <w:r>
        <w:t xml:space="preserve"> </w:t>
      </w:r>
    </w:p>
    <w:p>
      <w:pPr>
        <w:pStyle w:val="BodyText"/>
      </w:pPr>
      <w:r>
        <w:t xml:space="preserve">The majority of studies were non-randomised, with only one included randomised controlled trials (the Heart Protection Study) and a relative small number of Mendelian randomisation studies. Of the non-randomised studies, many were assessments of the relationship with statis use.</w:t>
      </w:r>
    </w:p>
    <w:p>
      <w:pPr>
        <w:pStyle w:val="BodyText"/>
      </w:pPr>
      <w:r>
        <w:t xml:space="preserve">Of the studies examining lipid levels, by far the most common fraction assessed was total cholesterol. The association with triglycerides levels was not consider in many papers.</w:t>
      </w:r>
      <w:r>
        <w:t xml:space="preserve"> </w:t>
      </w:r>
    </w:p>
    <w:p>
      <w:pPr>
        <w:pStyle w:val="BodyText"/>
      </w:pPr>
      <w:r>
        <w:t xml:space="preserve">The vast majority of studies examined either all-cause dementia or Alzheimer’s disease, with only a small proportion examining vascular dementia.</w:t>
      </w:r>
    </w:p>
    <w:p>
      <w:pPr>
        <w:pStyle w:val="BodyText"/>
      </w:pPr>
      <w:r>
        <w:t xml:space="preserve">Many studies using electronic health records as their data source did not accurately report the diagnostic criteria used to identify cases, and of those that did, none sought to validate the accuracy of their defined code lists.</w:t>
      </w:r>
    </w:p>
    <w:p>
      <w:pPr>
        <w:pStyle w:val="BodyText"/>
      </w:pPr>
      <w:r>
        <w:t xml:space="preserve">Many of the studies were conducted in electronic health record databases, which have a number of advantages over smaller more traditional cohort studies.</w:t>
      </w:r>
    </w:p>
    <w:p>
      <w:pPr>
        <w:pStyle w:val="BodyText"/>
      </w:pPr>
      <w:r>
        <w:t xml:space="preserve">As shown in Figure</w:t>
      </w:r>
      <w:r>
        <w:t xml:space="preserve"> </w:t>
      </w:r>
      <w:r>
        <w:t xml:space="preserve">5</w:t>
      </w:r>
      <w:r>
        <w:t xml:space="preserve">, the majority of study cohorts were based in the developed world.</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19"/>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p>
    <w:p>
      <w:pPr>
        <w:pStyle w:val="BodyText"/>
      </w:pPr>
      <w:r>
        <w:t xml:space="preserve"> </w:t>
      </w:r>
    </w:p>
    <w:bookmarkEnd w:id="120"/>
    <w:bookmarkStart w:id="121" w:name="risk-of-bias-subheading"/>
    <w:p>
      <w:pPr>
        <w:pStyle w:val="Heading3"/>
      </w:pPr>
      <w:r>
        <w:t xml:space="preserve">Risk of bias</w:t>
      </w:r>
    </w:p>
    <w:p>
      <w:pPr>
        <w:pStyle w:val="FirstParagraph"/>
      </w:pPr>
      <w:r>
        <w:t xml:space="preserve">Many of the included studies were at high-risk of bias.</w:t>
      </w:r>
    </w:p>
    <w:p>
      <w:pPr>
        <w:pStyle w:val="BodyText"/>
      </w:pPr>
      <w:r>
        <w:t xml:space="preserve">The one randomised controllled trial was deemed to be a low risk of bias,</w:t>
      </w:r>
    </w:p>
    <w:p>
      <w:pPr>
        <w:pStyle w:val="BodyText"/>
      </w:pPr>
      <w:r>
        <w:t xml:space="preserve"> </w:t>
      </w:r>
      <w:r>
        <w:t xml:space="preserve"> </w:t>
      </w:r>
    </w:p>
    <w:bookmarkEnd w:id="121"/>
    <w:bookmarkStart w:id="123" w:name="Xe5f131f8dba9353712a532f34a3028f40bfec5d"/>
    <w:p>
      <w:pPr>
        <w:pStyle w:val="Heading3"/>
      </w:pPr>
      <w:r>
        <w:t xml:space="preserve">Meta-analysis of statin use and hypercholesteroleamia</w:t>
      </w:r>
    </w:p>
    <w:p>
      <w:pPr>
        <w:pStyle w:val="FirstParagraph"/>
      </w:pPr>
      <w:r>
        <w:t xml:space="preserve">Statin use was associated with a reduce risk of all-cause dementia (OR: 0.76, 95%CI: 0.66-0.88, Figure</w:t>
      </w:r>
      <w:r>
        <w:t xml:space="preserve"> </w:t>
      </w:r>
      <w:r>
        <w:t xml:space="preserve">6</w:t>
      </w:r>
      <w:r>
        <w:t xml:space="preserve">).</w:t>
      </w:r>
    </w:p>
    <w:p>
      <w:pPr>
        <w:pStyle w:val="BodyText"/>
      </w:pPr>
      <w:r>
        <w:t xml:space="preserve"> </w:t>
      </w:r>
      <w:r>
        <w:t xml:space="preserve"> </w:t>
      </w:r>
    </w:p>
    <w:p>
      <w:pPr>
        <w:pStyle w:val="BodyText"/>
      </w:pPr>
      <w:r>
        <w:drawing>
          <wp:inline>
            <wp:extent cx="5943600" cy="5618837"/>
            <wp:effectExtent b="0" l="0" r="0" t="0"/>
            <wp:docPr descr="Figure 6: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2"/>
                    <a:stretch>
                      <a:fillRect/>
                    </a:stretch>
                  </pic:blipFill>
                  <pic:spPr bwMode="auto">
                    <a:xfrm>
                      <a:off x="0" y="0"/>
                      <a:ext cx="5943600" cy="5618837"/>
                    </a:xfrm>
                    <a:prstGeom prst="rect">
                      <a:avLst/>
                    </a:prstGeom>
                    <a:noFill/>
                    <a:ln w="9525">
                      <a:noFill/>
                      <a:headEnd/>
                      <a:tailEnd/>
                    </a:ln>
                  </pic:spPr>
                </pic:pic>
              </a:graphicData>
            </a:graphic>
          </wp:inline>
        </w:drawing>
      </w:r>
      <w:r>
        <w:t xml:space="preserve"> </w:t>
      </w:r>
      <w:r>
        <w:t xml:space="preserve"> </w:t>
      </w:r>
      <w:r>
        <w:t xml:space="preserve"> </w:t>
      </w:r>
    </w:p>
    <w:bookmarkEnd w:id="123"/>
    <w:bookmarkStart w:id="124" w:name="dose-response-results"/>
    <w:p>
      <w:pPr>
        <w:pStyle w:val="Heading3"/>
      </w:pPr>
      <w:r>
        <w:t xml:space="preserve">Dose response meta-analysis of lipid levels</w:t>
      </w:r>
    </w:p>
    <w:p>
      <w:pPr>
        <w:pStyle w:val="FirstParagraph"/>
      </w:pPr>
      <w:r>
        <w:t xml:space="preserve">Several studies were excluded from the dose-response meta-analysis, as the number of cases/controls per dose group could not be calculated and the corresponding author for the study did not respond to clarification requests. The results from the dose response analysis can be seen in Figure</w:t>
      </w:r>
      <w:r>
        <w:t xml:space="preserve"> </w:t>
      </w:r>
      <w:r>
        <w:t xml:space="preserve">??</w:t>
      </w:r>
      <w:r>
        <w:t xml:space="preserve">.</w:t>
      </w:r>
    </w:p>
    <w:p>
      <w:pPr>
        <w:pStyle w:val="BodyText"/>
      </w:pPr>
      <w:r>
        <w:t xml:space="preserve"> </w:t>
      </w:r>
      <w:r>
        <w:t xml:space="preserve"> </w:t>
      </w:r>
    </w:p>
    <w:p>
      <w:pPr>
        <w:pStyle w:val="BodyText"/>
      </w:pPr>
      <w:r>
        <w:t xml:space="preserve"> </w:t>
      </w:r>
      <w:r>
        <w:t xml:space="preserve"> </w:t>
      </w:r>
    </w:p>
    <w:bookmarkEnd w:id="124"/>
    <w:bookmarkStart w:id="126" w:name="sys-rev-pub-bias"/>
    <w:p>
      <w:pPr>
        <w:pStyle w:val="Heading3"/>
      </w:pPr>
      <w:r>
        <w:t xml:space="preserve">Publication bias</w:t>
      </w:r>
    </w:p>
    <w:p>
      <w:pPr>
        <w:pStyle w:val="FirstParagraph"/>
      </w:pPr>
      <w:r>
        <w:t xml:space="preserve">There was little evidence of publication bias across the evidence base (Figure</w:t>
      </w:r>
      <w:r>
        <w:t xml:space="preserve"> </w:t>
      </w:r>
      <w:r>
        <w:t xml:space="preserve">7</w:t>
      </w:r>
      <w:r>
        <w:t xml:space="preserve">).</w:t>
      </w:r>
    </w:p>
    <w:p>
      <w:pPr>
        <w:pStyle w:val="BodyText"/>
      </w:pPr>
      <w:r>
        <w:t xml:space="preserve"> </w:t>
      </w:r>
      <w:r>
        <w:t xml:space="preserve"> </w:t>
      </w:r>
    </w:p>
    <w:p>
      <w:pPr>
        <w:pStyle w:val="BodyText"/>
      </w:pPr>
      <w:r>
        <w:drawing>
          <wp:inline>
            <wp:extent cx="5943600" cy="5943600"/>
            <wp:effectExtent b="0" l="0" r="0" t="0"/>
            <wp:docPr descr="Figure 7: Funnel plot of results examining the relationship between statins and any dementia" title="" id="1" name="Picture"/>
            <a:graphic>
              <a:graphicData uri="http://schemas.openxmlformats.org/drawingml/2006/picture">
                <pic:pic>
                  <pic:nvPicPr>
                    <pic:cNvPr descr="figures/sys-rev/funnel_statins_any.png" id="0" name="Picture"/>
                    <pic:cNvPicPr>
                      <a:picLocks noChangeArrowheads="1" noChangeAspect="1"/>
                    </pic:cNvPicPr>
                  </pic:nvPicPr>
                  <pic:blipFill>
                    <a:blip r:embed="rId125"/>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 </w:t>
      </w:r>
      <w:r>
        <w:t xml:space="preserve"> </w:t>
      </w:r>
    </w:p>
    <w:bookmarkEnd w:id="126"/>
    <w:bookmarkStart w:id="127" w:name="sys-rev-including-preprints"/>
    <w:p>
      <w:pPr>
        <w:pStyle w:val="Heading3"/>
      </w:pPr>
      <w:r>
        <w:t xml:space="preserve">Added evidental value of including preprints</w:t>
      </w:r>
    </w:p>
    <w:p>
      <w:pPr>
        <w:pStyle w:val="FirstParagraph"/>
      </w:pPr>
      <w:r>
        <w:t xml:space="preserve">As show in Figure</w:t>
      </w:r>
      <w:r>
        <w:t xml:space="preserve"> </w:t>
      </w:r>
      <w:r>
        <w:t xml:space="preserve">??</w:t>
      </w:r>
      <w:r>
        <w:t xml:space="preserve">, the number of results returned by the preprint searching, was not substantial (bioRxiv = 256, medRxiv = 0).</w:t>
      </w:r>
      <w:r>
        <w:t xml:space="preserve"> </w:t>
      </w:r>
    </w:p>
    <w:p>
      <w:pPr>
        <w:pStyle w:val="BodyText"/>
      </w:pPr>
      <w:r>
        <w:t xml:space="preserve"> </w:t>
      </w:r>
      <w:r>
        <w:t xml:space="preserve"> </w:t>
      </w:r>
    </w:p>
    <w:bookmarkEnd w:id="127"/>
    <w:bookmarkStart w:id="128" w:name="risk-of-bias-due-to-missing-evidence-1"/>
    <w:p>
      <w:pPr>
        <w:pStyle w:val="Heading3"/>
      </w:pPr>
      <w:r>
        <w:t xml:space="preserve">Risk of bias due to missing evidence</w:t>
      </w:r>
    </w:p>
    <w:p>
      <w:pPr>
        <w:pStyle w:val="FirstParagraph"/>
      </w:pPr>
      <w:r>
        <w:t xml:space="preserve">A key issue identified relating to bias due to missing data was the potential for the search to miss relevant Mendelian randomisation studies which had examined the association between Alzhiemer’s disease and multiple risk factors. This is discussed further in Section</w:t>
      </w:r>
      <w:r>
        <w:t xml:space="preserve"> </w:t>
      </w:r>
      <w:r>
        <w:t xml:space="preserve">4.5.4</w:t>
      </w:r>
      <w:r>
        <w:t xml:space="preserve">.</w:t>
      </w:r>
    </w:p>
    <w:p>
      <w:pPr>
        <w:pStyle w:val="BodyText"/>
      </w:pPr>
      <w:r>
        <w:t xml:space="preserve"> </w:t>
      </w:r>
    </w:p>
    <w:bookmarkEnd w:id="128"/>
    <w:bookmarkEnd w:id="129"/>
    <w:bookmarkStart w:id="143" w:name="discussion-1"/>
    <w:p>
      <w:pPr>
        <w:pStyle w:val="Heading2"/>
      </w:pPr>
      <w:r>
        <w:t xml:space="preserve">Discussion</w:t>
      </w:r>
    </w:p>
    <w:bookmarkStart w:id="131" w:name="summary-of-findings"/>
    <w:p>
      <w:pPr>
        <w:pStyle w:val="Heading3"/>
      </w:pPr>
      <w:r>
        <w:t xml:space="preserve">Summary of findings</w:t>
      </w:r>
    </w:p>
    <w:p>
      <w:pPr>
        <w:pStyle w:val="FirstParagraph"/>
      </w:pPr>
      <w:r>
        <w:t xml:space="preserve">some evidence that age has impact on observed lipid-dementia relationship - use to link</w:t>
      </w:r>
    </w:p>
    <w:p>
      <w:pPr>
        <w:pStyle w:val="BodyText"/>
      </w:pPr>
      <w:r>
        <w:t xml:space="preserve">This review has presented a summary of the available evidence on the association between lipids, and treatments that modify lipids such as statins, and the subsequent risk of dementia.</w:t>
      </w:r>
    </w:p>
    <w:p>
      <w:pPr>
        <w:pStyle w:val="BodyText"/>
      </w:pPr>
      <w:r>
        <w:t xml:space="preserve">The distribution of evidence between analytical designs is to be expected. Randomised controlled trials of dementia are particularly challenging, as the long follow-up, necessary due to the long latent period of the condition, makes trials logistically challenging and financial expensive. Similarly, Mendelian randomisation is a relatively new study design, and so only appears in the literature in recent years, driven by the growth of dementia GWASs (Figure</w:t>
      </w:r>
      <w:r>
        <w:t xml:space="preserve"> </w:t>
      </w:r>
      <w:r>
        <w:t xml:space="preserve">8</w:t>
      </w:r>
      <w:r>
        <w:t xml:space="preserve">).</w:t>
      </w:r>
    </w:p>
    <w:p>
      <w:pPr>
        <w:pStyle w:val="BodyText"/>
      </w:pPr>
      <w:r>
        <w:t xml:space="preserve">(ref:typeByYear-cap)</w:t>
      </w:r>
      <w:r>
        <w:t xml:space="preserve"> </w:t>
      </w:r>
      <w:r>
        <w:rPr>
          <w:bCs/>
          <w:b/>
        </w:rPr>
        <w:t xml:space="preserve">Study designs by year of publication</w:t>
      </w:r>
      <w:r>
        <w:t xml:space="preserve"> </w:t>
      </w:r>
      <w:r>
        <w:t xml:space="preserve">-</w:t>
      </w:r>
    </w:p>
    <w:p>
      <w:pPr>
        <w:pStyle w:val="BodyText"/>
      </w:pPr>
      <w:r>
        <w:drawing>
          <wp:inline>
            <wp:extent cx="4587290" cy="3669832"/>
            <wp:effectExtent b="0" l="0" r="0" t="0"/>
            <wp:docPr descr="Figure 8: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30"/>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p>
    <w:p>
      <w:pPr>
        <w:pStyle w:val="BodyText"/>
      </w:pPr>
      <w:r>
        <w:t xml:space="preserve">A common theme across the evidence base was a lack of data on the association of vascular dementia. This is particularly interesting given that lipids and statins are primarily related to vascular disease. There is the potential that studies encountered similar difficulties in address the unexpected results observed in the CPRD analysis in Chapter</w:t>
      </w:r>
      <w:r>
        <w:t xml:space="preserve"> </w:t>
      </w:r>
      <w:r>
        <w:t xml:space="preserve">5</w:t>
      </w:r>
      <w:r>
        <w:t xml:space="preserve">, likely due to confounding by indication, and so may suffer from the</w:t>
      </w:r>
      <w:r>
        <w:t xml:space="preserve"> </w:t>
      </w:r>
      <w:r>
        <w:t xml:space="preserve">“</w:t>
      </w:r>
      <w:r>
        <w:t xml:space="preserve">file-drawer effect</w:t>
      </w:r>
      <w:r>
        <w:t xml:space="preserve">”</w:t>
      </w:r>
      <w:r>
        <w:t xml:space="preserve">.</w:t>
      </w:r>
      <w:r>
        <w:t xml:space="preserve"> </w:t>
      </w:r>
      <w:r>
        <w:t xml:space="preserve"> </w:t>
      </w:r>
      <w:r>
        <w:t xml:space="preserve">For vascular dementia, few Mendelian randomisation studies examined this outcome, primarily because of the absence (until recently) of genome wide association studies, which are used in two sample summary Mendelian randomisation studies.</w:t>
      </w:r>
    </w:p>
    <w:p>
      <w:pPr>
        <w:pStyle w:val="BodyText"/>
      </w:pPr>
      <w:r>
        <w:t xml:space="preserve">One item of particular interest is the attenuation of any effects observed by Mendelian randomisation studies following the adjustment for/exclusion of genetic variation in the Apoe4 gene region. As covered in the discussion, ApoE4 genotype is the major risk factor for Alzheimer’s disease, but is also involved in cholesterol transport.</w:t>
      </w:r>
    </w:p>
    <w:p>
      <w:pPr>
        <w:pStyle w:val="BodyText"/>
      </w:pPr>
      <w:r>
        <w:t xml:space="preserve">This review did not include the commonly cited PROSPER study, which examined the effect of pravastatin on CVD risk and is regularly held up as providing no evidence for an effect of the statin on dementia outcomes. While widely cited and included in the Cochrane review on this topic,</w:t>
      </w:r>
      <w:hyperlink w:anchor="ref-mcguinness2016">
        <w:r>
          <w:rPr>
            <w:rStyle w:val="Hyperlink"/>
            <w:vertAlign w:val="superscript"/>
          </w:rPr>
          <w:t xml:space="preserve">140</w:t>
        </w:r>
      </w:hyperlink>
      <w:r>
        <w:t xml:space="preserve"> </w:t>
      </w:r>
      <w:r>
        <w:t xml:space="preserve">only reported the mean change in a range of cognitive measures (MMSE, Stroop test, Picture-Word Learning test, etc.) over follow-up rather than incident. While this is a useful indicator of general cognitive decline, it is not equivalent to a dementia diagnosis using a , as cognitive tests should feed into a broader diagnostic pathway (see section</w:t>
      </w:r>
      <w:r>
        <w:t xml:space="preserve"> </w:t>
      </w:r>
      <w:r>
        <w:t xml:space="preserve">2.3.2</w:t>
      </w:r>
      <w:r>
        <w:t xml:space="preserve">). As such, this trial did not met the inclusion criteria for this review.</w:t>
      </w:r>
    </w:p>
    <w:p>
      <w:pPr>
        <w:pStyle w:val="BodyText"/>
      </w:pPr>
      <w:r>
        <w:t xml:space="preserve"> </w:t>
      </w:r>
    </w:p>
    <w:bookmarkEnd w:id="131"/>
    <w:bookmarkStart w:id="132" w:name="rev-previous-reviews"/>
    <w:p>
      <w:pPr>
        <w:pStyle w:val="Heading3"/>
      </w:pPr>
      <w:r>
        <w:t xml:space="preserve">Previous reviews</w:t>
      </w:r>
    </w:p>
    <w:p>
      <w:pPr>
        <w:pStyle w:val="FirstParagraph"/>
      </w:pPr>
      <w:r>
        <w:rPr>
          <w:bCs/>
          <w:b/>
        </w:rPr>
        <w:t xml:space="preserve">This section will be completed once Georgia has completed her analysis, and can also be cross-references with the meta-meta analysis published is Brain Sciences recently.</w:t>
      </w:r>
    </w:p>
    <w:p>
      <w:pPr>
        <w:pStyle w:val="BodyText"/>
      </w:pPr>
      <w:r>
        <w:t xml:space="preserve">While conducting this review, I identified several previous systematic reviews of this topic.</w:t>
      </w:r>
      <w:hyperlink w:anchor="ref-chu2018">
        <w:r>
          <w:rPr>
            <w:rStyle w:val="Hyperlink"/>
            <w:vertAlign w:val="superscript"/>
          </w:rPr>
          <w:t xml:space="preserve">141</w:t>
        </w:r>
      </w:hyperlink>
      <w:r>
        <w:rPr>
          <w:vertAlign w:val="superscript"/>
        </w:rPr>
        <w:t xml:space="preserve">–</w:t>
      </w:r>
      <w:hyperlink w:anchor="ref-kuzma2018a">
        <w:r>
          <w:rPr>
            <w:rStyle w:val="Hyperlink"/>
            <w:vertAlign w:val="superscript"/>
          </w:rPr>
          <w:t xml:space="preserve">145</w:t>
        </w:r>
      </w:hyperlink>
      <w:r>
        <w:t xml:space="preserve"> </w:t>
      </w:r>
      <w:r>
        <w:t xml:space="preserve">However, this review is the first to use established domain based assessments tools (for example, the RoB 2 tool for randomized controlled trials)</w:t>
      </w:r>
      <w:hyperlink w:anchor="ref-sterne2019">
        <w:r>
          <w:rPr>
            <w:rStyle w:val="Hyperlink"/>
            <w:vertAlign w:val="superscript"/>
          </w:rPr>
          <w:t xml:space="preserve">133</w:t>
        </w:r>
      </w:hyperlink>
      <w:r>
        <w:t xml:space="preserve"> </w:t>
      </w:r>
      <w:r>
        <w:t xml:space="preserve">to assess the risk of bias in included studies, and explore the heterogeneity of results across different levels of risk of bias levels. Some previous reviews did assess risk of bias, but used non-domain based assessment tools, such as the Newcastle-Ottowa scale.</w:t>
      </w:r>
      <w:r>
        <w:t xml:space="preserve"> </w:t>
      </w:r>
    </w:p>
    <w:p>
      <w:pPr>
        <w:pStyle w:val="BodyText"/>
      </w:pPr>
      <w:r>
        <w:t xml:space="preserve">However, despite these differences in methodology, the duplication of work across reviews (including this review) is substantial. In retrospect, an alternative approach to conducting a further systematic review from scratch could have been employed. Known as an umbrella review, or review-of-reviews, these studies use other systematic reviews rather than primary studies as the unit of analysis. This approach would have enable more efficient identification of relevant primary studies, to which the methods which sets this review apart from other published reviews could have been applied.</w:t>
      </w:r>
    </w:p>
    <w:p>
      <w:pPr>
        <w:pStyle w:val="BodyText"/>
      </w:pPr>
      <w:r>
        <w:t xml:space="preserve"> </w:t>
      </w:r>
    </w:p>
    <w:p>
      <w:pPr>
        <w:pStyle w:val="BodyText"/>
      </w:pPr>
      <w:r>
        <w:t xml:space="preserve"> </w:t>
      </w:r>
    </w:p>
    <w:bookmarkEnd w:id="132"/>
    <w:bookmarkStart w:id="134"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review explicitly sought to synthesize evidence across different publication statuses (preprinted vs. published). Using the tool described in Chapter</w:t>
      </w:r>
      <w:r>
        <w:t xml:space="preserve"> </w:t>
      </w:r>
      <w:r>
        <w:t xml:space="preserve">3.2</w:t>
      </w:r>
      <w:r>
        <w:t xml:space="preserve">, two preprint serves related to health and biomedical sciences were search as part of this review (see Appendix</w:t>
      </w:r>
      <w:r>
        <w:t xml:space="preserve"> </w:t>
      </w:r>
      <w:r>
        <w:t xml:space="preserve">9.2.3</w:t>
      </w:r>
      <w:r>
        <w:t xml:space="preserve"> </w:t>
      </w:r>
      <w:r>
        <w:t xml:space="preserve">for the code used to search the repositories). There were several relevant preprints captured by the search. The added evidential value of including these preprints was highlighted in Section</w:t>
      </w:r>
      <w:r>
        <w:t xml:space="preserve"> </w:t>
      </w:r>
      <w:r>
        <w:t xml:space="preserve">(sys-rev-including-preprints).</w:t>
      </w:r>
    </w:p>
    <w:p>
      <w:pPr>
        <w:pStyle w:val="BodyText"/>
      </w:pPr>
      <w:r>
        <w:t xml:space="preserve">medRxiv grew out of the Epidemiology and Clinical Trials categories of the</w:t>
      </w:r>
      <w:r>
        <w:t xml:space="preserve"> </w:t>
      </w:r>
    </w:p>
    <w:p>
      <w:pPr>
        <w:pStyle w:val="BodyText"/>
      </w:pPr>
      <w:r>
        <w:t xml:space="preserve">The small number of studies return by the searches (or the absence of any hits in the medRxiv database - see Figure</w:t>
      </w:r>
      <w:r>
        <w:t xml:space="preserve"> </w:t>
      </w:r>
      <w:r>
        <w:t xml:space="preserve">??</w:t>
      </w:r>
      <w:r>
        <w:t xml:space="preserve">) is due to the timing of the preprint searches. The searches for this review were performed in mid-July 2019, but the first medRxiv preprint was registered on 25th June 2019. As such, at the point it was searched, the medRxiv database contained only a small number of records.</w:t>
      </w:r>
    </w:p>
    <w:p>
      <w:pPr>
        <w:pStyle w:val="BodyText"/>
      </w:pPr>
      <w:r>
        <w:t xml:space="preserve">While none of the preprints contributed uniquely to the review, this is again. Consider the example of one of the Mendelian randomisation analyses of the effect of LDl-c on Alzheimer’s disease, which found no impact of LDL-c on AD following removal of APOE4. The manuscript was initially published in bioRxiv in July 2017</w:t>
      </w:r>
      <w:hyperlink w:anchor="ref-zhu2017">
        <w:r>
          <w:rPr>
            <w:rStyle w:val="Hyperlink"/>
            <w:vertAlign w:val="superscript"/>
          </w:rPr>
          <w:t xml:space="preserve">146</w:t>
        </w:r>
      </w:hyperlink>
      <w:r>
        <w:t xml:space="preserve"> </w:t>
      </w:r>
      <w:r>
        <w:t xml:space="preserve">which was subsequently published in Nature Communications in January 2018, following peer-review.</w:t>
      </w:r>
      <w:hyperlink w:anchor="ref-zhu2018">
        <w:r>
          <w:rPr>
            <w:rStyle w:val="Hyperlink"/>
            <w:vertAlign w:val="superscript"/>
          </w:rPr>
          <w:t xml:space="preserve">147</w:t>
        </w:r>
      </w:hyperlink>
      <w:r>
        <w:t xml:space="preserve"> </w:t>
      </w:r>
      <w:r>
        <w:t xml:space="preserve">While this study was captured by both the preprint and published searches in this review, had the searches been run within this window, the preprint would have contributed unique data to the review. This illustrates that while it may not have aided this review, if the aim is to find the current state of the art in the topic area at the time of searching, inclusion of preprints is a necessity.</w:t>
      </w:r>
    </w:p>
    <w:p>
      <w:pPr>
        <w:pStyle w:val="BodyText"/>
      </w:pPr>
      <w:r>
        <w:t xml:space="preserve">Of note, since the start of my review, inclusion of preprints in systematic reviews has now become widespread due to the role of preprint servers, in particular medRxiv, as a key evidence dissemination venue during the early stages of the COVID-19 pandemic. However, how well this adoption of preprints will transfer to other topics, where the speed of research does not put the same focus on preprinted articles, is currently unknown.</w:t>
      </w:r>
    </w:p>
    <w:p>
      <w:pPr>
        <w:pStyle w:val="BodyText"/>
      </w:pPr>
      <w:r>
        <w:drawing>
          <wp:inline>
            <wp:extent cx="5504749" cy="6422207"/>
            <wp:effectExtent b="0" l="0" r="0" t="0"/>
            <wp:docPr descr="Figure 9: Growth of preprint repositories over time - Given the relative sizes of the preprint repositories at the time the searches for this review were conducted (bioRxiv n= 56,007, medRxiv n = 148), the relativ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33"/>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r>
        <w:t xml:space="preserve"> </w:t>
      </w:r>
    </w:p>
    <w:p>
      <w:pPr>
        <w:pStyle w:val="BodyText"/>
      </w:pPr>
      <w:r>
        <w:t xml:space="preserve"> </w:t>
      </w:r>
    </w:p>
    <w:bookmarkEnd w:id="134"/>
    <w:bookmarkStart w:id="135" w:name="rev-discussion-MR"/>
    <w:p>
      <w:pPr>
        <w:pStyle w:val="Heading3"/>
      </w:pPr>
      <w:r>
        <w:t xml:space="preserve">Reviewing Mendelian randomisations studies</w:t>
      </w:r>
    </w:p>
    <w:p>
      <w:pPr>
        <w:pStyle w:val="FirstParagraph"/>
      </w:pPr>
      <w:r>
        <w:t xml:space="preserve">Mendelian randomisation is a powerful analytical technique, using natural variation in participants genomes to (assuming the assumptions of the method are valid), though it’s inclusion as an acceptable study design in this review was complicated by a number of factors.</w:t>
      </w:r>
    </w:p>
    <w:p>
      <w:pPr>
        <w:pStyle w:val="BodyText"/>
      </w:pPr>
      <w:r>
        <w:t xml:space="preserve">Firstly, as this study design is relatively new, particularly when compared to randomised trials or cohort studies, the process and tools for systematically assessing them are not as well developed. A key example of this is in the absence of validated search filters for Mendelian randomisations studies. This limitation is further complicated by the varying terminology used to describe the method, particularly in the early years of it’s application.</w:t>
      </w:r>
    </w:p>
    <w:p>
      <w:pPr>
        <w:pStyle w:val="BodyText"/>
      </w:pPr>
      <w:r>
        <w:t xml:space="preserve">Additionally, there is currently no widely used risk-of-bias assessment tool for Mendelian randomisation studies. A recent commentary provided a checklist interpreting Mendelian randomisation studies, this guide includes reporting items in their quality checklist. While reporting quality is important, it is a separate consideration to internal validity, as discussed in Section @ref(). Similarly, a previous review of Mendelian randomisation studies used the Q-Genie tool, which was validated to assess the quality of genetic association studies in meta-analysis.</w:t>
      </w:r>
      <w:hyperlink w:anchor="ref-sohani2015">
        <w:r>
          <w:rPr>
            <w:rStyle w:val="Hyperlink"/>
            <w:vertAlign w:val="superscript"/>
          </w:rPr>
          <w:t xml:space="preserve">148</w:t>
        </w:r>
      </w:hyperlink>
      <w:r>
        <w:t xml:space="preserve"> </w:t>
      </w:r>
      <w:r>
        <w:t xml:space="preserve">While this tool addresses the studies used, it does not access the additional methodological considerations of the analysis of the Mendelian randomisation analysis itself.</w:t>
      </w:r>
      <w:r>
        <w:t xml:space="preserve"> </w:t>
      </w:r>
      <w:r>
        <w:t xml:space="preserve"> </w:t>
      </w:r>
      <w:r>
        <w:t xml:space="preserve">For this review, I utilised the best available author-devised tool, sourced on a recent review of systematic reviews of Mendelian randomisation studies.</w:t>
      </w:r>
    </w:p>
    <w:p>
      <w:pPr>
        <w:pStyle w:val="BodyText"/>
      </w:pPr>
      <w:r>
        <w:t xml:space="preserve">As a further stumbling block, Mendelian randomisation, particularly when using a two-sample summary data design, is a form of analysis that lends itself to multiple exposure-outcome comparisons. This is particularly relevant to the consideration of bias due to missing evidence. As an example, through snowballing and other measures, I identified at least one relevant Mendelian randomisation study that had not been identified by the search strategy.</w:t>
      </w:r>
      <w:hyperlink w:anchor="ref-larsson2017b">
        <w:r>
          <w:rPr>
            <w:rStyle w:val="Hyperlink"/>
            <w:vertAlign w:val="superscript"/>
          </w:rPr>
          <w:t xml:space="preserve">149</w:t>
        </w:r>
      </w:hyperlink>
      <w:r>
        <w:t xml:space="preserve"> </w:t>
      </w:r>
      <w:r>
        <w:t xml:space="preserve">On review of this paper, the search would not have been expected to find it given the absence of any lipid-related keywords in the title and abstract. The study examined the association between lipid fractions with Alzheimer’s disease as one of many risk factors for the condition. Studies such as this can introduce bias into a systematic review, as it is commonly only those risk factors that show a statistically significant result that are reported in the abstract and so are captured by the search. This may bias systematic reviews, including this one, as the analysis of multiple risk factors against a single outcome within a single publication becomes more common. 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150</w:t>
        </w:r>
      </w:hyperlink>
      <w:r>
        <w:rPr>
          <w:vertAlign w:val="superscript"/>
        </w:rPr>
        <w:t xml:space="preserve">,</w:t>
      </w:r>
      <w:hyperlink w:anchor="ref-wagner2020">
        <w:r>
          <w:rPr>
            <w:rStyle w:val="Hyperlink"/>
            <w:vertAlign w:val="superscript"/>
          </w:rPr>
          <w:t xml:space="preserve">151</w:t>
        </w:r>
      </w:hyperlink>
      <w:r>
        <w:t xml:space="preserve"> </w:t>
      </w:r>
      <w:r>
        <w:t xml:space="preserve">Alternatively, in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look across multiple risk factors, would be advisable. This was not feasible in the context of this review, given the large number of records to be screened, even when using study design filters (n=16,109). Additionally, the value of methods that supporting the traditional bibliographic database search, such as snowballing (forwards and backwards citation chasing) and communication with relevant topic experts should not be underestimated. Finally, development of a risk-of-bias assessment tool by a panel of methodologists and analysts would be of substanital benefit.</w:t>
      </w:r>
    </w:p>
    <w:p>
      <w:pPr>
        <w:pStyle w:val="BodyText"/>
      </w:pPr>
      <w:r>
        <w:t xml:space="preserve"> </w:t>
      </w:r>
      <w:r>
        <w:t xml:space="preserve"> </w:t>
      </w:r>
    </w:p>
    <w:bookmarkEnd w:id="135"/>
    <w:bookmarkStart w:id="139" w:name="comments-on-the-process"/>
    <w:p>
      <w:pPr>
        <w:pStyle w:val="Heading3"/>
      </w:pPr>
      <w:r>
        <w:t xml:space="preserve">Comments on the process</w:t>
      </w:r>
    </w:p>
    <w:p>
      <w:pPr>
        <w:pStyle w:val="FirstParagraph"/>
      </w:pPr>
      <w:r>
        <w:t xml:space="preserve">As part of the reflective element of this thesis, I collated my experiences on performing a systematic review.</w:t>
      </w:r>
    </w:p>
    <w:p>
      <w:pPr>
        <w:pStyle w:val="BodyText"/>
      </w:pPr>
      <w:r>
        <w:t xml:space="preserve"> </w:t>
      </w:r>
    </w:p>
    <w:bookmarkStart w:id="136" w:name="protocol-registration"/>
    <w:p>
      <w:pPr>
        <w:pStyle w:val="Heading4"/>
      </w:pPr>
      <w:r>
        <w:t xml:space="preserve">Protocol registration</w:t>
      </w:r>
    </w:p>
    <w:p>
      <w:pPr>
        <w:pStyle w:val="FirstParagraph"/>
      </w:pPr>
      <w:r>
        <w:t xml:space="preserve">While the protocol was registered on the Open Science Framework largely to allow for the sharing of associated documents such as the proposed search strategy, anecdotal evidence from colleagues and collaborators suggested that the findability of the protocol was limited. In hindsight, I should also have cross-posted the protocol on PROSPERO, the international prospective register of systematic reviews,</w:t>
      </w:r>
      <w:hyperlink w:anchor="ref-booth2011">
        <w:r>
          <w:rPr>
            <w:rStyle w:val="Hyperlink"/>
            <w:vertAlign w:val="superscript"/>
          </w:rPr>
          <w:t xml:space="preserve">152</w:t>
        </w:r>
      </w:hyperlink>
      <w:r>
        <w:t xml:space="preserve"> </w:t>
      </w:r>
      <w:r>
        <w:t xml:space="preserve">(which does not allow for the uploading of related files).</w:t>
      </w:r>
    </w:p>
    <w:p>
      <w:pPr>
        <w:pStyle w:val="BodyText"/>
      </w:pPr>
      <w:r>
        <w:t xml:space="preserve"> </w:t>
      </w:r>
    </w:p>
    <w:p>
      <w:pPr>
        <w:pStyle w:val="BodyText"/>
      </w:pPr>
      <w:r>
        <w:t xml:space="preserve"> </w:t>
      </w:r>
    </w:p>
    <w:bookmarkEnd w:id="136"/>
    <w:bookmarkStart w:id="137" w:name="people-management"/>
    <w:p>
      <w:pPr>
        <w:pStyle w:val="Heading4"/>
      </w:pPr>
      <w:r>
        <w:t xml:space="preserve">People management</w:t>
      </w:r>
    </w:p>
    <w:p>
      <w:pPr>
        <w:pStyle w:val="FirstParagraph"/>
      </w:pPr>
      <w:r>
        <w:t xml:space="preserve">This review provide an excellent opportunity to gain experience in managing a team of researchers. However, due to the need for dual screening and data extraction over a long period of time, a number of external researchers became involved in this review. I found the people-management aspect particularly challenging, and in retrospect could definitely have improved the process through better communication of expectations and deadlines.</w:t>
      </w:r>
    </w:p>
    <w:p>
      <w:pPr>
        <w:pStyle w:val="BodyText"/>
      </w:pPr>
      <w:r>
        <w:t xml:space="preserve"> </w:t>
      </w:r>
      <w:r>
        <w:t xml:space="preserve"> </w:t>
      </w:r>
    </w:p>
    <w:p>
      <w:pPr>
        <w:pStyle w:val="BodyText"/>
      </w:pPr>
      <w:r>
        <w:t xml:space="preserve"> </w:t>
      </w:r>
    </w:p>
    <w:bookmarkEnd w:id="137"/>
    <w:bookmarkStart w:id="138" w:name="sys-rev-open-data"/>
    <w:p>
      <w:pPr>
        <w:pStyle w:val="Heading4"/>
      </w:pPr>
      <w:r>
        <w:t xml:space="preserve">Open data sharing</w:t>
      </w:r>
    </w:p>
    <w:p>
      <w:pPr>
        <w:pStyle w:val="FirstParagraph"/>
      </w:pPr>
      <w:r>
        <w:t xml:space="preserve">As discussed in Section</w:t>
      </w:r>
      <w:r>
        <w:t xml:space="preserve"> </w:t>
      </w:r>
      <w:r>
        <w:t xml:space="preserve">4.4.6</w:t>
      </w:r>
      <w:r>
        <w:t xml:space="preserve">, many primary studies did not report important elements, and so these could not be extracted. This limiation was compounded by the expected low response rate to requests for further information from primary authors (although, in hindsight, the form of contact used (email) has been shown to be less successful in eliciting responses from authors when compared with telephoning</w:t>
      </w:r>
      <w:hyperlink w:anchor="ref-danko2019">
        <w:r>
          <w:rPr>
            <w:rStyle w:val="Hyperlink"/>
            <w:vertAlign w:val="superscript"/>
          </w:rPr>
          <w:t xml:space="preserve">153</w:t>
        </w:r>
      </w:hyperlink>
      <w:r>
        <w:t xml:space="preserve">).</w:t>
      </w:r>
    </w:p>
    <w:p>
      <w:pPr>
        <w:pStyle w:val="BodyText"/>
      </w:pPr>
      <w:r>
        <w:t xml:space="preserve">While contacting authors is worthwhile, as it can substantially change the conclusion of a systematic review</w:t>
      </w:r>
      <w:hyperlink w:anchor="ref-meursingereynders2019">
        <w:r>
          <w:rPr>
            <w:rStyle w:val="Hyperlink"/>
            <w:vertAlign w:val="superscript"/>
          </w:rPr>
          <w:t xml:space="preserve">154</w:t>
        </w:r>
      </w:hyperlink>
      <w:r>
        <w:t xml:space="preserve"> </w:t>
      </w:r>
      <w:r>
        <w:t xml:space="preserve">and is not too costly to systematic reviewers,</w:t>
      </w:r>
      <w:hyperlink w:anchor="ref-cooper2019">
        <w:r>
          <w:rPr>
            <w:rStyle w:val="Hyperlink"/>
            <w:vertAlign w:val="superscript"/>
          </w:rPr>
          <w:t xml:space="preserve">155</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co-wrote an guidance article to aid primary prevention scientists in preparing and sharing their data so that it can easily be incorporated into a evidence synthesis exercise, using a trial of mindfulness interventions as an case study.</w:t>
      </w:r>
      <w:hyperlink w:anchor="ref-hennessy2021">
        <w:r>
          <w:rPr>
            <w:rStyle w:val="Hyperlink"/>
            <w:vertAlign w:val="superscript"/>
          </w:rPr>
          <w:t xml:space="preserve">156</w:t>
        </w:r>
      </w:hyperlink>
    </w:p>
    <w:p>
      <w:pPr>
        <w:pStyle w:val="BodyText"/>
      </w:pPr>
      <w:r>
        <w:t xml:space="preserve">Similarly, a substantial amount of time and effort has gone into making the data obtained by this review openly available to other researchers.</w:t>
      </w:r>
      <w:r>
        <w:t xml:space="preserve"> </w:t>
      </w:r>
    </w:p>
    <w:p>
      <w:pPr>
        <w:pStyle w:val="BodyText"/>
      </w:pPr>
      <w:r>
        <w:t xml:space="preserve"> </w:t>
      </w:r>
      <w:r>
        <w:t xml:space="preserve"> </w:t>
      </w:r>
    </w:p>
    <w:bookmarkEnd w:id="138"/>
    <w:bookmarkEnd w:id="139"/>
    <w:bookmarkStart w:id="142" w:name="strengths-and-limitations"/>
    <w:p>
      <w:pPr>
        <w:pStyle w:val="Heading3"/>
      </w:pPr>
      <w:r>
        <w:t xml:space="preserve">Strengths and limitations</w:t>
      </w:r>
    </w:p>
    <w:bookmarkStart w:id="140" w:name="strengths"/>
    <w:p>
      <w:pPr>
        <w:pStyle w:val="Heading4"/>
      </w:pPr>
      <w:r>
        <w:t xml:space="preserve">Strengths</w:t>
      </w:r>
    </w:p>
    <w:p>
      <w:pPr>
        <w:pStyle w:val="FirstParagraph"/>
      </w:pPr>
      <w:r>
        <w:t xml:space="preserve">I believe there are four aspects where this review is distinct from those reviews already available in the published literature (as identified by</w:t>
      </w:r>
      <w:r>
        <w:t xml:space="preserve"> </w:t>
      </w:r>
      <w:r>
        <w:t xml:space="preserve">):</w:t>
      </w:r>
    </w:p>
    <w:p>
      <w:pPr>
        <w:numPr>
          <w:ilvl w:val="0"/>
          <w:numId w:val="1009"/>
        </w:numPr>
      </w:pPr>
      <w:r>
        <w:rPr>
          <w:iCs/>
          <w:i/>
        </w:rPr>
        <w:t xml:space="preserve">Comprehensiveness:</w:t>
      </w:r>
      <w:r>
        <w:t xml:space="preserve"> </w:t>
      </w:r>
      <w:r>
        <w:t xml:space="preserve">While several reviews of this research topic exist,</w:t>
      </w:r>
      <w:hyperlink w:anchor="ref-chu2018">
        <w:r>
          <w:rPr>
            <w:rStyle w:val="Hyperlink"/>
            <w:vertAlign w:val="superscript"/>
          </w:rPr>
          <w:t xml:space="preserve">141</w:t>
        </w:r>
      </w:hyperlink>
      <w:r>
        <w:rPr>
          <w:vertAlign w:val="superscript"/>
        </w:rPr>
        <w:t xml:space="preserve">–</w:t>
      </w:r>
      <w:hyperlink w:anchor="ref-poly2020">
        <w:r>
          <w:rPr>
            <w:rStyle w:val="Hyperlink"/>
            <w:vertAlign w:val="superscript"/>
          </w:rPr>
          <w:t xml:space="preserve">144</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r>
        <w:t xml:space="preserve"> </w:t>
      </w:r>
      <w:r>
        <w:t xml:space="preserve"> </w:t>
      </w:r>
      <w:r>
        <w:t xml:space="preserve">In addition</w:t>
      </w:r>
    </w:p>
    <w:p>
      <w:pPr>
        <w:numPr>
          <w:ilvl w:val="0"/>
          <w:numId w:val="1009"/>
        </w:numPr>
      </w:pPr>
      <w:r>
        <w:rPr>
          <w:iCs/>
          <w:i/>
        </w:rPr>
        <w:t xml:space="preserve">Structured risk of 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09"/>
        </w:numPr>
      </w:pPr>
      <w:r>
        <w:rPr>
          <w:iCs/>
          <w:i/>
        </w:rPr>
        <w:t xml:space="preserve">Inclusion of preprints:</w:t>
      </w:r>
      <w:r>
        <w:t xml:space="preserve"> </w:t>
      </w:r>
      <w:r>
        <w:t xml:space="preserve">Unlike other available reviews and enabled by the tool described in Chapter</w:t>
      </w:r>
      <w:r>
        <w:t xml:space="preserve"> </w:t>
      </w:r>
      <w:r>
        <w:t xml:space="preserve">3</w:t>
      </w:r>
      <w:r>
        <w:t xml:space="preserve">, this review systematically searched preprinted health-related manuscripts as a source of grey literature. As part of this chapter, I plan to examine the extent of the additional information provided to the review by the inclusion of preprints.</w:t>
      </w:r>
    </w:p>
    <w:p>
      <w:pPr>
        <w:numPr>
          <w:ilvl w:val="0"/>
          <w:numId w:val="1010"/>
        </w:numPr>
        <w:pStyle w:val="Compact"/>
      </w:pPr>
      <w:r>
        <w:rPr>
          <w:iCs/>
          <w:i/>
        </w:rPr>
        <w:t xml:space="preserve">Contribution to methods work:</w:t>
      </w:r>
      <w:r>
        <w:t xml:space="preserve"> </w:t>
      </w:r>
      <w:r>
        <w:t xml:space="preserve">A large part of this review was the associated work on improving research synthesis methods. This work is detailed as relevant throughout the Chapter, often referring to additional work detailed in the . In addition this review was used to pilot an upcoming risk of bias tool</w:t>
      </w:r>
    </w:p>
    <w:p>
      <w:pPr>
        <w:pStyle w:val="FirstParagraph"/>
      </w:pPr>
      <w:r>
        <w:t xml:space="preserve"> </w:t>
      </w:r>
    </w:p>
    <w:bookmarkEnd w:id="140"/>
    <w:bookmarkStart w:id="141"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157</w:t>
        </w:r>
      </w:hyperlink>
      <w:r>
        <w:t xml:space="preserve"> </w:t>
      </w:r>
      <w:hyperlink w:anchor="ref-mcguinness2019validity">
        <w:r>
          <w:rPr>
            <w:rStyle w:val="Hyperlink"/>
            <w:vertAlign w:val="superscript"/>
          </w:rPr>
          <w:t xml:space="preserve">158</w:t>
        </w:r>
      </w:hyperlink>
      <w:r>
        <w:rPr>
          <w:vertAlign w:val="superscript"/>
        </w:rPr>
        <w:t xml:space="preserve">,</w:t>
      </w:r>
      <w:hyperlink w:anchor="ref-wilkinson2018">
        <w:r>
          <w:rPr>
            <w:rStyle w:val="Hyperlink"/>
            <w:vertAlign w:val="superscript"/>
          </w:rPr>
          <w:t xml:space="preserve">159</w:t>
        </w:r>
      </w:hyperlink>
      <w:r>
        <w:t xml:space="preserve"> </w:t>
      </w:r>
      <w:r>
        <w:t xml:space="preserve">Relatedly, several studies which made use of electronic health record database did not report the specific code lists used, potentially introducing substantial heterogeneity between effect estimates. An empirical example of the effect of differing EHR code list is presented as part of the analysis in Chapter 4 (see Section</w:t>
      </w:r>
      <w:r>
        <w:t xml:space="preserve"> </w:t>
      </w:r>
      <w:r>
        <w:t xml:space="preserve">5.4.4.7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is not a major concern.</w:t>
      </w:r>
    </w:p>
    <w:p>
      <w:pPr>
        <w:pStyle w:val="BodyText"/>
      </w:pPr>
      <w:r>
        <w:t xml:space="preserve">One particular limitiation with regards to the risk of bias assessment is the fact that the ROBINS-E assessments were performed without the tool being finalised. This meant that there were no signalling questions to guide the domain-level risk of bias assessment, which may have influenced the accuracy with which domain-level judgements were assigned. However, there is no published empirical evidence supporting the need for signalling questions, and assessment of inter-rater reliability across the different tools did not indicate a specific problem with the ROBINS-E assessments. In fact, low agreement was common across the tools, though this is expected based on the available literature.</w:t>
      </w:r>
      <w:r>
        <w:t xml:space="preserve"> </w:t>
      </w:r>
    </w:p>
    <w:p>
      <w:pPr>
        <w:pStyle w:val="BodyText"/>
      </w:pPr>
      <w:r>
        <w:t xml:space="preserve">One further limitation is the fact that the risk of bias due to missing evidence assessment, combined with some empirical evidence that some studies were missed by the search but contained relevant studies is a definite limitation of this review (see Section @Ref(rev-discussion-MR) above for a fuller discussion of this issue with respect to Mendelian randomisations studies). Unfortunately, this is probably a common limitation across all reviews, based on the way in which increased sensitivity must be balanced with a reasonable workload.</w:t>
      </w:r>
    </w:p>
    <w:p>
      <w:pPr>
        <w:pStyle w:val="BodyText"/>
      </w:pPr>
      <w:r>
        <w:t xml:space="preserve"> </w:t>
      </w:r>
    </w:p>
    <w:bookmarkEnd w:id="141"/>
    <w:bookmarkEnd w:id="142"/>
    <w:bookmarkEnd w:id="143"/>
    <w:bookmarkStart w:id="144" w:name="conclusions"/>
    <w:p>
      <w:pPr>
        <w:pStyle w:val="Heading2"/>
      </w:pPr>
      <w:r>
        <w:t xml:space="preserve">Conclusions</w:t>
      </w:r>
    </w:p>
    <w:p>
      <w:pPr>
        <w:pStyle w:val="FirstParagraph"/>
      </w:pPr>
      <w:r>
        <w:t xml:space="preserve">In this chapter I have presented a comprehensive systematic review of the different sources of evidence available which examined the relationship between lipid levels and dementia use.</w:t>
      </w:r>
    </w:p>
    <w:p>
      <w:pPr>
        <w:pStyle w:val="BodyText"/>
      </w:pPr>
      <w:r>
        <w:t xml:space="preserve">This work built on the tool introduced in the preceeding chapter (Chapter</w:t>
      </w:r>
      <w:r>
        <w:t xml:space="preserve"> </w:t>
      </w:r>
      <w:r>
        <w:t xml:space="preserve">(sys-rev-tools-heading)), and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while in Chapter</w:t>
      </w:r>
      <w:r>
        <w:t xml:space="preserve"> </w:t>
      </w:r>
      <w:r>
        <w:t xml:space="preserve">6</w:t>
      </w:r>
      <w:r>
        <w:t xml:space="preserve">, prospective cohorts identified by the review were contacted in an attempt to obtain individual participant data; finally, the cumulative effect measures calculated here are used as a key source of evidence for the triangulation exercise presented in Chapter</w:t>
      </w:r>
      <w:r>
        <w:t xml:space="preserve"> </w:t>
      </w:r>
      <w:r>
        <w:t xml:space="preserve">(discussion-heading).</w:t>
      </w:r>
    </w:p>
    <w:p>
      <w:r>
        <w:br w:type="page"/>
      </w:r>
    </w:p>
    <w:bookmarkEnd w:id="144"/>
    <w:bookmarkStart w:id="145" w:name="references-2"/>
    <w:p>
      <w:pPr>
        <w:pStyle w:val="Heading2"/>
      </w:pPr>
      <w:r>
        <w:t xml:space="preserve">References</w:t>
      </w:r>
    </w:p>
    <w:bookmarkEnd w:id="145"/>
    <w:bookmarkEnd w:id="146"/>
    <w:bookmarkStart w:id="198" w:name="cprd-analysis-heading"/>
    <w:p>
      <w:pPr>
        <w:pStyle w:val="Heading1"/>
      </w:pPr>
      <w:r>
        <w:t xml:space="preserve">Primary analysis of lipid regulating agents and dementia outcomes</w:t>
      </w:r>
    </w:p>
    <w:p>
      <w:pPr>
        <w:pStyle w:val="FirstParagraph"/>
      </w:pPr>
    </w:p>
    <w:bookmarkStart w:id="147" w:name="lay-summary-3"/>
    <w:p>
      <w:pPr>
        <w:pStyle w:val="Heading2"/>
      </w:pPr>
      <w:r>
        <w:t xml:space="preserve">Lay summary</w:t>
      </w:r>
    </w:p>
    <w:p>
      <w:pPr>
        <w:pStyle w:val="FirstParagraph"/>
      </w:pPr>
      <w:r>
        <w:t xml:space="preserve">Electronic health record (EHR) databases are large collections of patients data, used to manage patient administration and care. Under these systems, whenever a patient attends their GP, their clinical data is recorded in a central database using a standard set of codes.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the UK. Using this data, the analysis presented in this chapter examined the effect of treatment which lower cholesterol levels, such as statins, on the risk of dementia and related outcomes.</w:t>
      </w:r>
    </w:p>
    <w:p>
      <w:pPr>
        <w:pStyle w:val="BodyText"/>
      </w:pPr>
      <w:r>
        <w:t xml:space="preserve">No evidence for an effect of lipid regulating agents effect on the risk of Alzheimer’s disease was found, with the exception of a slightly increased risk in those prescribed a certain type of drugs called fibrates. In contrast, I found an increased risk of vascular and other (i.e. non-Alzheimer’s) dementia with lipid regulating agent use.</w:t>
      </w:r>
    </w:p>
    <w:p>
      <w:pPr>
        <w:pStyle w:val="BodyText"/>
      </w:pPr>
      <w:r>
        <w:t xml:space="preserve">This increased risk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and so it appears as if statins are harmful. However, despite this limitation, the analysis presented provides an important source of information which will be used in later chapters.</w:t>
      </w:r>
    </w:p>
    <w:p>
      <w:pPr>
        <w:pStyle w:val="BodyText"/>
      </w:pPr>
      <w:r>
        <w:t xml:space="preserve"> </w:t>
      </w:r>
    </w:p>
    <w:bookmarkEnd w:id="147"/>
    <w:bookmarkStart w:id="148" w:name="introduction-1"/>
    <w:p>
      <w:pPr>
        <w:pStyle w:val="Heading2"/>
      </w:pPr>
      <w:r>
        <w:t xml:space="preserve">Introduction</w:t>
      </w:r>
    </w:p>
    <w:p>
      <w:pPr>
        <w:pStyle w:val="FirstParagraph"/>
      </w:pPr>
      <w:r>
        <w:t xml:space="preserve">In this Chapter, I present the results of an analysis of a large population-based electronic health record dataset to investigate the relationship between lipid regulating agent (LRA) use and dementia outcomes.</w:t>
      </w:r>
    </w:p>
    <w:p>
      <w:pPr>
        <w:pStyle w:val="BodyText"/>
      </w:pPr>
      <w:r>
        <w:t xml:space="preserve">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 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time-varying treatment indicator. This approach provides a evidence source at risk of a distinct set of biases due to the alternative analytical strategy that will be incorporated into the triangulation exercise presented in Chapter</w:t>
      </w:r>
      <w:r>
        <w:t xml:space="preserve"> </w:t>
      </w:r>
      <w:r>
        <w:t xml:space="preserve">7</w:t>
      </w:r>
      <w:r>
        <w:t xml:space="preserve">.</w:t>
      </w:r>
    </w:p>
    <w:p>
      <w:pPr>
        <w:pStyle w:val="BodyText"/>
      </w:pPr>
      <w:r>
        <w:t xml:space="preserve"> </w:t>
      </w:r>
    </w:p>
    <w:bookmarkEnd w:id="148"/>
    <w:bookmarkStart w:id="168" w:name="methods-1"/>
    <w:p>
      <w:pPr>
        <w:pStyle w:val="Heading2"/>
      </w:pPr>
      <w:r>
        <w:t xml:space="preserve">Methods</w:t>
      </w:r>
    </w:p>
    <w:bookmarkStart w:id="149"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160</w:t>
        </w:r>
      </w:hyperlink>
      <w:r>
        <w:t xml:space="preserve"> </w:t>
      </w:r>
      <w:r>
        <w:t xml:space="preserve">and amendments to this are recorded in Appendix</w:t>
      </w:r>
      <w:r>
        <w:t xml:space="preserve"> </w:t>
      </w:r>
      <w:r>
        <w:t xml:space="preserve">9.3.1</w:t>
      </w:r>
      <w:r>
        <w:t xml:space="preserve">.</w:t>
      </w:r>
      <w:hyperlink w:anchor="ref-vonelm2008">
        <w:r>
          <w:rPr>
            <w:rStyle w:val="Hyperlink"/>
            <w:vertAlign w:val="superscript"/>
          </w:rPr>
          <w:t xml:space="preserve">161</w:t>
        </w:r>
      </w:hyperlink>
    </w:p>
    <w:p>
      <w:pPr>
        <w:pStyle w:val="BodyText"/>
      </w:pPr>
      <w:r>
        <w:t xml:space="preserve"> </w:t>
      </w:r>
    </w:p>
    <w:bookmarkEnd w:id="149"/>
    <w:bookmarkStart w:id="150"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162</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163</w:t>
        </w:r>
      </w:hyperlink>
      <w:r>
        <w:rPr>
          <w:vertAlign w:val="superscript"/>
        </w:rPr>
        <w:t xml:space="preserve">,</w:t>
      </w:r>
      <w:hyperlink w:anchor="ref-wood2001revitalizing">
        <w:r>
          <w:rPr>
            <w:rStyle w:val="Hyperlink"/>
            <w:vertAlign w:val="superscript"/>
          </w:rPr>
          <w:t xml:space="preserve">164</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162</w:t>
        </w:r>
      </w:hyperlink>
      <w:r>
        <w:rPr>
          <w:vertAlign w:val="superscript"/>
        </w:rPr>
        <w:t xml:space="preserve">,</w:t>
      </w:r>
      <w:hyperlink w:anchor="ref-mathur2014">
        <w:r>
          <w:rPr>
            <w:rStyle w:val="Hyperlink"/>
            <w:vertAlign w:val="superscript"/>
          </w:rPr>
          <w:t xml:space="preserve">165</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166</w:t>
        </w:r>
      </w:hyperlink>
      <w:r>
        <w:t xml:space="preserve"> </w:t>
      </w:r>
      <w:r>
        <w:t xml:space="preserve">All clinical events, included clinical test results and diagnoses, can be identified by a specific Read code. The codes use a nested approach (see Table</w:t>
      </w:r>
      <w:r>
        <w:t xml:space="preserve"> </w:t>
      </w:r>
      <w:r>
        <w:t xml:space="preserve">11</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11:</w:t>
      </w:r>
      <w:r>
        <w:t xml:space="preserve"> </w:t>
      </w:r>
      <w:bookmarkStart w:id="69082686-afc3-44e5-9e91-b395a0ec4503"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69082686-afc3-44e5-9e91-b395a0ec450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Lists of relevant codes for each of the index events, exposures and outcomes used in the analysis were created. Each of these are described in more detail in the following sections.</w:t>
      </w:r>
    </w:p>
    <w:p>
      <w:pPr>
        <w:pStyle w:val="BodyText"/>
      </w:pPr>
      <w:r>
        <w:t xml:space="preserve"> </w:t>
      </w:r>
    </w:p>
    <w:bookmarkEnd w:id="150"/>
    <w:bookmarkStart w:id="151"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is thought to be higher after this date.</w:t>
      </w:r>
      <w:hyperlink w:anchor="ref-wolf2019">
        <w:r>
          <w:rPr>
            <w:rStyle w:val="Hyperlink"/>
            <w:vertAlign w:val="superscript"/>
          </w:rPr>
          <w:t xml:space="preserve">167</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the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51"/>
    <w:bookmarkStart w:id="152"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168</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1"/>
        </w:numPr>
        <w:pStyle w:val="Compact"/>
      </w:pPr>
      <w:r>
        <w:rPr>
          <w:bCs/>
          <w:b/>
        </w:rPr>
        <w:t xml:space="preserve">stopped</w:t>
      </w:r>
      <w:r>
        <w:t xml:space="preserve">: defined as the last prescription of the primary class being followed by at least six months of observation;</w:t>
      </w:r>
    </w:p>
    <w:p>
      <w:pPr>
        <w:numPr>
          <w:ilvl w:val="0"/>
          <w:numId w:val="1011"/>
        </w:numPr>
        <w:pStyle w:val="Compact"/>
      </w:pPr>
      <w:r>
        <w:rPr>
          <w:bCs/>
          <w:b/>
        </w:rPr>
        <w:t xml:space="preserve">added</w:t>
      </w:r>
      <w:r>
        <w:t xml:space="preserve">: defined as a second drug class being prescribed before the last prescription of the initial class; and</w:t>
      </w:r>
    </w:p>
    <w:p>
      <w:pPr>
        <w:numPr>
          <w:ilvl w:val="0"/>
          <w:numId w:val="1011"/>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52"/>
    <w:bookmarkStart w:id="154"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(see Figure</w:t>
      </w:r>
      <w:r>
        <w:t xml:space="preserve"> </w:t>
      </w:r>
      <w:r>
        <w:t xml:space="preserve">10</w:t>
      </w:r>
      <w:r>
        <w:t xml:space="preserve">). The diagnosis date of the outcome was determined by the first record of a relevant code.</w:t>
      </w:r>
    </w:p>
    <w:p>
      <w:pPr>
        <w:pStyle w:val="BodyText"/>
      </w:pPr>
      <w:r>
        <w:drawing>
          <wp:inline>
            <wp:extent cx="5943600" cy="3168282"/>
            <wp:effectExtent b="0" l="0" r="0" t="0"/>
            <wp:docPr descr="Figure 10: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53"/>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Participants were censored at the earliest of date of: diagnosis; death; transfer out of the study cohort; or end of follow-up (29th February 2016).</w:t>
      </w:r>
    </w:p>
    <w:p>
      <w:pPr>
        <w:pStyle w:val="BodyText"/>
      </w:pPr>
      <w:r>
        <w:t xml:space="preserve"> </w:t>
      </w:r>
    </w:p>
    <w:bookmarkEnd w:id="154"/>
    <w:bookmarkStart w:id="155"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w:t>
      </w:r>
    </w:p>
    <w:p>
      <w:pPr>
        <w:pStyle w:val="BodyText"/>
      </w:pPr>
      <w:r>
        <w:t xml:space="preserve">Demographic covariates adjusted for included age and gender. Age was calculated at date of entry into the cohort.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169</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55"/>
    <w:bookmarkStart w:id="156"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170</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171</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172</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170</w:t>
        </w:r>
      </w:hyperlink>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173</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174</w:t>
        </w:r>
      </w:hyperlink>
      <w:r>
        <w:t xml:space="preserve"> </w:t>
      </w:r>
      <w:r>
        <w:t xml:space="preserve">to investigate the impact of multiple imputation on the results.</w:t>
      </w:r>
    </w:p>
    <w:p>
      <w:pPr>
        <w:pStyle w:val="BodyText"/>
      </w:pPr>
      <w:r>
        <w:t xml:space="preserve"> </w:t>
      </w:r>
      <w:r>
        <w:t xml:space="preserve"> </w:t>
      </w:r>
    </w:p>
    <w:bookmarkEnd w:id="156"/>
    <w:bookmarkStart w:id="157"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7</m:t>
          </m:r>
          <m:r>
            <m:rPr>
              <m:sty m:val="p"/>
            </m:rPr>
            <m:t>)</m:t>
          </m:r>
        </m:oMath>
      </m:oMathPara>
    </w:p>
    <w:p>
      <w:pPr>
        <w:pStyle w:val="FirstParagraph"/>
      </w:pPr>
      <w:r>
        <w:t xml:space="preserve">where:</w:t>
      </w:r>
    </w:p>
    <w:p>
      <w:pPr>
        <w:numPr>
          <w:ilvl w:val="0"/>
          <w:numId w:val="1012"/>
        </w:numPr>
        <w:pStyle w:val="Compact"/>
      </w:pPr>
      <m:oMath>
        <m:r>
          <m:t>t</m:t>
        </m:r>
      </m:oMath>
      <w:r>
        <w:t xml:space="preserve"> </w:t>
      </w:r>
      <w:r>
        <w:t xml:space="preserve">is the survival time;</w:t>
      </w:r>
    </w:p>
    <w:p>
      <w:pPr>
        <w:numPr>
          <w:ilvl w:val="0"/>
          <w:numId w:val="1012"/>
        </w:numPr>
        <w:pStyle w:val="Compact"/>
      </w:pPr>
      <m:oMath>
        <m:r>
          <m:t>h</m:t>
        </m:r>
        <m:r>
          <m:rPr>
            <m:sty m:val="p"/>
          </m:rPr>
          <m:t>(</m:t>
        </m:r>
        <m:r>
          <m:t>t</m:t>
        </m:r>
        <m:r>
          <m:rPr>
            <m:sty m:val="p"/>
          </m:rPr>
          <m:t>)</m:t>
        </m:r>
      </m:oMath>
      <w:r>
        <w:t xml:space="preserve"> </w:t>
      </w:r>
      <w:r>
        <w:t xml:space="preserve">is the hazard function; and</w:t>
      </w:r>
    </w:p>
    <w:p>
      <w:pPr>
        <w:numPr>
          <w:ilvl w:val="0"/>
          <w:numId w:val="1012"/>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2"/>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t xml:space="preserve">A Cox PR model was chosen for this analysis as it inherently accounts for the length of time participants spend in each exposure group. Using this approach, time-at-risk can be properly attributed, thus mitigating the impact of immortal time bias. This is discussed in detail in the following section.</w:t>
      </w:r>
    </w:p>
    <w:p>
      <w:pPr>
        <w:pStyle w:val="BodyText"/>
      </w:pPr>
      <w:r>
        <w:t xml:space="preserve"> </w:t>
      </w:r>
    </w:p>
    <w:bookmarkEnd w:id="157"/>
    <w:bookmarkStart w:id="159" w:name="cprd-immortal-time-bias"/>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11</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175</w:t>
        </w:r>
      </w:hyperlink>
      <w:r>
        <w:t xml:space="preserve"> </w:t>
      </w:r>
      <w:r>
        <w:t xml:space="preserve">For example, if the unexposed group are followed from a cholesterol test result, while the exposed group is followed from date of LRA prescription, any events that occur in the exposed group prior to the exposure event will be inappropriately excluded from the analysis.</w:t>
      </w:r>
    </w:p>
    <w:p>
      <w:pPr>
        <w:pStyle w:val="BodyText"/>
      </w:pPr>
      <w:r>
        <w:t xml:space="preserve">The second presentation of immortal time bias is as a type of misclassification bias (Panel B, Figure</w:t>
      </w:r>
      <w:r>
        <w:t xml:space="preserve"> </w:t>
      </w:r>
      <w:r>
        <w:t xml:space="preserve">11</w:t>
      </w:r>
      <w:r>
        <w:t xml:space="preserve">). It occurs when the exposure time prior to the exposure date, and any events occurring within it, is inappropriately assigned to the exposed group. This second presentation appears to be common in the existing literature, as several of the studies included in the systematic review presented in Chapter</w:t>
      </w:r>
      <w:r>
        <w:t xml:space="preserve"> </w:t>
      </w:r>
      <w:r>
        <w:t xml:space="preserve">4</w:t>
      </w:r>
      <w:r>
        <w:t xml:space="preserve"> </w:t>
      </w:r>
      <w:r>
        <w:t xml:space="preserve">were identified as being at risk of immortal time bias following formal risk of bias assessment using the ROBINS-I tool (see Section</w:t>
      </w:r>
      <w:r>
        <w:t xml:space="preserve"> </w:t>
      </w:r>
      <w:r>
        <w:t xml:space="preserve">4.4.4</w:t>
      </w:r>
      <w:r>
        <w:t xml:space="preserve">).</w:t>
      </w:r>
    </w:p>
    <w:p>
      <w:pPr>
        <w:pStyle w:val="BodyText"/>
      </w:pPr>
      <w:r>
        <w:t xml:space="preserve">This analysis is primarily concerned with the second presentation of immortal time bias, as all participants were followed from a common index date (earliest of: date of raised cholesterol test results; hypercholesterolemeia diagnosis; or LRA prescription). To address the potential for this second form of immortal time bias in the analysis, I employed a time-varying indicator of treatment status to correctly allocate time-at-risk to the exposed and unexposed groups.</w:t>
      </w:r>
      <w:hyperlink w:anchor="ref-levesque2010">
        <w:r>
          <w:rPr>
            <w:rStyle w:val="Hyperlink"/>
            <w:vertAlign w:val="superscript"/>
          </w:rPr>
          <w:t xml:space="preserve">175</w:t>
        </w:r>
      </w:hyperlink>
    </w:p>
    <w:p>
      <w:pPr>
        <w:pStyle w:val="BodyText"/>
      </w:pPr>
      <w:r>
        <w:t xml:space="preserve">Under this approach, all patients start in the unexposed group, &amp; contribute time-at-risk until they are prescribed a lipid regulating agent and move into the exposed group. Note, patients for whom prescription of a lipid regulating agent was the index event only contribute time to the exposed group (i.e. they enter the cohort and move into the exposed group on the same day).</w:t>
      </w:r>
    </w:p>
    <w:p>
      <w:pPr>
        <w:pStyle w:val="BodyText"/>
      </w:pPr>
      <w:r>
        <w:drawing>
          <wp:inline>
            <wp:extent cx="5943600" cy="3961601"/>
            <wp:effectExtent b="0" l="0" r="0" t="0"/>
            <wp:docPr descr="Figure 11: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58"/>
                    <a:stretch>
                      <a:fillRect/>
                    </a:stretch>
                  </pic:blipFill>
                  <pic:spPr bwMode="auto">
                    <a:xfrm>
                      <a:off x="0" y="0"/>
                      <a:ext cx="5943600" cy="3961601"/>
                    </a:xfrm>
                    <a:prstGeom prst="rect">
                      <a:avLst/>
                    </a:prstGeom>
                    <a:noFill/>
                    <a:ln w="9525">
                      <a:noFill/>
                      <a:headEnd/>
                      <a:tailEnd/>
                    </a:ln>
                  </pic:spPr>
                </pic:pic>
              </a:graphicData>
            </a:graphic>
          </wp:inline>
        </w:drawing>
      </w:r>
      <w:r>
        <w:t xml:space="preserve"> </w:t>
      </w:r>
    </w:p>
    <w:bookmarkEnd w:id="159"/>
    <w:bookmarkStart w:id="160"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176</w:t>
        </w:r>
      </w:hyperlink>
      <w:r>
        <w:rPr>
          <w:vertAlign w:val="superscript"/>
        </w:rPr>
        <w:t xml:space="preserve">–</w:t>
      </w:r>
      <w:hyperlink w:anchor="ref-pencina2007">
        <w:r>
          <w:rPr>
            <w:rStyle w:val="Hyperlink"/>
            <w:vertAlign w:val="superscript"/>
          </w:rPr>
          <w:t xml:space="preserve">178</w:t>
        </w:r>
      </w:hyperlink>
      <w:r>
        <w:t xml:space="preserve"> </w:t>
      </w:r>
      <w:r>
        <w:t xml:space="preserve">A model using age as the time axis inherently accounts, or adjusts, for participants age as a potential confounded of the exposure-outcome relationship. The main analyses presented all used age as the time axis.</w:t>
      </w:r>
    </w:p>
    <w:p>
      <w:pPr>
        <w:pStyle w:val="BodyText"/>
      </w:pPr>
      <w:r>
        <w:t xml:space="preserve"> </w:t>
      </w:r>
      <w:r>
        <w:t xml:space="preserve"> </w:t>
      </w:r>
    </w:p>
    <w:bookmarkEnd w:id="160"/>
    <w:bookmarkStart w:id="167" w:name="sensitivity-analyses-1"/>
    <w:p>
      <w:pPr>
        <w:pStyle w:val="Heading3"/>
      </w:pPr>
      <w:r>
        <w:t xml:space="preserve">Sensitivity analyses</w:t>
      </w:r>
    </w:p>
    <w:p>
      <w:pPr>
        <w:pStyle w:val="FirstParagraph"/>
      </w:pPr>
      <w:r>
        <w:t xml:space="preserve">The primary analysis examined the effect of a lipid regulating agent on dementia risk, stratified by outcome and drug class. To assess the robustness of the results, a number of sensitivity analyses were performed. These are described in the following sections.</w:t>
      </w:r>
    </w:p>
    <w:bookmarkStart w:id="162"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179</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 Negative outcomes are those without a likely causal path between the exposure and outcome (see Figure</w:t>
      </w:r>
      <w:r>
        <w:t xml:space="preserve"> </w:t>
      </w:r>
      <w:r>
        <w:t xml:space="preserve">12</w:t>
      </w:r>
      <w:r>
        <w:t xml:space="preserve"> </w:t>
      </w:r>
      <w:r>
        <w:t xml:space="preserve">for a directed acyclic graph describing an ideal negative outcome).</w:t>
      </w:r>
    </w:p>
    <w:p>
      <w:pPr>
        <w:pStyle w:val="BodyText"/>
      </w:pPr>
      <w:r>
        <w:t xml:space="preserve">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w:t>
      </w:r>
    </w:p>
    <w:p>
      <w:pPr>
        <w:pStyle w:val="BodyText"/>
      </w:pPr>
      <w:r>
        <w:t xml:space="preserve">Due to the wealth of data available on statins as a lipid regulating agent, control outcomes were chosen in reference to this drug class. Muscular backpain was chosen as a negative control outcome in this analysis. Despite observational analyses suggesting a link between statins and muscle pain (as opposed to more serious complications such as myopathy),</w:t>
      </w:r>
      <w:hyperlink w:anchor="ref-selva-ocallaghan2018">
        <w:r>
          <w:rPr>
            <w:rStyle w:val="Hyperlink"/>
            <w:vertAlign w:val="superscript"/>
          </w:rPr>
          <w:t xml:space="preserve">180</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effect of statin use on muscle pain</w:t>
      </w:r>
      <w:hyperlink w:anchor="ref-herrett2021">
        <w:r>
          <w:rPr>
            <w:rStyle w:val="Hyperlink"/>
            <w:vertAlign w:val="superscript"/>
          </w:rPr>
          <w:t xml:space="preserve">181</w:t>
        </w:r>
      </w:hyperlink>
      <w:r>
        <w:t xml:space="preserve"> </w:t>
      </w:r>
      <w:r>
        <w:t xml:space="preserve">have found no evidence of an effect. As such, if no evidence of an effect of statins on backpain is found in the analysis, then confidence in the results for the dementia outcomes is increased.</w:t>
      </w:r>
    </w:p>
    <w:p>
      <w:pPr>
        <w:pStyle w:val="BodyText"/>
      </w:pPr>
      <w:r>
        <w:t xml:space="preserve">Additionally, incident ischemic heart disease was included as a positive control outcome, given the well-established protective effect of lipid-lowering treatment, via statins, on the risk of this condition.</w:t>
      </w:r>
      <w:hyperlink w:anchor="ref-collins2016a">
        <w:r>
          <w:rPr>
            <w:rStyle w:val="Hyperlink"/>
            <w:vertAlign w:val="superscript"/>
          </w:rPr>
          <w:t xml:space="preserve">30</w:t>
        </w:r>
      </w:hyperlink>
      <w:r>
        <w:t xml:space="preserve"> </w:t>
      </w:r>
      <w:r>
        <w:t xml:space="preserve">Similar to the backpain outcome, if the analysis strategy can reproduce this known protective association, this will provide evidence that potential confounders have been sufficiently adjusted for.</w:t>
      </w:r>
    </w:p>
    <w:p>
      <w:pPr>
        <w:pStyle w:val="BodyText"/>
      </w:pPr>
      <w:r>
        <w:drawing>
          <wp:inline>
            <wp:extent cx="4587290" cy="2752374"/>
            <wp:effectExtent b="0" l="0" r="0" t="0"/>
            <wp:docPr descr="Figure 12: Causal diagram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61"/>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bookmarkEnd w:id="162"/>
    <w:bookmarkStart w:id="163" w:name="impact-of-additional-covariates"/>
    <w:p>
      <w:pPr>
        <w:pStyle w:val="Heading4"/>
      </w:pPr>
      <w:r>
        <w:t xml:space="preserve">Impact of additional covariates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 </w:t>
      </w:r>
    </w:p>
    <w:bookmarkEnd w:id="163"/>
    <w:bookmarkStart w:id="164"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and female) to assess the robustness of the estimates, as statins are contraindicated in pregnancy, .</w:t>
      </w:r>
      <w:hyperlink w:anchor="ref-karalis2016">
        <w:r>
          <w:rPr>
            <w:rStyle w:val="Hyperlink"/>
            <w:vertAlign w:val="superscript"/>
          </w:rPr>
          <w:t xml:space="preserve">182</w:t>
        </w:r>
      </w:hyperlink>
    </w:p>
    <w:p>
      <w:pPr>
        <w:pStyle w:val="BodyText"/>
      </w:pPr>
      <w:r>
        <w:t xml:space="preserve"> </w:t>
      </w:r>
    </w:p>
    <w:bookmarkEnd w:id="164"/>
    <w:bookmarkStart w:id="165"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2.4.2</w:t>
      </w:r>
      <w:r>
        <w:t xml:space="preserve"> </w:t>
      </w:r>
      <w:r>
        <w:t xml:space="preserve">in the Introductory Chapter).</w:t>
      </w:r>
    </w:p>
    <w:p>
      <w:pPr>
        <w:pStyle w:val="BodyText"/>
      </w:pPr>
      <w:r>
        <w:t xml:space="preserve">To explore whether any observed effect for the statin analysis varied by statin property, a sensitivity analysis was performed, stratifying by statin lipophilicity.</w:t>
      </w:r>
    </w:p>
    <w:p>
      <w:pPr>
        <w:pStyle w:val="BodyText"/>
      </w:pPr>
      <w:r>
        <w:t xml:space="preserve"> </w:t>
      </w:r>
    </w:p>
    <w:bookmarkEnd w:id="165"/>
    <w:bookmarkStart w:id="166" w:name="impact-of-dementia-code-lists"/>
    <w:p>
      <w:pPr>
        <w:pStyle w:val="Heading4"/>
      </w:pPr>
      <w:r>
        <w:t xml:space="preserve">Impact of dementia code lists</w:t>
      </w:r>
    </w:p>
    <w:p>
      <w:pPr>
        <w:pStyle w:val="FirstParagraph"/>
      </w:pPr>
      <w:r>
        <w:t xml:space="preserve">As part of an exploratory analysis of the effect of the choice of code lists on the analysis, I created an alternative Alzheimer’s disease and non-Alzheimer’s dementia outcome using code lists from a previous study published in 2009 by Smeeth</w:t>
      </w:r>
      <w:r>
        <w:t xml:space="preserve"> </w:t>
      </w:r>
      <w:r>
        <w:rPr>
          <w:iCs/>
          <w:i/>
        </w:rPr>
        <w:t xml:space="preserve">et al</w:t>
      </w:r>
      <w:r>
        <w:t xml:space="preserve">.</w:t>
      </w:r>
      <w:hyperlink w:anchor="ref-smeeth2009">
        <w:r>
          <w:rPr>
            <w:rStyle w:val="Hyperlink"/>
            <w:vertAlign w:val="superscript"/>
          </w:rPr>
          <w:t xml:space="preserve">183</w:t>
        </w:r>
      </w:hyperlink>
    </w:p>
    <w:p>
      <w:pPr>
        <w:pStyle w:val="BodyText"/>
      </w:pPr>
      <w:r>
        <w:t xml:space="preserve">This previous study used a propensity matching approach to estimate the effect of statins on a range of outcomes, and a protective effect of statin use on all-cause dementia (HR: 0.81, 95%CI: 0.69-0.96) and non-AD dementia (HR: 0.82, 95%CI: 0.69-0.97), but no evidence of an effect on AD (HR: 0.81, 95%CI: 0.49-1.35).</w:t>
      </w:r>
    </w:p>
    <w:p>
      <w:pPr>
        <w:pStyle w:val="BodyText"/>
      </w:pPr>
      <w:r>
        <w:t xml:space="preserve">The code lists used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66"/>
    <w:bookmarkEnd w:id="167"/>
    <w:bookmarkEnd w:id="168"/>
    <w:bookmarkStart w:id="189" w:name="results-1"/>
    <w:p>
      <w:pPr>
        <w:pStyle w:val="Heading2"/>
      </w:pPr>
      <w:r>
        <w:t xml:space="preserve">Results</w:t>
      </w:r>
    </w:p>
    <w:bookmarkStart w:id="170"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13</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13: Attrition of CPRD participants as the eligibility criteria were applied. Most attrition was due to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69"/>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 quartile range (IQR):48-67) and participants were followed up for a median of 5.9 years (IQR:2.7-9.7). During follow-up, an all-cause dementia diagnosis was recorded for 41,830 patients (12,647 probable AD, 9,954 possible AD, 8,466 vascular dementia, 10,763 other dementia: Table</w:t>
      </w:r>
      <w:r>
        <w:t xml:space="preserve"> </w:t>
      </w:r>
      <w:r>
        <w:t xml:space="preserve">14</w:t>
      </w:r>
      <w:r>
        <w:t xml:space="preserve">). The distribution of baseline characteristics across the seven drug classes can be seen in Table</w:t>
      </w:r>
      <w:r>
        <w:t xml:space="preserve"> </w:t>
      </w:r>
      <w:r>
        <w:t xml:space="preserve">12</w:t>
      </w:r>
      <w:r>
        <w:t xml:space="preserve">.</w:t>
      </w:r>
    </w:p>
    <w:p>
      <w:pPr>
        <w:pStyle w:val="TableCaption"/>
      </w:pPr>
      <w:r>
        <w:t xml:space="preserve">Table 12:</w:t>
      </w:r>
      <w:r>
        <w:t xml:space="preserve"> </w:t>
      </w:r>
      <w:bookmarkStart w:id="686b2829-74fc-423f-a14b-530aefa9f5ec" w:name="tab:cprdCharacteristics-table"/>
      <w:r>
        <w:t xml:space="preserve">Patient characteristics by drug class. Summary statistics are presented as "% (N)" unless otherwise specified in the variable name.</w:t>
      </w:r>
      <w:bookmarkEnd w:id="686b2829-74fc-423f-a14b-530aefa9f5e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43.6% (72)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83.0% (137)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(87)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pPr>
        <w:pStyle w:val="BodyText"/>
      </w:pPr>
      <w:r>
        <w:t xml:space="preserve">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(N=127 &amp; N=168 respectively; see Table</w:t>
      </w:r>
      <w:r>
        <w:t xml:space="preserve"> </w:t>
      </w:r>
      <w:r>
        <w:t xml:space="preserve">12</w:t>
      </w:r>
      <w:r>
        <w:t xml:space="preserve">).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BodyText"/>
      </w:pPr>
      <w:r>
        <w:t xml:space="preserve"> </w:t>
      </w:r>
    </w:p>
    <w:p>
      <w:pPr>
        <w:pStyle w:val="TableCaption"/>
      </w:pPr>
      <w:r>
        <w:t xml:space="preserve">Table 13:</w:t>
      </w:r>
      <w:r>
        <w:t xml:space="preserve"> </w:t>
      </w:r>
      <w:bookmarkStart w:id="5f790300-d123-46a5-a2a4-0fd02b221038" w:name="tab:cprdSSA-table"/>
      <w:r>
        <w:t xml:space="preserve">Participants who stopped, switched or added treatments by initial treatment type.</w:t>
      </w:r>
      <w:bookmarkEnd w:id="5f790300-d123-46a5-a2a4-0fd02b22103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p>
      <w:pPr>
        <w:pStyle w:val="BodyText"/>
      </w:pPr>
      <w:r>
        <w:t xml:space="preserve">The stopping, addition and switching of drug classes was common across all drug classes (Table</w:t>
      </w:r>
      <w:r>
        <w:t xml:space="preserve"> </w:t>
      </w:r>
      <w:r>
        <w:t xml:space="preserve">13</w:t>
      </w:r>
      <w:r>
        <w:t xml:space="preserve">).</w:t>
      </w:r>
    </w:p>
    <w:p>
      <w:pPr>
        <w:pStyle w:val="BodyText"/>
      </w:pPr>
      <w:r>
        <w:t xml:space="preserve"> </w:t>
      </w:r>
    </w:p>
    <w:bookmarkEnd w:id="170"/>
    <w:bookmarkStart w:id="171"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71"/>
    <w:bookmarkStart w:id="173" w:name="primary-analysis"/>
    <w:p>
      <w:pPr>
        <w:pStyle w:val="Heading3"/>
      </w:pPr>
      <w:r>
        <w:t xml:space="preserve">Primary analysis</w:t>
      </w:r>
    </w:p>
    <w:p>
      <w:pPr>
        <w:pStyle w:val="FirstParagraph"/>
      </w:pPr>
      <w:r>
        <w:t xml:space="preserve">Crude rate ratios per 100,000 participant-years-at-risk were calculated for each outcome and class of interest and are presented in Table</w:t>
      </w:r>
      <w:r>
        <w:t xml:space="preserve"> </w:t>
      </w:r>
      <w:r>
        <w:t xml:space="preserve">14</w:t>
      </w:r>
      <w:r>
        <w:t xml:space="preserve">.</w:t>
      </w:r>
    </w:p>
    <w:p>
      <w:pPr>
        <w:pStyle w:val="TableCaption"/>
      </w:pPr>
      <w:r>
        <w:t xml:space="preserve">Table 14:</w:t>
      </w:r>
      <w:r>
        <w:t xml:space="preserve"> </w:t>
      </w:r>
      <w:bookmarkStart w:id="51b8791f-94a6-45c8-bd38-d6e822437380" w:name="tab:followUp-table"/>
      <w:r>
        <w:t xml:space="preserve">Summary</w:t>
      </w:r>
      <w:bookmarkEnd w:id="51b8791f-94a6-45c8-bd38-d6e82243738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5,872,690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5,817,933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5,806,982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5,801,506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5,812,457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4,870,637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4,758,385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4,747,433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4,752,909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4,755,647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Fatty Acid Groups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Bile acid sequestrants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10,836,413</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10,666,667</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10,655,715</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r>
    </w:tbl>
    <w:p>
      <w:pPr>
        <w:pStyle w:val="BodyText"/>
      </w:pPr>
      <w:r>
        <w:t xml:space="preserve">The results of the primary analysis using the fully adjusted Cox proportional hazards model with participant age as the time scale are presented for each drug/outcome combination in Figure</w:t>
      </w:r>
      <w:r>
        <w:t xml:space="preserve"> </w:t>
      </w:r>
      <w:r>
        <w:t xml:space="preserve">14</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14: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72"/>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No evidence was found for an effect of lipid-regulating agents on probable (HR:0.98, 95%CI:0.94-1.01) and possible (HR:0.97, 95%CI:0.93-1.01) Alzheimer’s disease when compared with no treatment, with the sole exception of fibrates on probable Alzheimer’s disease (HR:1.28, 95%CI:1.08-1.52).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(HR:1.17, 95%CI:1.14-1.19), but the magnitude of the association was not as extreme as that observed for the vascular dementia subgroup. There was also some evidence that fibrates were associated with increased risk of all-cause dementia (HR:1.28, 95%CI:1.08-1.52).</w:t>
      </w:r>
    </w:p>
    <w:p>
      <w:pPr>
        <w:pStyle w:val="BodyText"/>
      </w:pPr>
      <w:r>
        <w:t xml:space="preserve"> </w:t>
      </w:r>
    </w:p>
    <w:bookmarkEnd w:id="173"/>
    <w:bookmarkStart w:id="188" w:name="sensitivity-analyses-2"/>
    <w:p>
      <w:pPr>
        <w:pStyle w:val="Heading3"/>
      </w:pPr>
      <w:r>
        <w:t xml:space="preserve">Sensitivity analyses</w:t>
      </w:r>
    </w:p>
    <w:p>
      <w:pPr>
        <w:pStyle w:val="FirstParagraph"/>
      </w:pPr>
      <w:r>
        <w:t xml:space="preserve">The results of the series of sensitivity analyses performed are described in the following sections.</w:t>
      </w:r>
    </w:p>
    <w:bookmarkStart w:id="175"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171</w:t>
        </w:r>
      </w:hyperlink>
    </w:p>
    <w:p>
      <w:pPr>
        <w:pStyle w:val="BodyText"/>
      </w:pPr>
      <w:r>
        <w:t xml:space="preserve"> </w:t>
      </w:r>
    </w:p>
    <w:p>
      <w:pPr>
        <w:pStyle w:val="BodyText"/>
      </w:pPr>
      <w:r>
        <w:drawing>
          <wp:inline>
            <wp:extent cx="5943600" cy="4087549"/>
            <wp:effectExtent b="0" l="0" r="0" t="0"/>
            <wp:docPr descr="Figure 15: Comparison of complete case versus imputed data analyse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74"/>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75"/>
    <w:bookmarkStart w:id="177"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16</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w:t>
      </w:r>
    </w:p>
    <w:p>
      <w:pPr>
        <w:pStyle w:val="BodyText"/>
      </w:pPr>
      <w:r>
        <w:t xml:space="preserve"> </w:t>
      </w:r>
    </w:p>
    <w:p>
      <w:pPr>
        <w:pStyle w:val="BodyText"/>
      </w:pPr>
      <w:r>
        <w:drawing>
          <wp:inline>
            <wp:extent cx="5943600" cy="2135368"/>
            <wp:effectExtent b="0" l="0" r="0" t="0"/>
            <wp:docPr descr="Figure 16: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76"/>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77"/>
    <w:bookmarkStart w:id="179"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17</w:t>
      </w:r>
      <w:r>
        <w:t xml:space="preserve">.</w:t>
      </w:r>
    </w:p>
    <w:p>
      <w:pPr>
        <w:pStyle w:val="BodyText"/>
      </w:pPr>
      <w:r>
        <w:t xml:space="preserve">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17: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78"/>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p>
    <w:bookmarkEnd w:id="179"/>
    <w:bookmarkStart w:id="181"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18</w:t>
      </w:r>
      <w:r>
        <w:t xml:space="preserve">).</w:t>
      </w:r>
    </w:p>
    <w:p>
      <w:pPr>
        <w:pStyle w:val="BodyText"/>
      </w:pPr>
      <w:r>
        <w:t xml:space="preserve"> </w:t>
      </w:r>
    </w:p>
    <w:p>
      <w:pPr>
        <w:pStyle w:val="BodyText"/>
      </w:pPr>
      <w:r>
        <w:drawing>
          <wp:inline>
            <wp:extent cx="5943600" cy="1664208"/>
            <wp:effectExtent b="0" l="0" r="0" t="0"/>
            <wp:docPr descr="Figure 18: Analysis of any lipid 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80"/>
                    <a:stretch>
                      <a:fillRect/>
                    </a:stretch>
                  </pic:blipFill>
                  <pic:spPr bwMode="auto">
                    <a:xfrm>
                      <a:off x="0" y="0"/>
                      <a:ext cx="5943600" cy="1664208"/>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15</w:t>
      </w:r>
      <w:r>
        <w:t xml:space="preserve">). While the total frequency of any dementia outcome declines in more recent strata, likely due to the limited follow-up inherent to these groups, the decline in frequency is relatively constant across all dementia subtypes.</w:t>
      </w:r>
    </w:p>
    <w:p>
      <w:pPr>
        <w:pStyle w:val="BodyText"/>
      </w:pPr>
      <w:r>
        <w:t xml:space="preserve"> </w:t>
      </w:r>
    </w:p>
    <w:p>
      <w:pPr>
        <w:pStyle w:val="TableCaption"/>
      </w:pPr>
      <w:r>
        <w:t xml:space="preserve">Table 15:</w:t>
      </w:r>
      <w:r>
        <w:t xml:space="preserve"> </w:t>
      </w:r>
      <w:bookmarkStart w:id="fbc8beaa-ea0c-4bc5-a4ac-af4ee0152b02" w:name="tab:diagnosisType-table"/>
      <w:r>
        <w:t xml:space="preserve">Frequency of diagnoses by grouped year of cohort entry</w:t>
      </w:r>
      <w:bookmarkEnd w:id="fbc8beaa-ea0c-4bc5-a4ac-af4ee0152b0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81"/>
    <w:bookmarkStart w:id="183"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19</w:t>
      </w:r>
      <w:r>
        <w:t xml:space="preserve">).</w:t>
      </w:r>
    </w:p>
    <w:p>
      <w:pPr>
        <w:pStyle w:val="BodyText"/>
      </w:pPr>
      <w:r>
        <w:drawing>
          <wp:inline>
            <wp:extent cx="5943600" cy="4068214"/>
            <wp:effectExtent b="0" l="0" r="0" t="0"/>
            <wp:docPr descr="Figure 19: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82"/>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p>
    <w:p>
      <w:pPr>
        <w:pStyle w:val="BodyText"/>
      </w:pPr>
      <w:r>
        <w:t xml:space="preserve"> </w:t>
      </w:r>
    </w:p>
    <w:bookmarkEnd w:id="183"/>
    <w:bookmarkStart w:id="185"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16:</w:t>
      </w:r>
      <w:r>
        <w:t xml:space="preserve"> </w:t>
      </w:r>
      <w:bookmarkStart w:id="0c94399a-1dd7-4f57-9890-152e3ff13af1" w:name="tab:statinTypeTable-table"/>
      <w:r>
        <w:t xml:space="preserve">Summary of statin properties (lipophilicity vs hydrophilicity) by grouped year of prescription.</w:t>
      </w:r>
      <w:bookmarkEnd w:id="0c94399a-1dd7-4f57-9890-152e3ff13af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 outcomes compared to lipophilic statins (Figure</w:t>
      </w:r>
      <w:r>
        <w:t xml:space="preserve"> </w:t>
      </w:r>
      <w:r>
        <w:t xml:space="preserve">20</w:t>
      </w:r>
      <w:r>
        <w:t xml:space="preserve">). Additionally, in the AD outcomes, hydrophilic statins had a small protective effect, compared to the absence of evidence for an effect for lipophilic statins.</w:t>
      </w:r>
    </w:p>
    <w:p>
      <w:pPr>
        <w:pStyle w:val="BodyText"/>
      </w:pPr>
      <w:r>
        <w:t xml:space="preserve"> </w:t>
      </w:r>
    </w:p>
    <w:p>
      <w:pPr>
        <w:pStyle w:val="BodyText"/>
      </w:pPr>
      <w:r>
        <w:drawing>
          <wp:inline>
            <wp:extent cx="5943600" cy="4087549"/>
            <wp:effectExtent b="0" l="0" r="0" t="0"/>
            <wp:docPr descr="Figure 20: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184"/>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85"/>
    <w:bookmarkStart w:id="187" w:name="comparing-codelists"/>
    <w:p>
      <w:pPr>
        <w:pStyle w:val="Heading4"/>
      </w:pPr>
      <w:r>
        <w:t xml:space="preserve">Comparing codelists</w:t>
      </w:r>
    </w:p>
    <w:p>
      <w:pPr>
        <w:pStyle w:val="FirstParagraph"/>
      </w:pPr>
      <w:r>
        <w:t xml:space="preserve">When using the Smeeth et al code lists to define dementia outcomes, effect estimates of HR: 1.19 (95%CI: 1.07-1.32) and HR: 1.33 (95%CI: 1.26-1.42) were obtained for the Alzheimer’s disease and non-Alzheimer’s dementia outcomes respectively.</w:t>
      </w:r>
    </w:p>
    <w:p>
      <w:pPr>
        <w:pStyle w:val="BodyText"/>
      </w:pPr>
      <w:r>
        <w:t xml:space="preserve">However, comparison of the results using the two sets of code lists was deemed less useful following a comparison of the codes used. While all of the codes used to define Alzheimer’s in the Smeeth paper are included in the Probable Alzheimer’s code-list (see Figure</w:t>
      </w:r>
      <w:r>
        <w:t xml:space="preserve"> </w:t>
      </w:r>
      <w:r>
        <w:t xml:space="preserve">21</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183</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21: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186"/>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competing (e.g. AD vs non-AD dementia).</w:t>
      </w:r>
    </w:p>
    <w:p>
      <w:pPr>
        <w:pStyle w:val="BodyText"/>
      </w:pPr>
      <w:r>
        <w:t xml:space="preserve"> </w:t>
      </w:r>
    </w:p>
    <w:bookmarkEnd w:id="187"/>
    <w:bookmarkEnd w:id="188"/>
    <w:bookmarkEnd w:id="189"/>
    <w:bookmarkStart w:id="196" w:name="discussion-2"/>
    <w:p>
      <w:pPr>
        <w:pStyle w:val="Heading2"/>
      </w:pPr>
      <w:r>
        <w:t xml:space="preserve">Discussion</w:t>
      </w:r>
    </w:p>
    <w:bookmarkStart w:id="190" w:name="summary-of-findings-1"/>
    <w:p>
      <w:pPr>
        <w:pStyle w:val="Heading3"/>
      </w:pPr>
      <w:r>
        <w:t xml:space="preserve">Summary of findings</w:t>
      </w:r>
    </w:p>
    <w:p>
      <w:pPr>
        <w:pStyle w:val="FirstParagraph"/>
      </w:pPr>
      <w:r>
        <w:t xml:space="preserve">Lipid-regulating agents showed no evidence of an effect on probable and possible Alzheimer’s disease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 outcomes compared to lipophilic statins.</w:t>
      </w:r>
    </w:p>
    <w:p>
      <w:pPr>
        <w:pStyle w:val="BodyText"/>
      </w:pPr>
      <w:r>
        <w:t xml:space="preserve"> </w:t>
      </w:r>
    </w:p>
    <w:bookmarkEnd w:id="190"/>
    <w:bookmarkStart w:id="192"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comparison of the result presented above with those from the systematic review (Chapter</w:t>
      </w:r>
      <w:r>
        <w:t xml:space="preserve"> </w:t>
      </w:r>
      <w:r>
        <w:t xml:space="preserve">4</w:t>
      </w:r>
      <w:r>
        <w:t xml:space="preserve">) and the individual patient data analysis (Chapter</w:t>
      </w:r>
      <w:r>
        <w:t xml:space="preserve"> </w:t>
      </w:r>
      <w:r>
        <w:t xml:space="preserve">6</w:t>
      </w:r>
      <w:r>
        <w:t xml:space="preserve">), see Section</w:t>
      </w:r>
      <w:r>
        <w:t xml:space="preserve"> </w:t>
      </w:r>
      <w:r>
        <w:t xml:space="preserve">7</w:t>
      </w:r>
      <w:r>
        <w:t xml:space="preserve">.</w:t>
      </w:r>
    </w:p>
    <w:p>
      <w:pPr>
        <w:pStyle w:val="BodyText"/>
      </w:pPr>
      <w:r>
        <w:t xml:space="preserve">A likely explanation for the observed increased risk of vascular and other dementia with lipid regulating agent use is residual confounding by indication. While the term has been used to describe different source of bias in epidemiological analyses,</w:t>
      </w:r>
      <w:hyperlink w:anchor="ref-salas1999">
        <w:r>
          <w:rPr>
            <w:rStyle w:val="Hyperlink"/>
            <w:vertAlign w:val="superscript"/>
          </w:rPr>
          <w:t xml:space="preserve">184</w:t>
        </w:r>
      </w:hyperlink>
      <w:r>
        <w:t xml:space="preserve"> </w:t>
      </w:r>
      <w:r>
        <w:t xml:space="preserve">“</w:t>
      </w:r>
      <w:r>
        <w:t xml:space="preserve">confounding by indication</w:t>
      </w:r>
      <w:r>
        <w:t xml:space="preserve">”</w:t>
      </w:r>
      <w:r>
        <w:t xml:space="preserve"> </w:t>
      </w:r>
      <w:r>
        <w:t xml:space="preserve">is used here to described the role of risk factors that both prompt treatment (in this case statins) and increase the risk of the outcome (in this case vascular dementia), thus causing a distorted positive association between the treatment and outcome (see Figure</w:t>
      </w:r>
      <w:r>
        <w:t xml:space="preserve"> </w:t>
      </w:r>
      <w:r>
        <w:t xml:space="preserve">22</w:t>
      </w:r>
      <w:r>
        <w:t xml:space="preserve">). In causal inference language, statins and dementia are said to be d-connected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185</w:t>
        </w:r>
      </w:hyperlink>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22: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191"/>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In the case of this analysis, the confounding variable (or, more likely, variables) would prompt prescription of statins (or another lipid regulating agent) but also represent a vascular risk factor that contributes to the development of the vascular dementia.</w:t>
      </w:r>
    </w:p>
    <w:p>
      <w:pPr>
        <w:pStyle w:val="BodyText"/>
      </w:pPr>
      <w:r>
        <w:t xml:space="preserve">Supporting evidence for this interpretation comes from a variety of sources, including the results of the control outcome analyses. The slight harmful effect for the backpain outcome is substantially smaller that that observed for the ischemic heart disease outcome, indicating that the majority of the uncontrolled confounding is likely related to vascular factors. This is supported by the increasingly harmful effect moving from Probable/Possible AD to other dementia to vascular dementia, indicating that the confounding by indication likely increases as the proportion of vascular outcomes increase. This is supported by the decision tree for assigning outcomes in the presence of greater than one dementia code, where the Alzheimer’s disease outcomes require a</w:t>
      </w:r>
      <w:r>
        <w:t xml:space="preserve"> </w:t>
      </w:r>
      <w:r>
        <w:t xml:space="preserve">“</w:t>
      </w:r>
      <w:r>
        <w:t xml:space="preserve">pure</w:t>
      </w:r>
      <w:r>
        <w:t xml:space="preserve">”</w:t>
      </w:r>
      <w:r>
        <w:t xml:space="preserve"> </w:t>
      </w:r>
      <w:r>
        <w:t xml:space="preserve">condition, and the presence of any vascular or other dementia codes excludes participants from this group (Figure</w:t>
      </w:r>
      <w:r>
        <w:t xml:space="preserve"> </w:t>
      </w:r>
      <w:r>
        <w:t xml:space="preserve">10</w:t>
      </w:r>
      <w:r>
        <w:t xml:space="preserve">).</w:t>
      </w:r>
    </w:p>
    <w:p>
      <w:pPr>
        <w:pStyle w:val="BodyText"/>
      </w:pPr>
      <w:r>
        <w:t xml:space="preserve">A review of other available literature suggests that this observation (a harmful effect of lipid regulating agents on vascular-related outcome) is not unusual. Using a conventional epidemiological technique, a previous analysis also found an increased risk of coronary heart disease (analogous to ischemic heart disease) in those taking statins (HR: 1.31, 95%CI: 1.04-1.66).</w:t>
      </w:r>
      <w:hyperlink w:anchor="ref-danaei2013b">
        <w:r>
          <w:rPr>
            <w:rStyle w:val="Hyperlink"/>
            <w:vertAlign w:val="superscript"/>
          </w:rPr>
          <w:t xml:space="preserve">186</w:t>
        </w:r>
      </w:hyperlink>
      <w:r>
        <w:t xml:space="preserve"> </w:t>
      </w:r>
      <w:r>
        <w:t xml:space="preserve">Following control for confounding by indication through use of a trial emulation analysis, the expected protective effect of statins was observed.</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I also adjusted for several additional potential baseline variables. However, important confounding variables for which I have not adjusted could include genetic factors. A recent preprint of a study in the UK Biobank demonstrated that an Alzheimer’s disease polygenic risk score was associated with an increased risk of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187</w:t>
        </w:r>
      </w:hyperlink>
    </w:p>
    <w:p>
      <w:pPr>
        <w:pStyle w:val="BodyText"/>
      </w:pPr>
      <w:r>
        <w:t xml:space="preserve">On a more general note, the unexpected increase in vascular dementia risk with statin use is particularly interesting given the absence of vascular dementia in the published literature, as highlighted in the previous chapter (see Section</w:t>
      </w:r>
      <w:r>
        <w:t xml:space="preserve"> </w:t>
      </w:r>
      <w:r>
        <w:t xml:space="preserve">4.4.7</w:t>
      </w:r>
      <w:r>
        <w:t xml:space="preserve">). It is possible that previous research identified a similar effect to this analysis, and via a publication bias mechanism, these results did not make it into the evidence base.</w:t>
      </w:r>
    </w:p>
    <w:p>
      <w:pPr>
        <w:pStyle w:val="BodyText"/>
      </w:pPr>
      <w:r>
        <w:t xml:space="preserve">In summary, despite best efforts to account for strong confounding, participants prescribed a lipid regulating agent likely have a different vascular risk profile that those who are not, which may induce a spurious harmful association between lipid regulating agent use and vascular dementia outcomes.</w:t>
      </w:r>
    </w:p>
    <w:p>
      <w:pPr>
        <w:pStyle w:val="BodyText"/>
      </w:pPr>
      <w:r>
        <w:t xml:space="preserve"> </w:t>
      </w:r>
    </w:p>
    <w:bookmarkEnd w:id="192"/>
    <w:bookmarkStart w:id="193" w:name="strengths-and-limitations-1"/>
    <w:p>
      <w:pPr>
        <w:pStyle w:val="Heading3"/>
      </w:pPr>
      <w:r>
        <w:t xml:space="preserve">Strengths and limitations</w:t>
      </w:r>
    </w:p>
    <w:p>
      <w:pPr>
        <w:pStyle w:val="FirstParagraph"/>
      </w:pPr>
      <w:r>
        <w:t xml:space="preserve">The primary strength of this analysis compared to others available in the literature is the relative size of the CPRD and length of follow-up. Having reviewed the other studies identified by the systematic review in Chapter</w:t>
      </w:r>
      <w:r>
        <w:t xml:space="preserve"> </w:t>
      </w:r>
      <w:r>
        <w:t xml:space="preserve">4</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w:t>
      </w:r>
    </w:p>
    <w:p>
      <w:pPr>
        <w:pStyle w:val="BodyText"/>
      </w:pPr>
      <w:r>
        <w:t xml:space="preserve">However, the findings of this analysis are subject to several limitations. There is a strong possibility of differential misclassification</w:t>
      </w:r>
      <w:hyperlink w:anchor="ref-porta2014dictionary">
        <w:r>
          <w:rPr>
            <w:rStyle w:val="Hyperlink"/>
            <w:vertAlign w:val="superscript"/>
          </w:rPr>
          <w:t xml:space="preserve">188</w:t>
        </w:r>
      </w:hyperlink>
      <w:r>
        <w:t xml:space="preserve"> </w:t>
      </w:r>
      <w:r>
        <w:t xml:space="preserve">of dementia-related conditions based on the exposure. 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based on varying positive predictive value of electronic health record code lists to identify dementia cases.</w:t>
      </w:r>
      <w:hyperlink w:anchor="ref-mcguinness2019validity">
        <w:r>
          <w:rPr>
            <w:rStyle w:val="Hyperlink"/>
            <w:vertAlign w:val="superscript"/>
          </w:rPr>
          <w:t xml:space="preserve">158</w:t>
        </w:r>
      </w:hyperlink>
      <w:r>
        <w:rPr>
          <w:vertAlign w:val="superscript"/>
        </w:rPr>
        <w:t xml:space="preserve">,</w:t>
      </w:r>
      <w:hyperlink w:anchor="ref-wilkinson2018">
        <w:r>
          <w:rPr>
            <w:rStyle w:val="Hyperlink"/>
            <w:vertAlign w:val="superscript"/>
          </w:rPr>
          <w:t xml:space="preserve">159</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This is a particular challenge in comparing research across different time-periods and coding systems, as illustrated by the discrepancy between the results when using the codes lists defined for this study and those used by Smeeth</w:t>
      </w:r>
      <w:r>
        <w:t xml:space="preserve"> </w:t>
      </w:r>
      <w:r>
        <w:rPr>
          <w:iCs/>
          <w:i/>
        </w:rPr>
        <w:t xml:space="preserve">et al</w:t>
      </w:r>
      <w:r>
        <w:t xml:space="preserve">.</w:t>
      </w:r>
    </w:p>
    <w:p>
      <w:pPr>
        <w:pStyle w:val="BodyText"/>
      </w:pPr>
      <w:r>
        <w:t xml:space="preserve"> </w:t>
      </w:r>
    </w:p>
    <w:bookmarkEnd w:id="193"/>
    <w:bookmarkStart w:id="194"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treatments, as documented in Section</w:t>
      </w:r>
      <w:r>
        <w:t xml:space="preserve"> </w:t>
      </w:r>
      <w:r>
        <w:t xml:space="preserve">4.5.5.3</w:t>
      </w:r>
      <w:r>
        <w:t xml:space="preserve">, the outputs from this analysis are readily available.</w:t>
      </w:r>
    </w:p>
    <w:p>
      <w:pPr>
        <w:pStyle w:val="BodyText"/>
      </w:pPr>
      <w:r>
        <w:t xml:space="preserve">All code, Read codelists and summary statistics (i.e. the tables presented in this chapter, plus summary tables of effect estimates) are readily available in machine readable formats (i.e. as comma separated values, or CSV, files) from the archived repository for this project (Zotero DOI: XXXX-XXXX).</w:t>
      </w:r>
      <w:r>
        <w:t xml:space="preserve"> </w:t>
      </w:r>
    </w:p>
    <w:p>
      <w:pPr>
        <w:pStyle w:val="BodyText"/>
      </w:pPr>
      <w:r>
        <w:t xml:space="preserve">The raw data supporting this analysis is not available, as access to the CPRD data is controlled by a data monitoring committee. In the context of access-controlled data, sharing the analysis code represents a way for readers to validate the findings.</w:t>
      </w:r>
      <w:hyperlink w:anchor="ref-goldacre2019c">
        <w:r>
          <w:rPr>
            <w:rStyle w:val="Hyperlink"/>
            <w:vertAlign w:val="superscript"/>
          </w:rPr>
          <w:t xml:space="preserve">189</w:t>
        </w:r>
      </w:hyperlink>
    </w:p>
    <w:p>
      <w:pPr>
        <w:pStyle w:val="BodyText"/>
      </w:pPr>
      <w:r>
        <w:t xml:space="preserve">Additionally, to help ensure accurate reporting of this analysis, the Strengthening the Reporting of Observational Studies in Epidemiology (STROBE) reporting guidelines were used</w:t>
      </w:r>
      <w:hyperlink w:anchor="ref-vandenbroucke2007">
        <w:r>
          <w:rPr>
            <w:rStyle w:val="Hyperlink"/>
            <w:vertAlign w:val="superscript"/>
          </w:rPr>
          <w:t xml:space="preserve">190</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This open approach will enable easy inclusion of this analysis in future evidence synthesis exercises, allowing new work to readily build on that presented here.</w:t>
      </w:r>
    </w:p>
    <w:p>
      <w:pPr>
        <w:pStyle w:val="BodyText"/>
      </w:pPr>
      <w:r>
        <w:t xml:space="preserve"> </w:t>
      </w:r>
    </w:p>
    <w:bookmarkEnd w:id="194"/>
    <w:bookmarkStart w:id="195" w:name="conclusions-1"/>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made use of a large scale electronic health record database, the CPRD, and employed a time-varying Cox proportional hazards model to account for the potential immortal time bias.</w:t>
      </w:r>
    </w:p>
    <w:p>
      <w:pPr>
        <w:pStyle w:val="BodyText"/>
      </w:pPr>
      <w:r>
        <w:t xml:space="preserve">It found no evidence for an effect of lipid-regulating agents on probable or possible Alzheimer’s disease. However, lipid 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This is supported by our findings for the negative and positive control outcomes used, which provide some evidence of uncontrolled vascular confounders that may both prompt LRA prescription and increase risk of vascular dementia.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186</w:t>
        </w:r>
      </w:hyperlink>
    </w:p>
    <w:p>
      <w:pPr>
        <w:pStyle w:val="BodyText"/>
      </w:pPr>
      <w:r>
        <w:t xml:space="preserve">Regardless, this analysis has provided an additional source of evidence for the triangulation exercise presented in Chapter</w:t>
      </w:r>
      <w:r>
        <w:t xml:space="preserve"> </w:t>
      </w:r>
      <w:r>
        <w:t xml:space="preserve">7</w:t>
      </w:r>
      <w:r>
        <w:t xml:space="preserve">. In the following Chapter, the dataset described here is incorporated along with several other datasets as part of an IPD analysis to investigate the effect of blood lipid levels on dementia outcomes directly, rather than via the proxy of treatment.</w:t>
      </w:r>
    </w:p>
    <w:p>
      <w:r>
        <w:br w:type="page"/>
      </w:r>
    </w:p>
    <w:bookmarkEnd w:id="195"/>
    <w:bookmarkEnd w:id="196"/>
    <w:bookmarkStart w:id="197" w:name="references-3"/>
    <w:p>
      <w:pPr>
        <w:pStyle w:val="Heading2"/>
      </w:pPr>
      <w:r>
        <w:t xml:space="preserve">References</w:t>
      </w:r>
    </w:p>
    <w:p>
      <w:pPr>
        <w:pStyle w:val="FirstParagraph"/>
      </w:pPr>
      <w:r>
        <w:t xml:space="preserve">— Hold — Hold</w:t>
      </w:r>
    </w:p>
    <w:bookmarkEnd w:id="197"/>
    <w:bookmarkEnd w:id="198"/>
    <w:bookmarkStart w:id="229" w:name="ipd-heading"/>
    <w:p>
      <w:pPr>
        <w:pStyle w:val="Heading1"/>
      </w:pPr>
      <w:r>
        <w:t xml:space="preserve">Individual participant data meta-analysis</w:t>
      </w:r>
    </w:p>
    <w:p>
      <w:pPr>
        <w:pStyle w:val="FirstParagraph"/>
      </w:pPr>
    </w:p>
    <w:bookmarkStart w:id="199" w:name="lay-summary-4"/>
    <w:p>
      <w:pPr>
        <w:pStyle w:val="Heading2"/>
      </w:pPr>
      <w:r>
        <w:t xml:space="preserve">Lay Summary</w:t>
      </w:r>
    </w:p>
    <w:p>
      <w:pPr>
        <w:pStyle w:val="FirstParagraph"/>
      </w:pPr>
      <w:r>
        <w:t xml:space="preserve"> </w:t>
      </w:r>
    </w:p>
    <w:p>
      <w:pPr>
        <w:pStyle w:val="BodyText"/>
      </w:pPr>
      <w:r>
        <w:t xml:space="preserve"> </w:t>
      </w:r>
    </w:p>
    <w:bookmarkEnd w:id="199"/>
    <w:bookmarkStart w:id="200" w:name="introduction-2"/>
    <w:p>
      <w:pPr>
        <w:pStyle w:val="Heading2"/>
      </w:pPr>
      <w:r>
        <w:t xml:space="preserve">Introduction</w:t>
      </w:r>
    </w:p>
    <w:p>
      <w:pPr>
        <w:pStyle w:val="FirstParagraph"/>
      </w:pPr>
      <w:r>
        <w:t xml:space="preserve">Is there a good way to visualise input of cohorts into an IPD analysis?</w:t>
      </w:r>
    </w:p>
    <w:p>
      <w:pPr>
        <w:pStyle w:val="BodyText"/>
      </w:pPr>
      <w:r>
        <w:t xml:space="preserve"> </w:t>
      </w:r>
    </w:p>
    <w:bookmarkEnd w:id="200"/>
    <w:bookmarkStart w:id="221" w:name="methods-2"/>
    <w:p>
      <w:pPr>
        <w:pStyle w:val="Heading2"/>
      </w:pPr>
      <w:r>
        <w:t xml:space="preserve">Methods</w:t>
      </w:r>
    </w:p>
    <w:p>
      <w:pPr>
        <w:pStyle w:val="FirstParagraph"/>
      </w:pPr>
      <w:r>
        <w:t xml:space="preserve">As part</w:t>
      </w:r>
    </w:p>
    <w:p>
      <w:pPr>
        <w:pStyle w:val="BodyText"/>
      </w:pPr>
      <w:r>
        <w:t xml:space="preserve">As part of the IPD analysis, relevant cohort studies were identified from the sty and approached. In the first instance, the corresponding author on the main man</w:t>
      </w:r>
    </w:p>
    <w:p>
      <w:pPr>
        <w:pStyle w:val="BodyText"/>
      </w:pPr>
      <w:r>
        <w:t xml:space="preserve">Talk about how different covariates were managed across cohorts,</w:t>
      </w:r>
    </w:p>
    <w:p>
      <w:pPr>
        <w:pStyle w:val="BodyText"/>
      </w:pPr>
      <w:r>
        <w:t xml:space="preserve"> </w:t>
      </w:r>
    </w:p>
    <w:bookmarkStart w:id="213" w:name="data-sources"/>
    <w:p>
      <w:pPr>
        <w:pStyle w:val="Heading3"/>
      </w:pPr>
      <w:r>
        <w:t xml:space="preserve">Data sources</w:t>
      </w:r>
    </w:p>
    <w:p>
      <w:pPr>
        <w:pStyle w:val="FirstParagraph"/>
      </w:pPr>
      <w:r>
        <w:t xml:space="preserve">Several cohort studies were approach</w:t>
      </w:r>
    </w:p>
    <w:p>
      <w:pPr>
        <w:pStyle w:val="BodyText"/>
      </w:pPr>
      <w:r>
        <w:t xml:space="preserve">As part of this Chapter, I will use individual patient data from a range of sources. These sources are described here in detail for reference.</w:t>
      </w:r>
    </w:p>
    <w:p>
      <w:pPr>
        <w:pStyle w:val="BodyText"/>
      </w:pPr>
      <w:r>
        <w:t xml:space="preserve">These data source</w:t>
      </w:r>
    </w:p>
    <w:p>
      <w:pPr>
        <w:pStyle w:val="BodyText"/>
      </w:pPr>
      <w:r>
        <w:t xml:space="preserve">Each should have:</w:t>
      </w:r>
    </w:p>
    <w:p>
      <w:pPr>
        <w:numPr>
          <w:ilvl w:val="0"/>
          <w:numId w:val="1013"/>
        </w:numPr>
        <w:pStyle w:val="Compact"/>
      </w:pPr>
      <w:r>
        <w:t xml:space="preserve">Description (including observation period, numbers, numbers with outcome, etc)</w:t>
      </w:r>
    </w:p>
    <w:p>
      <w:pPr>
        <w:numPr>
          <w:ilvl w:val="0"/>
          <w:numId w:val="1013"/>
        </w:numPr>
        <w:pStyle w:val="Compact"/>
      </w:pPr>
      <w:r>
        <w:t xml:space="preserve">Whether they are a known genetically at-risk cohort</w:t>
      </w:r>
    </w:p>
    <w:p>
      <w:pPr>
        <w:pStyle w:val="FirstParagraph"/>
      </w:pPr>
      <w:r>
        <w:t xml:space="preserve"> </w:t>
      </w:r>
    </w:p>
    <w:bookmarkStart w:id="201"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191</w:t>
        </w:r>
      </w:hyperlink>
      <w:r>
        <w:rPr>
          <w:vertAlign w:val="superscript"/>
        </w:rPr>
        <w:t xml:space="preserve">,</w:t>
      </w:r>
      <w:hyperlink w:anchor="ref-riboli2002">
        <w:r>
          <w:rPr>
            <w:rStyle w:val="Hyperlink"/>
            <w:vertAlign w:val="superscript"/>
          </w:rPr>
          <w:t xml:space="preserve">192</w:t>
        </w:r>
      </w:hyperlink>
    </w:p>
    <w:bookmarkEnd w:id="201"/>
    <w:bookmarkStart w:id="202" w:name="brace"/>
    <w:p>
      <w:pPr>
        <w:pStyle w:val="Heading4"/>
      </w:pPr>
      <w:r>
        <w:t xml:space="preserve">BRACE</w:t>
      </w:r>
    </w:p>
    <w:bookmarkEnd w:id="202"/>
    <w:bookmarkStart w:id="203" w:name="caps"/>
    <w:p>
      <w:pPr>
        <w:pStyle w:val="Heading4"/>
      </w:pPr>
      <w:r>
        <w:t xml:space="preserve">CaPS</w:t>
      </w:r>
    </w:p>
    <w:bookmarkEnd w:id="203"/>
    <w:bookmarkStart w:id="204" w:name="cprd"/>
    <w:p>
      <w:pPr>
        <w:pStyle w:val="Heading4"/>
      </w:pPr>
      <w:r>
        <w:t xml:space="preserve">CPRD</w:t>
      </w:r>
    </w:p>
    <w:p>
      <w:pPr>
        <w:pStyle w:val="FirstParagraph"/>
      </w:pPr>
      <w:r>
        <w:t xml:space="preserve">The Clinical Practice Research Datalink (CPRD) is a large population-based, electronic health record (EHR) database.</w:t>
      </w:r>
      <w:hyperlink w:anchor="ref-herrett2015">
        <w:r>
          <w:rPr>
            <w:rStyle w:val="Hyperlink"/>
            <w:vertAlign w:val="superscript"/>
          </w:rPr>
          <w:t xml:space="preserve">162</w:t>
        </w:r>
      </w:hyperlink>
      <w:r>
        <w:t xml:space="preserve"> </w:t>
      </w:r>
      <w:r>
        <w:t xml:space="preserve">containing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162</w:t>
        </w:r>
      </w:hyperlink>
      <w:r>
        <w:rPr>
          <w:vertAlign w:val="superscript"/>
        </w:rPr>
        <w:t xml:space="preserve">,</w:t>
      </w:r>
      <w:hyperlink w:anchor="ref-mathur2014">
        <w:r>
          <w:rPr>
            <w:rStyle w:val="Hyperlink"/>
            <w:vertAlign w:val="superscript"/>
          </w:rPr>
          <w:t xml:space="preserve">165</w:t>
        </w:r>
      </w:hyperlink>
    </w:p>
    <w:p>
      <w:pPr>
        <w:pStyle w:val="BodyText"/>
      </w:pPr>
      <w:r>
        <w:t xml:space="preserve">The CPRD is introduced more fully in . Briefly, a similar approach to the cohort definition as used in Chapter</w:t>
      </w:r>
    </w:p>
    <w:bookmarkEnd w:id="204"/>
    <w:bookmarkStart w:id="205" w:name="elsa"/>
    <w:p>
      <w:pPr>
        <w:pStyle w:val="Heading4"/>
      </w:pPr>
      <w:r>
        <w:t xml:space="preserve">ELSA</w:t>
      </w:r>
    </w:p>
    <w:bookmarkEnd w:id="205"/>
    <w:bookmarkStart w:id="206" w:name="epic-norfolk-1"/>
    <w:p>
      <w:pPr>
        <w:pStyle w:val="Heading4"/>
      </w:pPr>
      <w:r>
        <w:t xml:space="preserve">EPIC Norfolk</w:t>
      </w:r>
    </w:p>
    <w:bookmarkEnd w:id="206"/>
    <w:bookmarkStart w:id="207" w:name="generation-scotland"/>
    <w:p>
      <w:pPr>
        <w:pStyle w:val="Heading4"/>
      </w:pPr>
      <w:r>
        <w:t xml:space="preserve">Generation Scotland</w:t>
      </w:r>
    </w:p>
    <w:bookmarkEnd w:id="207"/>
    <w:bookmarkStart w:id="208" w:name="memento"/>
    <w:p>
      <w:pPr>
        <w:pStyle w:val="Heading4"/>
      </w:pPr>
      <w:r>
        <w:t xml:space="preserve">Memento</w:t>
      </w:r>
    </w:p>
    <w:bookmarkEnd w:id="208"/>
    <w:bookmarkStart w:id="209" w:name="nicola"/>
    <w:p>
      <w:pPr>
        <w:pStyle w:val="Heading4"/>
      </w:pPr>
      <w:r>
        <w:t xml:space="preserve">NICOLA</w:t>
      </w:r>
    </w:p>
    <w:bookmarkEnd w:id="209"/>
    <w:bookmarkStart w:id="210" w:name="track-hd"/>
    <w:p>
      <w:pPr>
        <w:pStyle w:val="Heading4"/>
      </w:pPr>
      <w:r>
        <w:t xml:space="preserve">TRACK HD</w:t>
      </w:r>
    </w:p>
    <w:bookmarkEnd w:id="210"/>
    <w:bookmarkStart w:id="212" w:name="whitehall-ii"/>
    <w:p>
      <w:pPr>
        <w:pStyle w:val="Heading4"/>
      </w:pPr>
      <w:r>
        <w:t xml:space="preserve">Whitehall II</w:t>
      </w:r>
    </w:p>
    <w:p>
      <w:pPr>
        <w:pStyle w:val="FirstParagraph"/>
      </w:pPr>
      <w:r>
        <w:rPr>
          <w:iCs/>
          <w:i/>
        </w:rPr>
        <w:t xml:space="preserve">The Whitehall II study is a prospective cohort study of 10 308 participants (70% men), aged 35–55 years and recruited between 1985 and 1989 from 20 London-based Civil service departments (</w:t>
      </w:r>
      <w:hyperlink r:id="rId211">
        <w:r>
          <w:rPr>
            <w:rStyle w:val="Hyperlink"/>
            <w:iCs/>
            <w:i/>
          </w:rPr>
          <w:t xml:space="preserve">https://www.ucl.ac.uk/whitehallII</w:t>
        </w:r>
      </w:hyperlink>
      <w:r>
        <w:rPr>
          <w:iCs/>
          <w:i/>
        </w:rPr>
        <w:t xml:space="preserve">). Clinical examinations have been performed in 1991-1994, 1997-1999, 2002-2004, 2007-2009, 2012-2013, 2015-2016 with the data from circulating metabolomic traits and cognitive testing for the present study obtained from the 1997-1999 clinic phase.</w:t>
      </w:r>
      <w:r>
        <w:t xml:space="preserve"> </w:t>
      </w:r>
      <w:r>
        <w:t xml:space="preserve">- taken from EN ID: 2140</w:t>
      </w:r>
    </w:p>
    <w:p>
      <w:pPr>
        <w:pStyle w:val="BodyText"/>
      </w:pPr>
      <w:r>
        <w:t xml:space="preserve">included in previous IPD meta-analysis (Endnote ID: 2140)</w:t>
      </w:r>
    </w:p>
    <w:p>
      <w:pPr>
        <w:pStyle w:val="BodyText"/>
      </w:pPr>
      <w:r>
        <w:t xml:space="preserve">Different approaches to combining subgroups.</w:t>
      </w:r>
      <w:hyperlink w:anchor="ref-fisher2017">
        <w:r>
          <w:rPr>
            <w:rStyle w:val="Hyperlink"/>
            <w:vertAlign w:val="superscript"/>
          </w:rPr>
          <w:t xml:space="preserve">193</w:t>
        </w:r>
      </w:hyperlink>
    </w:p>
    <w:p>
      <w:pPr>
        <w:pStyle w:val="BodyText"/>
      </w:pPr>
      <w:r>
        <w:t xml:space="preserve"> </w:t>
      </w:r>
    </w:p>
    <w:bookmarkEnd w:id="212"/>
    <w:bookmarkEnd w:id="213"/>
    <w:bookmarkStart w:id="214" w:name="X3d2607aa26e979940de45ad969f6b88fe46252b"/>
    <w:p>
      <w:pPr>
        <w:pStyle w:val="Heading3"/>
      </w:pPr>
      <w:r>
        <w:t xml:space="preserve">Cohorts provided data but ultimately excluded</w:t>
      </w:r>
    </w:p>
    <w:p>
      <w:pPr>
        <w:pStyle w:val="FirstParagraph"/>
      </w:pPr>
      <w:r>
        <w:t xml:space="preserve">Several cohorts were excluded on the basis of a lack of exposure variables, including Cam-CAN (had cardiovascular category, but only contained blood pressure).</w:t>
      </w:r>
    </w:p>
    <w:p>
      <w:pPr>
        <w:pStyle w:val="BodyText"/>
      </w:pPr>
      <w:r>
        <w:t xml:space="preserve"> </w:t>
      </w:r>
    </w:p>
    <w:bookmarkEnd w:id="214"/>
    <w:bookmarkStart w:id="215" w:name="X21956c5bb1220e1050675bc21f8db7a8b7dcfce"/>
    <w:p>
      <w:pPr>
        <w:pStyle w:val="Heading3"/>
      </w:pPr>
      <w:r>
        <w:t xml:space="preserve">Cohorts identified the systematic review but excluded from the IPD analysis</w:t>
      </w:r>
    </w:p>
    <w:p>
      <w:pPr>
        <w:pStyle w:val="FirstParagraph"/>
      </w:pPr>
      <w:r>
        <w:t xml:space="preserve">Electronic health record co</w:t>
      </w:r>
    </w:p>
    <w:p>
      <w:pPr>
        <w:pStyle w:val="BodyText"/>
      </w:pPr>
      <w:r>
        <w:t xml:space="preserve"> </w:t>
      </w:r>
    </w:p>
    <w:bookmarkEnd w:id="215"/>
    <w:bookmarkStart w:id="216" w:name="cohorts-approach-but-received-no-answer"/>
    <w:p>
      <w:pPr>
        <w:pStyle w:val="Heading3"/>
      </w:pPr>
      <w:r>
        <w:t xml:space="preserve">Cohorts approach but received no answer</w:t>
      </w:r>
    </w:p>
    <w:p>
      <w:pPr>
        <w:pStyle w:val="FirstParagraph"/>
      </w:pPr>
      <w:r>
        <w:t xml:space="preserve">Maybe discuss here t</w:t>
      </w:r>
    </w:p>
    <w:p>
      <w:pPr>
        <w:pStyle w:val="BodyText"/>
      </w:pPr>
      <w:r>
        <w:t xml:space="preserve">This was particularly frustrating in the case of cohorts which had a dedicated data access panel, for example, the Three City Study. Despite multiple attempts to contact the team, there was no response received.</w:t>
      </w:r>
    </w:p>
    <w:p>
      <w:pPr>
        <w:pStyle w:val="BodyText"/>
      </w:pPr>
      <w:r>
        <w:t xml:space="preserve"> </w:t>
      </w:r>
    </w:p>
    <w:bookmarkEnd w:id="216"/>
    <w:bookmarkStart w:id="217" w:name="data-cleaning"/>
    <w:p>
      <w:pPr>
        <w:pStyle w:val="Heading3"/>
      </w:pPr>
      <w:r>
        <w:t xml:space="preserve">Data cleaning</w:t>
      </w:r>
    </w:p>
    <w:p>
      <w:pPr>
        <w:pStyle w:val="FirstParagraph"/>
      </w:pPr>
      <w:r>
        <w:t xml:space="preserve">Across all cohorts, data cle</w:t>
      </w:r>
    </w:p>
    <w:p>
      <w:pPr>
        <w:pStyle w:val="BodyText"/>
      </w:pPr>
      <w:r>
        <w:t xml:space="preserve">For all cohorts, the first lipid measurement was used for the exposure method,</w:t>
      </w:r>
    </w:p>
    <w:p>
      <w:pPr>
        <w:pStyle w:val="BodyText"/>
      </w:pPr>
      <w:r>
        <w:t xml:space="preserve">For heterogeneity across the cohorts, the total time at risk was investigated.</w:t>
      </w:r>
    </w:p>
    <w:p>
      <w:pPr>
        <w:pStyle w:val="BodyText"/>
      </w:pPr>
      <w:r>
        <w:t xml:space="preserve"> </w:t>
      </w:r>
    </w:p>
    <w:bookmarkEnd w:id="217"/>
    <w:bookmarkStart w:id="218" w:name="missing-data-2"/>
    <w:p>
      <w:pPr>
        <w:pStyle w:val="Heading3"/>
      </w:pPr>
      <w:r>
        <w:t xml:space="preserve">Missing data</w:t>
      </w:r>
    </w:p>
    <w:p>
      <w:pPr>
        <w:pStyle w:val="FirstParagraph"/>
      </w:pPr>
      <w:r>
        <w:t xml:space="preserve">Talk about missing data was handled</w:t>
      </w:r>
      <w:r>
        <w:t xml:space="preserve"> </w:t>
      </w:r>
    </w:p>
    <w:p>
      <w:pPr>
        <w:pStyle w:val="BodyText"/>
      </w:pPr>
      <w:r>
        <w:t xml:space="preserve"> </w:t>
      </w:r>
    </w:p>
    <w:bookmarkEnd w:id="218"/>
    <w:bookmarkStart w:id="219" w:name="risk-of-bias-assessment"/>
    <w:p>
      <w:pPr>
        <w:pStyle w:val="Heading3"/>
      </w:pPr>
      <w:r>
        <w:t xml:space="preserve">Risk of bias assessment</w:t>
      </w:r>
    </w:p>
    <w:p>
      <w:pPr>
        <w:pStyle w:val="FirstParagraph"/>
      </w:pPr>
      <w:r>
        <w:t xml:space="preserve">Risk of bias assessment was performed for each of the included cohorts using the relevant tool described in Section</w:t>
      </w:r>
      <w:r>
        <w:t xml:space="preserve"> </w:t>
      </w:r>
      <w:r>
        <w:t xml:space="preserve">4.3.7</w:t>
      </w:r>
      <w:r>
        <w:t xml:space="preserve">.</w:t>
      </w:r>
    </w:p>
    <w:p>
      <w:pPr>
        <w:pStyle w:val="BodyText"/>
      </w:pPr>
      <w:r>
        <w:t xml:space="preserve"> </w:t>
      </w:r>
    </w:p>
    <w:bookmarkEnd w:id="219"/>
    <w:bookmarkStart w:id="220" w:name="analysis"/>
    <w:p>
      <w:pPr>
        <w:pStyle w:val="Heading3"/>
      </w:pPr>
      <w:r>
        <w:t xml:space="preserve">Analysis</w:t>
      </w:r>
    </w:p>
    <w:p>
      <w:pPr>
        <w:pStyle w:val="FirstParagraph"/>
      </w:pPr>
      <w:r>
        <w:t xml:space="preserve">All analysis were standardised by changes in 1-SD of the exposure variable.</w:t>
      </w:r>
    </w:p>
    <w:p>
      <w:pPr>
        <w:pStyle w:val="BodyText"/>
      </w:pPr>
      <w:r>
        <w:t xml:space="preserve">This was done to</w:t>
      </w:r>
    </w:p>
    <w:p>
      <w:pPr>
        <w:pStyle w:val="BodyText"/>
      </w:pPr>
      <w:r>
        <w:t xml:space="preserve">CLustering within studies was accounted for, given the evidence that …</w:t>
      </w:r>
      <w:hyperlink w:anchor="ref-abo-zaid2013">
        <w:r>
          <w:rPr>
            <w:rStyle w:val="Hyperlink"/>
            <w:vertAlign w:val="superscript"/>
          </w:rPr>
          <w:t xml:space="preserve">194</w:t>
        </w:r>
      </w:hyperlink>
    </w:p>
    <w:p>
      <w:pPr>
        <w:pStyle w:val="BodyText"/>
      </w:pPr>
      <w:r>
        <w:t xml:space="preserve">Stratified by age-at-entry and sex, and ethnicity where possible.</w:t>
      </w:r>
    </w:p>
    <w:bookmarkEnd w:id="220"/>
    <w:bookmarkEnd w:id="221"/>
    <w:bookmarkStart w:id="222" w:name="results-2"/>
    <w:p>
      <w:pPr>
        <w:pStyle w:val="Heading2"/>
      </w:pPr>
      <w:r>
        <w:t xml:space="preserve">Results</w:t>
      </w:r>
    </w:p>
    <w:p>
      <w:pPr>
        <w:pStyle w:val="FirstParagraph"/>
      </w:pPr>
      <w:r>
        <w:t xml:space="preserve"> </w:t>
      </w:r>
    </w:p>
    <w:bookmarkEnd w:id="222"/>
    <w:bookmarkStart w:id="227" w:name="discussion-3"/>
    <w:p>
      <w:pPr>
        <w:pStyle w:val="Heading2"/>
      </w:pPr>
      <w:r>
        <w:t xml:space="preserve">Discussion</w:t>
      </w:r>
    </w:p>
    <w:bookmarkStart w:id="224" w:name="limitations-1"/>
    <w:p>
      <w:pPr>
        <w:pStyle w:val="Heading3"/>
      </w:pPr>
      <w:r>
        <w:t xml:space="preserve">Limitations</w:t>
      </w:r>
    </w:p>
    <w:bookmarkStart w:id="223" w:name="low-response-rate-to-request-for-data"/>
    <w:p>
      <w:pPr>
        <w:pStyle w:val="Heading4"/>
      </w:pPr>
      <w:r>
        <w:t xml:space="preserve">Low response rate to request for data</w:t>
      </w:r>
    </w:p>
    <w:p>
      <w:pPr>
        <w:pStyle w:val="FirstParagraph"/>
      </w:pPr>
      <w:r>
        <w:t xml:space="preserve">This review had a low response rate to requests for data access.</w:t>
      </w:r>
    </w:p>
    <w:p>
      <w:pPr>
        <w:pStyle w:val="BodyText"/>
      </w:pPr>
      <w:r>
        <w:t xml:space="preserve">While this is not unexpected, given that a review of IPD studies published between 1987 and 2015 found that fewer than half managed to obtained data from greater than 80% of studies, and that in many cases, the exact percentage of studies for which data was obtained was not accurately reported.</w:t>
      </w:r>
    </w:p>
    <w:p>
      <w:pPr>
        <w:pStyle w:val="BodyText"/>
      </w:pPr>
      <w:r>
        <w:t xml:space="preserve">There are likely several reasons for this.</w:t>
      </w:r>
    </w:p>
    <w:p>
      <w:pPr>
        <w:numPr>
          <w:ilvl w:val="0"/>
          <w:numId w:val="1014"/>
        </w:numPr>
      </w:pPr>
      <w:r>
        <w:t xml:space="preserve">Individual participant data meta-analysis including studies other than randomised controlled trials have less success in obtaining individual participant data from studies.</w:t>
      </w:r>
      <w:hyperlink w:anchor="ref-nevitt2017a">
        <w:r>
          <w:rPr>
            <w:rStyle w:val="Hyperlink"/>
            <w:vertAlign w:val="superscript"/>
          </w:rPr>
          <w:t xml:space="preserve">89</w:t>
        </w:r>
      </w:hyperlink>
    </w:p>
    <w:p>
      <w:pPr>
        <w:numPr>
          <w:ilvl w:val="0"/>
          <w:numId w:val="1014"/>
        </w:numPr>
      </w:pPr>
      <w:r>
        <w:t xml:space="preserve">While there is no</w:t>
      </w:r>
    </w:p>
    <w:p>
      <w:pPr>
        <w:pStyle w:val="FirstParagraph"/>
      </w:pPr>
      <w:r>
        <w:t xml:space="preserve">For many other reasons also - if</w:t>
      </w:r>
    </w:p>
    <w:p>
      <w:pPr>
        <w:pStyle w:val="BodyText"/>
      </w:pPr>
      <w:r>
        <w:t xml:space="preserve">A potential further reason was highlighted during my attendance at the</w:t>
      </w:r>
    </w:p>
    <w:p>
      <w:pPr>
        <w:pStyle w:val="BodyText"/>
      </w:pPr>
      <w:r>
        <w:t xml:space="preserve">Letters sent to all cohorts identified through the systematic review</w:t>
      </w:r>
      <w:r>
        <w:t xml:space="preserve"> </w:t>
      </w:r>
    </w:p>
    <w:p>
      <w:pPr>
        <w:pStyle w:val="BodyText"/>
      </w:pPr>
      <w:r>
        <w:t xml:space="preserve">This is likely due to my junior position as a early career research combined with the impact</w:t>
      </w:r>
    </w:p>
    <w:p>
      <w:pPr>
        <w:pStyle w:val="BodyText"/>
      </w:pPr>
      <w:r>
        <w:t xml:space="preserve">Range of reasons why data is not readily available. Privacy concerns, concerns around scoping or</w:t>
      </w:r>
      <w:r>
        <w:t xml:space="preserve"> </w:t>
      </w:r>
      <w:r>
        <w:t xml:space="preserve">“</w:t>
      </w:r>
      <w:r>
        <w:t xml:space="preserve">parasitic</w:t>
      </w:r>
      <w:r>
        <w:t xml:space="preserve">”</w:t>
      </w:r>
      <w:r>
        <w:t xml:space="preserve"> </w:t>
      </w:r>
      <w:r>
        <w:t xml:space="preserve">behaviour, and a lack of trust (i.e. primary researchers do not trust secondary researchers).</w:t>
      </w:r>
    </w:p>
    <w:p>
      <w:pPr>
        <w:pStyle w:val="BodyText"/>
      </w:pPr>
      <w:r>
        <w:t xml:space="preserve">Unfortunately,</w:t>
      </w:r>
    </w:p>
    <w:p>
      <w:pPr>
        <w:pStyle w:val="BodyText"/>
      </w:pPr>
      <w:r>
        <w:t xml:space="preserve">The low response rate and the</w:t>
      </w:r>
    </w:p>
    <w:p>
      <w:pPr>
        <w:pStyle w:val="BodyText"/>
      </w:pPr>
      <w:r>
        <w:t xml:space="preserve">Whether or not to press ahead with an IPD analysis in the absence of all (or even most) data is a personal decision, and some have highlighted where they decided not to pursue an IPD study.</w:t>
      </w:r>
      <w:hyperlink w:anchor="ref-jaspers2014">
        <w:r>
          <w:rPr>
            <w:rStyle w:val="Hyperlink"/>
            <w:vertAlign w:val="superscript"/>
          </w:rPr>
          <w:t xml:space="preserve">195</w:t>
        </w:r>
      </w:hyperlink>
    </w:p>
    <w:p>
      <w:pPr>
        <w:pStyle w:val="BodyText"/>
      </w:pPr>
      <w:r>
        <w:t xml:space="preserve"> </w:t>
      </w:r>
      <w:r>
        <w:t xml:space="preserve"> </w:t>
      </w:r>
    </w:p>
    <w:bookmarkEnd w:id="223"/>
    <w:bookmarkEnd w:id="224"/>
    <w:bookmarkStart w:id="225" w:name="reflections-on-data-access"/>
    <w:p>
      <w:pPr>
        <w:pStyle w:val="Heading3"/>
      </w:pPr>
      <w:r>
        <w:t xml:space="preserve">Reflections on data access</w:t>
      </w:r>
    </w:p>
    <w:p>
      <w:pPr>
        <w:pStyle w:val="FirstParagraph"/>
      </w:pPr>
      <w:r>
        <w:t xml:space="preserve">Describe your experience of trying to access the DPUK - while a great resources, frustrating at times. The portal would benefit from a centralised management system and</w:t>
      </w:r>
    </w:p>
    <w:p>
      <w:pPr>
        <w:pStyle w:val="BodyText"/>
      </w:pPr>
      <w:r>
        <w:t xml:space="preserve">Even with the guaranteed data access afforded by the DPUK, accessing sufficient data was</w:t>
      </w:r>
    </w:p>
    <w:p>
      <w:pPr>
        <w:pStyle w:val="BodyText"/>
      </w:pPr>
      <w:r>
        <w:t xml:space="preserve"> </w:t>
      </w:r>
    </w:p>
    <w:bookmarkEnd w:id="225"/>
    <w:bookmarkStart w:id="226" w:name="study-within-a-review"/>
    <w:p>
      <w:pPr>
        <w:pStyle w:val="Heading3"/>
      </w:pPr>
      <w:r>
        <w:t xml:space="preserve">Study within a review</w:t>
      </w:r>
    </w:p>
    <w:p>
      <w:pPr>
        <w:pStyle w:val="FirstParagraph"/>
      </w:pPr>
      <w:r>
        <w:t xml:space="preserve">In future, it could have been worth running a</w:t>
      </w:r>
      <w:r>
        <w:t xml:space="preserve"> </w:t>
      </w:r>
      <w:r>
        <w:t xml:space="preserve">“</w:t>
      </w:r>
      <w:r>
        <w:t xml:space="preserve">study within a review</w:t>
      </w:r>
      <w:r>
        <w:t xml:space="preserve">”</w:t>
      </w:r>
      <w:r>
        <w:t xml:space="preserve">, such as that used to examine the best method</w:t>
      </w:r>
      <w:hyperlink w:anchor="ref-godolphin2019a">
        <w:r>
          <w:rPr>
            <w:rStyle w:val="Hyperlink"/>
            <w:vertAlign w:val="superscript"/>
          </w:rPr>
          <w:t xml:space="preserve">196</w:t>
        </w:r>
      </w:hyperlink>
    </w:p>
    <w:p>
      <w:r>
        <w:br w:type="page"/>
      </w:r>
    </w:p>
    <w:bookmarkEnd w:id="226"/>
    <w:bookmarkEnd w:id="227"/>
    <w:bookmarkStart w:id="228" w:name="references-4"/>
    <w:p>
      <w:pPr>
        <w:pStyle w:val="Heading2"/>
      </w:pPr>
      <w:r>
        <w:t xml:space="preserve">References</w:t>
      </w:r>
    </w:p>
    <w:p>
      <w:pPr>
        <w:pStyle w:val="FirstParagraph"/>
      </w:pPr>
      <w:r>
        <w:t xml:space="preserve">— Hold — Hold</w:t>
      </w:r>
    </w:p>
    <w:bookmarkEnd w:id="228"/>
    <w:bookmarkEnd w:id="229"/>
    <w:bookmarkStart w:id="243" w:name="discussion-heading"/>
    <w:p>
      <w:pPr>
        <w:pStyle w:val="Heading1"/>
      </w:pPr>
      <w:r>
        <w:t xml:space="preserve">Discussion</w:t>
      </w:r>
    </w:p>
    <w:p>
      <w:pPr>
        <w:pStyle w:val="FirstParagraph"/>
      </w:pPr>
    </w:p>
    <w:bookmarkStart w:id="231" w:name="Xaed70c6bfbe9ac75ed11abe63d990e0ab7358f2"/>
    <w:p>
      <w:pPr>
        <w:pStyle w:val="Heading2"/>
      </w:pPr>
      <w:r>
        <w:t xml:space="preserve">Triangulation across exisiting evidence and evidence produced in this thesis</w:t>
      </w:r>
    </w:p>
    <w:bookmarkStart w:id="230" w:name="triangulation-overview"/>
    <w:p>
      <w:pPr>
        <w:pStyle w:val="Heading3"/>
      </w:pPr>
      <w:r>
        <w:t xml:space="preserve">Overview of triangulation</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p>
      <w:pPr>
        <w:pStyle w:val="BodyText"/>
      </w:pPr>
      <w:r>
        <w:t xml:space="preserve"> </w:t>
      </w:r>
    </w:p>
    <w:bookmarkEnd w:id="230"/>
    <w:bookmarkEnd w:id="231"/>
    <w:bookmarkStart w:id="233" w:name="Xdd879574ed7e4402680cdf12424a81de2cba061"/>
    <w:p>
      <w:pPr>
        <w:pStyle w:val="Heading2"/>
      </w:pPr>
      <w:r>
        <w:t xml:space="preserve">Qualitative vs qunatitative triangulation</w:t>
      </w:r>
    </w:p>
    <w:bookmarkStart w:id="232" w:name="researcher-positionality-statement"/>
    <w:p>
      <w:pPr>
        <w:pStyle w:val="Heading3"/>
      </w:pPr>
      <w:r>
        <w:t xml:space="preserve">Researcher positionality statement</w:t>
      </w:r>
    </w:p>
    <w:p>
      <w:pPr>
        <w:pStyle w:val="FirstParagraph"/>
      </w:pPr>
      <w:r>
        <w:t xml:space="preserve"> </w:t>
      </w:r>
    </w:p>
    <w:bookmarkEnd w:id="232"/>
    <w:bookmarkEnd w:id="233"/>
    <w:bookmarkStart w:id="234"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 </w:t>
      </w:r>
    </w:p>
    <w:bookmarkEnd w:id="234"/>
    <w:bookmarkStart w:id="235" w:name="X19a11de4ab8606b74b5ad332dc48f14a8936b74"/>
    <w:p>
      <w:pPr>
        <w:pStyle w:val="Heading2"/>
      </w:pPr>
      <w:r>
        <w:t xml:space="preserve">Use of concensus panel to bring everything together</w:t>
      </w:r>
    </w:p>
    <w:p>
      <w:pPr>
        <w:pStyle w:val="FirstParagraph"/>
      </w:pPr>
      <w:r>
        <w:t xml:space="preserve"> </w:t>
      </w:r>
    </w:p>
    <w:bookmarkEnd w:id="235"/>
    <w:bookmarkStart w:id="236"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5"/>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p>
      <w:pPr>
        <w:pStyle w:val="FirstParagraph"/>
      </w:pPr>
      <w:r>
        <w:t xml:space="preserve"> </w:t>
      </w:r>
    </w:p>
    <w:bookmarkEnd w:id="236"/>
    <w:bookmarkStart w:id="237" w:name="X3b130fc6d67361b601b7baea6ee52fa2c3412e8"/>
    <w:p>
      <w:pPr>
        <w:pStyle w:val="Heading2"/>
      </w:pPr>
      <w:r>
        <w:t xml:space="preserve">Summary of findings (and implications for policy makers)</w:t>
      </w:r>
    </w:p>
    <w:p>
      <w:pPr>
        <w:pStyle w:val="FirstParagraph"/>
      </w:pPr>
      <w:r>
        <w:t xml:space="preserve"> </w:t>
      </w:r>
    </w:p>
    <w:bookmarkEnd w:id="237"/>
    <w:bookmarkStart w:id="238" w:name="strengths-and-limitations-2"/>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197</w:t>
        </w:r>
      </w:hyperlink>
    </w:p>
    <w:p>
      <w:pPr>
        <w:pStyle w:val="BodyText"/>
      </w:pPr>
      <w:r>
        <w:t xml:space="preserve"> </w:t>
      </w:r>
      <w:r>
        <w:t xml:space="preserve"> </w:t>
      </w:r>
    </w:p>
    <w:bookmarkEnd w:id="238"/>
    <w:bookmarkStart w:id="239"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bookmarkEnd w:id="239"/>
    <w:bookmarkStart w:id="240"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p>
      <w:pPr>
        <w:pStyle w:val="BodyText"/>
      </w:pPr>
      <w:r>
        <w:t xml:space="preserve"> </w:t>
      </w:r>
      <w:r>
        <w:t xml:space="preserve"> </w:t>
      </w:r>
    </w:p>
    <w:bookmarkEnd w:id="240"/>
    <w:bookmarkStart w:id="241" w:name="future-work"/>
    <w:p>
      <w:pPr>
        <w:pStyle w:val="Heading2"/>
      </w:pPr>
      <w:r>
        <w:t xml:space="preserve">Future work</w:t>
      </w:r>
    </w:p>
    <w:p>
      <w:pPr>
        <w:pStyle w:val="FirstParagraph"/>
      </w:pPr>
      <w:r>
        <w:t xml:space="preserve"> </w:t>
      </w:r>
      <w:r>
        <w:t xml:space="preserve"> </w:t>
      </w:r>
    </w:p>
    <w:bookmarkEnd w:id="241"/>
    <w:bookmarkStart w:id="242" w:name="overall-conclusions"/>
    <w:p>
      <w:pPr>
        <w:pStyle w:val="Heading2"/>
      </w:pPr>
      <w:r>
        <w:t xml:space="preserve">Overall conclusions</w:t>
      </w:r>
    </w:p>
    <w:bookmarkEnd w:id="242"/>
    <w:bookmarkEnd w:id="243"/>
    <w:bookmarkStart w:id="244" w:name="bibliography"/>
    <w:p>
      <w:pPr>
        <w:pStyle w:val="Heading1"/>
      </w:pPr>
      <w:r>
        <w:t xml:space="preserve">Bibliography</w:t>
      </w:r>
    </w:p>
    <w:bookmarkEnd w:id="244"/>
    <w:bookmarkStart w:id="460" w:name="bibliography-1"/>
    <w:p>
      <w:pPr>
        <w:pStyle w:val="Heading1"/>
      </w:pPr>
      <w:r>
        <w:t xml:space="preserve">Bibliography</w:t>
      </w:r>
    </w:p>
    <w:bookmarkStart w:id="459" w:name="refs"/>
    <w:bookmarkStart w:id="245"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245"/>
    <w:bookmarkStart w:id="246"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246"/>
    <w:bookmarkStart w:id="247"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247"/>
    <w:bookmarkStart w:id="248"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248"/>
    <w:bookmarkStart w:id="249"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249"/>
    <w:bookmarkStart w:id="250"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250"/>
    <w:bookmarkStart w:id="251"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251"/>
    <w:bookmarkStart w:id="252"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252"/>
    <w:bookmarkStart w:id="253"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253"/>
    <w:bookmarkStart w:id="254"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254"/>
    <w:bookmarkStart w:id="255"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255"/>
    <w:bookmarkStart w:id="256"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256"/>
    <w:bookmarkStart w:id="257"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257"/>
    <w:bookmarkStart w:id="258"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258"/>
    <w:bookmarkStart w:id="259"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259"/>
    <w:bookmarkStart w:id="260"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260"/>
    <w:bookmarkStart w:id="262"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261">
        <w:r>
          <w:rPr>
            <w:rStyle w:val="Hyperlink"/>
          </w:rPr>
          <w:t xml:space="preserve">10.1016/j.neuropharm.2020.108352</w:t>
        </w:r>
      </w:hyperlink>
    </w:p>
    <w:bookmarkEnd w:id="262"/>
    <w:bookmarkStart w:id="263"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263"/>
    <w:bookmarkStart w:id="264"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64"/>
    <w:bookmarkStart w:id="265"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65"/>
    <w:bookmarkStart w:id="266" w:name="ref-ansteya"/>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w:t>
      </w:r>
    </w:p>
    <w:bookmarkEnd w:id="266"/>
    <w:bookmarkStart w:id="267"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67"/>
    <w:bookmarkStart w:id="268"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68"/>
    <w:bookmarkStart w:id="269"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69"/>
    <w:bookmarkStart w:id="270"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70"/>
    <w:bookmarkStart w:id="271"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71"/>
    <w:bookmarkStart w:id="272"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72"/>
    <w:bookmarkStart w:id="273"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273"/>
    <w:bookmarkStart w:id="274"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74"/>
    <w:bookmarkStart w:id="275"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75"/>
    <w:bookmarkStart w:id="276"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276"/>
    <w:bookmarkStart w:id="277"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277"/>
    <w:bookmarkStart w:id="278"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278"/>
    <w:bookmarkStart w:id="279"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279"/>
    <w:bookmarkStart w:id="280"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280"/>
    <w:bookmarkStart w:id="281"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281"/>
    <w:bookmarkStart w:id="282"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282"/>
    <w:bookmarkStart w:id="283"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283"/>
    <w:bookmarkStart w:id="284"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284"/>
    <w:bookmarkStart w:id="285"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285"/>
    <w:bookmarkStart w:id="286"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286"/>
    <w:bookmarkStart w:id="287"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287"/>
    <w:bookmarkStart w:id="288"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288"/>
    <w:bookmarkStart w:id="289"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289"/>
    <w:bookmarkStart w:id="290"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290"/>
    <w:bookmarkStart w:id="291"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291"/>
    <w:bookmarkStart w:id="292"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292"/>
    <w:bookmarkStart w:id="293"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293"/>
    <w:bookmarkStart w:id="294" w:name="ref-mainous2005"/>
    <w:p>
      <w:pPr>
        <w:pStyle w:val="Bibliography"/>
      </w:pPr>
      <w:r>
        <w:t xml:space="preserve">49.</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294"/>
    <w:bookmarkStart w:id="295" w:name="ref-mielke2010"/>
    <w:p>
      <w:pPr>
        <w:pStyle w:val="Bibliography"/>
      </w:pPr>
      <w:r>
        <w:t xml:space="preserve">50.</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295"/>
    <w:bookmarkStart w:id="296" w:name="ref-mielke2005"/>
    <w:p>
      <w:pPr>
        <w:pStyle w:val="Bibliography"/>
      </w:pPr>
      <w:r>
        <w:t xml:space="preserve">51.</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296"/>
    <w:bookmarkStart w:id="297" w:name="ref-moroney1999"/>
    <w:p>
      <w:pPr>
        <w:pStyle w:val="Bibliography"/>
      </w:pPr>
      <w:r>
        <w:t xml:space="preserve">52.</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297"/>
    <w:bookmarkStart w:id="298" w:name="ref-anstey"/>
    <w:p>
      <w:pPr>
        <w:pStyle w:val="Bibliography"/>
      </w:pPr>
      <w:r>
        <w:t xml:space="preserve">53.</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w:t>
      </w:r>
    </w:p>
    <w:bookmarkEnd w:id="298"/>
    <w:bookmarkStart w:id="299" w:name="ref-ritchie2015"/>
    <w:p>
      <w:pPr>
        <w:pStyle w:val="Bibliography"/>
      </w:pPr>
      <w:r>
        <w:t xml:space="preserve">54.</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299"/>
    <w:bookmarkStart w:id="300" w:name="ref-trompet2010"/>
    <w:p>
      <w:pPr>
        <w:pStyle w:val="Bibliography"/>
      </w:pPr>
      <w:r>
        <w:t xml:space="preserve">55.</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00"/>
    <w:bookmarkStart w:id="301" w:name="ref-daveysmith2014"/>
    <w:p>
      <w:pPr>
        <w:pStyle w:val="Bibliography"/>
      </w:pPr>
      <w:r>
        <w:t xml:space="preserve">56.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01"/>
    <w:bookmarkStart w:id="302" w:name="ref-greenland2000"/>
    <w:p>
      <w:pPr>
        <w:pStyle w:val="Bibliography"/>
      </w:pPr>
      <w:r>
        <w:t xml:space="preserve">57.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302"/>
    <w:bookmarkStart w:id="303" w:name="ref-davies2018"/>
    <w:p>
      <w:pPr>
        <w:pStyle w:val="Bibliography"/>
      </w:pPr>
      <w:r>
        <w:t xml:space="preserve">58.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303"/>
    <w:bookmarkStart w:id="304" w:name="ref-larsson2017c"/>
    <w:p>
      <w:pPr>
        <w:pStyle w:val="Bibliography"/>
      </w:pPr>
      <w:r>
        <w:t xml:space="preserve">59.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04"/>
    <w:bookmarkStart w:id="305" w:name="ref-ostergaard2015"/>
    <w:p>
      <w:pPr>
        <w:pStyle w:val="Bibliography"/>
      </w:pPr>
      <w:r>
        <w:t xml:space="preserve">60.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305"/>
    <w:bookmarkStart w:id="306" w:name="ref-kim2009"/>
    <w:p>
      <w:pPr>
        <w:pStyle w:val="Bibliography"/>
      </w:pPr>
      <w:r>
        <w:t xml:space="preserve">61.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306"/>
    <w:bookmarkStart w:id="307" w:name="ref-benn2017"/>
    <w:p>
      <w:pPr>
        <w:pStyle w:val="Bibliography"/>
      </w:pPr>
      <w:r>
        <w:t xml:space="preserve">62.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307"/>
    <w:bookmarkStart w:id="308" w:name="ref-donnelly2018a"/>
    <w:p>
      <w:pPr>
        <w:pStyle w:val="Bibliography"/>
      </w:pPr>
      <w:r>
        <w:t xml:space="preserve">63.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308"/>
    <w:bookmarkStart w:id="309" w:name="ref-chandler2019chapter"/>
    <w:p>
      <w:pPr>
        <w:pStyle w:val="Bibliography"/>
      </w:pPr>
      <w:r>
        <w:t xml:space="preserve">64.</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309"/>
    <w:bookmarkStart w:id="310" w:name="ref-conn2003"/>
    <w:p>
      <w:pPr>
        <w:pStyle w:val="Bibliography"/>
      </w:pPr>
      <w:r>
        <w:t xml:space="preserve">65.</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310"/>
    <w:bookmarkStart w:id="311" w:name="ref-mcauley2000"/>
    <w:p>
      <w:pPr>
        <w:pStyle w:val="Bibliography"/>
      </w:pPr>
      <w:r>
        <w:t xml:space="preserve">66.</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311"/>
    <w:bookmarkStart w:id="313" w:name="ref-hopewell2007"/>
    <w:p>
      <w:pPr>
        <w:pStyle w:val="Bibliography"/>
      </w:pPr>
      <w:r>
        <w:t xml:space="preserve">67.</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312">
        <w:r>
          <w:rPr>
            <w:rStyle w:val="Hyperlink"/>
          </w:rPr>
          <w:t xml:space="preserve">10.1002/14651858.MR000010.pub3</w:t>
        </w:r>
      </w:hyperlink>
    </w:p>
    <w:bookmarkEnd w:id="313"/>
    <w:bookmarkStart w:id="314" w:name="ref-lefebvre2019searching"/>
    <w:p>
      <w:pPr>
        <w:pStyle w:val="Bibliography"/>
      </w:pPr>
      <w:r>
        <w:t xml:space="preserve">68.</w:t>
      </w:r>
      <w:r>
        <w:t xml:space="preserve"> </w:t>
      </w:r>
      <w:r>
        <w:t xml:space="preserve">	</w:t>
      </w:r>
      <w:r>
        <w:t xml:space="preserve">Lefebvre, C.</w:t>
      </w:r>
      <w:r>
        <w:t xml:space="preserve"> </w:t>
      </w:r>
      <w:r>
        <w:rPr>
          <w:iCs/>
          <w:i/>
        </w:rPr>
        <w:t xml:space="preserve">et al.</w:t>
      </w:r>
      <w:r>
        <w:t xml:space="preserve"> Section 4.4.4 -</w:t>
      </w:r>
      <w:r>
        <w:t xml:space="preserve">Searching</w:t>
      </w:r>
      <w:r>
        <w:t xml:space="preserve"> </w:t>
      </w:r>
      <w:r>
        <w:t xml:space="preserve">for and selecting studies:</w:t>
      </w:r>
      <w:r>
        <w:t xml:space="preserve"> </w:t>
      </w:r>
      <w:r>
        <w:t xml:space="preserve">Controlled</w:t>
      </w:r>
      <w:r>
        <w:t xml:space="preserve"> </w:t>
      </w:r>
      <w:r>
        <w:t xml:space="preserve">vocabulary and text words.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t xml:space="preserve"> </w:t>
      </w:r>
      <w:r>
        <w:t xml:space="preserve">(eds. Higgins, J. et al.) (</w:t>
      </w:r>
      <w:r>
        <w:t xml:space="preserve">Cochrane</w:t>
      </w:r>
      <w:r>
        <w:t xml:space="preserve">, 2021).</w:t>
      </w:r>
    </w:p>
    <w:bookmarkEnd w:id="314"/>
    <w:bookmarkStart w:id="315" w:name="ref-committeeonpublicationethicscope2018"/>
    <w:p>
      <w:pPr>
        <w:pStyle w:val="Bibliography"/>
      </w:pPr>
      <w:r>
        <w:t xml:space="preserve">69.</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315"/>
    <w:bookmarkStart w:id="316" w:name="ref-vale2016"/>
    <w:p>
      <w:pPr>
        <w:pStyle w:val="Bibliography"/>
      </w:pPr>
      <w:r>
        <w:t xml:space="preserve">70.</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316"/>
    <w:bookmarkStart w:id="317" w:name="ref-rosenthal1979"/>
    <w:p>
      <w:pPr>
        <w:pStyle w:val="Bibliography"/>
      </w:pPr>
      <w:r>
        <w:t xml:space="preserve">71.</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317"/>
    <w:bookmarkStart w:id="318" w:name="ref-maslove2018"/>
    <w:p>
      <w:pPr>
        <w:pStyle w:val="Bibliography"/>
      </w:pPr>
      <w:r>
        <w:t xml:space="preserve">72.</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318"/>
    <w:bookmarkStart w:id="319" w:name="ref-schalkwyk2020"/>
    <w:p>
      <w:pPr>
        <w:pStyle w:val="Bibliography"/>
      </w:pPr>
      <w:r>
        <w:t xml:space="preserve">73.</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319"/>
    <w:bookmarkStart w:id="320" w:name="ref-mahood2014"/>
    <w:p>
      <w:pPr>
        <w:pStyle w:val="Bibliography"/>
      </w:pPr>
      <w:r>
        <w:t xml:space="preserve">74.</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320"/>
    <w:bookmarkStart w:id="321" w:name="ref-klein2019"/>
    <w:p>
      <w:pPr>
        <w:pStyle w:val="Bibliography"/>
      </w:pPr>
      <w:r>
        <w:t xml:space="preserve">75.</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321"/>
    <w:bookmarkStart w:id="323" w:name="ref-nicholson2021"/>
    <w:p>
      <w:pPr>
        <w:pStyle w:val="Bibliography"/>
      </w:pPr>
      <w:r>
        <w:t xml:space="preserve">76.</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322">
        <w:r>
          <w:rPr>
            <w:rStyle w:val="Hyperlink"/>
          </w:rPr>
          <w:t xml:space="preserve">10.1101/2021.03.04.433874</w:t>
        </w:r>
      </w:hyperlink>
    </w:p>
    <w:bookmarkEnd w:id="323"/>
    <w:bookmarkStart w:id="324" w:name="ref-munafo2018"/>
    <w:p>
      <w:pPr>
        <w:pStyle w:val="Bibliography"/>
      </w:pPr>
      <w:r>
        <w:t xml:space="preserve">77.</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324"/>
    <w:bookmarkStart w:id="325" w:name="ref-page2021"/>
    <w:p>
      <w:pPr>
        <w:pStyle w:val="Bibliography"/>
      </w:pPr>
      <w:r>
        <w:t xml:space="preserve">78.</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325"/>
    <w:bookmarkStart w:id="326" w:name="ref-mcguinness2018"/>
    <w:p>
      <w:pPr>
        <w:pStyle w:val="Bibliography"/>
      </w:pPr>
      <w:r>
        <w:t xml:space="preserve">79.</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326"/>
    <w:bookmarkStart w:id="327" w:name="ref-riley2010"/>
    <w:p>
      <w:pPr>
        <w:pStyle w:val="Bibliography"/>
      </w:pPr>
      <w:r>
        <w:t xml:space="preserve">80.</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327"/>
    <w:bookmarkStart w:id="328" w:name="ref-stewart1993"/>
    <w:p>
      <w:pPr>
        <w:pStyle w:val="Bibliography"/>
      </w:pPr>
      <w:r>
        <w:t xml:space="preserve">81.</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328"/>
    <w:bookmarkStart w:id="329" w:name="ref-arain2009"/>
    <w:p>
      <w:pPr>
        <w:pStyle w:val="Bibliography"/>
      </w:pPr>
      <w:r>
        <w:t xml:space="preserve">82.</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329"/>
    <w:bookmarkStart w:id="330" w:name="ref-clayton2018"/>
    <w:p>
      <w:pPr>
        <w:pStyle w:val="Bibliography"/>
      </w:pPr>
      <w:r>
        <w:t xml:space="preserve">83.</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330"/>
    <w:bookmarkStart w:id="331" w:name="ref-mccartney2016"/>
    <w:p>
      <w:pPr>
        <w:pStyle w:val="Bibliography"/>
      </w:pPr>
      <w:r>
        <w:t xml:space="preserve">84.</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331"/>
    <w:bookmarkStart w:id="332" w:name="ref-letenneur1999"/>
    <w:p>
      <w:pPr>
        <w:pStyle w:val="Bibliography"/>
      </w:pPr>
      <w:r>
        <w:t xml:space="preserve">85.</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332"/>
    <w:bookmarkStart w:id="333" w:name="ref-riley2020"/>
    <w:p>
      <w:pPr>
        <w:pStyle w:val="Bibliography"/>
      </w:pPr>
      <w:r>
        <w:t xml:space="preserve">86.</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w:t>
      </w:r>
      <w:r>
        <w:t xml:space="preserve"> </w:t>
      </w:r>
      <w:r>
        <w:t xml:space="preserve">Statistical</w:t>
      </w:r>
      <w:r>
        <w:t xml:space="preserve"> </w:t>
      </w:r>
      <w:r>
        <w:t xml:space="preserve">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333"/>
    <w:bookmarkStart w:id="334" w:name="ref-stewart2002"/>
    <w:p>
      <w:pPr>
        <w:pStyle w:val="Bibliography"/>
      </w:pPr>
      <w:r>
        <w:t xml:space="preserve">87.</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334"/>
    <w:bookmarkStart w:id="335" w:name="ref-tugwell2010"/>
    <w:p>
      <w:pPr>
        <w:pStyle w:val="Bibliography"/>
      </w:pPr>
      <w:r>
        <w:t xml:space="preserve">88.</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335"/>
    <w:bookmarkStart w:id="336" w:name="ref-nevitt2017a"/>
    <w:p>
      <w:pPr>
        <w:pStyle w:val="Bibliography"/>
      </w:pPr>
      <w:r>
        <w:t xml:space="preserve">89.</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j1390 (2017).</w:t>
      </w:r>
    </w:p>
    <w:bookmarkEnd w:id="336"/>
    <w:bookmarkStart w:id="337" w:name="ref-ventresca2020"/>
    <w:p>
      <w:pPr>
        <w:pStyle w:val="Bibliography"/>
      </w:pPr>
      <w:r>
        <w:t xml:space="preserve">90.</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337"/>
    <w:bookmarkStart w:id="338" w:name="ref-alsheikh-ali2011"/>
    <w:p>
      <w:pPr>
        <w:pStyle w:val="Bibliography"/>
      </w:pPr>
      <w:r>
        <w:t xml:space="preserve">91.</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338"/>
    <w:bookmarkStart w:id="339" w:name="ref-vines2014"/>
    <w:p>
      <w:pPr>
        <w:pStyle w:val="Bibliography"/>
      </w:pPr>
      <w:r>
        <w:t xml:space="preserve">92.</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339"/>
    <w:bookmarkStart w:id="340" w:name="ref-wartenberg2010"/>
    <w:p>
      <w:pPr>
        <w:pStyle w:val="Bibliography"/>
      </w:pPr>
      <w:r>
        <w:t xml:space="preserve">93.</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340"/>
    <w:bookmarkStart w:id="341" w:name="ref-bauermeister2020"/>
    <w:p>
      <w:pPr>
        <w:pStyle w:val="Bibliography"/>
      </w:pPr>
      <w:r>
        <w:t xml:space="preserve">94.</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341"/>
    <w:bookmarkStart w:id="342" w:name="ref-rawlinson2019"/>
    <w:p>
      <w:pPr>
        <w:pStyle w:val="Bibliography"/>
      </w:pPr>
      <w:r>
        <w:t xml:space="preserve">95.</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342"/>
    <w:bookmarkStart w:id="344" w:name="ref-sever2019"/>
    <w:p>
      <w:pPr>
        <w:pStyle w:val="Bibliography"/>
      </w:pPr>
      <w:r>
        <w:t xml:space="preserve">96.</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343">
        <w:r>
          <w:rPr>
            <w:rStyle w:val="Hyperlink"/>
          </w:rPr>
          <w:t xml:space="preserve">10.1101/833400</w:t>
        </w:r>
      </w:hyperlink>
    </w:p>
    <w:bookmarkEnd w:id="344"/>
    <w:bookmarkStart w:id="345" w:name="ref-bramer2018a"/>
    <w:p>
      <w:pPr>
        <w:pStyle w:val="Bibliography"/>
      </w:pPr>
      <w:r>
        <w:t xml:space="preserve">97.</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345"/>
    <w:bookmarkStart w:id="346" w:name="ref-gusenbauer2020"/>
    <w:p>
      <w:pPr>
        <w:pStyle w:val="Bibliography"/>
      </w:pPr>
      <w:r>
        <w:t xml:space="preserve">98.</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46"/>
    <w:bookmarkStart w:id="347" w:name="ref-zotero-15029"/>
    <w:p>
      <w:pPr>
        <w:pStyle w:val="Bibliography"/>
      </w:pPr>
      <w:r>
        <w:t xml:space="preserve">99.</w:t>
      </w:r>
      <w:r>
        <w:t xml:space="preserve"> </w:t>
      </w:r>
      <w:r>
        <w:t xml:space="preserve">	</w:t>
      </w:r>
      <w:r>
        <w:t xml:space="preserve">Ropensci/medrxivr:</w:t>
      </w:r>
      <w:r>
        <w:t xml:space="preserve"> </w:t>
      </w:r>
      <w:r>
        <w:t xml:space="preserve">Access</w:t>
      </w:r>
      <w:r>
        <w:t xml:space="preserve"> </w:t>
      </w:r>
      <w:r>
        <w:t xml:space="preserve">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347"/>
    <w:bookmarkStart w:id="348" w:name="ref-wateridge1995"/>
    <w:p>
      <w:pPr>
        <w:pStyle w:val="Bibliography"/>
      </w:pPr>
      <w:r>
        <w:t xml:space="preserve">100.</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348"/>
    <w:bookmarkStart w:id="349" w:name="ref-abdill2019"/>
    <w:p>
      <w:pPr>
        <w:pStyle w:val="Bibliography"/>
      </w:pPr>
      <w:r>
        <w:t xml:space="preserve">101.</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349"/>
    <w:bookmarkStart w:id="350" w:name="ref-zotero-15027"/>
    <w:p>
      <w:pPr>
        <w:pStyle w:val="Bibliography"/>
      </w:pPr>
      <w:r>
        <w:t xml:space="preserve">102.</w:t>
      </w:r>
      <w:r>
        <w:t xml:space="preserve"> </w:t>
      </w:r>
      <w:r>
        <w:t xml:space="preserve">	</w:t>
      </w:r>
      <w:r>
        <w:t xml:space="preserve">Rxivist:</w:t>
      </w:r>
      <w:r>
        <w:t xml:space="preserve"> </w:t>
      </w:r>
      <w:r>
        <w:t xml:space="preserve">Explore</w:t>
      </w:r>
      <w:r>
        <w:t xml:space="preserve"> </w:t>
      </w:r>
      <w:r>
        <w:t xml:space="preserve">popular biology preprints.</w:t>
      </w:r>
    </w:p>
    <w:bookmarkEnd w:id="350"/>
    <w:bookmarkStart w:id="351" w:name="ref-iwema2016"/>
    <w:p>
      <w:pPr>
        <w:pStyle w:val="Bibliography"/>
      </w:pPr>
      <w:r>
        <w:t xml:space="preserve">103.</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351"/>
    <w:bookmarkStart w:id="353" w:name="ref-shaw2002"/>
    <w:p>
      <w:pPr>
        <w:pStyle w:val="Bibliography"/>
      </w:pPr>
      <w:r>
        <w:t xml:space="preserve">104.</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52">
        <w:r>
          <w:rPr>
            <w:rStyle w:val="Hyperlink"/>
          </w:rPr>
          <w:t xml:space="preserve">10.1145/582128.582152</w:t>
        </w:r>
      </w:hyperlink>
    </w:p>
    <w:bookmarkEnd w:id="353"/>
    <w:bookmarkStart w:id="354" w:name="ref-laprie1992"/>
    <w:p>
      <w:pPr>
        <w:pStyle w:val="Bibliography"/>
      </w:pPr>
      <w:r>
        <w:t xml:space="preserve">105.</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54"/>
    <w:bookmarkStart w:id="355" w:name="ref-rcoreteam2019"/>
    <w:p>
      <w:pPr>
        <w:pStyle w:val="Bibliography"/>
      </w:pPr>
      <w:r>
        <w:t xml:space="preserve">106.</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55"/>
    <w:bookmarkStart w:id="356" w:name="ref-zotero-15031"/>
    <w:p>
      <w:pPr>
        <w:pStyle w:val="Bibliography"/>
      </w:pPr>
      <w:r>
        <w:t xml:space="preserve">107.</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356"/>
    <w:bookmarkStart w:id="357" w:name="ref-rethlefsen2021prisma"/>
    <w:p>
      <w:pPr>
        <w:pStyle w:val="Bibliography"/>
      </w:pPr>
      <w:r>
        <w:t xml:space="preserve">108.</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357"/>
    <w:bookmarkStart w:id="358" w:name="ref-bramer2018"/>
    <w:p>
      <w:pPr>
        <w:pStyle w:val="Bibliography"/>
      </w:pPr>
      <w:r>
        <w:t xml:space="preserve">109.</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58"/>
    <w:bookmarkStart w:id="360" w:name="ref-kodvanj2020"/>
    <w:p>
      <w:pPr>
        <w:pStyle w:val="Bibliography"/>
      </w:pPr>
      <w:r>
        <w:t xml:space="preserve">110.</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59">
        <w:r>
          <w:rPr>
            <w:rStyle w:val="Hyperlink"/>
          </w:rPr>
          <w:t xml:space="preserve">10.1101/2020.11.23.394577</w:t>
        </w:r>
      </w:hyperlink>
    </w:p>
    <w:bookmarkEnd w:id="360"/>
    <w:bookmarkStart w:id="361" w:name="ref-noone2020"/>
    <w:p>
      <w:pPr>
        <w:pStyle w:val="Bibliography"/>
      </w:pPr>
      <w:r>
        <w:t xml:space="preserve">111.</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61"/>
    <w:bookmarkStart w:id="362" w:name="ref-grassly2020"/>
    <w:p>
      <w:pPr>
        <w:pStyle w:val="Bibliography"/>
      </w:pPr>
      <w:r>
        <w:t xml:space="preserve">112.</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62"/>
    <w:bookmarkStart w:id="363" w:name="ref-boettiger2015"/>
    <w:p>
      <w:pPr>
        <w:pStyle w:val="Bibliography"/>
      </w:pPr>
      <w:r>
        <w:t xml:space="preserve">113.</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63"/>
    <w:bookmarkStart w:id="364" w:name="ref-zotero-15016"/>
    <w:p>
      <w:pPr>
        <w:pStyle w:val="Bibliography"/>
      </w:pPr>
      <w:r>
        <w:t xml:space="preserve">114.</w:t>
      </w:r>
      <w:r>
        <w:t xml:space="preserve"> </w:t>
      </w:r>
      <w:r>
        <w:t xml:space="preserve">	</w:t>
      </w:r>
      <w:r>
        <w:t xml:space="preserve">Issue #380 - medrxivr:</w:t>
      </w:r>
      <w:r>
        <w:t xml:space="preserve"> </w:t>
      </w:r>
      <w:r>
        <w:t xml:space="preserve">Accessing</w:t>
      </w:r>
      <w:r>
        <w:t xml:space="preserve"> </w:t>
      </w:r>
      <w:r>
        <w:t xml:space="preserve">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364"/>
    <w:bookmarkStart w:id="366" w:name="ref-bong2019"/>
    <w:p>
      <w:pPr>
        <w:pStyle w:val="Bibliography"/>
      </w:pPr>
      <w:r>
        <w:t xml:space="preserve">115.</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65">
        <w:r>
          <w:rPr>
            <w:rStyle w:val="Hyperlink"/>
          </w:rPr>
          <w:t xml:space="preserve">10.1101/19000265</w:t>
        </w:r>
      </w:hyperlink>
    </w:p>
    <w:bookmarkEnd w:id="366"/>
    <w:bookmarkStart w:id="367" w:name="ref-song2010"/>
    <w:p>
      <w:pPr>
        <w:pStyle w:val="Bibliography"/>
      </w:pPr>
      <w:r>
        <w:t xml:space="preserve">116.</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67"/>
    <w:bookmarkStart w:id="368" w:name="ref-abdill2019b"/>
    <w:p>
      <w:pPr>
        <w:pStyle w:val="Bibliography"/>
      </w:pPr>
      <w:r>
        <w:t xml:space="preserve">117.</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368"/>
    <w:bookmarkStart w:id="370" w:name="ref-vuorre2020"/>
    <w:p>
      <w:pPr>
        <w:pStyle w:val="Bibliography"/>
      </w:pPr>
      <w:r>
        <w:t xml:space="preserve">118.</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369">
        <w:r>
          <w:rPr>
            <w:rStyle w:val="Hyperlink"/>
          </w:rPr>
          <w:t xml:space="preserve">10.3758/s13428-020-01436-x</w:t>
        </w:r>
      </w:hyperlink>
    </w:p>
    <w:bookmarkEnd w:id="370"/>
    <w:bookmarkStart w:id="372" w:name="ref-mcguinnessluke2020"/>
    <w:p>
      <w:pPr>
        <w:pStyle w:val="Bibliography"/>
      </w:pPr>
      <w:r>
        <w:t xml:space="preserve">119.</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371">
        <w:r>
          <w:rPr>
            <w:rStyle w:val="Hyperlink"/>
          </w:rPr>
          <w:t xml:space="preserve">10.17605/OSF.IO/VTW5Y</w:t>
        </w:r>
      </w:hyperlink>
    </w:p>
    <w:bookmarkEnd w:id="372"/>
    <w:bookmarkStart w:id="373" w:name="ref-bramer2016"/>
    <w:p>
      <w:pPr>
        <w:pStyle w:val="Bibliography"/>
      </w:pPr>
      <w:r>
        <w:t xml:space="preserve">120.</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373"/>
    <w:bookmarkStart w:id="374" w:name="ref-hupe2019"/>
    <w:p>
      <w:pPr>
        <w:pStyle w:val="Bibliography"/>
      </w:pPr>
      <w:r>
        <w:t xml:space="preserve">121.</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374"/>
    <w:bookmarkStart w:id="375" w:name="ref-ouzzani2016"/>
    <w:p>
      <w:pPr>
        <w:pStyle w:val="Bibliography"/>
      </w:pPr>
      <w:r>
        <w:t xml:space="preserve">122.</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375"/>
    <w:bookmarkStart w:id="376" w:name="ref-petersen1999"/>
    <w:p>
      <w:pPr>
        <w:pStyle w:val="Bibliography"/>
      </w:pPr>
      <w:r>
        <w:t xml:space="preserve">123.</w:t>
      </w:r>
      <w:r>
        <w:t xml:space="preserve"> </w:t>
      </w:r>
      <w:r>
        <w:t xml:space="preserve">	</w:t>
      </w:r>
      <w:r>
        <w:t xml:space="preserve">Petersen, R. C.</w:t>
      </w:r>
      <w:r>
        <w:t xml:space="preserve"> </w:t>
      </w:r>
      <w:r>
        <w:rPr>
          <w:iCs/>
          <w:i/>
        </w:rPr>
        <w:t xml:space="preserve">et al.</w:t>
      </w:r>
      <w:r>
        <w:t xml:space="preserve"> Mild cognitive impairment: Clinical characterization and outcome.</w:t>
      </w:r>
      <w:r>
        <w:t xml:space="preserve"> </w:t>
      </w:r>
      <w:r>
        <w:rPr>
          <w:iCs/>
          <w:i/>
        </w:rPr>
        <w:t xml:space="preserve">Archives of Neurology</w:t>
      </w:r>
      <w:r>
        <w:t xml:space="preserve"> </w:t>
      </w:r>
      <w:r>
        <w:rPr>
          <w:bCs/>
          <w:b/>
        </w:rPr>
        <w:t xml:space="preserve">56</w:t>
      </w:r>
      <w:r>
        <w:t xml:space="preserve">, 303–308 (1999).</w:t>
      </w:r>
    </w:p>
    <w:bookmarkEnd w:id="376"/>
    <w:bookmarkStart w:id="377" w:name="ref-gwet2008"/>
    <w:p>
      <w:pPr>
        <w:pStyle w:val="Bibliography"/>
      </w:pPr>
      <w:r>
        <w:t xml:space="preserve">124.</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377"/>
    <w:bookmarkStart w:id="378" w:name="ref-cohen1960"/>
    <w:p>
      <w:pPr>
        <w:pStyle w:val="Bibliography"/>
      </w:pPr>
      <w:r>
        <w:t xml:space="preserve">125.</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378"/>
    <w:bookmarkStart w:id="379" w:name="ref-wongpakaran2013"/>
    <w:p>
      <w:pPr>
        <w:pStyle w:val="Bibliography"/>
      </w:pPr>
      <w:r>
        <w:t xml:space="preserve">126.</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379"/>
    <w:bookmarkStart w:id="380" w:name="ref-brennan1992"/>
    <w:p>
      <w:pPr>
        <w:pStyle w:val="Bibliography"/>
      </w:pPr>
      <w:r>
        <w:t xml:space="preserve">127.</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380"/>
    <w:bookmarkStart w:id="381" w:name="ref-mchugh2012"/>
    <w:p>
      <w:pPr>
        <w:pStyle w:val="Bibliography"/>
      </w:pPr>
      <w:r>
        <w:t xml:space="preserve">128.</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381"/>
    <w:bookmarkStart w:id="382" w:name="ref-reynders2019"/>
    <w:p>
      <w:pPr>
        <w:pStyle w:val="Bibliography"/>
      </w:pPr>
      <w:r>
        <w:t xml:space="preserve">129.</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382"/>
    <w:bookmarkStart w:id="383" w:name="ref-sterne2016"/>
    <w:p>
      <w:pPr>
        <w:pStyle w:val="Bibliography"/>
      </w:pPr>
      <w:r>
        <w:t xml:space="preserve">130.</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383"/>
    <w:bookmarkStart w:id="384" w:name="ref-campbell1957"/>
    <w:p>
      <w:pPr>
        <w:pStyle w:val="Bibliography"/>
      </w:pPr>
      <w:r>
        <w:t xml:space="preserve">131.</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384"/>
    <w:bookmarkStart w:id="385" w:name="ref-juni2001"/>
    <w:p>
      <w:pPr>
        <w:pStyle w:val="Bibliography"/>
      </w:pPr>
      <w:r>
        <w:t xml:space="preserve">132.</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385"/>
    <w:bookmarkStart w:id="386" w:name="ref-sterne2019"/>
    <w:p>
      <w:pPr>
        <w:pStyle w:val="Bibliography"/>
      </w:pPr>
      <w:r>
        <w:t xml:space="preserve">133.</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386"/>
    <w:bookmarkStart w:id="387" w:name="ref-morganr2020"/>
    <w:p>
      <w:pPr>
        <w:pStyle w:val="Bibliography"/>
      </w:pPr>
      <w:r>
        <w:t xml:space="preserve">134.</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387"/>
    <w:bookmarkStart w:id="388" w:name="ref-wells2000"/>
    <w:p>
      <w:pPr>
        <w:pStyle w:val="Bibliography"/>
      </w:pPr>
      <w:r>
        <w:t xml:space="preserve">135.</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388"/>
    <w:bookmarkStart w:id="389" w:name="ref-mamluk2020"/>
    <w:p>
      <w:pPr>
        <w:pStyle w:val="Bibliography"/>
      </w:pPr>
      <w:r>
        <w:t xml:space="preserve">136.</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389"/>
    <w:bookmarkStart w:id="390" w:name="ref-mcguinness2020robvisPaper"/>
    <w:p>
      <w:pPr>
        <w:pStyle w:val="Bibliography"/>
      </w:pPr>
      <w:r>
        <w:t xml:space="preserve">137.</w:t>
      </w:r>
      <w:r>
        <w:t xml:space="preserve"> </w:t>
      </w:r>
      <w:r>
        <w:t xml:space="preserve">	</w:t>
      </w:r>
      <w:r>
        <w:t xml:space="preserve">McGuinness, L. A. &amp; Higgins, J. P. T.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390"/>
    <w:bookmarkStart w:id="391" w:name="ref-zotero-14999"/>
    <w:p>
      <w:pPr>
        <w:pStyle w:val="Bibliography"/>
      </w:pPr>
      <w:r>
        <w:t xml:space="preserve">138.</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391"/>
    <w:bookmarkStart w:id="392" w:name="ref-feinstein1990"/>
    <w:p>
      <w:pPr>
        <w:pStyle w:val="Bibliography"/>
      </w:pPr>
      <w:r>
        <w:t xml:space="preserve">139.</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392"/>
    <w:bookmarkStart w:id="394" w:name="ref-mcguinness2016"/>
    <w:p>
      <w:pPr>
        <w:pStyle w:val="Bibliography"/>
      </w:pPr>
      <w:r>
        <w:t xml:space="preserve">140.</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393">
        <w:r>
          <w:rPr>
            <w:rStyle w:val="Hyperlink"/>
          </w:rPr>
          <w:t xml:space="preserve">10.1002/14651858.CD003160.pub3</w:t>
        </w:r>
      </w:hyperlink>
    </w:p>
    <w:bookmarkEnd w:id="394"/>
    <w:bookmarkStart w:id="395" w:name="ref-chu2018"/>
    <w:p>
      <w:pPr>
        <w:pStyle w:val="Bibliography"/>
      </w:pPr>
      <w:r>
        <w:t xml:space="preserve">141.</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95"/>
    <w:bookmarkStart w:id="396" w:name="ref-yang2020"/>
    <w:p>
      <w:pPr>
        <w:pStyle w:val="Bibliography"/>
      </w:pPr>
      <w:r>
        <w:t xml:space="preserve">142.</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396"/>
    <w:bookmarkStart w:id="398" w:name="ref-muangpaisan2010"/>
    <w:p>
      <w:pPr>
        <w:pStyle w:val="Bibliography"/>
      </w:pPr>
      <w:r>
        <w:t xml:space="preserve">143.</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397">
        <w:r>
          <w:rPr>
            <w:rStyle w:val="Hyperlink"/>
          </w:rPr>
          <w:t xml:space="preserve">10.1111/j.1447-0594.2009.00579.x</w:t>
        </w:r>
      </w:hyperlink>
    </w:p>
    <w:bookmarkEnd w:id="398"/>
    <w:bookmarkStart w:id="399" w:name="ref-poly2020"/>
    <w:p>
      <w:pPr>
        <w:pStyle w:val="Bibliography"/>
      </w:pPr>
      <w:r>
        <w:t xml:space="preserve">144.</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99"/>
    <w:bookmarkStart w:id="400" w:name="ref-kuzma2018a"/>
    <w:p>
      <w:pPr>
        <w:pStyle w:val="Bibliography"/>
      </w:pPr>
      <w:r>
        <w:t xml:space="preserve">145.</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w:t>
      </w:r>
      <w:r>
        <w:t xml:space="preserve"> </w:t>
      </w:r>
      <w:r>
        <w:t xml:space="preserve">A 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400"/>
    <w:bookmarkStart w:id="402" w:name="ref-zhu2017"/>
    <w:p>
      <w:pPr>
        <w:pStyle w:val="Bibliography"/>
      </w:pPr>
      <w:r>
        <w:t xml:space="preserve">146.</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401">
        <w:r>
          <w:rPr>
            <w:rStyle w:val="Hyperlink"/>
          </w:rPr>
          <w:t xml:space="preserve">10.1101/168674</w:t>
        </w:r>
      </w:hyperlink>
    </w:p>
    <w:bookmarkEnd w:id="402"/>
    <w:bookmarkStart w:id="403" w:name="ref-zhu2018"/>
    <w:p>
      <w:pPr>
        <w:pStyle w:val="Bibliography"/>
      </w:pPr>
      <w:r>
        <w:t xml:space="preserve">147.</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403"/>
    <w:bookmarkStart w:id="404" w:name="ref-sohani2015"/>
    <w:p>
      <w:pPr>
        <w:pStyle w:val="Bibliography"/>
      </w:pPr>
      <w:r>
        <w:t xml:space="preserve">148.</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404"/>
    <w:bookmarkStart w:id="405" w:name="ref-larsson2017b"/>
    <w:p>
      <w:pPr>
        <w:pStyle w:val="Bibliography"/>
      </w:pPr>
      <w:r>
        <w:t xml:space="preserve">149.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405"/>
    <w:bookmarkStart w:id="406" w:name="ref-waffenschmidt2020"/>
    <w:p>
      <w:pPr>
        <w:pStyle w:val="Bibliography"/>
      </w:pPr>
      <w:r>
        <w:t xml:space="preserve">150.</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406"/>
    <w:bookmarkStart w:id="407" w:name="ref-wagner2020"/>
    <w:p>
      <w:pPr>
        <w:pStyle w:val="Bibliography"/>
      </w:pPr>
      <w:r>
        <w:t xml:space="preserve">151.</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407"/>
    <w:bookmarkStart w:id="408" w:name="ref-booth2011"/>
    <w:p>
      <w:pPr>
        <w:pStyle w:val="Bibliography"/>
      </w:pPr>
      <w:r>
        <w:t xml:space="preserve">152.</w:t>
      </w:r>
      <w:r>
        <w:t xml:space="preserve"> </w:t>
      </w:r>
      <w:r>
        <w:t xml:space="preserve">	</w:t>
      </w:r>
      <w:r>
        <w:t xml:space="preserve">Booth, A.</w:t>
      </w:r>
      <w:r>
        <w:t xml:space="preserve"> </w:t>
      </w:r>
      <w:r>
        <w:rPr>
          <w:iCs/>
          <w:i/>
        </w:rPr>
        <w:t xml:space="preserve">et al.</w:t>
      </w:r>
      <w:r>
        <w:t xml:space="preserve"> An international registry of systematic-review protocols.</w:t>
      </w:r>
      <w:r>
        <w:t xml:space="preserve"> </w:t>
      </w:r>
      <w:r>
        <w:rPr>
          <w:iCs/>
          <w:i/>
        </w:rPr>
        <w:t xml:space="preserve">The Lancet</w:t>
      </w:r>
      <w:r>
        <w:t xml:space="preserve"> </w:t>
      </w:r>
      <w:r>
        <w:rPr>
          <w:bCs/>
          <w:b/>
        </w:rPr>
        <w:t xml:space="preserve">377</w:t>
      </w:r>
      <w:r>
        <w:t xml:space="preserve">, 108–109 (2011).</w:t>
      </w:r>
    </w:p>
    <w:bookmarkEnd w:id="408"/>
    <w:bookmarkStart w:id="409" w:name="ref-danko2019"/>
    <w:p>
      <w:pPr>
        <w:pStyle w:val="Bibliography"/>
      </w:pPr>
      <w:r>
        <w:t xml:space="preserve">153.</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409"/>
    <w:bookmarkStart w:id="410" w:name="ref-meursingereynders2019"/>
    <w:p>
      <w:pPr>
        <w:pStyle w:val="Bibliography"/>
      </w:pPr>
      <w:r>
        <w:t xml:space="preserve">154.</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410"/>
    <w:bookmarkStart w:id="411" w:name="ref-cooper2019"/>
    <w:p>
      <w:pPr>
        <w:pStyle w:val="Bibliography"/>
      </w:pPr>
      <w:r>
        <w:t xml:space="preserve">155.</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411"/>
    <w:bookmarkStart w:id="412" w:name="ref-hennessy2021"/>
    <w:p>
      <w:pPr>
        <w:pStyle w:val="Bibliography"/>
      </w:pPr>
      <w:r>
        <w:t xml:space="preserve">156.</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54">
        <w:r>
          <w:rPr>
            <w:rStyle w:val="Hyperlink"/>
          </w:rPr>
          <w:t xml:space="preserve">10.1007/s11121-021-01279-8</w:t>
        </w:r>
      </w:hyperlink>
    </w:p>
    <w:bookmarkEnd w:id="412"/>
    <w:bookmarkStart w:id="413" w:name="ref-hsieh2019"/>
    <w:p>
      <w:pPr>
        <w:pStyle w:val="Bibliography"/>
      </w:pPr>
      <w:r>
        <w:t xml:space="preserve">157.</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413"/>
    <w:bookmarkStart w:id="414" w:name="ref-mcguinness2019validity"/>
    <w:p>
      <w:pPr>
        <w:pStyle w:val="Bibliography"/>
      </w:pPr>
      <w:r>
        <w:t xml:space="preserve">158.</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414"/>
    <w:bookmarkStart w:id="415" w:name="ref-wilkinson2018"/>
    <w:p>
      <w:pPr>
        <w:pStyle w:val="Bibliography"/>
      </w:pPr>
      <w:r>
        <w:t xml:space="preserve">159.</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415"/>
    <w:bookmarkStart w:id="416" w:name="ref-walker2016"/>
    <w:p>
      <w:pPr>
        <w:pStyle w:val="Bibliography"/>
      </w:pPr>
      <w:r>
        <w:t xml:space="preserve">160.</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416"/>
    <w:bookmarkStart w:id="417" w:name="ref-vonelm2008"/>
    <w:p>
      <w:pPr>
        <w:pStyle w:val="Bibliography"/>
      </w:pPr>
      <w:r>
        <w:t xml:space="preserve">161.</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417"/>
    <w:bookmarkStart w:id="418" w:name="ref-herrett2015"/>
    <w:p>
      <w:pPr>
        <w:pStyle w:val="Bibliography"/>
      </w:pPr>
      <w:r>
        <w:t xml:space="preserve">162.</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418"/>
    <w:bookmarkStart w:id="419" w:name="ref-williams2012"/>
    <w:p>
      <w:pPr>
        <w:pStyle w:val="Bibliography"/>
      </w:pPr>
      <w:r>
        <w:t xml:space="preserve">163.</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419"/>
    <w:bookmarkStart w:id="420" w:name="ref-wood2001revitalizing"/>
    <w:p>
      <w:pPr>
        <w:pStyle w:val="Bibliography"/>
      </w:pPr>
      <w:r>
        <w:t xml:space="preserve">164.</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420"/>
    <w:bookmarkStart w:id="421" w:name="ref-mathur2014"/>
    <w:p>
      <w:pPr>
        <w:pStyle w:val="Bibliography"/>
      </w:pPr>
      <w:r>
        <w:t xml:space="preserve">165.</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421"/>
    <w:bookmarkStart w:id="422" w:name="ref-booth1994"/>
    <w:p>
      <w:pPr>
        <w:pStyle w:val="Bibliography"/>
      </w:pPr>
      <w:r>
        <w:t xml:space="preserve">166.</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422"/>
    <w:bookmarkStart w:id="423" w:name="ref-wolf2019"/>
    <w:p>
      <w:pPr>
        <w:pStyle w:val="Bibliography"/>
      </w:pPr>
      <w:r>
        <w:t xml:space="preserve">167.</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423"/>
    <w:bookmarkStart w:id="424" w:name="ref-wishart2017"/>
    <w:p>
      <w:pPr>
        <w:pStyle w:val="Bibliography"/>
      </w:pPr>
      <w:r>
        <w:t xml:space="preserve">168.</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424"/>
    <w:bookmarkStart w:id="425" w:name="ref-charlson1987new"/>
    <w:p>
      <w:pPr>
        <w:pStyle w:val="Bibliography"/>
      </w:pPr>
      <w:r>
        <w:t xml:space="preserve">169.</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425"/>
    <w:bookmarkStart w:id="426" w:name="ref-wells2013strategies"/>
    <w:p>
      <w:pPr>
        <w:pStyle w:val="Bibliography"/>
      </w:pPr>
      <w:r>
        <w:t xml:space="preserve">170.</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426"/>
    <w:bookmarkStart w:id="427" w:name="ref-sterne2009"/>
    <w:p>
      <w:pPr>
        <w:pStyle w:val="Bibliography"/>
      </w:pPr>
      <w:r>
        <w:t xml:space="preserve">171.</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427"/>
    <w:bookmarkStart w:id="428" w:name="ref-moons2006using"/>
    <w:p>
      <w:pPr>
        <w:pStyle w:val="Bibliography"/>
      </w:pPr>
      <w:r>
        <w:t xml:space="preserve">172.</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428"/>
    <w:bookmarkStart w:id="429" w:name="ref-pigott2001review"/>
    <w:p>
      <w:pPr>
        <w:pStyle w:val="Bibliography"/>
      </w:pPr>
      <w:r>
        <w:t xml:space="preserve">173.</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429"/>
    <w:bookmarkStart w:id="430" w:name="ref-hughes2019"/>
    <w:p>
      <w:pPr>
        <w:pStyle w:val="Bibliography"/>
      </w:pPr>
      <w:r>
        <w:t xml:space="preserve">174.</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430"/>
    <w:bookmarkStart w:id="431" w:name="ref-levesque2010"/>
    <w:p>
      <w:pPr>
        <w:pStyle w:val="Bibliography"/>
      </w:pPr>
      <w:r>
        <w:t xml:space="preserve">175.</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431"/>
    <w:bookmarkStart w:id="432" w:name="ref-lamarca1998"/>
    <w:p>
      <w:pPr>
        <w:pStyle w:val="Bibliography"/>
      </w:pPr>
      <w:r>
        <w:t xml:space="preserve">176.</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432"/>
    <w:bookmarkStart w:id="433" w:name="ref-gail2009"/>
    <w:p>
      <w:pPr>
        <w:pStyle w:val="Bibliography"/>
      </w:pPr>
      <w:r>
        <w:t xml:space="preserve">177.</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433"/>
    <w:bookmarkStart w:id="434" w:name="ref-pencina2007"/>
    <w:p>
      <w:pPr>
        <w:pStyle w:val="Bibliography"/>
      </w:pPr>
      <w:r>
        <w:t xml:space="preserve">178.</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434"/>
    <w:bookmarkStart w:id="435" w:name="ref-lipsitch2010"/>
    <w:p>
      <w:pPr>
        <w:pStyle w:val="Bibliography"/>
      </w:pPr>
      <w:r>
        <w:t xml:space="preserve">179.</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435"/>
    <w:bookmarkStart w:id="436" w:name="ref-selva-ocallaghan2018"/>
    <w:p>
      <w:pPr>
        <w:pStyle w:val="Bibliography"/>
      </w:pPr>
      <w:r>
        <w:t xml:space="preserve">180.</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436"/>
    <w:bookmarkStart w:id="437" w:name="ref-herrett2021"/>
    <w:p>
      <w:pPr>
        <w:pStyle w:val="Bibliography"/>
      </w:pPr>
      <w:r>
        <w:t xml:space="preserve">181.</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437"/>
    <w:bookmarkStart w:id="438" w:name="ref-karalis2016"/>
    <w:p>
      <w:pPr>
        <w:pStyle w:val="Bibliography"/>
      </w:pPr>
      <w:r>
        <w:t xml:space="preserve">182.</w:t>
      </w:r>
      <w:r>
        <w:t xml:space="preserve"> </w:t>
      </w:r>
      <w:r>
        <w:t xml:space="preserve">	</w:t>
      </w:r>
      <w:r>
        <w:t xml:space="preserve">Karalis, D. G., Hill, A. N., Clifton, S. &amp; Wild, R. A. The risks of statin use in pregnancy:</w:t>
      </w:r>
      <w:r>
        <w:t xml:space="preserve"> </w:t>
      </w:r>
      <w:r>
        <w:t xml:space="preserve">A</w:t>
      </w:r>
      <w:r>
        <w:t xml:space="preserve"> </w:t>
      </w:r>
      <w:r>
        <w:t xml:space="preserve">systematic review.</w:t>
      </w:r>
      <w:r>
        <w:t xml:space="preserve"> </w:t>
      </w:r>
      <w:r>
        <w:rPr>
          <w:iCs/>
          <w:i/>
        </w:rPr>
        <w:t xml:space="preserve">Journal of Clinical Lipidology</w:t>
      </w:r>
      <w:r>
        <w:t xml:space="preserve"> </w:t>
      </w:r>
      <w:r>
        <w:rPr>
          <w:bCs/>
          <w:b/>
        </w:rPr>
        <w:t xml:space="preserve">10</w:t>
      </w:r>
      <w:r>
        <w:t xml:space="preserve">, 1081–1090 (2016 Sep-Oct).</w:t>
      </w:r>
    </w:p>
    <w:bookmarkEnd w:id="438"/>
    <w:bookmarkStart w:id="439" w:name="ref-smeeth2009"/>
    <w:p>
      <w:pPr>
        <w:pStyle w:val="Bibliography"/>
      </w:pPr>
      <w:r>
        <w:t xml:space="preserve">183.</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439"/>
    <w:bookmarkStart w:id="440" w:name="ref-salas1999"/>
    <w:p>
      <w:pPr>
        <w:pStyle w:val="Bibliography"/>
      </w:pPr>
      <w:r>
        <w:t xml:space="preserve">184.</w:t>
      </w:r>
      <w:r>
        <w:t xml:space="preserve"> </w:t>
      </w:r>
      <w:r>
        <w:t xml:space="preserve">	</w:t>
      </w:r>
      <w:r>
        <w:t xml:space="preserve">Salas, M., Hotman, A. &amp; Stricker, B. H. Confounding by</w:t>
      </w:r>
      <w:r>
        <w:t xml:space="preserve"> </w:t>
      </w:r>
      <w:r>
        <w:t xml:space="preserve">Indication</w:t>
      </w:r>
      <w:r>
        <w:t xml:space="preserve">:</w:t>
      </w:r>
      <w:r>
        <w:t xml:space="preserve"> </w:t>
      </w:r>
      <w:r>
        <w:t xml:space="preserve">An 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440"/>
    <w:bookmarkStart w:id="441" w:name="ref-suttorp2015"/>
    <w:p>
      <w:pPr>
        <w:pStyle w:val="Bibliography"/>
      </w:pPr>
      <w:r>
        <w:t xml:space="preserve">185.</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441"/>
    <w:bookmarkStart w:id="442" w:name="ref-danaei2013b"/>
    <w:p>
      <w:pPr>
        <w:pStyle w:val="Bibliography"/>
      </w:pPr>
      <w:r>
        <w:t xml:space="preserve">186.</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442"/>
    <w:bookmarkStart w:id="444" w:name="ref-korologou-linden2020"/>
    <w:p>
      <w:pPr>
        <w:pStyle w:val="Bibliography"/>
      </w:pPr>
      <w:r>
        <w:t xml:space="preserve">187.</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443">
        <w:r>
          <w:rPr>
            <w:rStyle w:val="Hyperlink"/>
          </w:rPr>
          <w:t xml:space="preserve">10.1101/2019.12.18.19013847</w:t>
        </w:r>
      </w:hyperlink>
    </w:p>
    <w:bookmarkEnd w:id="444"/>
    <w:bookmarkStart w:id="445" w:name="ref-porta2014dictionary"/>
    <w:p>
      <w:pPr>
        <w:pStyle w:val="Bibliography"/>
      </w:pPr>
      <w:r>
        <w:t xml:space="preserve">188.</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445"/>
    <w:bookmarkStart w:id="446" w:name="ref-goldacre2019c"/>
    <w:p>
      <w:pPr>
        <w:pStyle w:val="Bibliography"/>
      </w:pPr>
      <w:r>
        <w:t xml:space="preserve">189.</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446"/>
    <w:bookmarkStart w:id="447" w:name="ref-vandenbroucke2007"/>
    <w:p>
      <w:pPr>
        <w:pStyle w:val="Bibliography"/>
      </w:pPr>
      <w:r>
        <w:t xml:space="preserve">190.</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447"/>
    <w:bookmarkStart w:id="448" w:name="ref-riboli1997"/>
    <w:p>
      <w:pPr>
        <w:pStyle w:val="Bibliography"/>
      </w:pPr>
      <w:r>
        <w:t xml:space="preserve">191.</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448"/>
    <w:bookmarkStart w:id="449" w:name="ref-riboli2002"/>
    <w:p>
      <w:pPr>
        <w:pStyle w:val="Bibliography"/>
      </w:pPr>
      <w:r>
        <w:t xml:space="preserve">192.</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449"/>
    <w:bookmarkStart w:id="450" w:name="ref-fisher2017"/>
    <w:p>
      <w:pPr>
        <w:pStyle w:val="Bibliography"/>
      </w:pPr>
      <w:r>
        <w:t xml:space="preserve">193.</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450"/>
    <w:bookmarkStart w:id="451" w:name="ref-abo-zaid2013"/>
    <w:p>
      <w:pPr>
        <w:pStyle w:val="Bibliography"/>
      </w:pPr>
      <w:r>
        <w:t xml:space="preserve">194.</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451"/>
    <w:bookmarkStart w:id="452" w:name="ref-jaspers2014"/>
    <w:p>
      <w:pPr>
        <w:pStyle w:val="Bibliography"/>
      </w:pPr>
      <w:r>
        <w:t xml:space="preserve">195.</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452"/>
    <w:bookmarkStart w:id="453" w:name="ref-godolphin2019a"/>
    <w:p>
      <w:pPr>
        <w:pStyle w:val="Bibliography"/>
      </w:pPr>
      <w:r>
        <w:t xml:space="preserve">196.</w:t>
      </w:r>
      <w:r>
        <w:t xml:space="preserve"> </w:t>
      </w:r>
      <w:r>
        <w:t xml:space="preserve">	</w:t>
      </w:r>
      <w:r>
        <w:t xml:space="preserve">Godolphin, P. J., Bath, P. M. &amp; Montgomery, A. A. Short email with attachment versus long email without attachment when contacting authors to request unpublished data for a systematic review: A nested randomised trial.</w:t>
      </w:r>
      <w:r>
        <w:t xml:space="preserve"> </w:t>
      </w:r>
      <w:r>
        <w:rPr>
          <w:iCs/>
          <w:i/>
        </w:rPr>
        <w:t xml:space="preserve">BMJ Open</w:t>
      </w:r>
      <w:r>
        <w:t xml:space="preserve"> </w:t>
      </w:r>
      <w:r>
        <w:rPr>
          <w:bCs/>
          <w:b/>
        </w:rPr>
        <w:t xml:space="preserve">9</w:t>
      </w:r>
      <w:r>
        <w:t xml:space="preserve">, e025273 (2019).</w:t>
      </w:r>
    </w:p>
    <w:bookmarkEnd w:id="453"/>
    <w:bookmarkStart w:id="454" w:name="ref-yusuf1984"/>
    <w:p>
      <w:pPr>
        <w:pStyle w:val="Bibliography"/>
      </w:pPr>
      <w:r>
        <w:t xml:space="preserve">197.</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454"/>
    <w:bookmarkStart w:id="455" w:name="ref-wilson2014"/>
    <w:p>
      <w:pPr>
        <w:pStyle w:val="Bibliography"/>
      </w:pPr>
      <w:r>
        <w:t xml:space="preserve">198.</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455"/>
    <w:bookmarkStart w:id="456" w:name="ref-wilson2017"/>
    <w:p>
      <w:pPr>
        <w:pStyle w:val="Bibliography"/>
      </w:pPr>
      <w:r>
        <w:t xml:space="preserve">199.</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456"/>
    <w:bookmarkStart w:id="457" w:name="ref-simillis2020"/>
    <w:p>
      <w:pPr>
        <w:pStyle w:val="Bibliography"/>
      </w:pPr>
      <w:r>
        <w:t xml:space="preserve">200.</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457"/>
    <w:bookmarkStart w:id="458" w:name="ref-tanneru2020"/>
    <w:p>
      <w:pPr>
        <w:pStyle w:val="Bibliography"/>
      </w:pPr>
      <w:r>
        <w:t xml:space="preserve">201.</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458"/>
    <w:bookmarkEnd w:id="459"/>
    <w:bookmarkEnd w:id="460"/>
    <w:bookmarkStart w:id="461" w:name="appendix"/>
    <w:p>
      <w:pPr>
        <w:pStyle w:val="Heading1"/>
      </w:pPr>
      <w:r>
        <w:t xml:space="preserve">Appendix</w:t>
      </w:r>
    </w:p>
    <w:bookmarkEnd w:id="461"/>
    <w:bookmarkStart w:id="478" w:name="chapter-appendix-heading"/>
    <w:p>
      <w:pPr>
        <w:pStyle w:val="Heading1"/>
      </w:pPr>
      <w:r>
        <w:t xml:space="preserve">By Chapter</w:t>
      </w:r>
    </w:p>
    <w:bookmarkStart w:id="464" w:name="appendix-into"/>
    <w:p>
      <w:pPr>
        <w:pStyle w:val="Heading2"/>
      </w:pPr>
      <w:r>
        <w:t xml:space="preserve">Chapter</w:t>
      </w:r>
      <w:r>
        <w:t xml:space="preserve"> </w:t>
      </w:r>
      <w:r>
        <w:t xml:space="preserve">2</w:t>
      </w:r>
    </w:p>
    <w:bookmarkStart w:id="462" w:name="appendix-publications"/>
    <w:p>
      <w:pPr>
        <w:pStyle w:val="Heading3"/>
      </w:pPr>
      <w:r>
        <w:t xml:space="preserve">Publications beyond the scope of this thesis</w:t>
      </w:r>
    </w:p>
    <w:p>
      <w:pPr>
        <w:pStyle w:val="FirstParagraph"/>
      </w:pPr>
      <w:r>
        <w:rPr>
          <w:bCs/>
          <w:b/>
        </w:rPr>
        <w:t xml:space="preserve">Peer reviewed</w:t>
      </w:r>
    </w:p>
    <w:p>
      <w:pPr>
        <w:numPr>
          <w:ilvl w:val="0"/>
          <w:numId w:val="1016"/>
        </w:numPr>
      </w:pPr>
      <w:r>
        <w:t xml:space="preserve">PRISMA main paper</w:t>
      </w:r>
    </w:p>
    <w:p>
      <w:pPr>
        <w:numPr>
          <w:ilvl w:val="0"/>
          <w:numId w:val="1016"/>
        </w:numPr>
      </w:pPr>
      <w:r>
        <w:t xml:space="preserve">PRISMA E&amp;E</w:t>
      </w:r>
    </w:p>
    <w:p>
      <w:pPr>
        <w:numPr>
          <w:ilvl w:val="0"/>
          <w:numId w:val="1016"/>
        </w:numPr>
      </w:pPr>
      <w:r>
        <w:t xml:space="preserve">PRISMA 2020 software</w:t>
      </w:r>
    </w:p>
    <w:p>
      <w:pPr>
        <w:numPr>
          <w:ilvl w:val="0"/>
          <w:numId w:val="1016"/>
        </w:numPr>
      </w:pPr>
      <w:r>
        <w:t xml:space="preserve">COVID Suicide Living Review</w:t>
      </w:r>
    </w:p>
    <w:p>
      <w:pPr>
        <w:numPr>
          <w:ilvl w:val="0"/>
          <w:numId w:val="1016"/>
        </w:numPr>
      </w:pPr>
      <w:r>
        <w:t xml:space="preserve">Data extraction tools systematic review</w:t>
      </w:r>
    </w:p>
    <w:p>
      <w:pPr>
        <w:pStyle w:val="FirstParagraph"/>
      </w:pPr>
      <w:r>
        <w:rPr>
          <w:bCs/>
          <w:b/>
        </w:rPr>
        <w:t xml:space="preserve">Under review/Preprints</w:t>
      </w:r>
    </w:p>
    <w:p>
      <w:pPr>
        <w:numPr>
          <w:ilvl w:val="0"/>
          <w:numId w:val="1017"/>
        </w:numPr>
      </w:pPr>
      <w:r>
        <w:t xml:space="preserve">MSc Paper on systematic reviews of this thesis topic</w:t>
      </w:r>
    </w:p>
    <w:bookmarkEnd w:id="462"/>
    <w:bookmarkStart w:id="463"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463"/>
    <w:bookmarkEnd w:id="464"/>
    <w:bookmarkStart w:id="469" w:name="appendix-sys-rev"/>
    <w:p>
      <w:pPr>
        <w:pStyle w:val="Heading2"/>
      </w:pPr>
      <w:r>
        <w:t xml:space="preserve">Chapter</w:t>
      </w:r>
      <w:r>
        <w:t xml:space="preserve"> </w:t>
      </w:r>
      <w:r>
        <w:t xml:space="preserve">4</w:t>
      </w:r>
    </w:p>
    <w:bookmarkStart w:id="465" w:name="appendix-search-strategy"/>
    <w:p>
      <w:pPr>
        <w:pStyle w:val="Heading3"/>
      </w:pPr>
      <w:r>
        <w:t xml:space="preserve">Search strategy</w:t>
      </w:r>
    </w:p>
    <w:p>
      <w:pPr>
        <w:pStyle w:val="FirstParagraph"/>
      </w:pPr>
      <w:r>
        <w:t xml:space="preserve"> </w:t>
      </w:r>
    </w:p>
    <w:p>
      <w:pPr>
        <w:pStyle w:val="TableCaption"/>
      </w:pPr>
      <w:r>
        <w:t xml:space="preserve">Table 17:</w:t>
      </w:r>
      <w:r>
        <w:t xml:space="preserve"> </w:t>
      </w:r>
      <w:bookmarkStart w:id="e791afca-9a59-48f3-91b7-cdb5212d1e6a" w:name="tab:searchHits-table"/>
      <w:r>
        <w:t xml:space="preserve">Overview of the full Medline search strategy.</w:t>
      </w:r>
      <w:bookmarkEnd w:id="e791afca-9a59-48f3-91b7-cdb5212d1e6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465"/>
    <w:bookmarkStart w:id="466" w:name="appendix-wos-databases"/>
    <w:p>
      <w:pPr>
        <w:pStyle w:val="Heading3"/>
      </w:pPr>
      <w:r>
        <w:t xml:space="preserve">Web of Science Databases Searched</w:t>
      </w:r>
    </w:p>
    <w:p>
      <w:pPr>
        <w:pStyle w:val="FirstParagraph"/>
      </w:pPr>
      <w:r>
        <w:t xml:space="preserve"> </w:t>
      </w:r>
    </w:p>
    <w:p>
      <w:pPr>
        <w:pStyle w:val="TableCaption"/>
      </w:pPr>
      <w:r>
        <w:t xml:space="preserve">Table 18: Summary of Web of Science databases searched.</w:t>
      </w:r>
    </w:p>
    <w:tbl>
      <w:tblPr>
        <w:tblStyle w:val="Table"/>
        <w:tblW w:type="pct" w:w="5000.0"/>
        <w:tblLook w:firstRow="1" w:lastRow="0" w:firstColumn="0" w:lastColumn="0" w:noHBand="0" w:noVBand="0" w:val="0020"/>
        <w:tblCaption w:val="Table 18: Summary of Web of Science databases searched."/>
      </w:tblPr>
      <w:tblGrid>
        <w:gridCol w:w="5729"/>
        <w:gridCol w:w="1095"/>
        <w:gridCol w:w="1095"/>
      </w:tblGrid>
      <w:tr>
        <w:tc>
          <w:p>
            <w:pPr>
              <w:pStyle w:val="Compact"/>
              <w:jc w:val="left"/>
            </w:pPr>
            <w:r>
              <w:t xml:space="preserve">Database</w:t>
            </w:r>
          </w:p>
        </w:tc>
        <w:tc>
          <w:p>
            <w:pPr>
              <w:pStyle w:val="Compact"/>
              <w:jc w:val="left"/>
            </w:pPr>
            <w:r>
              <w:t xml:space="preserve">Abbreviation</w:t>
            </w:r>
          </w:p>
        </w:tc>
        <w:tc>
          <w:p>
            <w:pPr>
              <w:pStyle w:val="Compact"/>
              <w:jc w:val="left"/>
            </w:pPr>
            <w:r>
              <w:t xml:space="preserve">Years</w:t>
            </w:r>
          </w:p>
        </w:tc>
      </w:tr>
      <w:tr>
        <w:tc>
          <w:p>
            <w:pPr>
              <w:pStyle w:val="Compact"/>
              <w:jc w:val="left"/>
            </w:pPr>
            <w:r>
              <w:t xml:space="preserve">Science Citation Index Expanded</w:t>
            </w:r>
          </w:p>
        </w:tc>
        <w:tc>
          <w:p>
            <w:pPr>
              <w:pStyle w:val="Compact"/>
              <w:jc w:val="left"/>
            </w:pPr>
            <w:r>
              <w:t xml:space="preserve">SCI-EXPANDED</w:t>
            </w:r>
          </w:p>
        </w:tc>
        <w:tc>
          <w:p>
            <w:pPr>
              <w:pStyle w:val="Compact"/>
              <w:jc w:val="left"/>
            </w:pPr>
            <w:r>
              <w:t xml:space="preserve">1900-present</w:t>
            </w:r>
          </w:p>
        </w:tc>
      </w:tr>
      <w:tr>
        <w:tc>
          <w:p>
            <w:pPr>
              <w:pStyle w:val="Compact"/>
              <w:jc w:val="left"/>
            </w:pPr>
            <w:r>
              <w:t xml:space="preserve">Social Sciences Citation Index</w:t>
            </w:r>
          </w:p>
        </w:tc>
        <w:tc>
          <w:p>
            <w:pPr>
              <w:pStyle w:val="Compact"/>
              <w:jc w:val="left"/>
            </w:pPr>
            <w:r>
              <w:t xml:space="preserve">SSCI</w:t>
            </w:r>
          </w:p>
        </w:tc>
        <w:tc>
          <w:p>
            <w:pPr>
              <w:pStyle w:val="Compact"/>
              <w:jc w:val="left"/>
            </w:pPr>
            <w:r>
              <w:t xml:space="preserve">1956-present</w:t>
            </w:r>
          </w:p>
        </w:tc>
      </w:tr>
      <w:tr>
        <w:tc>
          <w:p>
            <w:pPr>
              <w:pStyle w:val="Compact"/>
              <w:jc w:val="left"/>
            </w:pPr>
            <w:r>
              <w:t xml:space="preserve">Arts &amp; Humanities Citation Index</w:t>
            </w:r>
          </w:p>
        </w:tc>
        <w:tc>
          <w:p>
            <w:pPr>
              <w:pStyle w:val="Compact"/>
              <w:jc w:val="left"/>
            </w:pPr>
            <w:r>
              <w:t xml:space="preserve">A&amp;HCI</w:t>
            </w:r>
          </w:p>
        </w:tc>
        <w:tc>
          <w:p>
            <w:pPr>
              <w:pStyle w:val="Compact"/>
              <w:jc w:val="left"/>
            </w:pPr>
            <w:r>
              <w:t xml:space="preserve">1975-present</w:t>
            </w:r>
          </w:p>
        </w:tc>
      </w:tr>
      <w:tr>
        <w:tc>
          <w:p>
            <w:pPr>
              <w:pStyle w:val="Compact"/>
              <w:jc w:val="left"/>
            </w:pPr>
            <w:r>
              <w:t xml:space="preserve">Conference Proceedings Citation Index - Science</w:t>
            </w:r>
          </w:p>
        </w:tc>
        <w:tc>
          <w:p>
            <w:pPr>
              <w:pStyle w:val="Compact"/>
              <w:jc w:val="left"/>
            </w:pPr>
            <w:r>
              <w:t xml:space="preserve">CPCI-S</w:t>
            </w:r>
          </w:p>
        </w:tc>
        <w:tc>
          <w:p>
            <w:pPr>
              <w:pStyle w:val="Compact"/>
              <w:jc w:val="left"/>
            </w:pPr>
            <w:r>
              <w:t xml:space="preserve">1990-present</w:t>
            </w:r>
          </w:p>
        </w:tc>
      </w:tr>
      <w:tr>
        <w:tc>
          <w:p>
            <w:pPr>
              <w:pStyle w:val="Compact"/>
              <w:jc w:val="left"/>
            </w:pPr>
            <w:r>
              <w:t xml:space="preserve">Conference Proceedings Citation Index - Social Science &amp; Humanities</w:t>
            </w:r>
          </w:p>
        </w:tc>
        <w:tc>
          <w:p>
            <w:pPr>
              <w:pStyle w:val="Compact"/>
              <w:jc w:val="left"/>
            </w:pPr>
            <w:r>
              <w:t xml:space="preserve">CPCI-SSH</w:t>
            </w:r>
          </w:p>
        </w:tc>
        <w:tc>
          <w:p>
            <w:pPr>
              <w:pStyle w:val="Compact"/>
              <w:jc w:val="left"/>
            </w:pPr>
            <w:r>
              <w:t xml:space="preserve">1990-present</w:t>
            </w:r>
          </w:p>
        </w:tc>
      </w:tr>
      <w:tr>
        <w:tc>
          <w:p>
            <w:pPr>
              <w:pStyle w:val="Compact"/>
              <w:jc w:val="left"/>
            </w:pPr>
            <w:r>
              <w:t xml:space="preserve">Emerging Sources Citation Index</w:t>
            </w:r>
          </w:p>
        </w:tc>
        <w:tc>
          <w:p>
            <w:pPr>
              <w:pStyle w:val="Compact"/>
              <w:jc w:val="left"/>
            </w:pPr>
            <w:r>
              <w:t xml:space="preserve">ESCI</w:t>
            </w:r>
          </w:p>
        </w:tc>
        <w:tc>
          <w:p>
            <w:pPr>
              <w:pStyle w:val="Compact"/>
              <w:jc w:val="left"/>
            </w:pPr>
            <w:r>
              <w:t xml:space="preserve">2015-present</w:t>
            </w:r>
          </w:p>
        </w:tc>
      </w:tr>
    </w:tbl>
    <w:p>
      <w:pPr>
        <w:pStyle w:val="BodyText"/>
      </w:pPr>
      <w:r>
        <w:t xml:space="preserve"> </w:t>
      </w:r>
    </w:p>
    <w:bookmarkEnd w:id="466"/>
    <w:bookmarkStart w:id="467"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467"/>
    <w:bookmarkStart w:id="468" w:name="appendix-mr-rob"/>
    <w:p>
      <w:pPr>
        <w:pStyle w:val="Heading3"/>
      </w:pPr>
      <w:r>
        <w:t xml:space="preserve">MR risk of bias tool</w:t>
      </w:r>
    </w:p>
    <w:p>
      <w:pPr>
        <w:pStyle w:val="TableCaption"/>
      </w:pPr>
      <w:r>
        <w:t xml:space="preserve">Table 19: Tool used to assess risk of bias in Mendelian randomisation studies, adapted from that developed by Mamluk et al.</w:t>
      </w:r>
      <w:hyperlink w:anchor="ref-mamluk2020">
        <w:r>
          <w:rPr>
            <w:rStyle w:val="Hyperlink"/>
            <w:vertAlign w:val="superscript"/>
          </w:rPr>
          <w:t xml:space="preserve">136</w:t>
        </w:r>
      </w:hyperlink>
    </w:p>
    <w:tbl>
      <w:tblPr>
        <w:tblStyle w:val="Table"/>
        <w:tblW w:type="pct" w:w="5000.0"/>
        <w:tblLook w:firstRow="1" w:lastRow="0" w:firstColumn="0" w:lastColumn="0" w:noHBand="0" w:noVBand="0" w:val="0020"/>
        <w:tblCaption w:val="Table 19: Tool used to assess risk of bias in Mendelian randomisation studies, adapted from that developed by Mamluk et al.136"/>
      </w:tblPr>
      <w:tblGrid>
        <w:gridCol w:w="1015"/>
        <w:gridCol w:w="1886"/>
        <w:gridCol w:w="1463"/>
        <w:gridCol w:w="1801"/>
        <w:gridCol w:w="1753"/>
      </w:tblGrid>
      <w:tr>
        <w:tc>
          <w:p>
            <w:pPr>
              <w:pStyle w:val="Compact"/>
              <w:jc w:val="left"/>
            </w:pPr>
            <w:r>
              <w:t xml:space="preserve">Bias domain</w:t>
            </w:r>
          </w:p>
        </w:tc>
        <w:tc>
          <w:p>
            <w:pPr>
              <w:pStyle w:val="Compact"/>
              <w:jc w:val="left"/>
            </w:pPr>
            <w:r>
              <w:t xml:space="preserve">Question</w:t>
            </w:r>
          </w:p>
        </w:tc>
        <w:tc>
          <w:p>
            <w:pPr>
              <w:pStyle w:val="Compact"/>
              <w:jc w:val="left"/>
            </w:pPr>
            <w:r>
              <w:t xml:space="preserve">High</w:t>
            </w:r>
          </w:p>
        </w:tc>
        <w:tc>
          <w:p>
            <w:pPr>
              <w:pStyle w:val="Compact"/>
              <w:jc w:val="left"/>
            </w:pPr>
            <w:r>
              <w:t xml:space="preserve">Moderate</w:t>
            </w:r>
          </w:p>
        </w:tc>
        <w:tc>
          <w:p>
            <w:pPr>
              <w:pStyle w:val="Compact"/>
              <w:jc w:val="left"/>
            </w:pPr>
            <w:r>
              <w:t xml:space="preserve">Low</w:t>
            </w:r>
          </w:p>
        </w:tc>
      </w:tr>
      <w:tr>
        <w:tc>
          <w:p>
            <w:pPr>
              <w:pStyle w:val="Compact"/>
              <w:jc w:val="left"/>
            </w:pPr>
            <w:r>
              <w:t xml:space="preserve">Weak instrument bias</w:t>
            </w:r>
          </w:p>
        </w:tc>
        <w:tc>
          <w:p>
            <w:pPr>
              <w:pStyle w:val="Compact"/>
              <w:jc w:val="left"/>
            </w:pPr>
            <w:r>
              <w:t xml:space="preserve">Strength of association between instrument and exposure F statistic &lt; 10 in the same sample (&lt; 10 indicating a weak instrument)</w:t>
            </w:r>
          </w:p>
        </w:tc>
        <w:tc>
          <w:p>
            <w:pPr>
              <w:pStyle w:val="Compact"/>
              <w:jc w:val="left"/>
            </w:pPr>
            <w:r>
              <w:t xml:space="preserve">F&lt;10</w:t>
            </w:r>
          </w:p>
        </w:tc>
        <w:tc>
          <w:p>
            <w:pPr>
              <w:pStyle w:val="Compact"/>
              <w:jc w:val="left"/>
            </w:pPr>
            <w:r>
              <w:t xml:space="preserve">F= missing or F~10</w:t>
            </w:r>
          </w:p>
        </w:tc>
        <w:tc>
          <w:p>
            <w:pPr>
              <w:pStyle w:val="Compact"/>
              <w:jc w:val="left"/>
            </w:pPr>
            <w:r>
              <w:t xml:space="preserve">F&gt;&gt;10</w:t>
            </w:r>
          </w:p>
        </w:tc>
      </w:tr>
      <w:tr>
        <w:tc>
          <w:p>
            <w:pPr>
              <w:pStyle w:val="Compact"/>
              <w:jc w:val="left"/>
            </w:pPr>
            <w:r>
              <w:t xml:space="preserve">Genetic confounding bias</w:t>
            </w:r>
          </w:p>
        </w:tc>
        <w:tc>
          <w:p>
            <w:pPr>
              <w:pStyle w:val="Compact"/>
              <w:jc w:val="left"/>
            </w:pPr>
            <w:r>
              <w:t xml:space="preserve">Reported test on association between confounders and IV (testing the assumption that the instrument is associated with your outcome only via your exposure)</w:t>
            </w:r>
          </w:p>
        </w:tc>
        <w:tc>
          <w:p>
            <w:pPr>
              <w:pStyle w:val="Compact"/>
              <w:jc w:val="left"/>
            </w:pPr>
            <w:r>
              <w:t xml:space="preserve">Yes AND there is an obvious association</w:t>
            </w:r>
          </w:p>
        </w:tc>
        <w:tc>
          <w:p>
            <w:pPr>
              <w:pStyle w:val="Compact"/>
              <w:jc w:val="left"/>
            </w:pPr>
            <w:r>
              <w:t xml:space="preserve">Not presented or</w:t>
            </w:r>
          </w:p>
        </w:tc>
        <w:tc>
          <w:p/>
        </w:tc>
      </w:tr>
      <w:tr>
        <w:tc>
          <w:p>
            <w:pPr>
              <w:pStyle w:val="Compact"/>
              <w:jc w:val="left"/>
            </w:pPr>
            <w:r>
              <w:t xml:space="preserve">Yes presented AND there is some degree of association</w:t>
            </w:r>
          </w:p>
        </w:tc>
        <w:tc>
          <w:p>
            <w:pPr>
              <w:pStyle w:val="Compact"/>
              <w:jc w:val="left"/>
            </w:pPr>
            <w:r>
              <w:t xml:space="preserve">Presented and no obvious association</w:t>
            </w:r>
          </w:p>
        </w:tc>
        <w:tc>
          <w:p/>
        </w:tc>
        <w:tc>
          <w:p/>
        </w:tc>
        <w:tc>
          <w:p/>
        </w:tc>
      </w:tr>
      <w:tr>
        <w:tc>
          <w:p>
            <w:pPr>
              <w:pStyle w:val="Compact"/>
              <w:jc w:val="left"/>
            </w:pPr>
            <w:r>
              <w:t xml:space="preserve">‘</w:t>
            </w:r>
            <w:r>
              <w:t xml:space="preserve">Other</w:t>
            </w:r>
            <w:r>
              <w:t xml:space="preserve">’</w:t>
            </w:r>
            <w:r>
              <w:t xml:space="preserve"> </w:t>
            </w:r>
            <w:r>
              <w:t xml:space="preserve">Confounding bias</w:t>
            </w:r>
          </w:p>
        </w:tc>
        <w:tc>
          <w:p>
            <w:pPr>
              <w:pStyle w:val="Compact"/>
              <w:jc w:val="left"/>
            </w:pPr>
            <w:r>
              <w:t xml:space="preserve">Included confounders in the IV analysis</w:t>
            </w:r>
          </w:p>
        </w:tc>
        <w:tc>
          <w:p>
            <w:pPr>
              <w:pStyle w:val="Compact"/>
              <w:jc w:val="left"/>
            </w:pPr>
            <w:r>
              <w:t xml:space="preserve">Yes</w:t>
            </w:r>
          </w:p>
        </w:tc>
        <w:tc>
          <w:p/>
        </w:tc>
        <w:tc>
          <w:p>
            <w:pPr>
              <w:pStyle w:val="Compact"/>
              <w:jc w:val="left"/>
            </w:pPr>
            <w:r>
              <w:t xml:space="preserve">No</w:t>
            </w:r>
          </w:p>
        </w:tc>
      </w:tr>
      <w:tr>
        <w:tc>
          <w:p>
            <w:pPr>
              <w:pStyle w:val="Compact"/>
              <w:jc w:val="left"/>
            </w:pPr>
            <w:r>
              <w:t xml:space="preserve">Additional direct effects between IV and outcome (exclusion restriction assumption)</w:t>
            </w:r>
          </w:p>
        </w:tc>
        <w:tc>
          <w:p>
            <w:pPr>
              <w:pStyle w:val="Compact"/>
              <w:jc w:val="left"/>
            </w:pPr>
            <w:r>
              <w:t xml:space="preserve">Presence of pleiotropy for genetic IVs</w:t>
            </w:r>
          </w:p>
        </w:tc>
        <w:tc>
          <w:p>
            <w:pPr>
              <w:pStyle w:val="Compact"/>
              <w:jc w:val="left"/>
            </w:pPr>
            <w:r>
              <w:t xml:space="preserve">Genetic IVs with no knowledge of mechanism for G-lipid association (e.g. GWAS hit, could be acting through any pathway…)</w:t>
            </w:r>
          </w:p>
        </w:tc>
        <w:tc>
          <w:p>
            <w:pPr>
              <w:pStyle w:val="Compact"/>
              <w:jc w:val="left"/>
            </w:pPr>
            <w:r>
              <w:t xml:space="preserve">Biologically plausible lipid-specific mechanism of association for G-lipid (e.g. lipid metabolising genetic variants)</w:t>
            </w:r>
          </w:p>
        </w:tc>
        <w:tc>
          <w:p>
            <w:pPr>
              <w:pStyle w:val="Compact"/>
              <w:jc w:val="left"/>
            </w:pPr>
            <w:r>
              <w:t xml:space="preserve">Same as moderate AND checks that there is no other known effect of genetic variants on outcome or its risk-factors</w:t>
            </w:r>
          </w:p>
        </w:tc>
      </w:tr>
      <w:tr>
        <w:tc>
          <w:p>
            <w:pPr>
              <w:pStyle w:val="Compact"/>
              <w:jc w:val="left"/>
            </w:pPr>
            <w:r>
              <w:t xml:space="preserve">Bias due to selection of participants</w:t>
            </w:r>
          </w:p>
        </w:tc>
        <w:tc>
          <w:p>
            <w:pPr>
              <w:pStyle w:val="Compact"/>
              <w:jc w:val="left"/>
            </w:pPr>
            <w:r>
              <w:t xml:space="preserve">Homogenous population or similar ancestry</w:t>
            </w:r>
          </w:p>
        </w:tc>
        <w:tc>
          <w:p/>
        </w:tc>
        <w:tc>
          <w:p/>
        </w:tc>
        <w:tc>
          <w:p/>
        </w:tc>
      </w:tr>
      <w:tr>
        <w:tc>
          <w:p>
            <w:pPr>
              <w:pStyle w:val="Compact"/>
              <w:jc w:val="left"/>
            </w:pPr>
            <w:r>
              <w:t xml:space="preserve">If no: Stratified by ethnicity or adjusted for population stratification (yes/no)</w:t>
            </w:r>
          </w:p>
        </w:tc>
        <w:tc>
          <w:p>
            <w:pPr>
              <w:pStyle w:val="Compact"/>
              <w:jc w:val="left"/>
            </w:pPr>
            <w:r>
              <w:t xml:space="preserve">Non-homogenous population (e.g. black and white together, etc.)</w:t>
            </w:r>
          </w:p>
        </w:tc>
        <w:tc>
          <w:p>
            <w:pPr>
              <w:pStyle w:val="Compact"/>
              <w:jc w:val="left"/>
            </w:pPr>
            <w:r>
              <w:t xml:space="preserve">Population described as homogenous (e.g. whites only) BUT not corrected for ancestry informative markers like principal components derived from GWAS</w:t>
            </w:r>
          </w:p>
        </w:tc>
        <w:tc>
          <w:p>
            <w:pPr>
              <w:pStyle w:val="Compact"/>
              <w:jc w:val="left"/>
            </w:pPr>
            <w:r>
              <w:t xml:space="preserve">Population described as homogenous (e.g. whites only) AND corrected for ancestry informative markers like principal components derived from GWAS</w:t>
            </w:r>
          </w:p>
        </w:tc>
        <w:tc>
          <w:p/>
        </w:tc>
      </w:tr>
    </w:tbl>
    <w:bookmarkEnd w:id="468"/>
    <w:bookmarkEnd w:id="469"/>
    <w:bookmarkStart w:id="472" w:name="appendix-cprd-analysis"/>
    <w:p>
      <w:pPr>
        <w:pStyle w:val="Heading2"/>
      </w:pPr>
      <w:r>
        <w:t xml:space="preserve">Chapter</w:t>
      </w:r>
      <w:r>
        <w:t xml:space="preserve"> </w:t>
      </w:r>
      <w:r>
        <w:t xml:space="preserve">5</w:t>
      </w:r>
    </w:p>
    <w:bookmarkStart w:id="470" w:name="appendix-cprd-amendments"/>
    <w:p>
      <w:pPr>
        <w:pStyle w:val="Heading3"/>
      </w:pPr>
      <w:r>
        <w:t xml:space="preserve">Amendments to protocol</w:t>
      </w:r>
    </w:p>
    <w:bookmarkEnd w:id="470"/>
    <w:bookmarkStart w:id="471" w:name="code-lists"/>
    <w:p>
      <w:pPr>
        <w:pStyle w:val="Heading3"/>
      </w:pPr>
      <w:r>
        <w:t xml:space="preserve">Code lists</w:t>
      </w:r>
    </w:p>
    <w:bookmarkEnd w:id="471"/>
    <w:bookmarkEnd w:id="472"/>
    <w:bookmarkStart w:id="475" w:name="appendix-ipd-analysis"/>
    <w:p>
      <w:pPr>
        <w:pStyle w:val="Heading2"/>
      </w:pPr>
      <w:r>
        <w:t xml:space="preserve">Chapter</w:t>
      </w:r>
      <w:r>
        <w:t xml:space="preserve"> </w:t>
      </w:r>
      <w:r>
        <w:t xml:space="preserve">6</w:t>
      </w:r>
    </w:p>
    <w:bookmarkStart w:id="473" w:name="section-1"/>
    <w:p>
      <w:pPr>
        <w:pStyle w:val="Heading3"/>
      </w:pPr>
      <w:r>
        <w:t xml:space="preserve">Section 1</w:t>
      </w:r>
    </w:p>
    <w:bookmarkEnd w:id="473"/>
    <w:bookmarkStart w:id="474" w:name="section-2"/>
    <w:p>
      <w:pPr>
        <w:pStyle w:val="Heading3"/>
      </w:pPr>
      <w:r>
        <w:t xml:space="preserve">Section 2</w:t>
      </w:r>
    </w:p>
    <w:bookmarkEnd w:id="474"/>
    <w:bookmarkEnd w:id="475"/>
    <w:bookmarkStart w:id="477" w:name="chapter-7"/>
    <w:p>
      <w:pPr>
        <w:pStyle w:val="Heading2"/>
      </w:pPr>
      <w:r>
        <w:t xml:space="preserve">Chapter</w:t>
      </w:r>
      <w:r>
        <w:t xml:space="preserve"> </w:t>
      </w:r>
      <w:r>
        <w:t xml:space="preserve">7</w:t>
      </w:r>
    </w:p>
    <w:bookmarkStart w:id="476" w:name="catalogue-of-failures"/>
    <w:p>
      <w:pPr>
        <w:pStyle w:val="Heading3"/>
      </w:pPr>
      <w:r>
        <w:t xml:space="preserve">Catalogue of failures</w:t>
      </w:r>
    </w:p>
    <w:p>
      <w:pPr>
        <w:pStyle w:val="FirstParagraph"/>
      </w:pPr>
      <w:r>
        <w:t xml:space="preserve">Short section detailing the things I tried to do but which did not work.</w:t>
      </w:r>
    </w:p>
    <w:bookmarkEnd w:id="476"/>
    <w:bookmarkEnd w:id="477"/>
    <w:bookmarkEnd w:id="478"/>
    <w:bookmarkStart w:id="492" w:name="other-appendix-heading"/>
    <w:p>
      <w:pPr>
        <w:pStyle w:val="Heading1"/>
      </w:pPr>
      <w:r>
        <w:t xml:space="preserve">Other Appendix</w:t>
      </w:r>
    </w:p>
    <w:bookmarkStart w:id="479"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ase">
        <w:r>
          <w:rPr>
            <w:rStyle w:val="Hyperlink"/>
            <w:bCs/>
            <w:b/>
            <w:vertAlign w:val="superscript"/>
          </w:rPr>
          <w:t xml:space="preserve">R-base?</w:t>
        </w:r>
      </w:hyperlink>
      <w:r>
        <w:rPr>
          <w:vertAlign w:val="superscript"/>
        </w:rPr>
        <w:t xml:space="preserve">,</w:t>
      </w:r>
      <w:hyperlink w:anchor="ref-R-bookdown">
        <w:r>
          <w:rPr>
            <w:rStyle w:val="Hyperlink"/>
            <w:bCs/>
            <w:b/>
            <w:vertAlign w:val="superscript"/>
          </w:rPr>
          <w:t xml:space="preserve">R-bookdown?</w:t>
        </w:r>
      </w:hyperlink>
      <w:r>
        <w:rPr>
          <w:vertAlign w:val="superscript"/>
        </w:rPr>
        <w:t xml:space="preserve">,</w:t>
      </w:r>
      <w:hyperlink w:anchor="ref-R-dagitty">
        <w:r>
          <w:rPr>
            <w:rStyle w:val="Hyperlink"/>
            <w:bCs/>
            <w:b/>
            <w:vertAlign w:val="superscript"/>
          </w:rPr>
          <w:t xml:space="preserve">R-dagitty?</w:t>
        </w:r>
      </w:hyperlink>
      <w:r>
        <w:rPr>
          <w:vertAlign w:val="superscript"/>
        </w:rPr>
        <w:t xml:space="preserve">,</w:t>
      </w:r>
      <w:hyperlink w:anchor="ref-R-data.table">
        <w:r>
          <w:rPr>
            <w:rStyle w:val="Hyperlink"/>
            <w:bCs/>
            <w:b/>
            <w:vertAlign w:val="superscript"/>
          </w:rPr>
          <w:t xml:space="preserve">R-data.table?</w:t>
        </w:r>
      </w:hyperlink>
      <w:r>
        <w:rPr>
          <w:vertAlign w:val="superscript"/>
        </w:rPr>
        <w:t xml:space="preserve">,</w:t>
      </w:r>
      <w:hyperlink w:anchor="ref-R-dplyr">
        <w:r>
          <w:rPr>
            <w:rStyle w:val="Hyperlink"/>
            <w:bCs/>
            <w:b/>
            <w:vertAlign w:val="superscript"/>
          </w:rPr>
          <w:t xml:space="preserve">R-dplyr?</w:t>
        </w:r>
      </w:hyperlink>
      <w:r>
        <w:rPr>
          <w:vertAlign w:val="superscript"/>
        </w:rPr>
        <w:t xml:space="preserve">,</w:t>
      </w:r>
      <w:hyperlink w:anchor="ref-R-flextable">
        <w:r>
          <w:rPr>
            <w:rStyle w:val="Hyperlink"/>
            <w:bCs/>
            <w:b/>
            <w:vertAlign w:val="superscript"/>
          </w:rPr>
          <w:t xml:space="preserve">R-flextable?</w:t>
        </w:r>
      </w:hyperlink>
      <w:r>
        <w:rPr>
          <w:vertAlign w:val="superscript"/>
        </w:rPr>
        <w:t xml:space="preserve">,</w:t>
      </w:r>
      <w:hyperlink w:anchor="ref-R-ggdag">
        <w:r>
          <w:rPr>
            <w:rStyle w:val="Hyperlink"/>
            <w:bCs/>
            <w:b/>
            <w:vertAlign w:val="superscript"/>
          </w:rPr>
          <w:t xml:space="preserve">R-ggdag?</w:t>
        </w:r>
      </w:hyperlink>
      <w:r>
        <w:rPr>
          <w:vertAlign w:val="superscript"/>
        </w:rPr>
        <w:t xml:space="preserve">,</w:t>
      </w:r>
      <w:hyperlink w:anchor="ref-R-ggplot2">
        <w:r>
          <w:rPr>
            <w:rStyle w:val="Hyperlink"/>
            <w:bCs/>
            <w:b/>
            <w:vertAlign w:val="superscript"/>
          </w:rPr>
          <w:t xml:space="preserve">R-ggplot2?</w:t>
        </w:r>
      </w:hyperlink>
      <w:r>
        <w:rPr>
          <w:vertAlign w:val="superscript"/>
        </w:rPr>
        <w:t xml:space="preserve">,</w:t>
      </w:r>
      <w:hyperlink w:anchor="ref-R-kableExtra">
        <w:r>
          <w:rPr>
            <w:rStyle w:val="Hyperlink"/>
            <w:bCs/>
            <w:b/>
            <w:vertAlign w:val="superscript"/>
          </w:rPr>
          <w:t xml:space="preserve">R-kableExtra?</w:t>
        </w:r>
      </w:hyperlink>
      <w:r>
        <w:rPr>
          <w:vertAlign w:val="superscript"/>
        </w:rPr>
        <w:t xml:space="preserve">,</w:t>
      </w:r>
      <w:hyperlink w:anchor="ref-R-knitr">
        <w:r>
          <w:rPr>
            <w:rStyle w:val="Hyperlink"/>
            <w:bCs/>
            <w:b/>
            <w:vertAlign w:val="superscript"/>
          </w:rPr>
          <w:t xml:space="preserve">R-knitr?</w:t>
        </w:r>
      </w:hyperlink>
      <w:r>
        <w:rPr>
          <w:vertAlign w:val="superscript"/>
        </w:rPr>
        <w:t xml:space="preserve">,</w:t>
      </w:r>
      <w:hyperlink w:anchor="ref-R-koRpus">
        <w:r>
          <w:rPr>
            <w:rStyle w:val="Hyperlink"/>
            <w:bCs/>
            <w:b/>
            <w:vertAlign w:val="superscript"/>
          </w:rPr>
          <w:t xml:space="preserve">R-koRpus?</w:t>
        </w:r>
      </w:hyperlink>
      <w:r>
        <w:rPr>
          <w:vertAlign w:val="superscript"/>
        </w:rPr>
        <w:t xml:space="preserve">,</w:t>
      </w:r>
      <w:hyperlink w:anchor="ref-R-koRpus.lang.en">
        <w:r>
          <w:rPr>
            <w:rStyle w:val="Hyperlink"/>
            <w:bCs/>
            <w:b/>
            <w:vertAlign w:val="superscript"/>
          </w:rPr>
          <w:t xml:space="preserve">R-koRpus.lang.en?</w:t>
        </w:r>
      </w:hyperlink>
      <w:r>
        <w:rPr>
          <w:vertAlign w:val="superscript"/>
        </w:rPr>
        <w:t xml:space="preserve">,</w:t>
      </w:r>
      <w:hyperlink w:anchor="ref-R-magrittr">
        <w:r>
          <w:rPr>
            <w:rStyle w:val="Hyperlink"/>
            <w:bCs/>
            <w:b/>
            <w:vertAlign w:val="superscript"/>
          </w:rPr>
          <w:t xml:space="preserve">R-magrittr?</w:t>
        </w:r>
      </w:hyperlink>
      <w:r>
        <w:rPr>
          <w:vertAlign w:val="superscript"/>
        </w:rPr>
        <w:t xml:space="preserve">,</w:t>
      </w:r>
      <w:hyperlink w:anchor="ref-R-medrxivr">
        <w:r>
          <w:rPr>
            <w:rStyle w:val="Hyperlink"/>
            <w:bCs/>
            <w:b/>
            <w:vertAlign w:val="superscript"/>
          </w:rPr>
          <w:t xml:space="preserve">R-medrxivr?</w:t>
        </w:r>
      </w:hyperlink>
      <w:r>
        <w:rPr>
          <w:vertAlign w:val="superscript"/>
        </w:rPr>
        <w:t xml:space="preserve">,</w:t>
      </w:r>
      <w:hyperlink w:anchor="ref-R-networkD3">
        <w:r>
          <w:rPr>
            <w:rStyle w:val="Hyperlink"/>
            <w:bCs/>
            <w:b/>
            <w:vertAlign w:val="superscript"/>
          </w:rPr>
          <w:t xml:space="preserve">R-networkD3?</w:t>
        </w:r>
      </w:hyperlink>
      <w:r>
        <w:rPr>
          <w:vertAlign w:val="superscript"/>
        </w:rPr>
        <w:t xml:space="preserve">,</w:t>
      </w:r>
      <w:hyperlink w:anchor="ref-R-patchwork">
        <w:r>
          <w:rPr>
            <w:rStyle w:val="Hyperlink"/>
            <w:bCs/>
            <w:b/>
            <w:vertAlign w:val="superscript"/>
          </w:rPr>
          <w:t xml:space="preserve">R-patchwork?</w:t>
        </w:r>
      </w:hyperlink>
      <w:r>
        <w:rPr>
          <w:vertAlign w:val="superscript"/>
        </w:rPr>
        <w:t xml:space="preserve">,</w:t>
      </w:r>
      <w:hyperlink w:anchor="ref-R-readxl">
        <w:r>
          <w:rPr>
            <w:rStyle w:val="Hyperlink"/>
            <w:bCs/>
            <w:b/>
            <w:vertAlign w:val="superscript"/>
          </w:rPr>
          <w:t xml:space="preserve">R-readxl?</w:t>
        </w:r>
      </w:hyperlink>
      <w:r>
        <w:rPr>
          <w:vertAlign w:val="superscript"/>
        </w:rPr>
        <w:t xml:space="preserve">,</w:t>
      </w:r>
      <w:hyperlink w:anchor="ref-R-robvis">
        <w:r>
          <w:rPr>
            <w:rStyle w:val="Hyperlink"/>
            <w:bCs/>
            <w:b/>
            <w:vertAlign w:val="superscript"/>
          </w:rPr>
          <w:t xml:space="preserve">R-robvis?</w:t>
        </w:r>
      </w:hyperlink>
      <w:r>
        <w:rPr>
          <w:vertAlign w:val="superscript"/>
        </w:rPr>
        <w:t xml:space="preserve">,</w:t>
      </w:r>
      <w:hyperlink w:anchor="ref-R-sf">
        <w:r>
          <w:rPr>
            <w:rStyle w:val="Hyperlink"/>
            <w:bCs/>
            <w:b/>
            <w:vertAlign w:val="superscript"/>
          </w:rPr>
          <w:t xml:space="preserve">R-sf?</w:t>
        </w:r>
      </w:hyperlink>
      <w:r>
        <w:rPr>
          <w:vertAlign w:val="superscript"/>
        </w:rPr>
        <w:t xml:space="preserve">,</w:t>
      </w:r>
      <w:hyperlink w:anchor="ref-R-sylly">
        <w:r>
          <w:rPr>
            <w:rStyle w:val="Hyperlink"/>
            <w:bCs/>
            <w:b/>
            <w:vertAlign w:val="superscript"/>
          </w:rPr>
          <w:t xml:space="preserve">R-sylly?</w:t>
        </w:r>
      </w:hyperlink>
      <w:r>
        <w:rPr>
          <w:vertAlign w:val="superscript"/>
        </w:rPr>
        <w:t xml:space="preserve">,</w:t>
      </w:r>
      <w:hyperlink w:anchor="ref-bookdown2016">
        <w:r>
          <w:rPr>
            <w:rStyle w:val="Hyperlink"/>
            <w:bCs/>
            <w:b/>
            <w:vertAlign w:val="superscript"/>
          </w:rPr>
          <w:t xml:space="preserve">bookdown2016?</w:t>
        </w:r>
      </w:hyperlink>
      <w:r>
        <w:rPr>
          <w:vertAlign w:val="superscript"/>
        </w:rPr>
        <w:t xml:space="preserve">,</w:t>
      </w:r>
      <w:hyperlink w:anchor="ref-dagitty2016">
        <w:r>
          <w:rPr>
            <w:rStyle w:val="Hyperlink"/>
            <w:bCs/>
            <w:b/>
            <w:vertAlign w:val="superscript"/>
          </w:rPr>
          <w:t xml:space="preserve">dagitty2016?</w:t>
        </w:r>
      </w:hyperlink>
      <w:r>
        <w:rPr>
          <w:vertAlign w:val="superscript"/>
        </w:rPr>
        <w:t xml:space="preserve">,</w:t>
      </w:r>
      <w:hyperlink w:anchor="ref-ggplot22016">
        <w:r>
          <w:rPr>
            <w:rStyle w:val="Hyperlink"/>
            <w:bCs/>
            <w:b/>
            <w:vertAlign w:val="superscript"/>
          </w:rPr>
          <w:t xml:space="preserve">ggplot22016?</w:t>
        </w:r>
      </w:hyperlink>
      <w:r>
        <w:rPr>
          <w:vertAlign w:val="superscript"/>
        </w:rPr>
        <w:t xml:space="preserve">,</w:t>
      </w:r>
      <w:hyperlink w:anchor="ref-knitr2015">
        <w:r>
          <w:rPr>
            <w:rStyle w:val="Hyperlink"/>
            <w:bCs/>
            <w:b/>
            <w:vertAlign w:val="superscript"/>
          </w:rPr>
          <w:t xml:space="preserve">knitr2015?</w:t>
        </w:r>
      </w:hyperlink>
      <w:r>
        <w:rPr>
          <w:vertAlign w:val="superscript"/>
        </w:rPr>
        <w:t xml:space="preserve">,</w:t>
      </w:r>
      <w:hyperlink w:anchor="ref-knitr2014">
        <w:r>
          <w:rPr>
            <w:rStyle w:val="Hyperlink"/>
            <w:bCs/>
            <w:b/>
            <w:vertAlign w:val="superscript"/>
          </w:rPr>
          <w:t xml:space="preserve">knitr2014?</w:t>
        </w:r>
      </w:hyperlink>
      <w:r>
        <w:rPr>
          <w:vertAlign w:val="superscript"/>
        </w:rPr>
        <w:t xml:space="preserve">,</w:t>
      </w:r>
      <w:hyperlink w:anchor="ref-koRpus2018">
        <w:r>
          <w:rPr>
            <w:rStyle w:val="Hyperlink"/>
            <w:bCs/>
            <w:b/>
            <w:vertAlign w:val="superscript"/>
          </w:rPr>
          <w:t xml:space="preserve">koRpus2018?</w:t>
        </w:r>
      </w:hyperlink>
      <w:r>
        <w:rPr>
          <w:vertAlign w:val="superscript"/>
        </w:rPr>
        <w:t xml:space="preserve">,</w:t>
      </w:r>
      <w:hyperlink w:anchor="ref-koRpus.lang.en2019">
        <w:r>
          <w:rPr>
            <w:rStyle w:val="Hyperlink"/>
            <w:bCs/>
            <w:b/>
            <w:vertAlign w:val="superscript"/>
          </w:rPr>
          <w:t xml:space="preserve">koRpus.lang.en2019?</w:t>
        </w:r>
      </w:hyperlink>
      <w:r>
        <w:rPr>
          <w:vertAlign w:val="superscript"/>
        </w:rPr>
        <w:t xml:space="preserve">,</w:t>
      </w:r>
      <w:hyperlink w:anchor="ref-medrxivr2020">
        <w:r>
          <w:rPr>
            <w:rStyle w:val="Hyperlink"/>
            <w:bCs/>
            <w:b/>
            <w:vertAlign w:val="superscript"/>
          </w:rPr>
          <w:t xml:space="preserve">medrxivr2020?</w:t>
        </w:r>
      </w:hyperlink>
      <w:r>
        <w:rPr>
          <w:vertAlign w:val="superscript"/>
        </w:rPr>
        <w:t xml:space="preserve">,</w:t>
      </w:r>
      <w:hyperlink w:anchor="ref-robvis2020">
        <w:r>
          <w:rPr>
            <w:rStyle w:val="Hyperlink"/>
            <w:bCs/>
            <w:b/>
            <w:vertAlign w:val="superscript"/>
          </w:rPr>
          <w:t xml:space="preserve">robvis2020?</w:t>
        </w:r>
      </w:hyperlink>
      <w:r>
        <w:rPr>
          <w:vertAlign w:val="superscript"/>
        </w:rPr>
        <w:t xml:space="preserve">,</w:t>
      </w:r>
      <w:hyperlink w:anchor="ref-sf2018">
        <w:r>
          <w:rPr>
            <w:rStyle w:val="Hyperlink"/>
            <w:bCs/>
            <w:b/>
            <w:vertAlign w:val="superscript"/>
          </w:rPr>
          <w:t xml:space="preserve">sf2018?</w:t>
        </w:r>
      </w:hyperlink>
      <w:r>
        <w:rPr>
          <w:vertAlign w:val="superscript"/>
        </w:rPr>
        <w:t xml:space="preserve">,</w:t>
      </w:r>
      <w:hyperlink w:anchor="ref-sylly2018">
        <w:r>
          <w:rPr>
            <w:rStyle w:val="Hyperlink"/>
            <w:bCs/>
            <w:b/>
            <w:vertAlign w:val="superscript"/>
          </w:rPr>
          <w:t xml:space="preserve">sylly2018?</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198</w:t>
        </w:r>
      </w:hyperlink>
      <w:r>
        <w:rPr>
          <w:vertAlign w:val="superscript"/>
        </w:rPr>
        <w:t xml:space="preserve">,</w:t>
      </w:r>
      <w:hyperlink w:anchor="ref-wilson2017">
        <w:r>
          <w:rPr>
            <w:rStyle w:val="Hyperlink"/>
            <w:vertAlign w:val="superscript"/>
          </w:rPr>
          <w:t xml:space="preserve">199</w:t>
        </w:r>
      </w:hyperlink>
    </w:p>
    <w:bookmarkEnd w:id="479"/>
    <w:bookmarkStart w:id="489" w:name="appendix-robvis"/>
    <w:p>
      <w:pPr>
        <w:pStyle w:val="Heading2"/>
      </w:pPr>
      <w:r>
        <w:t xml:space="preserve">Producing risk-of-bias visualisations with</w:t>
      </w:r>
      <w:r>
        <w:t xml:space="preserve"> </w:t>
      </w:r>
      <w:r>
        <w:rPr>
          <w:rStyle w:val="VerbatimChar"/>
        </w:rPr>
        <w:t xml:space="preserve">robvis</w:t>
      </w:r>
    </w:p>
    <w:bookmarkStart w:id="482" w:name="introduction-3"/>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130</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480">
        <w:r>
          <w:rPr>
            <w:rStyle w:val="Hyperlink"/>
          </w:rPr>
          <w:t xml:space="preserve">https://cran.r-project.org/package=robvis</w:t>
        </w:r>
      </w:hyperlink>
      <w:r>
        <w:t xml:space="preserve">); or access and contribute to the development version via GitHub (</w:t>
      </w:r>
      <w:hyperlink r:id="rId481">
        <w:r>
          <w:rPr>
            <w:rStyle w:val="Hyperlink"/>
          </w:rPr>
          <w:t xml:space="preserve">https://github.com/mcguinlu/robvis</w:t>
        </w:r>
      </w:hyperlink>
      <w:r>
        <w:t xml:space="preserve">).</w:t>
      </w:r>
    </w:p>
    <w:bookmarkEnd w:id="482"/>
    <w:bookmarkStart w:id="483"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200</w:t>
        </w:r>
      </w:hyperlink>
      <w:r>
        <w:rPr>
          <w:vertAlign w:val="superscript"/>
        </w:rPr>
        <w:t xml:space="preserve">,</w:t>
      </w:r>
      <w:hyperlink w:anchor="ref-tanneru2020">
        <w:r>
          <w:rPr>
            <w:rStyle w:val="Hyperlink"/>
            <w:vertAlign w:val="superscript"/>
          </w:rPr>
          <w:t xml:space="preserve">201</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483"/>
    <w:bookmarkStart w:id="484"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484"/>
    <w:bookmarkStart w:id="487"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20</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23</w:t>
      </w:r>
      <w:r>
        <w:t xml:space="preserve"> </w:t>
      </w:r>
      <w:r>
        <w:t xml:space="preserve">is created using:</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23: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485"/>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23: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24</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24: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486"/>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24: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20</w:t>
      </w:r>
    </w:p>
    <w:p>
      <w:pPr>
        <w:pStyle w:val="BodyText"/>
      </w:pPr>
      <w:r>
        <w:t xml:space="preserve"> </w:t>
      </w:r>
    </w:p>
    <w:p>
      <w:pPr>
        <w:pStyle w:val="TableCaption"/>
      </w:pPr>
      <w:r>
        <w:t xml:space="preserve">Table 20: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20: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487"/>
    <w:bookmarkStart w:id="488"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13700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488"/>
    <w:bookmarkEnd w:id="489"/>
    <w:bookmarkStart w:id="490" w:name="creating"/>
    <w:p>
      <w:pPr>
        <w:pStyle w:val="Heading2"/>
      </w:pPr>
      <w:r>
        <w:t xml:space="preserve">Creating</w:t>
      </w:r>
    </w:p>
    <w:bookmarkEnd w:id="490"/>
    <w:bookmarkStart w:id="491" w:name="published-papers"/>
    <w:p>
      <w:pPr>
        <w:pStyle w:val="Heading2"/>
      </w:pPr>
      <w:r>
        <w:t xml:space="preserve">Copies of papers arising from this thesis</w:t>
      </w:r>
    </w:p>
    <w:bookmarkEnd w:id="491"/>
    <w:bookmarkEnd w:id="492"/>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169" Target="media/rId169.png" /><Relationship Type="http://schemas.openxmlformats.org/officeDocument/2006/relationships/image" Id="rId153" Target="media/rId153.png" /><Relationship Type="http://schemas.openxmlformats.org/officeDocument/2006/relationships/image" Id="rId180" Target="media/rId180.png" /><Relationship Type="http://schemas.openxmlformats.org/officeDocument/2006/relationships/image" Id="rId174" Target="media/rId174.png" /><Relationship Type="http://schemas.openxmlformats.org/officeDocument/2006/relationships/image" Id="rId176" Target="media/rId176.png" /><Relationship Type="http://schemas.openxmlformats.org/officeDocument/2006/relationships/image" Id="rId172" Target="media/rId172.png" /><Relationship Type="http://schemas.openxmlformats.org/officeDocument/2006/relationships/image" Id="rId182" Target="media/rId182.png" /><Relationship Type="http://schemas.openxmlformats.org/officeDocument/2006/relationships/image" Id="rId184" Target="media/rId184.png" /><Relationship Type="http://schemas.openxmlformats.org/officeDocument/2006/relationships/image" Id="rId178" Target="media/rId178.png" /><Relationship Type="http://schemas.openxmlformats.org/officeDocument/2006/relationships/image" Id="rId158" Target="media/rId158.png" /><Relationship Type="http://schemas.openxmlformats.org/officeDocument/2006/relationships/image" Id="rId191" Target="media/rId191.png" /><Relationship Type="http://schemas.openxmlformats.org/officeDocument/2006/relationships/image" Id="rId161" Target="media/rId161.png" /><Relationship Type="http://schemas.openxmlformats.org/officeDocument/2006/relationships/image" Id="rId186" Target="media/rId186.png" /><Relationship Type="http://schemas.openxmlformats.org/officeDocument/2006/relationships/image" Id="rId75" Target="media/rId75.png" /><Relationship Type="http://schemas.openxmlformats.org/officeDocument/2006/relationships/image" Id="rId486" Target="media/rId486.png" /><Relationship Type="http://schemas.openxmlformats.org/officeDocument/2006/relationships/image" Id="rId485" Target="media/rId485.png" /><Relationship Type="http://schemas.openxmlformats.org/officeDocument/2006/relationships/image" Id="rId67" Target="media/rId67.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33" Target="media/rId133.png" /><Relationship Type="http://schemas.openxmlformats.org/officeDocument/2006/relationships/image" Id="rId117" Target="media/rId117.png" /><Relationship Type="http://schemas.openxmlformats.org/officeDocument/2006/relationships/image" Id="rId130" Target="media/rId130.png" /><Relationship Type="http://schemas.openxmlformats.org/officeDocument/2006/relationships/hyperlink" Id="rId480"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393" Target="https://doi.org/10.1002/14651858.CD003160.pub3" TargetMode="External" /><Relationship Type="http://schemas.openxmlformats.org/officeDocument/2006/relationships/hyperlink" Id="rId312"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61" Target="https://doi.org/10.1016/j.neuropharm.2020.108352" TargetMode="External" /><Relationship Type="http://schemas.openxmlformats.org/officeDocument/2006/relationships/hyperlink" Id="rId401" Target="https://doi.org/10.1101/168674" TargetMode="External" /><Relationship Type="http://schemas.openxmlformats.org/officeDocument/2006/relationships/hyperlink" Id="rId365" Target="https://doi.org/10.1101/19000265" TargetMode="External" /><Relationship Type="http://schemas.openxmlformats.org/officeDocument/2006/relationships/hyperlink" Id="rId443" Target="https://doi.org/10.1101/2019.12.18.19013847" TargetMode="External" /><Relationship Type="http://schemas.openxmlformats.org/officeDocument/2006/relationships/hyperlink" Id="rId359" Target="https://doi.org/10.1101/2020.11.23.394577" TargetMode="External" /><Relationship Type="http://schemas.openxmlformats.org/officeDocument/2006/relationships/hyperlink" Id="rId322" Target="https://doi.org/10.1101/2021.03.04.433874" TargetMode="External" /><Relationship Type="http://schemas.openxmlformats.org/officeDocument/2006/relationships/hyperlink" Id="rId343" Target="https://doi.org/10.1101/833400" TargetMode="External" /><Relationship Type="http://schemas.openxmlformats.org/officeDocument/2006/relationships/hyperlink" Id="rId397" Target="https://doi.org/10.1111/j.1447-0594.2009.00579.x" TargetMode="External" /><Relationship Type="http://schemas.openxmlformats.org/officeDocument/2006/relationships/hyperlink" Id="rId352"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71"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369" Target="https://doi.org/10.3758/s13428-020-01436-x" TargetMode="External" /><Relationship Type="http://schemas.openxmlformats.org/officeDocument/2006/relationships/hyperlink" Id="rId481"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11" Target="https://www.ucl.ac.uk/whitehallII" TargetMode="External" /></Relationships>
</file>

<file path=word/_rels/footnotes.xml.rels><?xml version="1.0" encoding="UTF-8"?>
<Relationships xmlns="http://schemas.openxmlformats.org/package/2006/relationships"><Relationship Type="http://schemas.openxmlformats.org/officeDocument/2006/relationships/hyperlink" Id="rId480"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393" Target="https://doi.org/10.1002/14651858.CD003160.pub3" TargetMode="External" /><Relationship Type="http://schemas.openxmlformats.org/officeDocument/2006/relationships/hyperlink" Id="rId312"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61" Target="https://doi.org/10.1016/j.neuropharm.2020.108352" TargetMode="External" /><Relationship Type="http://schemas.openxmlformats.org/officeDocument/2006/relationships/hyperlink" Id="rId401" Target="https://doi.org/10.1101/168674" TargetMode="External" /><Relationship Type="http://schemas.openxmlformats.org/officeDocument/2006/relationships/hyperlink" Id="rId365" Target="https://doi.org/10.1101/19000265" TargetMode="External" /><Relationship Type="http://schemas.openxmlformats.org/officeDocument/2006/relationships/hyperlink" Id="rId443" Target="https://doi.org/10.1101/2019.12.18.19013847" TargetMode="External" /><Relationship Type="http://schemas.openxmlformats.org/officeDocument/2006/relationships/hyperlink" Id="rId359" Target="https://doi.org/10.1101/2020.11.23.394577" TargetMode="External" /><Relationship Type="http://schemas.openxmlformats.org/officeDocument/2006/relationships/hyperlink" Id="rId322" Target="https://doi.org/10.1101/2021.03.04.433874" TargetMode="External" /><Relationship Type="http://schemas.openxmlformats.org/officeDocument/2006/relationships/hyperlink" Id="rId343" Target="https://doi.org/10.1101/833400" TargetMode="External" /><Relationship Type="http://schemas.openxmlformats.org/officeDocument/2006/relationships/hyperlink" Id="rId397" Target="https://doi.org/10.1111/j.1447-0594.2009.00579.x" TargetMode="External" /><Relationship Type="http://schemas.openxmlformats.org/officeDocument/2006/relationships/hyperlink" Id="rId352"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71"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369" Target="https://doi.org/10.3758/s13428-020-01436-x" TargetMode="External" /><Relationship Type="http://schemas.openxmlformats.org/officeDocument/2006/relationships/hyperlink" Id="rId481"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11" Target="https://www.ucl.ac.uk/whitehall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2021-08-17T17:18:49Z</dcterms:created>
  <dcterms:modified xsi:type="dcterms:W3CDTF">2021-08-17T17:18:49Z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25005</vt:lpwstr>
  </property>
</Properties>
</file>