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1.png" ContentType="image/png"/>
  <Override PartName="/word/media/rId191.png" ContentType="image/png"/>
  <Override PartName="/word/media/rId174.png" ContentType="image/png"/>
  <Override PartName="/word/media/rId202.png" ContentType="image/png"/>
  <Override PartName="/word/media/rId196.png" ContentType="image/png"/>
  <Override PartName="/word/media/rId198.png" ContentType="image/png"/>
  <Override PartName="/word/media/rId194.png" ContentType="image/png"/>
  <Override PartName="/word/media/rId204.png" ContentType="image/png"/>
  <Override PartName="/word/media/rId206.png" ContentType="image/png"/>
  <Override PartName="/word/media/rId200.png" ContentType="image/png"/>
  <Override PartName="/word/media/rId179.png" ContentType="image/png"/>
  <Override PartName="/word/media/rId212.png" ContentType="image/png"/>
  <Override PartName="/word/media/rId183.png" ContentType="image/png"/>
  <Override PartName="/word/media/rId215.png" ContentType="image/png"/>
  <Override PartName="/word/media/rId240.png" ContentType="image/png"/>
  <Override PartName="/word/media/rId252.png" ContentType="image/png"/>
  <Override PartName="/word/media/rId254.png" ContentType="image/png"/>
  <Override PartName="/word/media/rId253.png" ContentType="image/png"/>
  <Override PartName="/word/media/rId248.png" ContentType="image/png"/>
  <Override PartName="/word/media/rId250.png" ContentType="image/png"/>
  <Override PartName="/word/media/rId249.png" ContentType="image/png"/>
  <Override PartName="/word/media/rId256.png" ContentType="image/png"/>
  <Override PartName="/word/media/rId69.png" ContentType="image/png"/>
  <Override PartName="/word/media/rId61.png" ContentType="image/png"/>
  <Override PartName="/word/media/rId121.png" ContentType="image/png"/>
  <Override PartName="/word/media/rId768.png" ContentType="image/png"/>
  <Override PartName="/word/media/rId149.png" ContentType="image/png"/>
  <Override PartName="/word/media/rId767.png" ContentType="image/png"/>
  <Override PartName="/word/media/rId134.png" ContentType="image/png"/>
  <Override PartName="/word/media/rId137.pdf" ContentType="application/pdf"/>
  <Override PartName="/word/media/rId130.pdf" ContentType="application/pdf"/>
  <Override PartName="/word/media/rId127.png" ContentType="image/png"/>
  <Override PartName="/word/media/rId133.png" ContentType="image/png"/>
  <Override PartName="/word/media/rId125.png" ContentType="image/png"/>
  <Override PartName="/word/media/rId141.png" ContentType="image/png"/>
  <Override PartName="/word/media/rId144.png" ContentType="image/png"/>
  <Override PartName="/word/media/rId136.png" ContentType="image/png"/>
  <Override PartName="/word/media/rId129.png" ContentType="image/png"/>
  <Override PartName="/word/media/rId143.png" ContentType="image/png"/>
  <Override PartName="/word/media/rId124.png" ContentType="image/png"/>
  <Override PartName="/word/media/rId157.png" ContentType="image/png"/>
  <Override PartName="/word/media/rId138.png" ContentType="image/png"/>
  <Override PartName="/word/media/rId159.png" ContentType="image/png"/>
  <Override PartName="/word/media/rId118.png" ContentType="image/png"/>
  <Override PartName="/word/media/rId154.png" ContentType="image/png"/>
  <Override PartName="/word/media/rId278.png" ContentType="image/png"/>
  <Override PartName="/word/media/rId293.png" ContentType="image/png"/>
  <Override PartName="/word/media/rId294.png" ContentType="image/png"/>
  <Override PartName="/word/media/rId297.png" ContentType="image/png"/>
  <Override PartName="/word/media/rId298.png" ContentType="image/png"/>
  <Override PartName="/word/media/rId292.png" ContentType="image/png"/>
  <Override PartName="/word/media/rId290.png" ContentType="image/png"/>
  <Override PartName="/word/media/rId29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br/>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risk</w:t>
      </w:r>
      <w:r>
        <w:t xml:space="preserve"> </w:t>
      </w:r>
      <w:r>
        <w:t xml:space="preserve">of</w:t>
      </w:r>
      <w:r>
        <w:t xml:space="preserve"> </w:t>
      </w:r>
      <w:r>
        <w:t xml:space="preserve">dementia</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r>
        <w:t xml:space="preserve"> </w:t>
      </w:r>
      <w:r>
        <w:t xml:space="preserve">This</w:t>
      </w:r>
      <w:r>
        <w:t xml:space="preserve"> </w:t>
      </w:r>
      <w:r>
        <w:t xml:space="preserve">thesis</w:t>
      </w:r>
      <w:r>
        <w:t xml:space="preserve"> </w:t>
      </w:r>
      <w:r>
        <w:t xml:space="preserve">sought</w:t>
      </w:r>
      <w:r>
        <w:t xml:space="preserve"> </w:t>
      </w:r>
      <w:r>
        <w:t xml:space="preserve">to</w:t>
      </w:r>
      <w:r>
        <w:t xml:space="preserve"> </w:t>
      </w:r>
      <w:r>
        <w:t xml:space="preserve">triangulate</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dementia</w:t>
      </w:r>
      <w:r>
        <w:t xml:space="preserve"> </w:t>
      </w:r>
      <w:r>
        <w:t xml:space="preserve">(all-cause</w:t>
      </w:r>
      <w:r>
        <w:t xml:space="preserve"> </w:t>
      </w:r>
      <w:r>
        <w:t xml:space="preserve">dementia,</w:t>
      </w:r>
      <w:r>
        <w:t xml:space="preserve"> </w:t>
      </w:r>
      <w:r>
        <w:t xml:space="preserve">Alzheimer’s</w:t>
      </w:r>
      <w:r>
        <w:t xml:space="preserve"> </w:t>
      </w:r>
      <w:r>
        <w:t xml:space="preserve">disease</w:t>
      </w:r>
      <w:r>
        <w:t xml:space="preserve"> </w:t>
      </w:r>
      <w:r>
        <w:t xml:space="preserve">and</w:t>
      </w:r>
      <w:r>
        <w:t xml:space="preserve"> </w:t>
      </w:r>
      <w:r>
        <w:t xml:space="preserve">vascular</w:t>
      </w:r>
      <w:r>
        <w:t xml:space="preserve"> </w:t>
      </w:r>
      <w:r>
        <w:t xml:space="preserve">dementia)</w:t>
      </w:r>
      <w:r>
        <w:t xml:space="preserve"> </w:t>
      </w:r>
      <w:r>
        <w:t xml:space="preserve">risk</w:t>
      </w:r>
      <w:r>
        <w:t xml:space="preserve"> </w:t>
      </w:r>
      <w:r>
        <w:t xml:space="preserve">using</w:t>
      </w:r>
      <w:r>
        <w:t xml:space="preserve"> </w:t>
      </w:r>
      <w:r>
        <w:t xml:space="preserve">existing</w:t>
      </w:r>
      <w:r>
        <w:t xml:space="preserve"> </w:t>
      </w:r>
      <w:r>
        <w:t xml:space="preserve">and</w:t>
      </w:r>
      <w:r>
        <w:t xml:space="preserve"> </w:t>
      </w:r>
      <w:r>
        <w:t xml:space="preserve">new</w:t>
      </w:r>
      <w:r>
        <w:t xml:space="preserve"> </w:t>
      </w:r>
      <w:r>
        <w:t xml:space="preserve">evidence.</w:t>
      </w:r>
    </w:p>
    <w:p>
      <w:pPr>
        <w:pStyle w:val="Abstract"/>
      </w:pPr>
      <w:r>
        <w:t xml:space="preserve">I</w:t>
      </w:r>
      <w:r>
        <w:t xml:space="preserve"> </w:t>
      </w:r>
      <w:r>
        <w:t xml:space="preserve">conducted</w:t>
      </w:r>
      <w:r>
        <w:t xml:space="preserve"> </w:t>
      </w:r>
      <w:r>
        <w:t xml:space="preserve">four</w:t>
      </w:r>
      <w:r>
        <w:t xml:space="preserve"> </w:t>
      </w:r>
      <w:r>
        <w:t xml:space="preserve">distinct</w:t>
      </w:r>
      <w:r>
        <w:t xml:space="preserve"> </w:t>
      </w:r>
      <w:r>
        <w:t xml:space="preserve">analyses</w:t>
      </w:r>
      <w:r>
        <w:t xml:space="preserve"> </w:t>
      </w:r>
      <w:r>
        <w:t xml:space="preserve">as</w:t>
      </w:r>
      <w:r>
        <w:t xml:space="preserve"> </w:t>
      </w:r>
      <w:r>
        <w:t xml:space="preserve">part</w:t>
      </w:r>
      <w:r>
        <w:t xml:space="preserve"> </w:t>
      </w:r>
      <w:r>
        <w:t xml:space="preserve">of</w:t>
      </w:r>
      <w:r>
        <w:t xml:space="preserve"> </w:t>
      </w:r>
      <w:r>
        <w:t xml:space="preserve">this</w:t>
      </w:r>
      <w:r>
        <w:t xml:space="preserve"> </w:t>
      </w:r>
      <w:r>
        <w:t xml:space="preserve">thesis.</w:t>
      </w:r>
      <w:r>
        <w:t xml:space="preserve"> </w:t>
      </w:r>
      <w:r>
        <w:t xml:space="preserve">Firstly,</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81</w:t>
      </w:r>
      <w:r>
        <w:t xml:space="preserve"> </w:t>
      </w:r>
      <w:r>
        <w:t xml:space="preserve">published</w:t>
      </w:r>
      <w:r>
        <w:t xml:space="preserve"> </w:t>
      </w:r>
      <w:r>
        <w:t xml:space="preserve">and</w:t>
      </w:r>
      <w:r>
        <w:t xml:space="preserve"> </w:t>
      </w:r>
      <w:r>
        <w:t xml:space="preserve">preprinted</w:t>
      </w:r>
      <w:r>
        <w:t xml:space="preserve"> </w:t>
      </w:r>
      <w:r>
        <w:t xml:space="preserve">studies</w:t>
      </w:r>
      <w:r>
        <w:t xml:space="preserve"> </w:t>
      </w:r>
      <w:r>
        <w:t xml:space="preserve">was</w:t>
      </w:r>
      <w:r>
        <w:t xml:space="preserve"> </w:t>
      </w:r>
      <w:r>
        <w:t xml:space="preserve">used</w:t>
      </w:r>
      <w:r>
        <w:t xml:space="preserve"> </w:t>
      </w:r>
      <w:r>
        <w:t xml:space="preserve">to</w:t>
      </w:r>
      <w:r>
        <w:t xml:space="preserve"> </w:t>
      </w:r>
      <w:r>
        <w:t xml:space="preserve">summarise</w:t>
      </w:r>
      <w:r>
        <w:t xml:space="preserve"> </w:t>
      </w:r>
      <w:r>
        <w:t xml:space="preserve">the</w:t>
      </w:r>
      <w:r>
        <w:t xml:space="preserve"> </w:t>
      </w:r>
      <w:r>
        <w:t xml:space="preserve">existing</w:t>
      </w:r>
      <w:r>
        <w:t xml:space="preserve"> </w:t>
      </w:r>
      <w:r>
        <w:t xml:space="preserve">evidence</w:t>
      </w:r>
      <w:r>
        <w:t xml:space="preserve"> </w:t>
      </w:r>
      <w:r>
        <w:t xml:space="preserve">base.</w:t>
      </w:r>
      <w:r>
        <w:t xml:space="preserve"> </w:t>
      </w:r>
      <w:r>
        <w:t xml:space="preserve">Preprinted</w:t>
      </w:r>
      <w:r>
        <w:t xml:space="preserve"> </w:t>
      </w:r>
      <w:r>
        <w:t xml:space="preserve">studies</w:t>
      </w:r>
      <w:r>
        <w:t xml:space="preserve"> </w:t>
      </w:r>
      <w:r>
        <w:t xml:space="preserve">were</w:t>
      </w:r>
      <w:r>
        <w:t xml:space="preserve"> </w:t>
      </w:r>
      <w:r>
        <w:t xml:space="preserve">identified</w:t>
      </w:r>
      <w:r>
        <w:t xml:space="preserve"> </w:t>
      </w:r>
      <w:r>
        <w:t xml:space="preserve">using</w:t>
      </w:r>
      <w:r>
        <w:t xml:space="preserve"> </w:t>
      </w:r>
      <w:r>
        <w:t xml:space="preserve">a</w:t>
      </w:r>
      <w:r>
        <w:t xml:space="preserve"> </w:t>
      </w:r>
      <w:r>
        <w:t xml:space="preserve">research</w:t>
      </w:r>
      <w:r>
        <w:t xml:space="preserve"> </w:t>
      </w:r>
      <w:r>
        <w:t xml:space="preserve">tool</w:t>
      </w:r>
      <w:r>
        <w:t xml:space="preserve"> </w:t>
      </w:r>
      <w:r>
        <w:t xml:space="preserve">developed</w:t>
      </w:r>
      <w:r>
        <w:t xml:space="preserve"> </w:t>
      </w:r>
      <w:r>
        <w:t xml:space="preserve">as</w:t>
      </w:r>
      <w:r>
        <w:t xml:space="preserve"> </w:t>
      </w:r>
      <w:r>
        <w:t xml:space="preserve">part</w:t>
      </w:r>
      <w:r>
        <w:t xml:space="preserve"> </w:t>
      </w:r>
      <w:r>
        <w:t xml:space="preserve">of</w:t>
      </w:r>
      <w:r>
        <w:t xml:space="preserve"> </w:t>
      </w:r>
      <w:r>
        <w:t xml:space="preserve">this</w:t>
      </w:r>
      <w:r>
        <w:t xml:space="preserve"> </w:t>
      </w:r>
      <w:r>
        <w:t xml:space="preserve">thesis.</w:t>
      </w:r>
      <w:r>
        <w:t xml:space="preserve"> </w:t>
      </w:r>
      <w:r>
        <w:t xml:space="preserve">I</w:t>
      </w:r>
      <w:r>
        <w:t xml:space="preserve"> </w:t>
      </w:r>
      <w:r>
        <w:t xml:space="preserve">then</w:t>
      </w:r>
      <w:r>
        <w:t xml:space="preserve"> </w:t>
      </w:r>
      <w:r>
        <w:t xml:space="preserve">supplemented</w:t>
      </w:r>
      <w:r>
        <w:t xml:space="preserve"> </w:t>
      </w:r>
      <w:r>
        <w:t xml:space="preserve">the</w:t>
      </w:r>
      <w:r>
        <w:t xml:space="preserve"> </w:t>
      </w:r>
      <w:r>
        <w:t xml:space="preserve">existing</w:t>
      </w:r>
      <w:r>
        <w:t xml:space="preserve"> </w:t>
      </w:r>
      <w:r>
        <w:t xml:space="preserve">evidence</w:t>
      </w:r>
      <w:r>
        <w:t xml:space="preserve"> </w:t>
      </w:r>
      <w:r>
        <w:t xml:space="preserve">via</w:t>
      </w:r>
      <w:r>
        <w:t xml:space="preserve"> </w:t>
      </w:r>
      <w:r>
        <w:t xml:space="preserve">two</w:t>
      </w:r>
      <w:r>
        <w:t xml:space="preserve"> </w:t>
      </w:r>
      <w:r>
        <w:t xml:space="preserve">primary</w:t>
      </w:r>
      <w:r>
        <w:t xml:space="preserve"> </w:t>
      </w:r>
      <w:r>
        <w:t xml:space="preserve">studies:</w:t>
      </w:r>
      <w:r>
        <w:t xml:space="preserve"> </w:t>
      </w:r>
      <w:r>
        <w:t xml:space="preserve">i)</w:t>
      </w:r>
      <w:r>
        <w:t xml:space="preserve"> </w:t>
      </w:r>
      <w:r>
        <w:t xml:space="preserve">a</w:t>
      </w:r>
      <w:r>
        <w:t xml:space="preserve"> </w:t>
      </w:r>
      <w:r>
        <w:t xml:space="preserve">cohort</w:t>
      </w:r>
      <w:r>
        <w:t xml:space="preserve"> </w:t>
      </w:r>
      <w:r>
        <w:t xml:space="preserve">study</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and</w:t>
      </w:r>
      <w:r>
        <w:t xml:space="preserve"> </w:t>
      </w:r>
      <w:r>
        <w:t xml:space="preserve">dementia</w:t>
      </w:r>
      <w:r>
        <w:t xml:space="preserve"> </w:t>
      </w:r>
      <w:r>
        <w:t xml:space="preserve">incidence</w:t>
      </w:r>
      <w:r>
        <w:t xml:space="preserve"> </w:t>
      </w:r>
      <w:r>
        <w:t xml:space="preserve">in</w:t>
      </w:r>
      <w:r>
        <w:t xml:space="preserve"> </w:t>
      </w:r>
      <w:r>
        <w:t xml:space="preserve">the</w:t>
      </w:r>
      <w:r>
        <w:t xml:space="preserve"> </w:t>
      </w:r>
      <w:r>
        <w:t xml:space="preserve">Clinical</w:t>
      </w:r>
      <w:r>
        <w:t xml:space="preserve"> </w:t>
      </w:r>
      <w:r>
        <w:t xml:space="preserve">Practice</w:t>
      </w:r>
      <w:r>
        <w:t xml:space="preserve"> </w:t>
      </w:r>
      <w:r>
        <w:t xml:space="preserve">Research</w:t>
      </w:r>
      <w:r>
        <w:t xml:space="preserve"> </w:t>
      </w:r>
      <w:r>
        <w:t xml:space="preserve">Datalink</w:t>
      </w:r>
      <w:r>
        <w:t xml:space="preserve"> </w:t>
      </w:r>
      <w:r>
        <w:t xml:space="preserve">(CPRD),</w:t>
      </w:r>
      <w:r>
        <w:t xml:space="preserve"> </w:t>
      </w:r>
      <w:r>
        <w:t xml:space="preserve">and</w:t>
      </w:r>
      <w:r>
        <w:t xml:space="preserve"> </w:t>
      </w:r>
      <w:r>
        <w:t xml:space="preserve">ii)</w:t>
      </w:r>
      <w:r>
        <w:t xml:space="preserve"> </w:t>
      </w:r>
      <w:r>
        <w:t xml:space="preserve">an</w:t>
      </w:r>
      <w:r>
        <w:t xml:space="preserve"> </w:t>
      </w:r>
      <w:r>
        <w:t xml:space="preserve">individual</w:t>
      </w:r>
      <w:r>
        <w:t xml:space="preserve"> </w:t>
      </w:r>
      <w:r>
        <w:t xml:space="preserve">patient</w:t>
      </w:r>
      <w:r>
        <w:t xml:space="preserve"> </w:t>
      </w:r>
      <w:r>
        <w:t xml:space="preserve">data</w:t>
      </w:r>
      <w:r>
        <w:t xml:space="preserve"> </w:t>
      </w:r>
      <w:r>
        <w:t xml:space="preserve">meta-analysis</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blood</w:t>
      </w:r>
      <w:r>
        <w:t xml:space="preserve"> </w:t>
      </w:r>
      <w:r>
        <w:t xml:space="preserve">lipids</w:t>
      </w:r>
      <w:r>
        <w:t xml:space="preserve"> </w:t>
      </w:r>
      <w:r>
        <w:t xml:space="preserve">with</w:t>
      </w:r>
      <w:r>
        <w:t xml:space="preserve"> </w:t>
      </w:r>
      <w:r>
        <w:t xml:space="preserve">dementia</w:t>
      </w:r>
      <w:r>
        <w:t xml:space="preserve"> </w:t>
      </w:r>
      <w:r>
        <w:t xml:space="preserve">incidence</w:t>
      </w:r>
      <w:r>
        <w:t xml:space="preserve"> </w:t>
      </w:r>
      <w:r>
        <w:t xml:space="preserve">in</w:t>
      </w:r>
      <w:r>
        <w:t xml:space="preserve"> </w:t>
      </w:r>
      <w:r>
        <w:t xml:space="preserve">previously</w:t>
      </w:r>
      <w:r>
        <w:t xml:space="preserve"> </w:t>
      </w:r>
      <w:r>
        <w:t xml:space="preserve">unanalysed</w:t>
      </w:r>
      <w:r>
        <w:t xml:space="preserve"> </w:t>
      </w:r>
      <w:r>
        <w:t xml:space="preserve">cohorts</w:t>
      </w:r>
      <w:r>
        <w:t xml:space="preserve"> </w:t>
      </w:r>
      <w:r>
        <w:t xml:space="preserve">accessed</w:t>
      </w:r>
      <w:r>
        <w:t xml:space="preserve"> </w:t>
      </w:r>
      <w:r>
        <w:t xml:space="preserve">through</w:t>
      </w:r>
      <w:r>
        <w:t xml:space="preserve"> </w:t>
      </w:r>
      <w:r>
        <w:t xml:space="preserve">the</w:t>
      </w:r>
      <w:r>
        <w:t xml:space="preserve"> </w:t>
      </w:r>
      <w:r>
        <w:t xml:space="preserve">Dementia</w:t>
      </w:r>
      <w:r>
        <w:t xml:space="preserve"> </w:t>
      </w:r>
      <w:r>
        <w:t xml:space="preserve">Platform</w:t>
      </w:r>
      <w:r>
        <w:t xml:space="preserve"> </w:t>
      </w:r>
      <w:r>
        <w:t xml:space="preserve">UK.</w:t>
      </w:r>
      <w:r>
        <w:t xml:space="preserve"> </w:t>
      </w:r>
      <w:r>
        <w:t xml:space="preserve">Finally,</w:t>
      </w:r>
      <w:r>
        <w:t xml:space="preserve"> </w:t>
      </w:r>
      <w:r>
        <w:t xml:space="preserve">I</w:t>
      </w:r>
      <w:r>
        <w:t xml:space="preserve"> </w:t>
      </w:r>
      <w:r>
        <w:t xml:space="preserve">used</w:t>
      </w:r>
      <w:r>
        <w:t xml:space="preserve"> </w:t>
      </w:r>
      <w:r>
        <w:t xml:space="preserve">a</w:t>
      </w:r>
      <w:r>
        <w:t xml:space="preserve"> </w:t>
      </w:r>
      <w:r>
        <w:t xml:space="preserve">novel</w:t>
      </w:r>
      <w:r>
        <w:t xml:space="preserve"> </w:t>
      </w:r>
      <w:r>
        <w:t xml:space="preserve">quantitative</w:t>
      </w:r>
      <w:r>
        <w:t xml:space="preserve"> </w:t>
      </w:r>
      <w:r>
        <w:t xml:space="preserve">triangulation</w:t>
      </w:r>
      <w:r>
        <w:t xml:space="preserve"> </w:t>
      </w:r>
      <w:r>
        <w:t xml:space="preserve">framework</w:t>
      </w:r>
      <w:r>
        <w:t xml:space="preserve"> </w:t>
      </w:r>
      <w:r>
        <w:t xml:space="preserve">to</w:t>
      </w:r>
      <w:r>
        <w:t xml:space="preserve"> </w:t>
      </w:r>
      <w:r>
        <w:t xml:space="preserve">incorporate</w:t>
      </w:r>
      <w:r>
        <w:t xml:space="preserve"> </w:t>
      </w:r>
      <w:r>
        <w:t xml:space="preserve">the</w:t>
      </w:r>
      <w:r>
        <w:t xml:space="preserve"> </w:t>
      </w:r>
      <w:r>
        <w:t xml:space="preserve">results</w:t>
      </w:r>
      <w:r>
        <w:t xml:space="preserve"> </w:t>
      </w:r>
      <w:r>
        <w:t xml:space="preserve">produced</w:t>
      </w:r>
      <w:r>
        <w:t xml:space="preserve"> </w:t>
      </w:r>
      <w:r>
        <w:t xml:space="preserve">by</w:t>
      </w:r>
      <w:r>
        <w:t xml:space="preserve"> </w:t>
      </w:r>
      <w:r>
        <w:t xml:space="preserve">the</w:t>
      </w:r>
      <w:r>
        <w:t xml:space="preserve"> </w:t>
      </w:r>
      <w:r>
        <w:t xml:space="preserve">diverse</w:t>
      </w:r>
      <w:r>
        <w:t xml:space="preserve"> </w:t>
      </w:r>
      <w:r>
        <w:t xml:space="preserve">methodological</w:t>
      </w:r>
      <w:r>
        <w:t xml:space="preserve"> </w:t>
      </w:r>
      <w:r>
        <w:t xml:space="preserve">approaches</w:t>
      </w:r>
      <w:r>
        <w:t xml:space="preserve"> </w:t>
      </w:r>
      <w:r>
        <w:t xml:space="preserve">while</w:t>
      </w:r>
      <w:r>
        <w:t xml:space="preserve"> </w:t>
      </w:r>
      <w:r>
        <w:t xml:space="preserve">attempting</w:t>
      </w:r>
      <w:r>
        <w:t xml:space="preserve"> </w:t>
      </w:r>
      <w:r>
        <w:t xml:space="preserve">to</w:t>
      </w:r>
      <w:r>
        <w:t xml:space="preserve"> </w:t>
      </w:r>
      <w:r>
        <w:t xml:space="preserve">account</w:t>
      </w:r>
      <w:r>
        <w:t xml:space="preserve"> </w:t>
      </w:r>
      <w:r>
        <w:t xml:space="preserve">for</w:t>
      </w:r>
      <w:r>
        <w:t xml:space="preserve"> </w:t>
      </w:r>
      <w:r>
        <w:t xml:space="preserve">their</w:t>
      </w:r>
      <w:r>
        <w:t xml:space="preserve"> </w:t>
      </w:r>
      <w:r>
        <w:t xml:space="preserve">respective</w:t>
      </w:r>
      <w:r>
        <w:t xml:space="preserve"> </w:t>
      </w:r>
      <w:r>
        <w:t xml:space="preserve">biases</w:t>
      </w:r>
      <w:r>
        <w:t xml:space="preserve"> </w:t>
      </w:r>
      <w:r>
        <w:t xml:space="preserve">and</w:t>
      </w:r>
      <w:r>
        <w:t xml:space="preserve"> </w:t>
      </w:r>
      <w:r>
        <w:t xml:space="preserve">indirectness.</w:t>
      </w:r>
    </w:p>
    <w:p>
      <w:pPr>
        <w:pStyle w:val="Abstract"/>
      </w:pPr>
      <w:r>
        <w:t xml:space="preserve">Overall</w:t>
      </w:r>
      <w:r>
        <w:t xml:space="preserve"> </w:t>
      </w:r>
      <w:r>
        <w:t xml:space="preserve">I</w:t>
      </w:r>
      <w:r>
        <w:t xml:space="preserve"> </w:t>
      </w:r>
      <w:r>
        <w:t xml:space="preserve">identified</w:t>
      </w:r>
      <w:r>
        <w:t xml:space="preserve"> </w:t>
      </w:r>
      <w:r>
        <w:t xml:space="preserve">no</w:t>
      </w:r>
      <w:r>
        <w:t xml:space="preserve"> </w:t>
      </w:r>
      <w:r>
        <w:t xml:space="preserve">consistent</w:t>
      </w:r>
      <w:r>
        <w:t xml:space="preserve"> </w:t>
      </w:r>
      <w:r>
        <w:t xml:space="preserve">effect</w:t>
      </w:r>
      <w:r>
        <w:t xml:space="preserve"> </w:t>
      </w:r>
      <w:r>
        <w:t xml:space="preserve">of</w:t>
      </w:r>
      <w:r>
        <w:t xml:space="preserve"> </w:t>
      </w:r>
      <w:r>
        <w:t xml:space="preserve">any</w:t>
      </w:r>
      <w:r>
        <w:t xml:space="preserve"> </w:t>
      </w:r>
      <w:r>
        <w:t xml:space="preserve">lipid</w:t>
      </w:r>
      <w:r>
        <w:t xml:space="preserve"> </w:t>
      </w:r>
      <w:r>
        <w:t xml:space="preserve">fraction</w:t>
      </w:r>
      <w:r>
        <w:t xml:space="preserve"> </w:t>
      </w:r>
      <w:r>
        <w:t xml:space="preserve">on</w:t>
      </w:r>
      <w:r>
        <w:t xml:space="preserve"> </w:t>
      </w:r>
      <w:r>
        <w:t xml:space="preserve">any</w:t>
      </w:r>
      <w:r>
        <w:t xml:space="preserve"> </w:t>
      </w:r>
      <w:r>
        <w:t xml:space="preserve">dementia</w:t>
      </w:r>
      <w:r>
        <w:t xml:space="preserve"> </w:t>
      </w:r>
      <w:r>
        <w:t xml:space="preserve">outcome</w:t>
      </w:r>
      <w:r>
        <w:t xml:space="preserve"> </w:t>
      </w:r>
      <w:r>
        <w:t xml:space="preserve">across</w:t>
      </w:r>
      <w:r>
        <w:t xml:space="preserve"> </w:t>
      </w:r>
      <w:r>
        <w:t xml:space="preserve">the</w:t>
      </w:r>
      <w:r>
        <w:t xml:space="preserve"> </w:t>
      </w:r>
      <w:r>
        <w:t xml:space="preserve">evidence</w:t>
      </w:r>
      <w:r>
        <w:t xml:space="preserve"> </w:t>
      </w:r>
      <w:r>
        <w:t xml:space="preserve">sources</w:t>
      </w:r>
      <w:r>
        <w:t xml:space="preserve"> </w:t>
      </w:r>
      <w:r>
        <w:t xml:space="preserve">presented</w:t>
      </w:r>
      <w:r>
        <w:t xml:space="preserve"> </w:t>
      </w:r>
      <w:r>
        <w:t xml:space="preserve">in</w:t>
      </w:r>
      <w:r>
        <w:t xml:space="preserve"> </w:t>
      </w:r>
      <w:r>
        <w:t xml:space="preserve">this</w:t>
      </w:r>
      <w:r>
        <w:t xml:space="preserve"> </w:t>
      </w:r>
      <w:r>
        <w:t xml:space="preserve">thesis,</w:t>
      </w:r>
      <w:r>
        <w:t xml:space="preserve"> </w:t>
      </w:r>
      <w:r>
        <w:t xml:space="preserve">through</w:t>
      </w:r>
      <w:r>
        <w:t xml:space="preserve"> </w:t>
      </w:r>
      <w:r>
        <w:t xml:space="preserve">there</w:t>
      </w:r>
      <w:r>
        <w:t xml:space="preserve"> </w:t>
      </w:r>
      <w:r>
        <w:t xml:space="preserve">was</w:t>
      </w:r>
      <w:r>
        <w:t xml:space="preserve"> </w:t>
      </w:r>
      <w:r>
        <w:t xml:space="preserve">some</w:t>
      </w:r>
      <w:r>
        <w:t xml:space="preserve"> </w:t>
      </w:r>
      <w:r>
        <w:t xml:space="preserve">suggestion</w:t>
      </w:r>
      <w:r>
        <w:t xml:space="preserve"> </w:t>
      </w:r>
      <w:r>
        <w:t xml:space="preserve">of</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LDL-c</w:t>
      </w:r>
      <w:r>
        <w:t xml:space="preserve"> </w:t>
      </w:r>
      <w:r>
        <w:t xml:space="preserve">lowering</w:t>
      </w:r>
      <w:r>
        <w:t xml:space="preserve"> </w:t>
      </w:r>
      <w:r>
        <w:t xml:space="preserve">(via</w:t>
      </w:r>
      <w:r>
        <w:t xml:space="preserve"> </w:t>
      </w:r>
      <w:r>
        <w:t xml:space="preserve">statin</w:t>
      </w:r>
      <w:r>
        <w:t xml:space="preserve"> </w:t>
      </w:r>
      <w:r>
        <w:t xml:space="preserve">use)</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Alzheimer’s</w:t>
      </w:r>
      <w:r>
        <w:t xml:space="preserve"> </w:t>
      </w:r>
      <w:r>
        <w:t xml:space="preserve">disease,</w:t>
      </w:r>
      <w:r>
        <w:t xml:space="preserve"> </w:t>
      </w:r>
      <w:r>
        <w:t xml:space="preserve">and</w:t>
      </w:r>
      <w:r>
        <w:t xml:space="preserve"> </w:t>
      </w:r>
      <w:r>
        <w:t xml:space="preserve">a</w:t>
      </w:r>
      <w:r>
        <w:t xml:space="preserve"> </w:t>
      </w:r>
      <w:r>
        <w:t xml:space="preserve">harmful</w:t>
      </w:r>
      <w:r>
        <w:t xml:space="preserve"> </w:t>
      </w:r>
      <w:r>
        <w:t xml:space="preserve">effect</w:t>
      </w:r>
      <w:r>
        <w:t xml:space="preserve"> </w:t>
      </w:r>
      <w:r>
        <w:t xml:space="preserve">of</w:t>
      </w:r>
      <w:r>
        <w:t xml:space="preserve"> </w:t>
      </w:r>
      <w:r>
        <w:t xml:space="preserve">raised</w:t>
      </w:r>
      <w:r>
        <w:t xml:space="preserve"> </w:t>
      </w:r>
      <w:r>
        <w:t xml:space="preserve">triglyceride</w:t>
      </w:r>
      <w:r>
        <w:t xml:space="preserve"> </w:t>
      </w:r>
      <w:r>
        <w:t xml:space="preserve">levels</w:t>
      </w:r>
      <w:r>
        <w:t xml:space="preserve"> </w:t>
      </w:r>
      <w:r>
        <w:t xml:space="preserve">on</w:t>
      </w:r>
      <w:r>
        <w:t xml:space="preserve"> </w:t>
      </w:r>
      <w:r>
        <w:t xml:space="preserve">vascular</w:t>
      </w:r>
      <w:r>
        <w:t xml:space="preserve"> </w:t>
      </w:r>
      <w:r>
        <w:t xml:space="preserve">dementia.</w:t>
      </w:r>
      <w:r>
        <w:t xml:space="preserve"> </w:t>
      </w:r>
      <w:r>
        <w:t xml:space="preserve">However,</w:t>
      </w:r>
      <w:r>
        <w:t xml:space="preserve"> </w:t>
      </w:r>
      <w:r>
        <w:t xml:space="preserve">when</w:t>
      </w:r>
      <w:r>
        <w:t xml:space="preserve"> </w:t>
      </w:r>
      <w:r>
        <w:t xml:space="preserve">assessed</w:t>
      </w:r>
      <w:r>
        <w:t xml:space="preserve"> </w:t>
      </w:r>
      <w:r>
        <w:t xml:space="preserve">through</w:t>
      </w:r>
      <w:r>
        <w:t xml:space="preserve"> </w:t>
      </w:r>
      <w:r>
        <w:t xml:space="preserve">the</w:t>
      </w:r>
      <w:r>
        <w:t xml:space="preserve"> </w:t>
      </w:r>
      <w:r>
        <w:t xml:space="preserve">triangulation</w:t>
      </w:r>
      <w:r>
        <w:t xml:space="preserve"> </w:t>
      </w:r>
      <w:r>
        <w:t xml:space="preserve">framework,</w:t>
      </w:r>
      <w:r>
        <w:t xml:space="preserve"> </w:t>
      </w:r>
      <w:r>
        <w:t xml:space="preserve">both</w:t>
      </w:r>
      <w:r>
        <w:t xml:space="preserve"> </w:t>
      </w:r>
      <w:r>
        <w:t xml:space="preserve">of</w:t>
      </w:r>
      <w:r>
        <w:t xml:space="preserve"> </w:t>
      </w:r>
      <w:r>
        <w:t xml:space="preserve">these</w:t>
      </w:r>
      <w:r>
        <w:t xml:space="preserve"> </w:t>
      </w:r>
      <w:r>
        <w:t xml:space="preserve">effects</w:t>
      </w:r>
      <w:r>
        <w:t xml:space="preserve"> </w:t>
      </w:r>
      <w:r>
        <w:t xml:space="preserve">attenuated</w:t>
      </w:r>
      <w:r>
        <w:t xml:space="preserve"> </w:t>
      </w:r>
      <w:r>
        <w:t xml:space="preserve">to</w:t>
      </w:r>
      <w:r>
        <w:t xml:space="preserve"> </w:t>
      </w:r>
      <w:r>
        <w:t xml:space="preserve">the</w:t>
      </w:r>
      <w:r>
        <w:t xml:space="preserve"> </w:t>
      </w:r>
      <w:r>
        <w:t xml:space="preserve">null.</w:t>
      </w:r>
      <w:r>
        <w:t xml:space="preserve"> </w:t>
      </w:r>
      <w:r>
        <w:t xml:space="preserve">There</w:t>
      </w:r>
      <w:r>
        <w:t xml:space="preserve"> </w:t>
      </w:r>
      <w:r>
        <w:t xml:space="preserve">was</w:t>
      </w:r>
      <w:r>
        <w:t xml:space="preserve"> </w:t>
      </w:r>
      <w:r>
        <w:t xml:space="preserve">a</w:t>
      </w:r>
      <w:r>
        <w:t xml:space="preserve"> </w:t>
      </w:r>
      <w:r>
        <w:t xml:space="preserve">noticeable</w:t>
      </w:r>
      <w:r>
        <w:t xml:space="preserve"> </w:t>
      </w:r>
      <w:r>
        <w:t xml:space="preserve">absence</w:t>
      </w:r>
      <w:r>
        <w:t xml:space="preserve"> </w:t>
      </w:r>
      <w:r>
        <w:t xml:space="preserve">of</w:t>
      </w:r>
      <w:r>
        <w:t xml:space="preserve"> </w:t>
      </w:r>
      <w:r>
        <w:t xml:space="preserve">existing</w:t>
      </w:r>
      <w:r>
        <w:t xml:space="preserve"> </w:t>
      </w:r>
      <w:r>
        <w:t xml:space="preserve">studies</w:t>
      </w:r>
      <w:r>
        <w:t xml:space="preserve"> </w:t>
      </w:r>
      <w:r>
        <w:t xml:space="preserve">considering</w:t>
      </w:r>
      <w:r>
        <w:t xml:space="preserve"> </w:t>
      </w:r>
      <w:r>
        <w:t xml:space="preserve">vascular</w:t>
      </w:r>
      <w:r>
        <w:t xml:space="preserve"> </w:t>
      </w:r>
      <w:r>
        <w:t xml:space="preserve">dementia</w:t>
      </w:r>
      <w:r>
        <w:t xml:space="preserve"> </w:t>
      </w:r>
      <w:r>
        <w:t xml:space="preserve">as</w:t>
      </w:r>
      <w:r>
        <w:t xml:space="preserve"> </w:t>
      </w:r>
      <w:r>
        <w:t xml:space="preserve">an</w:t>
      </w:r>
      <w:r>
        <w:t xml:space="preserve"> </w:t>
      </w:r>
      <w:r>
        <w:t xml:space="preserve">outcome,</w:t>
      </w:r>
      <w:r>
        <w:t xml:space="preserve"> </w:t>
      </w:r>
      <w:r>
        <w:t xml:space="preserve">and</w:t>
      </w:r>
    </w:p>
    <w:p>
      <w:pPr>
        <w:pStyle w:val="Abstract"/>
      </w:pPr>
      <w:r>
        <w:t xml:space="preserve">Future</w:t>
      </w:r>
      <w:r>
        <w:t xml:space="preserve"> </w:t>
      </w:r>
      <w:r>
        <w:t xml:space="preserve">work</w:t>
      </w:r>
      <w:r>
        <w:t xml:space="preserve"> </w:t>
      </w:r>
      <w:r>
        <w:t xml:space="preserve">should</w:t>
      </w:r>
      <w:r>
        <w:t xml:space="preserve"> </w:t>
      </w:r>
      <w:r>
        <w:t xml:space="preserve">focus</w:t>
      </w:r>
      <w:r>
        <w:t xml:space="preserve"> </w:t>
      </w:r>
      <w:r>
        <w:t xml:space="preserve">on</w:t>
      </w:r>
      <w:r>
        <w:t xml:space="preserve"> </w:t>
      </w:r>
      <w:r>
        <w:t xml:space="preserve">defining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46127</w:t>
      </w:r>
    </w:p>
    <w:p>
      <w:pPr>
        <w:pStyle w:val="BodyText"/>
      </w:pPr>
      <w:r>
        <w:t xml:space="preserve">Table words: 3497</w:t>
      </w:r>
    </w:p>
    <w:p>
      <w:pPr>
        <w:pStyle w:val="BodyText"/>
      </w:pPr>
      <w:r>
        <w:t xml:space="preserve">Days: 373</w:t>
      </w:r>
    </w:p>
    <w:p>
      <w:pPr>
        <w:pStyle w:val="BodyText"/>
      </w:pPr>
      <w:r>
        <w:t xml:space="preserve">Words behind: 4366</w:t>
      </w:r>
    </w:p>
    <w:p>
      <w:pPr>
        <w:pStyle w:val="BodyText"/>
      </w:pPr>
      <w:r>
        <w:t xml:space="preserve">Words today: 255</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57" w:name="background-heading"/>
    <w:p>
      <w:pPr>
        <w:pStyle w:val="Heading1"/>
      </w:pPr>
      <w:r>
        <w:t xml:space="preserve">Background, Theoretical framework, Aims &amp; Objectives</w:t>
      </w:r>
    </w:p>
    <w:p>
      <w:pPr>
        <w:pStyle w:val="FirstParagraph"/>
      </w:pPr>
    </w:p>
    <w:p>
      <w:r>
        <w:br w:type="page"/>
      </w:r>
    </w:p>
    <w:bookmarkStart w:id="22"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2"/>
    <w:bookmarkStart w:id="23"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3"/>
    <w:bookmarkStart w:id="29" w:name="dementia"/>
    <w:p>
      <w:pPr>
        <w:pStyle w:val="Heading2"/>
      </w:pPr>
      <w:r>
        <w:t xml:space="preserve">Dementia</w:t>
      </w:r>
    </w:p>
    <w:bookmarkStart w:id="24"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cumulating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bookmarkEnd w:id="24"/>
    <w:bookmarkStart w:id="25"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be535db8-defd-4dfa-864e-b5ed932b4c42" w:name="tab:diagnosticCriteria-table"/>
      <w:r>
        <w:t xml:space="preserve">Overview of the DSM-5 criteria for dementia and vascular dementia.[@edition2013]</w:t>
      </w:r>
      <w:bookmarkEnd w:id="be535db8-defd-4dfa-864e-b5ed932b4c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
        <w:r>
          <w:rPr>
            <w:rStyle w:val="Hyperlink"/>
            <w:vertAlign w:val="superscript"/>
          </w:rPr>
          <w:t xml:space="preserve">1</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1.2.4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
        <w:r>
          <w:rPr>
            <w:rStyle w:val="Hyperlink"/>
            <w:vertAlign w:val="superscript"/>
          </w:rPr>
          <w:t xml:space="preserve">11</w:t>
        </w:r>
      </w:hyperlink>
    </w:p>
    <w:bookmarkEnd w:id="25"/>
    <w:bookmarkStart w:id="26"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15</w:t>
        </w:r>
      </w:hyperlink>
      <w:r>
        <w:t xml:space="preserve"> </w:t>
      </w:r>
      <w:r>
        <w:t xml:space="preserve">Globally, the cost of dementia care is expected to rise to $1tr by 2030.</w:t>
      </w:r>
      <w:hyperlink w:anchor="ref-prince2014">
        <w:r>
          <w:rPr>
            <w:rStyle w:val="Hyperlink"/>
            <w:vertAlign w:val="superscript"/>
          </w:rPr>
          <w:t xml:space="preserve">16</w:t>
        </w:r>
      </w:hyperlink>
    </w:p>
    <w:p>
      <w:pPr>
        <w:pStyle w:val="BodyText"/>
      </w:pPr>
      <w:r>
        <w:t xml:space="preserve">As such, the urgent need to reduce the burden of dementia, both at the personal and system level, is clear.</w:t>
      </w:r>
    </w:p>
    <w:bookmarkEnd w:id="26"/>
    <w:bookmarkStart w:id="27"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17</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18</w:t>
        </w:r>
      </w:hyperlink>
      <w:r>
        <w:t xml:space="preserve"> </w:t>
      </w:r>
      <w:r>
        <w:t xml:space="preserve">Commonly prescribed ACE inhibitors include donepezil and galantamine.</w:t>
      </w:r>
      <w:hyperlink w:anchor="ref-pariente2008">
        <w:r>
          <w:rPr>
            <w:rStyle w:val="Hyperlink"/>
            <w:vertAlign w:val="superscript"/>
          </w:rPr>
          <w:t xml:space="preserve">19</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20</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21</w:t>
        </w:r>
      </w:hyperlink>
    </w:p>
    <w:bookmarkEnd w:id="27"/>
    <w:bookmarkStart w:id="28"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
        <w:r>
          <w:rPr>
            <w:rStyle w:val="Hyperlink"/>
            <w:vertAlign w:val="superscript"/>
          </w:rPr>
          <w:t xml:space="preserve">22</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23</w:t>
        </w:r>
      </w:hyperlink>
      <w:r>
        <w:rPr>
          <w:vertAlign w:val="superscript"/>
        </w:rPr>
        <w:t xml:space="preserve">–</w:t>
      </w:r>
      <w:hyperlink w:anchor="ref-anstey2019">
        <w:r>
          <w:rPr>
            <w:rStyle w:val="Hyperlink"/>
            <w:vertAlign w:val="superscript"/>
          </w:rPr>
          <w:t xml:space="preserve">25</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
        <w:r>
          <w:rPr>
            <w:rStyle w:val="Hyperlink"/>
            <w:vertAlign w:val="superscript"/>
          </w:rPr>
          <w:t xml:space="preserve">26</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27</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
        <w:r>
          <w:rPr>
            <w:rStyle w:val="Hyperlink"/>
            <w:vertAlign w:val="superscript"/>
          </w:rPr>
          <w:t xml:space="preserve">28</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1.4</w:t>
      </w:r>
      <w:r>
        <w:t xml:space="preserve"> </w:t>
      </w:r>
      <w:r>
        <w:t xml:space="preserve">provides an overview of the existing evidence for an association between lipids and dementia outcomes.</w:t>
      </w:r>
    </w:p>
    <w:bookmarkEnd w:id="28"/>
    <w:bookmarkEnd w:id="29"/>
    <w:bookmarkStart w:id="34" w:name="serum-lipids"/>
    <w:p>
      <w:pPr>
        <w:pStyle w:val="Heading2"/>
      </w:pPr>
      <w:r>
        <w:t xml:space="preserve">Serum lipids</w:t>
      </w:r>
    </w:p>
    <w:bookmarkStart w:id="30"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23</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29</w:t>
        </w:r>
      </w:hyperlink>
      <w:r>
        <w:t xml:space="preserve"> </w:t>
      </w:r>
      <w:r>
        <w:t xml:space="preserve">In contrast, cholesterol is primarily used to create cell walls and certain sex hormones.</w:t>
      </w:r>
      <w:hyperlink w:anchor="ref-zampelas2019">
        <w:r>
          <w:rPr>
            <w:rStyle w:val="Hyperlink"/>
            <w:vertAlign w:val="superscript"/>
          </w:rPr>
          <w:t xml:space="preserve">30</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23</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31</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32</w:t>
        </w:r>
      </w:hyperlink>
      <w:r>
        <w:t xml:space="preserve">, and are outlined in Table</w:t>
      </w:r>
      <w:r>
        <w:t xml:space="preserve"> </w:t>
      </w:r>
      <w:r>
        <w:t xml:space="preserve">2</w:t>
      </w:r>
      <w:r>
        <w:t xml:space="preserve">.</w:t>
      </w:r>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32</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33</w:t>
        </w:r>
      </w:hyperlink>
      <w:r>
        <w:t xml:space="preserve"> </w:t>
      </w:r>
      <w:r>
        <w:t xml:space="preserve">can lead to atherosclerosis,</w:t>
      </w:r>
      <w:hyperlink w:anchor="ref-libby2019">
        <w:r>
          <w:rPr>
            <w:rStyle w:val="Hyperlink"/>
            <w:vertAlign w:val="superscript"/>
          </w:rPr>
          <w:t xml:space="preserve">34</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34</w:t>
        </w:r>
      </w:hyperlink>
      <w:r>
        <w:t xml:space="preserve"> </w:t>
      </w:r>
      <w:r>
        <w:t xml:space="preserve">Globally, the prevalence of elevated cholesterol was estimated by the World Health Organization to be approximately 40%.</w:t>
      </w:r>
    </w:p>
    <w:bookmarkEnd w:id="30"/>
    <w:bookmarkStart w:id="32"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35</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
        <w:r>
          <w:rPr>
            <w:rStyle w:val="Hyperlink"/>
            <w:vertAlign w:val="superscript"/>
          </w:rPr>
          <w:t xml:space="preserve">35</w:t>
        </w:r>
      </w:hyperlink>
      <w:r>
        <w:rPr>
          <w:vertAlign w:val="superscript"/>
        </w:rPr>
        <w:t xml:space="preserve">,</w:t>
      </w:r>
      <w:hyperlink w:anchor="ref-law2003">
        <w:r>
          <w:rPr>
            <w:rStyle w:val="Hyperlink"/>
            <w:vertAlign w:val="superscript"/>
          </w:rPr>
          <w:t xml:space="preserve">36</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37</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38</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2"/>
    <w:bookmarkStart w:id="33"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39</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40</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41</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
        <w:r>
          <w:rPr>
            <w:rStyle w:val="Hyperlink"/>
            <w:vertAlign w:val="superscript"/>
          </w:rPr>
          <w:t xml:space="preserve">42</w:t>
        </w:r>
      </w:hyperlink>
      <w:r>
        <w:t xml:space="preserve"> </w:t>
      </w:r>
      <w:r>
        <w:t xml:space="preserve">and omega-3-fatty acids,</w:t>
      </w:r>
      <w:hyperlink w:anchor="ref-skulas2019">
        <w:r>
          <w:rPr>
            <w:rStyle w:val="Hyperlink"/>
            <w:vertAlign w:val="superscript"/>
          </w:rPr>
          <w:t xml:space="preserve">43</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3"/>
    <w:bookmarkEnd w:id="34"/>
    <w:bookmarkStart w:id="39"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35" w:name="intro-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44</w:t>
        </w:r>
      </w:hyperlink>
      <w:r>
        <w:rPr>
          <w:vertAlign w:val="superscript"/>
        </w:rPr>
        <w:t xml:space="preserve">,</w:t>
      </w:r>
      <w:hyperlink w:anchor="ref-mizuno1999">
        <w:r>
          <w:rPr>
            <w:rStyle w:val="Hyperlink"/>
            <w:vertAlign w:val="superscript"/>
          </w:rPr>
          <w:t xml:space="preserve">45</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46</w:t>
        </w:r>
      </w:hyperlink>
      <w:r>
        <w:rPr>
          <w:vertAlign w:val="superscript"/>
        </w:rPr>
        <w:t xml:space="preserve">–</w:t>
      </w:r>
      <w:hyperlink w:anchor="ref-meng2007">
        <w:r>
          <w:rPr>
            <w:rStyle w:val="Hyperlink"/>
            <w:vertAlign w:val="superscript"/>
          </w:rPr>
          <w:t xml:space="preserve">48</w:t>
        </w:r>
      </w:hyperlink>
    </w:p>
    <w:p>
      <w:pPr>
        <w:pStyle w:val="BodyText"/>
      </w:pPr>
      <w:r>
        <w:t xml:space="preserve">Despite these results, evidence from the diverse range of epidemiological studies on this topic has been inconclusive.</w:t>
      </w:r>
    </w:p>
    <w:bookmarkEnd w:id="35"/>
    <w:bookmarkStart w:id="36"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49</w:t>
        </w:r>
      </w:hyperlink>
      <w:r>
        <w:rPr>
          <w:vertAlign w:val="superscript"/>
        </w:rPr>
        <w:t xml:space="preserve">–</w:t>
      </w:r>
      <w:hyperlink w:anchor="ref-whitmer2005">
        <w:r>
          <w:rPr>
            <w:rStyle w:val="Hyperlink"/>
            <w:vertAlign w:val="superscript"/>
          </w:rPr>
          <w:t xml:space="preserve">53</w:t>
        </w:r>
      </w:hyperlink>
      <w:r>
        <w:t xml:space="preserve"> </w:t>
      </w:r>
      <w:r>
        <w:t xml:space="preserve">however others have shown no association,</w:t>
      </w:r>
      <w:hyperlink w:anchor="ref-li2005">
        <w:r>
          <w:rPr>
            <w:rStyle w:val="Hyperlink"/>
            <w:vertAlign w:val="superscript"/>
          </w:rPr>
          <w:t xml:space="preserve">54</w:t>
        </w:r>
      </w:hyperlink>
      <w:r>
        <w:rPr>
          <w:vertAlign w:val="superscript"/>
        </w:rPr>
        <w:t xml:space="preserve">–</w:t>
      </w:r>
      <w:hyperlink w:anchor="ref-tan2003">
        <w:r>
          <w:rPr>
            <w:rStyle w:val="Hyperlink"/>
            <w:vertAlign w:val="superscript"/>
          </w:rPr>
          <w:t xml:space="preserve">57</w:t>
        </w:r>
      </w:hyperlink>
      <w:r>
        <w:t xml:space="preserve"> </w:t>
      </w:r>
      <w:r>
        <w:t xml:space="preserve">or a reduced susceptibility.</w:t>
      </w:r>
      <w:hyperlink w:anchor="ref-mielke2005">
        <w:r>
          <w:rPr>
            <w:rStyle w:val="Hyperlink"/>
            <w:vertAlign w:val="superscript"/>
          </w:rPr>
          <w:t xml:space="preserve">58</w:t>
        </w:r>
      </w:hyperlink>
      <w:r>
        <w:rPr>
          <w:vertAlign w:val="superscript"/>
        </w:rPr>
        <w:t xml:space="preserve">,</w:t>
      </w:r>
      <w:hyperlink w:anchor="ref-reitz2004">
        <w:r>
          <w:rPr>
            <w:rStyle w:val="Hyperlink"/>
            <w:vertAlign w:val="superscript"/>
          </w:rPr>
          <w:t xml:space="preserve">59</w:t>
        </w:r>
      </w:hyperlink>
      <w:r>
        <w:t xml:space="preserve"> With regards vascular dementia, decreased levels of HDL-c appear to be associated with increased risk,</w:t>
      </w:r>
      <w:hyperlink w:anchor="ref-reitz2004">
        <w:r>
          <w:rPr>
            <w:rStyle w:val="Hyperlink"/>
            <w:vertAlign w:val="superscript"/>
          </w:rPr>
          <w:t xml:space="preserve">59</w:t>
        </w:r>
      </w:hyperlink>
      <w:r>
        <w:t xml:space="preserve"> while for LDL-c, studies have reported both positive and negative associations.</w:t>
      </w:r>
      <w:hyperlink w:anchor="ref-reitz2004">
        <w:r>
          <w:rPr>
            <w:rStyle w:val="Hyperlink"/>
            <w:vertAlign w:val="superscript"/>
          </w:rPr>
          <w:t xml:space="preserve">59</w:t>
        </w:r>
      </w:hyperlink>
      <w:r>
        <w:rPr>
          <w:vertAlign w:val="superscript"/>
        </w:rPr>
        <w:t xml:space="preserve">,</w:t>
      </w:r>
      <w:hyperlink w:anchor="ref-moroney1999">
        <w:r>
          <w:rPr>
            <w:rStyle w:val="Hyperlink"/>
            <w:vertAlign w:val="superscript"/>
          </w:rPr>
          <w:t xml:space="preserve">60</w:t>
        </w:r>
      </w:hyperlink>
    </w:p>
    <w:bookmarkEnd w:id="36"/>
    <w:bookmarkStart w:id="37"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1.2.1</w:t>
      </w:r>
      <w:r>
        <w:t xml:space="preserve">), as they would require extremely long and costly follow-up.</w:t>
      </w:r>
      <w:hyperlink w:anchor="ref-ritchie2015">
        <w:r>
          <w:rPr>
            <w:rStyle w:val="Hyperlink"/>
            <w:vertAlign w:val="superscript"/>
          </w:rPr>
          <w:t xml:space="preserve">61</w:t>
        </w:r>
      </w:hyperlink>
      <w:r>
        <w:t xml:space="preserve"> </w:t>
      </w:r>
      <w:r>
        <w:t xml:space="preserve">It is no surprise then that the two previous trials providing evidence on the effect of statins on dementia risk, identified by a recent Cochrane review,</w:t>
      </w:r>
      <w:hyperlink w:anchor="ref-mcguinness2016">
        <w:r>
          <w:rPr>
            <w:rStyle w:val="Hyperlink"/>
            <w:vertAlign w:val="superscript"/>
          </w:rPr>
          <w:t xml:space="preserve">62</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63</w:t>
        </w:r>
      </w:hyperlink>
      <w:r>
        <w:t xml:space="preserve"> </w:t>
      </w:r>
      <w:r>
        <w:t xml:space="preserve">reported not on dementia outcomes but on the change in cognitive scores over a mean of 3.2 years. As highlighted in Section</w:t>
      </w:r>
      <w:r>
        <w:t xml:space="preserve"> </w:t>
      </w:r>
      <w:r>
        <w:t xml:space="preserve">1.2.2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X49f9892f062f4edfe92b37e5c1639cb4f6c013f">
        <w:r>
          <w:rPr>
            <w:rStyle w:val="Hyperlink"/>
            <w:vertAlign w:val="superscript"/>
          </w:rPr>
          <w:t xml:space="preserve">64</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1.2.1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63</w:t>
        </w:r>
      </w:hyperlink>
      <w:r>
        <w:rPr>
          <w:vertAlign w:val="superscript"/>
        </w:rPr>
        <w:t xml:space="preserve">,</w:t>
      </w:r>
      <w:hyperlink w:anchor="X49f9892f062f4edfe92b37e5c1639cb4f6c013f">
        <w:r>
          <w:rPr>
            <w:rStyle w:val="Hyperlink"/>
            <w:vertAlign w:val="superscript"/>
          </w:rPr>
          <w:t xml:space="preserve">64</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
        <w:r>
          <w:rPr>
            <w:rStyle w:val="Hyperlink"/>
            <w:vertAlign w:val="superscript"/>
          </w:rPr>
          <w:t xml:space="preserve">62</w:t>
        </w:r>
      </w:hyperlink>
    </w:p>
    <w:bookmarkEnd w:id="37"/>
    <w:bookmarkStart w:id="38"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65</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66</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65</w:t>
        </w:r>
      </w:hyperlink>
      <w:r>
        <w:t xml:space="preserve"> </w:t>
      </w:r>
      <w:r>
        <w:t xml:space="preserve">The analytic method relies on several assumptions about the instrumental variable (IV),</w:t>
      </w:r>
      <w:hyperlink w:anchor="ref-davies2018">
        <w:r>
          <w:rPr>
            <w:rStyle w:val="Hyperlink"/>
            <w:vertAlign w:val="superscript"/>
          </w:rPr>
          <w:t xml:space="preserve">67</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
        <w:r>
          <w:rPr>
            <w:rStyle w:val="Hyperlink"/>
            <w:vertAlign w:val="superscript"/>
          </w:rPr>
          <w:t xml:space="preserve">68</w:t>
        </w:r>
      </w:hyperlink>
      <w:r>
        <w:rPr>
          <w:vertAlign w:val="superscript"/>
        </w:rPr>
        <w:t xml:space="preserve">,</w:t>
      </w:r>
      <w:hyperlink w:anchor="ref-ostergaard2015">
        <w:r>
          <w:rPr>
            <w:rStyle w:val="Hyperlink"/>
            <w:vertAlign w:val="superscript"/>
          </w:rPr>
          <w:t xml:space="preserve">69</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70</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71</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38"/>
    <w:bookmarkEnd w:id="39"/>
    <w:bookmarkStart w:id="43"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
        <w:r>
          <w:rPr>
            <w:rStyle w:val="Hyperlink"/>
            <w:vertAlign w:val="superscript"/>
          </w:rPr>
          <w:t xml:space="preserve">72</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73</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0"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74</w:t>
        </w:r>
      </w:hyperlink>
      <w:r>
        <w:rPr>
          <w:vertAlign w:val="superscript"/>
        </w:rPr>
        <w:t xml:space="preserve">–</w:t>
      </w:r>
      <w:hyperlink w:anchor="ref-hopewell2007">
        <w:r>
          <w:rPr>
            <w:rStyle w:val="Hyperlink"/>
            <w:vertAlign w:val="superscript"/>
          </w:rPr>
          <w:t xml:space="preserve">76</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77</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78</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79</w:t>
        </w:r>
      </w:hyperlink>
      <w:r>
        <w:t xml:space="preserve"> </w:t>
      </w:r>
      <w:r>
        <w:t xml:space="preserve">to rapidly disseminate research findings, as occurred during the COVID-19 pandemic,</w:t>
      </w:r>
      <w:hyperlink w:anchor="ref-fraser2020preprinting">
        <w:r>
          <w:rPr>
            <w:rStyle w:val="Hyperlink"/>
            <w:vertAlign w:val="superscript"/>
          </w:rPr>
          <w:t xml:space="preserve">80</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81</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82</w:t>
        </w:r>
      </w:hyperlink>
      <w:r>
        <w:rPr>
          <w:vertAlign w:val="superscript"/>
        </w:rPr>
        <w:t xml:space="preserve">,</w:t>
      </w:r>
      <w:hyperlink w:anchor="ref-schalkwyk2020">
        <w:r>
          <w:rPr>
            <w:rStyle w:val="Hyperlink"/>
            <w:vertAlign w:val="superscript"/>
          </w:rPr>
          <w:t xml:space="preserve">83</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77</w:t>
        </w:r>
      </w:hyperlink>
      <w:r>
        <w:rPr>
          <w:vertAlign w:val="superscript"/>
        </w:rPr>
        <w:t xml:space="preserve">,</w:t>
      </w:r>
      <w:hyperlink w:anchor="ref-mahood2014">
        <w:r>
          <w:rPr>
            <w:rStyle w:val="Hyperlink"/>
            <w:vertAlign w:val="superscript"/>
          </w:rPr>
          <w:t xml:space="preserve">84</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
        <w:r>
          <w:rPr>
            <w:rStyle w:val="Hyperlink"/>
            <w:vertAlign w:val="superscript"/>
          </w:rPr>
          <w:t xml:space="preserve">85</w:t>
        </w:r>
      </w:hyperlink>
      <w:r>
        <w:rPr>
          <w:vertAlign w:val="superscript"/>
        </w:rPr>
        <w:t xml:space="preserve">–</w:t>
      </w:r>
      <w:hyperlink w:anchor="ref-nicholson2021">
        <w:r>
          <w:rPr>
            <w:rStyle w:val="Hyperlink"/>
            <w:vertAlign w:val="superscript"/>
          </w:rPr>
          <w:t xml:space="preserve">87</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84</w:t>
        </w:r>
      </w:hyperlink>
      <w:r>
        <w:t xml:space="preserve"> </w:t>
      </w:r>
      <w:r>
        <w:t xml:space="preserve">there are several logistical issues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w:t>
      </w:r>
      <w:r>
        <w:t xml:space="preserve">.</w:t>
      </w:r>
    </w:p>
    <w:bookmarkEnd w:id="40"/>
    <w:bookmarkStart w:id="41" w:name="intro-triangulation"/>
    <w:p>
      <w:pPr>
        <w:pStyle w:val="Heading3"/>
      </w:pPr>
      <w:r>
        <w:t xml:space="preserve">Triangulating across study designs</w:t>
      </w:r>
    </w:p>
    <w:p>
      <w:pPr>
        <w:pStyle w:val="FirstParagraph"/>
      </w:pPr>
      <w:r>
        <w:t xml:space="preserve">As illustrated in Section</w:t>
      </w:r>
      <w:r>
        <w:t xml:space="preserve"> </w:t>
      </w:r>
      <w:r>
        <w:t xml:space="preserve">1.4</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
        <w:r>
          <w:rPr>
            <w:rStyle w:val="Hyperlink"/>
            <w:vertAlign w:val="superscript"/>
          </w:rPr>
          <w:t xml:space="preserve">88</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
        <w:r>
          <w:rPr>
            <w:rStyle w:val="Hyperlink"/>
            <w:vertAlign w:val="superscript"/>
          </w:rPr>
          <w:t xml:space="preserve">88</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89</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inChapters</w:t>
      </w:r>
      <w:r>
        <w:t xml:space="preserve"> </w:t>
      </w:r>
      <w:r>
        <w:t xml:space="preserve">3</w:t>
      </w:r>
      <w:r>
        <w:t xml:space="preserve">/</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90</w:t>
        </w:r>
      </w:hyperlink>
      <w:r>
        <w:rPr>
          <w:vertAlign w:val="superscript"/>
        </w:rPr>
        <w:t xml:space="preserve">–</w:t>
      </w:r>
      <w:hyperlink w:anchor="ref-mcguinness2018">
        <w:r>
          <w:rPr>
            <w:rStyle w:val="Hyperlink"/>
            <w:vertAlign w:val="superscript"/>
          </w:rPr>
          <w:t xml:space="preserve">92</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1"/>
    <w:bookmarkStart w:id="42"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93</w:t>
        </w:r>
      </w:hyperlink>
      <w:r>
        <w:rPr>
          <w:vertAlign w:val="superscript"/>
        </w:rPr>
        <w:t xml:space="preserve">,</w:t>
      </w:r>
      <w:hyperlink w:anchor="ref-stewart1993">
        <w:r>
          <w:rPr>
            <w:rStyle w:val="Hyperlink"/>
            <w:vertAlign w:val="superscript"/>
          </w:rPr>
          <w:t xml:space="preserve">94</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93</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95</w:t>
        </w:r>
      </w:hyperlink>
      <w:r>
        <w:rPr>
          <w:vertAlign w:val="superscript"/>
        </w:rPr>
        <w:t xml:space="preserve">–</w:t>
      </w:r>
      <w:hyperlink w:anchor="ref-mccartney2016">
        <w:r>
          <w:rPr>
            <w:rStyle w:val="Hyperlink"/>
            <w:vertAlign w:val="superscript"/>
          </w:rPr>
          <w:t xml:space="preserve">97</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93</w:t>
        </w:r>
      </w:hyperlink>
      <w:r>
        <w:t xml:space="preserve"> </w:t>
      </w:r>
      <w:r>
        <w:t xml:space="preserve">In terms of this thesis, patient sex is considered to be of particular interest.</w:t>
      </w:r>
      <w:hyperlink w:anchor="ref-arain2009">
        <w:r>
          <w:rPr>
            <w:rStyle w:val="Hyperlink"/>
            <w:vertAlign w:val="superscript"/>
          </w:rPr>
          <w:t xml:space="preserve">95</w:t>
        </w:r>
      </w:hyperlink>
      <w:r>
        <w:rPr>
          <w:vertAlign w:val="superscript"/>
        </w:rPr>
        <w:t xml:space="preserve">,</w:t>
      </w:r>
      <w:hyperlink w:anchor="ref-letenneur1999">
        <w:r>
          <w:rPr>
            <w:rStyle w:val="Hyperlink"/>
            <w:vertAlign w:val="superscript"/>
          </w:rPr>
          <w:t xml:space="preserve">98</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99</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100</w:t>
        </w:r>
      </w:hyperlink>
    </w:p>
    <w:p>
      <w:pPr>
        <w:pStyle w:val="BodyText"/>
      </w:pPr>
      <w:r>
        <w:t xml:space="preserve">Despite their advantages, IPD meta-analysis are rarely performed.</w:t>
      </w:r>
      <w:hyperlink w:anchor="ref-tugwell2010">
        <w:r>
          <w:rPr>
            <w:rStyle w:val="Hyperlink"/>
            <w:vertAlign w:val="superscript"/>
          </w:rPr>
          <w:t xml:space="preserve">101</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
        <w:r>
          <w:rPr>
            <w:rStyle w:val="Hyperlink"/>
            <w:vertAlign w:val="superscript"/>
          </w:rPr>
          <w:t xml:space="preserve">102</w:t>
        </w:r>
      </w:hyperlink>
      <w:r>
        <w:rPr>
          <w:vertAlign w:val="superscript"/>
        </w:rPr>
        <w:t xml:space="preserve">,</w:t>
      </w:r>
      <w:hyperlink w:anchor="ref-ventresca2020">
        <w:r>
          <w:rPr>
            <w:rStyle w:val="Hyperlink"/>
            <w:vertAlign w:val="superscript"/>
          </w:rPr>
          <w:t xml:space="preserve">103</w:t>
        </w:r>
      </w:hyperlink>
      <w:r>
        <w:t xml:space="preserve"> </w:t>
      </w:r>
      <w:r>
        <w:t xml:space="preserve">The data underlying primary studies are frequently not publicly available,</w:t>
      </w:r>
      <w:hyperlink w:anchor="ref-alsheikh-ali2011">
        <w:r>
          <w:rPr>
            <w:rStyle w:val="Hyperlink"/>
            <w:vertAlign w:val="superscript"/>
          </w:rPr>
          <w:t xml:space="preserve">104</w:t>
        </w:r>
      </w:hyperlink>
      <w:r>
        <w:rPr>
          <w:vertAlign w:val="superscript"/>
        </w:rPr>
        <w:t xml:space="preserve">,</w:t>
      </w:r>
      <w:hyperlink w:anchor="ref-federer2018">
        <w:r>
          <w:rPr>
            <w:rStyle w:val="Hyperlink"/>
            <w:vertAlign w:val="superscript"/>
          </w:rPr>
          <w:t xml:space="preserve">105</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106</w:t>
        </w:r>
      </w:hyperlink>
      <w:r>
        <w:t xml:space="preserve"> </w:t>
      </w:r>
      <w:r>
        <w:t xml:space="preserve">Several systematic barriers to open data sharing have been identified</w:t>
      </w:r>
      <w:hyperlink w:anchor="ref-vanpanhuis2014">
        <w:r>
          <w:rPr>
            <w:rStyle w:val="Hyperlink"/>
            <w:vertAlign w:val="superscript"/>
          </w:rPr>
          <w:t xml:space="preserve">107</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109</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Chapters</w:t>
      </w:r>
      <w:r>
        <w:t xml:space="preserve"> </w:t>
      </w:r>
      <w:r>
        <w:t xml:space="preserve">3</w:t>
      </w:r>
      <w:r>
        <w:t xml:space="preserve">/</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p>
    <w:bookmarkEnd w:id="42"/>
    <w:bookmarkEnd w:id="43"/>
    <w:bookmarkStart w:id="46" w:name="background-thesis-overview"/>
    <w:p>
      <w:pPr>
        <w:pStyle w:val="Heading2"/>
      </w:pPr>
      <w:r>
        <w:t xml:space="preserve">Thesis overview</w:t>
      </w:r>
    </w:p>
    <w:bookmarkStart w:id="44"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p>
      <w:pPr>
        <w:numPr>
          <w:ilvl w:val="0"/>
          <w:numId w:val="1004"/>
        </w:numPr>
        <w:pStyle w:val="Compact"/>
      </w:pPr>
      <w:r>
        <w:t xml:space="preserve">To propose a generalised framework for the quantitative triangulation across diverse evidence sources</w:t>
      </w:r>
    </w:p>
    <w:bookmarkEnd w:id="44"/>
    <w:bookmarkStart w:id="45"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w:t>
      </w:r>
      <w:r>
        <w:t xml:space="preserve"> </w:t>
      </w:r>
      <w:r>
        <w:t xml:space="preserve">for a discussion of the group’s involvement and Appendix</w:t>
      </w:r>
      <w:r>
        <w:t xml:space="preserve"> </w:t>
      </w:r>
      <w:r>
        <w:t xml:space="preserve">10.1.2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8</w:t>
      </w:r>
      <w:r>
        <w:t xml:space="preserve">: This Chapter integrates the diverse evidence identified by, and produced as part of, this thesis. The overall strengths and weaknesses of this project are discussed in detail, and further avenues of research are suggested.</w:t>
      </w:r>
    </w:p>
    <w:bookmarkEnd w:id="45"/>
    <w:bookmarkEnd w:id="46"/>
    <w:bookmarkStart w:id="54"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1"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7">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2.1</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8">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9">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0">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1"/>
    <w:bookmarkStart w:id="52"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2"/>
    <w:bookmarkStart w:id="53"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110</w:t>
        </w:r>
      </w:hyperlink>
      <w:r>
        <w:t xml:space="preserve"> </w:t>
      </w:r>
      <w:r>
        <w:t xml:space="preserve">and bioRxiv</w:t>
      </w:r>
      <w:hyperlink w:anchor="ref-sever2019">
        <w:r>
          <w:rPr>
            <w:rStyle w:val="Hyperlink"/>
            <w:vertAlign w:val="superscript"/>
          </w:rPr>
          <w:t xml:space="preserve">111</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3"/>
    <w:bookmarkEnd w:id="54"/>
    <w:bookmarkStart w:id="55"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55"/>
    <w:bookmarkStart w:id="56" w:name="references"/>
    <w:p>
      <w:pPr>
        <w:pStyle w:val="Heading2"/>
      </w:pPr>
      <w:r>
        <w:t xml:space="preserve">References</w:t>
      </w:r>
    </w:p>
    <w:bookmarkEnd w:id="56"/>
    <w:bookmarkEnd w:id="57"/>
    <w:bookmarkStart w:id="83" w:name="sys-rev-tools-heading"/>
    <w:p>
      <w:pPr>
        <w:pStyle w:val="Heading1"/>
      </w:pPr>
      <w:r>
        <w:t xml:space="preserve">medrxivr: an R package for systematically searching biomedical preprints</w:t>
      </w:r>
    </w:p>
    <w:p>
      <w:pPr>
        <w:pStyle w:val="FirstParagraph"/>
      </w:pPr>
    </w:p>
    <w:p>
      <w:r>
        <w:br w:type="page"/>
      </w:r>
    </w:p>
    <w:bookmarkStart w:id="58"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8"/>
    <w:bookmarkStart w:id="62"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1.5.1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111</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110</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
        <w:r>
          <w:rPr>
            <w:rStyle w:val="Hyperlink"/>
            <w:vertAlign w:val="superscript"/>
          </w:rPr>
          <w:t xml:space="preserve">112</w:t>
        </w:r>
      </w:hyperlink>
      <w:r>
        <w:rPr>
          <w:vertAlign w:val="superscript"/>
        </w:rPr>
        <w:t xml:space="preserve">,</w:t>
      </w:r>
      <w:hyperlink w:anchor="ref-gusenbauer2020">
        <w:r>
          <w:rPr>
            <w:rStyle w:val="Hyperlink"/>
            <w:vertAlign w:val="superscript"/>
          </w:rPr>
          <w:t xml:space="preserve">113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9">
        <w:r>
          <w:rPr>
            <w:rStyle w:val="Hyperlink"/>
          </w:rPr>
          <w:t xml:space="preserve">https://github.com/ropensci/medrxivr</w:t>
        </w:r>
      </w:hyperlink>
      <w:r>
        <w:t xml:space="preserve"> </w:t>
      </w:r>
      <w:r>
        <w:t xml:space="preserve">and</w:t>
      </w:r>
      <w:r>
        <w:t xml:space="preserve"> </w:t>
      </w:r>
      <w:hyperlink r:id="rId60">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114</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1"/>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2"/>
    <w:bookmarkStart w:id="67" w:name="development"/>
    <w:p>
      <w:pPr>
        <w:pStyle w:val="Heading2"/>
      </w:pPr>
      <w:r>
        <w:t xml:space="preserve">Development</w:t>
      </w:r>
    </w:p>
    <w:bookmarkStart w:id="63"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115</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3"/>
    <w:bookmarkStart w:id="64"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116</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117</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118</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4"/>
    <w:bookmarkStart w:id="65"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119</w:t>
        </w:r>
      </w:hyperlink>
      <w:r>
        <w:rPr>
          <w:vertAlign w:val="superscript"/>
        </w:rPr>
        <w:t xml:space="preserve">,</w:t>
      </w:r>
      <w:hyperlink w:anchor="ref-laprie1992">
        <w:r>
          <w:rPr>
            <w:rStyle w:val="Hyperlink"/>
            <w:vertAlign w:val="superscript"/>
          </w:rPr>
          <w:t xml:space="preserve">120</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120</w:t>
        </w:r>
      </w:hyperlink>
    </w:p>
    <w:p>
      <w:pPr>
        <w:pStyle w:val="BodyText"/>
      </w:pPr>
      <w:r>
        <w:t xml:space="preserve"> </w:t>
      </w:r>
    </w:p>
    <w:bookmarkEnd w:id="65"/>
    <w:bookmarkStart w:id="66"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121</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6"/>
    <w:bookmarkEnd w:id="67"/>
    <w:bookmarkStart w:id="75"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8"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8"/>
    <w:bookmarkStart w:id="70"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122</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9"/>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0"/>
    <w:bookmarkStart w:id="71"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1"/>
    <w:bookmarkStart w:id="72"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123</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112</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2"/>
    <w:bookmarkStart w:id="73"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2.2.1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3"/>
    <w:bookmarkStart w:id="74"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4"/>
    <w:bookmarkEnd w:id="75"/>
    <w:bookmarkStart w:id="80" w:name="discussion"/>
    <w:p>
      <w:pPr>
        <w:pStyle w:val="Heading2"/>
      </w:pPr>
      <w:r>
        <w:t xml:space="preserve">Discussion</w:t>
      </w:r>
    </w:p>
    <w:bookmarkStart w:id="76"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6100 times), and several use cases have been reported. It has been used to investigate the role of preprints in the response to the 2019 coronavirus outbreak,</w:t>
      </w:r>
      <w:hyperlink w:anchor="ref-kodvanj2020">
        <w:r>
          <w:rPr>
            <w:rStyle w:val="Hyperlink"/>
            <w:vertAlign w:val="superscript"/>
          </w:rPr>
          <w:t xml:space="preserve">124</w:t>
        </w:r>
      </w:hyperlink>
      <w:r>
        <w:t xml:space="preserve"> </w:t>
      </w:r>
      <w:r>
        <w:t xml:space="preserve">perform searches of preprints as part of a systematic review,</w:t>
      </w:r>
      <w:hyperlink w:anchor="ref-noone2020">
        <w:r>
          <w:rPr>
            <w:rStyle w:val="Hyperlink"/>
            <w:vertAlign w:val="superscript"/>
          </w:rPr>
          <w:t xml:space="preserve">125</w:t>
        </w:r>
      </w:hyperlink>
      <w:r>
        <w:rPr>
          <w:vertAlign w:val="superscript"/>
        </w:rPr>
        <w:t xml:space="preserve">,</w:t>
      </w:r>
      <w:hyperlink w:anchor="ref-grassly2020">
        <w:r>
          <w:rPr>
            <w:rStyle w:val="Hyperlink"/>
            <w:vertAlign w:val="superscript"/>
          </w:rPr>
          <w:t xml:space="preserve">126</w:t>
        </w:r>
      </w:hyperlink>
      <w:r>
        <w:t xml:space="preserve"> </w:t>
      </w:r>
      <w:r>
        <w:t xml:space="preserve">and examine how data-sharing behaviour is affected by journal policies (see</w:t>
      </w:r>
      <w:r>
        <w:t xml:space="preserve"> </w:t>
      </w:r>
      <w:r>
        <w:t xml:space="preserve">1.7</w:t>
      </w:r>
      <w:r>
        <w:t xml:space="preserve">).</w:t>
      </w:r>
      <w:hyperlink w:anchor="ref-mcguinness2020DAScomparison">
        <w:r>
          <w:rPr>
            <w:rStyle w:val="Hyperlink"/>
            <w:vertAlign w:val="superscript"/>
          </w:rPr>
          <w:t xml:space="preserve">127</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128</w:t>
        </w:r>
      </w:hyperlink>
      <w:r>
        <w:t xml:space="preserve"> </w:t>
      </w:r>
      <w:r>
        <w:t xml:space="preserve">As part of this process, following rigorous peer-review, an associated article introducing the tool was published by the Journal of Open Source Software.</w:t>
      </w:r>
      <w:hyperlink w:anchor="ref-mcguinness2020medrxivr">
        <w:r>
          <w:rPr>
            <w:rStyle w:val="Hyperlink"/>
            <w:vertAlign w:val="superscript"/>
          </w:rPr>
          <w:t xml:space="preserve">129</w:t>
        </w:r>
      </w:hyperlink>
      <w:r>
        <w:t xml:space="preserve"> </w:t>
      </w:r>
      <w:r>
        <w:t xml:space="preserve">The entire review discussion is publicly available and can be viewed online.</w:t>
      </w:r>
      <w:hyperlink w:anchor="ref-zotero-15016">
        <w:r>
          <w:rPr>
            <w:rStyle w:val="Hyperlink"/>
            <w:vertAlign w:val="superscript"/>
          </w:rPr>
          <w:t xml:space="preserve">130</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6"/>
    <w:bookmarkStart w:id="77" w:name="use-cases"/>
    <w:p>
      <w:pPr>
        <w:pStyle w:val="Heading3"/>
      </w:pPr>
      <w:r>
        <w:t xml:space="preserve">Use cases</w:t>
      </w:r>
    </w:p>
    <w:p>
      <w:pPr>
        <w:pStyle w:val="FirstParagraph"/>
      </w:pPr>
      <w:r>
        <w:t xml:space="preserve">In addition to being used to search systematically search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(same content, authors and funders) under two different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11.3</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popularity">
        <w:r>
          <w:rPr>
            <w:rStyle w:val="Hyperlink"/>
            <w:vertAlign w:val="superscript"/>
          </w:rPr>
          <w:t xml:space="preserve">131</w:t>
        </w:r>
      </w:hyperlink>
      <w:r>
        <w:t xml:space="preserve"> </w:t>
      </w:r>
      <w:r>
        <w:t xml:space="preserve">indicating that a non-insignificant number of preprints are never formally published but remain accessible as preprints.</w:t>
      </w:r>
    </w:p>
    <w:p>
      <w:pPr>
        <w:pStyle w:val="BodyText"/>
      </w:pPr>
      <w:r>
        <w:t xml:space="preserve">In short, these use cases illustrate that easy access to medRxiv/bioRxiv metadata has applications beyond systematic searching of preprints by enabling meta-research/methodological analyses.</w:t>
      </w:r>
    </w:p>
    <w:bookmarkEnd w:id="77"/>
    <w:bookmarkStart w:id="78"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132</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133</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81</w:t>
        </w:r>
      </w:hyperlink>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8"/>
    <w:bookmarkStart w:id="79"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
        <w:r>
          <w:rPr>
            <w:rStyle w:val="Hyperlink"/>
            <w:vertAlign w:val="superscript"/>
          </w:rPr>
          <w:t xml:space="preserve">134</w:t>
        </w:r>
      </w:hyperlink>
      <w:r>
        <w:rPr>
          <w:vertAlign w:val="superscript"/>
        </w:rPr>
        <w:t xml:space="preserve">,</w:t>
      </w:r>
      <w:hyperlink w:anchor="ref-mckiernan2016">
        <w:r>
          <w:rPr>
            <w:rStyle w:val="Hyperlink"/>
            <w:vertAlign w:val="superscript"/>
          </w:rPr>
          <w:t xml:space="preserve">135</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fraser2020rbiorixv">
        <w:r>
          <w:rPr>
            <w:rStyle w:val="Hyperlink"/>
            <w:vertAlign w:val="superscript"/>
          </w:rPr>
          <w:t xml:space="preserve">136</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
        <w:r>
          <w:rPr>
            <w:rStyle w:val="Hyperlink"/>
            <w:vertAlign w:val="superscript"/>
          </w:rPr>
          <w:t xml:space="preserve">135</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137</w:t>
        </w:r>
      </w:hyperlink>
    </w:p>
    <w:bookmarkEnd w:id="79"/>
    <w:bookmarkEnd w:id="80"/>
    <w:bookmarkStart w:id="81"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1"/>
    <w:bookmarkStart w:id="82" w:name="references-1"/>
    <w:p>
      <w:pPr>
        <w:pStyle w:val="Heading2"/>
      </w:pPr>
      <w:r>
        <w:t xml:space="preserve">References</w:t>
      </w:r>
    </w:p>
    <w:bookmarkEnd w:id="82"/>
    <w:bookmarkEnd w:id="83"/>
    <w:bookmarkStart w:id="114" w:name="sys-rev-methods-heading"/>
    <w:p>
      <w:pPr>
        <w:pStyle w:val="Heading1"/>
      </w:pPr>
      <w:r>
        <w:t xml:space="preserve">Systematic review of existing evidence on the association between blood lipids and dementia outcomes: Methods</w:t>
      </w:r>
    </w:p>
    <w:p>
      <w:pPr>
        <w:pStyle w:val="FirstParagraph"/>
      </w:pPr>
    </w:p>
    <w:bookmarkStart w:id="84"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for existing studies; assessment of the studies against predefined inclusion criteria; collection of data from each study; and assessment of each study’s method and results.</w:t>
      </w:r>
    </w:p>
    <w:p>
      <w:pPr>
        <w:pStyle w:val="BodyText"/>
      </w:pPr>
      <w:r>
        <w:t xml:space="preserve">This chapter presents the methods used to perform a systematic review of primary studies that have examined the relationship between the levels of blood lipids (such as cholesterol and triglycerides) and dementia outcomes. In addition, the review examined the relationship between treatments that change blood lipid levels, such as statins, and dementia outcomes. The results of this systematic review are then presented in Chapter</w:t>
      </w:r>
      <w:r>
        <w:t xml:space="preserve"> </w:t>
      </w:r>
      <w:r>
        <w:t xml:space="preserve">4</w:t>
      </w:r>
      <w:r>
        <w:t xml:space="preserve">.</w:t>
      </w:r>
    </w:p>
    <w:p>
      <w:pPr>
        <w:pStyle w:val="BodyText"/>
      </w:pPr>
      <w:r>
        <w:t xml:space="preserve"> </w:t>
      </w:r>
    </w:p>
    <w:bookmarkEnd w:id="84"/>
    <w:bookmarkStart w:id="85"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1.4</w:t>
      </w:r>
      <w:r>
        <w:t xml:space="preserve">), several diverse forms of evidence on the relationship of lipids and dementia exist. These include randomised controlled trials, observational studies of different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can report relevant unpublished analyses. As a sensitivity analysis to this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Given the size of the review, I have separated the methods and results into two chapters for ease of reading. This chapter details the methodology used, while Chapter</w:t>
      </w:r>
      <w:r>
        <w:t xml:space="preserve"> </w:t>
      </w:r>
      <w:r>
        <w:t xml:space="preserve">4</w:t>
      </w:r>
      <w:r>
        <w:t xml:space="preserve"> </w:t>
      </w:r>
      <w:r>
        <w:t xml:space="preserve">presents the results.</w:t>
      </w:r>
    </w:p>
    <w:p>
      <w:pPr>
        <w:pStyle w:val="BodyText"/>
      </w:pPr>
      <w:r>
        <w:t xml:space="preserve"> </w:t>
      </w:r>
      <w:r>
        <w:t xml:space="preserve"> </w:t>
      </w:r>
    </w:p>
    <w:bookmarkEnd w:id="85"/>
    <w:bookmarkStart w:id="111" w:name="methods"/>
    <w:p>
      <w:pPr>
        <w:pStyle w:val="Heading2"/>
      </w:pPr>
      <w:r>
        <w:t xml:space="preserve">Methods</w:t>
      </w:r>
    </w:p>
    <w:bookmarkStart w:id="86"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138</w:t>
        </w:r>
      </w:hyperlink>
    </w:p>
    <w:p>
      <w:pPr>
        <w:pStyle w:val="BodyText"/>
      </w:pPr>
      <w:r>
        <w:t xml:space="preserve"> </w:t>
      </w:r>
    </w:p>
    <w:bookmarkEnd w:id="86"/>
    <w:bookmarkStart w:id="87"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p>
    <w:p>
      <w:pPr>
        <w:pStyle w:val="BodyText"/>
      </w:pPr>
      <w:r>
        <w:t xml:space="preserve"> </w:t>
      </w:r>
    </w:p>
    <w:bookmarkEnd w:id="87"/>
    <w:bookmarkStart w:id="90" w:name="eligibility-criteria"/>
    <w:p>
      <w:pPr>
        <w:pStyle w:val="Heading3"/>
      </w:pPr>
      <w:r>
        <w:t xml:space="preserve">Eligibility criteria</w:t>
      </w:r>
    </w:p>
    <w:bookmarkStart w:id="88" w:name="inclusion-criteria"/>
    <w:p>
      <w:pPr>
        <w:pStyle w:val="Heading4"/>
      </w:pPr>
      <w:r>
        <w:t xml:space="preserve">Inclusion criteria</w:t>
      </w:r>
    </w:p>
    <w:p>
      <w:pPr>
        <w:pStyle w:val="FirstParagraph"/>
      </w:pPr>
      <w:r>
        <w:t xml:space="preserve">I sought to include studies that examined blood lipid levels as a risk factor for dementia outcomes, defined either as binary hypercholesterolemia variable or by category/1-standard-deviation increase in a specific lipid fraction (total cholesterol, high- and low-density lipoprotein cholesterol and triglycerides). I also aimed to include studies examining the effect of lipid-regulating agents (LRA) as a source of indirect evidence. LRA are treatments used to modify blood lipids levels, and common examples include statins, fibrates, and ezetimibe.</w:t>
      </w:r>
    </w:p>
    <w:p>
      <w:pPr>
        <w:pStyle w:val="BodyText"/>
      </w:pPr>
      <w:r>
        <w:t xml:space="preserve">Eligible study designs were randomized controlled trials of LRA, cohort studies examining blood lipids or LRA, and genetic instrumental variable studies (more commonly known as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No limits were placed on the sample size of included studies. Eligible studies defined dementia outcomes according to recognised criteria, for example the International Classification of Diseases (ICD),</w:t>
      </w:r>
      <w:hyperlink w:anchor="ref-organizationwho1993">
        <w:r>
          <w:rPr>
            <w:rStyle w:val="Hyperlink"/>
            <w:vertAlign w:val="superscript"/>
          </w:rPr>
          <w:t xml:space="preserve">139</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11</w:t>
        </w:r>
      </w:hyperlink>
      <w:r>
        <w:t xml:space="preserve"> </w:t>
      </w:r>
      <w:r>
        <w:t xml:space="preserve">or Diagnostic and Statistical Manual of Mental Disorders (DSM) criteria.</w:t>
      </w:r>
      <w:hyperlink w:anchor="ref-edition2013">
        <w:r>
          <w:rPr>
            <w:rStyle w:val="Hyperlink"/>
            <w:vertAlign w:val="superscript"/>
          </w:rPr>
          <w:t xml:space="preserve">1</w:t>
        </w:r>
      </w:hyperlink>
      <w:r>
        <w:t xml:space="preserve"> </w:t>
      </w:r>
      <w:r>
        <w:t xml:space="preserve">Studies utilising electronic health records were the sole exception to this, as it was assumed that health care professionals employed their own expertise when entering used when entering the outcome into the EHR.</w:t>
      </w:r>
    </w:p>
    <w:p>
      <w:pPr>
        <w:pStyle w:val="BodyText"/>
      </w:pPr>
      <w:r>
        <w:t xml:space="preserve">Conference abstracts with no corresponding full-text publication were eligible, and where required, I contacted authors to obtain information on the study’s status. No limitations were imposed on publication status, date, venue or language.</w:t>
      </w:r>
    </w:p>
    <w:p>
      <w:pPr>
        <w:pStyle w:val="BodyText"/>
      </w:pPr>
      <w:r>
        <w:t xml:space="preserve"> </w:t>
      </w:r>
    </w:p>
    <w:bookmarkEnd w:id="88"/>
    <w:bookmarkStart w:id="89"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an attempt to map these scores to ordinal groups (e.g. no dementia/dementia).</w:t>
      </w:r>
      <w:hyperlink w:anchor="ref-tennant2021">
        <w:r>
          <w:rPr>
            <w:rStyle w:val="Hyperlink"/>
            <w:vertAlign w:val="superscript"/>
          </w:rPr>
          <w:t xml:space="preserve">140</w:t>
        </w:r>
      </w:hyperlink>
      <w:r>
        <w:t xml:space="preserve"> </w:t>
      </w:r>
      <w:r>
        <w:t xml:space="preserve">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and studies where there was no screening for dementia at baseline except if the sample was initially assessed in mid-life (i.e. below the age of 50) were excluded. Additionally, studies implementing a</w:t>
      </w:r>
      <w:r>
        <w:t xml:space="preserve"> </w:t>
      </w:r>
      <w:r>
        <w:t xml:space="preserve">“</w:t>
      </w:r>
      <w:r>
        <w:t xml:space="preserve">multi-domain intervention</w:t>
      </w:r>
      <w:r>
        <w:t xml:space="preserve">”</w:t>
      </w:r>
      <w:r>
        <w:t xml:space="preserve"> </w:t>
      </w:r>
      <w:r>
        <w:t xml:space="preserve">where a lipid-regulating agent is included in each arm were excluded. For example, a study examining exercise + statins versus statins alone would be excluded, but a study examining exercise + statins vs exercise alone would be eligible as the effect of statins can be estimated. Finally, studies using a dietary intervention, for example an omega-3 fatty acid enriched diet, were excluded as it is difficult to disentangle the effect of other elements contained within the diet. Note that this is distinct from studies which delivered a simple tablet-based omega-3 intervention, which would have been eligible for inclusion.</w:t>
      </w:r>
    </w:p>
    <w:p>
      <w:pPr>
        <w:pStyle w:val="BodyText"/>
      </w:pPr>
      <w:r>
        <w:t xml:space="preserve"> </w:t>
      </w:r>
    </w:p>
    <w:bookmarkEnd w:id="89"/>
    <w:bookmarkEnd w:id="90"/>
    <w:bookmarkStart w:id="91" w:name="information-sources-and-search-strategy"/>
    <w:p>
      <w:pPr>
        <w:pStyle w:val="Heading3"/>
      </w:pPr>
      <w:r>
        <w:t xml:space="preserve">Information sources and 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in June 2019 from inception onwards: Medline, EMBASE, Psychinfo, Cochrane Central Register of Controlled Trials (CENTRAL), and Web of Science Core Collection. As the contents of the Web of Science Core Collection can vary by institution,</w:t>
      </w:r>
      <w:hyperlink w:anchor="ref-gusenbauer2020">
        <w:r>
          <w:rPr>
            <w:rStyle w:val="Hyperlink"/>
            <w:vertAlign w:val="superscript"/>
          </w:rPr>
          <w:t xml:space="preserve">113</w:t>
        </w:r>
      </w:hyperlink>
      <w:r>
        <w:t xml:space="preserve"> </w:t>
      </w:r>
      <w:r>
        <w:t xml:space="preserve">the specific databases and date ranges for each database searched via this platform are listed in Appendix</w:t>
      </w:r>
      <w:r>
        <w:t xml:space="preserve"> </w:t>
      </w:r>
      <w:r>
        <w:t xml:space="preserve">10.3.3</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77</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10.3.2</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10.3.2</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(Lines 9-11 in Table</w:t>
      </w:r>
      <w:r>
        <w:t xml:space="preserve"> </w:t>
      </w:r>
      <w:r>
        <w:t xml:space="preserve">5</w:t>
      </w:r>
      <w:r>
        <w:t xml:space="preserve">) were employed to try and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10.3.4</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hyperlink w:anchor="ref-greenhalgh2005">
        <w:r>
          <w:rPr>
            <w:rStyle w:val="Hyperlink"/>
            <w:vertAlign w:val="superscript"/>
          </w:rPr>
          <w:t xml:space="preserve">141</w:t>
        </w:r>
      </w:hyperlink>
      <w:r>
        <w:rPr>
          <w:vertAlign w:val="superscript"/>
        </w:rPr>
        <w:t xml:space="preserve">,</w:t>
      </w:r>
      <w:hyperlink w:anchor="ref-wohlin2014">
        <w:r>
          <w:rPr>
            <w:rStyle w:val="Hyperlink"/>
            <w:vertAlign w:val="superscript"/>
          </w:rPr>
          <w:t xml:space="preserve">142</w:t>
        </w:r>
      </w:hyperlink>
    </w:p>
    <w:p>
      <w:pPr>
        <w:pStyle w:val="BodyText"/>
      </w:pPr>
      <w:r>
        <w:t xml:space="preserve"> </w:t>
      </w:r>
      <w:r>
        <w:t xml:space="preserve"> </w:t>
      </w:r>
    </w:p>
    <w:bookmarkEnd w:id="91"/>
    <w:bookmarkStart w:id="92"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143</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144</w:t>
        </w:r>
      </w:hyperlink>
      <w:r>
        <w:t xml:space="preserve"> </w:t>
      </w:r>
      <w:r>
        <w:t xml:space="preserve">and Rayyan, a web-based screening application.</w:t>
      </w:r>
      <w:hyperlink w:anchor="ref-ouzzani2016">
        <w:r>
          <w:rPr>
            <w:rStyle w:val="Hyperlink"/>
            <w:vertAlign w:val="superscript"/>
          </w:rPr>
          <w:t xml:space="preserve">145</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in duplicate by a second reviewer, in addition to any records I identified as being difficult to assess against the inclusion criteria.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90</w:t>
        </w:r>
      </w:hyperlink>
    </w:p>
    <w:p>
      <w:pPr>
        <w:pStyle w:val="BodyText"/>
      </w:pPr>
      <w:r>
        <w:t xml:space="preserve"> </w:t>
      </w:r>
    </w:p>
    <w:bookmarkEnd w:id="92"/>
    <w:bookmarkStart w:id="93"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146</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146</w:t>
        </w:r>
      </w:hyperlink>
      <w:r>
        <w:t xml:space="preserve"> </w:t>
      </w:r>
      <w:r>
        <w:t xml:space="preserve">Given the small number of included studies in this review as a proportion of the total number screened, this is a useful characteristic.</w:t>
      </w:r>
    </w:p>
    <w:p>
      <w:pPr>
        <w:pStyle w:val="BodyText"/>
      </w:pPr>
      <w:r>
        <w:t xml:space="preserve">How to interpret agreement coefficients is widely debated, and while arbitrary cut-off values may mislead readers,</w:t>
      </w:r>
      <w:hyperlink w:anchor="ref-brennan1992">
        <w:r>
          <w:rPr>
            <w:rStyle w:val="Hyperlink"/>
            <w:vertAlign w:val="superscript"/>
          </w:rPr>
          <w:t xml:space="preserve">149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150</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0.9), it indicates the need for a larger proportion of records to be dual-screened.</w:t>
      </w:r>
    </w:p>
    <w:p>
      <w:pPr>
        <w:pStyle w:val="BodyText"/>
      </w:pPr>
      <w:r>
        <w:t xml:space="preserve"> </w:t>
      </w:r>
      <w:r>
        <w:t xml:space="preserve"> </w:t>
      </w:r>
    </w:p>
    <w:bookmarkEnd w:id="93"/>
    <w:bookmarkStart w:id="98"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journal), study characteristics (study location, data source, exposure, outcomes, diagnostic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p>
      <w:pPr>
        <w:pStyle w:val="BodyText"/>
      </w:pPr>
      <w:r>
        <w:t xml:space="preserve"> </w:t>
      </w:r>
    </w:p>
    <w:bookmarkStart w:id="94" w:name="grouping-multiple-reports-into-studies"/>
    <w:p>
      <w:pPr>
        <w:pStyle w:val="Heading4"/>
      </w:pPr>
      <w:r>
        <w:t xml:space="preserve">Grouping multiple reports into studies</w:t>
      </w:r>
    </w:p>
    <w:p>
      <w:pPr>
        <w:pStyle w:val="FirstParagraph"/>
      </w:pPr>
      <w:r>
        <w:t xml:space="preserve">As part of the data extraction process, multiple records resulting from a single analysis were included and grouped into single units, hereafter called studies. This was most common in cases where multiple records reported on the same analysis but at different time points. In this case, the result corresponding to the longest follow-up was used. Grouping records into studies builds out the most comprehensive account of a given analysis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4"/>
    <w:bookmarkStart w:id="95" w:name="combining-across-groups"/>
    <w:p>
      <w:pPr>
        <w:pStyle w:val="Heading4"/>
      </w:pPr>
      <w:r>
        <w:t xml:space="preserve">Combining across groups</w:t>
      </w:r>
    </w:p>
    <w:p>
      <w:pPr>
        <w:pStyle w:val="FirstParagraph"/>
      </w:pPr>
      <w:r>
        <w:t xml:space="preserve">In line with best practice, where summary data were presented across two groups (e.g. age at baseline stratified by hypercholesterolemia status), the following approach was used to combine the groups:</w:t>
      </w:r>
      <w:hyperlink w:anchor="ref-higgins2019">
        <w:r>
          <w:rPr>
            <w:rStyle w:val="Hyperlink"/>
            <w:vertAlign w:val="superscript"/>
          </w:rPr>
          <w:t xml:space="preserve">151</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M</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This was implemented in a systematic manner, with the raw group data being extracted and a cleaning script employed to combine the groups for analysis.</w:t>
      </w:r>
    </w:p>
    <w:p>
      <w:pPr>
        <w:pStyle w:val="BodyText"/>
      </w:pPr>
      <w:r>
        <w:t xml:space="preserve"> </w:t>
      </w:r>
    </w:p>
    <w:bookmarkEnd w:id="95"/>
    <w:bookmarkStart w:id="96"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w:t>
      </w:r>
      <w:hyperlink w:anchor="ref-rugge2011">
        <w:r>
          <w:rPr>
            <w:rStyle w:val="Hyperlink"/>
            <w:vertAlign w:val="superscript"/>
          </w:rPr>
          <w:t xml:space="preserve">152</w:t>
        </w:r>
      </w:hyperlink>
      <w:r>
        <w:t xml:space="preserve"> </w:t>
      </w:r>
      <w:r>
        <w:t xml:space="preserve">The choice of</w:t>
      </w:r>
      <w:r>
        <w:t xml:space="preserve"> </w:t>
      </w:r>
      <w:r>
        <w:rPr>
          <w:iCs/>
          <w:i/>
        </w:rPr>
        <w:t xml:space="preserve">mg/dL</w:t>
      </w:r>
      <w:r>
        <w:t xml:space="preserve"> </w:t>
      </w:r>
      <w:r>
        <w:t xml:space="preserve">was influenced by the widely-used categorises of lipids levels on the</w:t>
      </w:r>
      <w:r>
        <w:t xml:space="preserve"> </w:t>
      </w:r>
      <w:r>
        <w:rPr>
          <w:iCs/>
          <w:i/>
        </w:rPr>
        <w:t xml:space="preserve">mg/dL</w:t>
      </w:r>
      <w:r>
        <w:t xml:space="preserve"> </w:t>
      </w:r>
      <w:r>
        <w:t xml:space="preserve">scale, as shown in Table</w:t>
      </w:r>
      <w:r>
        <w:t xml:space="preserve"> </w:t>
      </w:r>
      <w:r>
        <w:t xml:space="preserve">2</w:t>
      </w:r>
      <w:r>
        <w:t xml:space="preserve"> </w:t>
      </w:r>
      <w:r>
        <w:t xml:space="preserve">in Section</w:t>
      </w:r>
      <w:r>
        <w:t xml:space="preserve"> </w:t>
      </w:r>
      <w:r>
        <w:t xml:space="preserve">1.3.1</w:t>
      </w:r>
      <w:r>
        <w:t xml:space="preserve">.</w:t>
      </w:r>
    </w:p>
    <w:p>
      <w:pPr>
        <w:pStyle w:val="BodyText"/>
      </w:pPr>
      <w:r>
        <w:t xml:space="preserve"> </w:t>
      </w:r>
    </w:p>
    <w:bookmarkEnd w:id="96"/>
    <w:bookmarkStart w:id="97" w:name="contacting-authors"/>
    <w:p>
      <w:pPr>
        <w:pStyle w:val="Heading4"/>
      </w:pPr>
      <w:r>
        <w:t xml:space="preserve">Following up with authors</w:t>
      </w:r>
    </w:p>
    <w:p>
      <w:pPr>
        <w:pStyle w:val="FirstParagraph"/>
      </w:pPr>
      <w:r>
        <w:t xml:space="preserve">Where additional data not reported by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153</w:t>
        </w:r>
      </w:hyperlink>
    </w:p>
    <w:p>
      <w:pPr>
        <w:pStyle w:val="BodyText"/>
      </w:pPr>
      <w:r>
        <w:t xml:space="preserve"> </w:t>
      </w:r>
    </w:p>
    <w:bookmarkEnd w:id="97"/>
    <w:bookmarkEnd w:id="98"/>
    <w:bookmarkStart w:id="103" w:name="risk-of-bias"/>
    <w:p>
      <w:pPr>
        <w:pStyle w:val="Heading3"/>
      </w:pPr>
      <w:r>
        <w:t xml:space="preserve">Risk-of-bias assessment</w:t>
      </w:r>
    </w:p>
    <w:p>
      <w:pPr>
        <w:pStyle w:val="FirstParagraph"/>
      </w:pPr>
      <w:r>
        <w:t xml:space="preserve">A key aim of the review presented here is to identify different sources of evidence at risk of a diverse range of biases, and to contrast and compare findings across them (see Section</w:t>
      </w:r>
      <w:r>
        <w:t xml:space="preserve"> </w:t>
      </w:r>
      <w:r>
        <w:t xml:space="preserve">7.2</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92</w:t>
        </w:r>
      </w:hyperlink>
      <w:r>
        <w:rPr>
          <w:vertAlign w:val="superscript"/>
        </w:rPr>
        <w:t xml:space="preserve">,</w:t>
      </w:r>
      <w:hyperlink w:anchor="ref-sterne2016">
        <w:r>
          <w:rPr>
            <w:rStyle w:val="Hyperlink"/>
            <w:vertAlign w:val="superscript"/>
          </w:rPr>
          <w:t xml:space="preserve">154</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155</w:t>
        </w:r>
      </w:hyperlink>
      <w:r>
        <w:rPr>
          <w:vertAlign w:val="superscript"/>
        </w:rPr>
        <w:t xml:space="preserve">,</w:t>
      </w:r>
      <w:hyperlink w:anchor="ref-juni2001">
        <w:r>
          <w:rPr>
            <w:rStyle w:val="Hyperlink"/>
            <w:vertAlign w:val="superscript"/>
          </w:rPr>
          <w:t xml:space="preserve">156</w:t>
        </w:r>
      </w:hyperlink>
    </w:p>
    <w:p>
      <w:pPr>
        <w:pStyle w:val="BodyText"/>
      </w:pPr>
      <w:r>
        <w:t xml:space="preserve">This move was prompted by an unclear definition of methodological quality which could include facets such as unclear reporting, in addition to challenges in the comparison of results from different tools.</w:t>
      </w:r>
      <w:r>
        <w:t xml:space="preserve"> </w:t>
      </w:r>
      <w:r>
        <w:t xml:space="preserve"> </w:t>
      </w:r>
      <w:r>
        <w:t xml:space="preserve">As part of this shift, the focus moved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the proportion of missing outcome data may not be an issue at six months but may introduce bias after two years of follow-up. In this case,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9" w:name="randomised-controlled-trials-1"/>
    <w:p>
      <w:pPr>
        <w:pStyle w:val="Heading4"/>
      </w:pPr>
      <w:r>
        <w:t xml:space="preserve">Randomised controlled trials</w:t>
      </w:r>
    </w:p>
    <w:p>
      <w:pPr>
        <w:pStyle w:val="FirstParagraph"/>
      </w:pPr>
      <w:r>
        <w:t xml:space="preserve">Randomised controlled trials were assessed using the RoB 2 tool.</w:t>
      </w:r>
      <w:hyperlink w:anchor="ref-sterne2019">
        <w:r>
          <w:rPr>
            <w:rStyle w:val="Hyperlink"/>
            <w:vertAlign w:val="superscript"/>
          </w:rPr>
          <w:t xml:space="preserve">91</w:t>
        </w:r>
      </w:hyperlink>
      <w:r>
        <w:t xml:space="preserve"> </w:t>
      </w:r>
      <w:r>
        <w:t xml:space="preserve">The tool assesses the risk of bias across five domains: bias arising from the randomization process, bias due to deviations from intended intervention, bias due to missing outcome data, bias in measurement of the outcome, bias in selection of the reported result. 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9"/>
    <w:bookmarkStart w:id="100"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154</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signaling questions which inform the domain-level judgement, with acceptable judgements including</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serious</w:t>
      </w:r>
      <w:r>
        <w:t xml:space="preserve">”</w:t>
      </w:r>
      <w:r>
        <w:t xml:space="preserve"> </w:t>
      </w:r>
      <w:r>
        <w:t xml:space="preserve">and</w:t>
      </w:r>
      <w:r>
        <w:t xml:space="preserve"> </w:t>
      </w:r>
      <w:r>
        <w:t xml:space="preserve">“</w:t>
      </w:r>
      <w:r>
        <w:t xml:space="preserve">critical</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that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157</w:t>
        </w:r>
      </w:hyperlink>
      <w:r>
        <w:t xml:space="preserve"> </w:t>
      </w:r>
      <w:r>
        <w:t xml:space="preserve">it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158</w:t>
        </w:r>
      </w:hyperlink>
      <w:r>
        <w:t xml:space="preserve"> </w:t>
      </w:r>
      <w:r>
        <w:t xml:space="preserve">The version had no signaling questions and so judgements, using the same four levels of bias as ROBINS-I, were made at the domain level. The motivation for using this tool above other established tools such as the Newcastle-Ottowa scale (NOS)</w:t>
      </w:r>
      <w:hyperlink w:anchor="ref-wells2000">
        <w:r>
          <w:rPr>
            <w:rStyle w:val="Hyperlink"/>
            <w:vertAlign w:val="superscript"/>
          </w:rPr>
          <w:t xml:space="preserve">159</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100"/>
    <w:bookmarkStart w:id="101"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160</w:t>
        </w:r>
      </w:hyperlink>
      <w:r>
        <w:t xml:space="preserve"> </w:t>
      </w:r>
      <w:r>
        <w:t xml:space="preserve">as identified by a review of risk-of-bias assessments in systematic reviews of Mendelian randomisation studies (advance results from this review were obtained from contact with the review authors).</w:t>
      </w:r>
      <w:hyperlink w:anchor="ref-spiga2021">
        <w:r>
          <w:rPr>
            <w:rStyle w:val="Hyperlink"/>
            <w:vertAlign w:val="superscript"/>
          </w:rPr>
          <w:t xml:space="preserve">161</w:t>
        </w:r>
      </w:hyperlink>
      <w:r>
        <w:t xml:space="preserve"> </w:t>
      </w:r>
      <w:r>
        <w:t xml:space="preserve">A copy of this tool is available in Appendix</w:t>
      </w:r>
      <w:r>
        <w:t xml:space="preserve"> </w:t>
      </w:r>
      <w:r>
        <w:t xml:space="preserve">10.3.6</w:t>
      </w:r>
      <w:r>
        <w:t xml:space="preserve">, but in summary, results were assessed for bias arising from weak instruments, genetic and other confounding, pleiotropy and population stratification. Acceptable judgements for each of the five domains in the tool were</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101"/>
    <w:bookmarkStart w:id="102"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 as distinct from the selective reporting of a single result from multiple planned analyses - and was performed using the forthcoming RoB-ME (Risk of Bias due to Missing Evidence in a synthesis) tool.</w:t>
      </w:r>
      <w:hyperlink w:anchor="ref-zotero-15123">
        <w:r>
          <w:rPr>
            <w:rStyle w:val="Hyperlink"/>
            <w:vertAlign w:val="superscript"/>
          </w:rPr>
          <w:t xml:space="preserve">162</w:t>
        </w:r>
      </w:hyperlink>
      <w:r>
        <w:t xml:space="preserve"> </w:t>
      </w:r>
      <w:r>
        <w:t xml:space="preserve"> </w:t>
      </w:r>
      <w:r>
        <w:t xml:space="preserve">The tool is in development stages, and as part of this review, I piloted the tool and provided feedback to the developers.</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registered.</w:t>
      </w:r>
    </w:p>
    <w:p>
      <w:pPr>
        <w:pStyle w:val="BodyText"/>
      </w:pPr>
      <w:r>
        <w:t xml:space="preserve"> </w:t>
      </w:r>
    </w:p>
    <w:bookmarkEnd w:id="102"/>
    <w:bookmarkEnd w:id="103"/>
    <w:bookmarkStart w:id="110" w:name="analysis-methods"/>
    <w:p>
      <w:pPr>
        <w:pStyle w:val="Heading3"/>
      </w:pPr>
      <w:r>
        <w:t xml:space="preserve">Analysis methods</w:t>
      </w:r>
    </w:p>
    <w:p>
      <w:pPr>
        <w:pStyle w:val="FirstParagraph"/>
      </w:pPr>
      <w:r>
        <w:t xml:space="preserve">An initial qualitative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 </w:t>
      </w:r>
      <w:r>
        <w:t xml:space="preserve"> </w:t>
      </w:r>
    </w:p>
    <w:bookmarkStart w:id="104" w:name="analysis-overview"/>
    <w:p>
      <w:pPr>
        <w:pStyle w:val="Heading4"/>
      </w:pPr>
      <w:r>
        <w:t xml:space="preserve">Analysis overview</w:t>
      </w:r>
    </w:p>
    <w:p>
      <w:pPr>
        <w:pStyle w:val="FirstParagraph"/>
      </w:pPr>
      <w:r>
        <w:t xml:space="preserve">Results were not combined across different study designs (i.e. RCTs were not combined in a meta-analysis with results from observational studies). The summary effect estimates produced across individual study designs are discussed, but are compared and contrasted more fully as part of the triangulation exercise presented in Chapter</w:t>
      </w:r>
      <w:r>
        <w:t xml:space="preserve"> </w:t>
      </w:r>
      <w:r>
        <w:t xml:space="preserve">8</w:t>
      </w:r>
      <w:r>
        <w:t xml:space="preserve">. Similarly, analyses are presented separately for each dementia outcome of interest (all-cause dementia, Alzheimer’s disease, vascular dementia).</w:t>
      </w:r>
    </w:p>
    <w:p>
      <w:pPr>
        <w:pStyle w:val="BodyText"/>
      </w:pPr>
      <w:r>
        <w:t xml:space="preserve">The range of effect measures presented by studies (odds ratios, risk ratios, hazard ratios, etc) are not directly interchangeable in the context of systematic review. As such, different reported effect estimates can be one potential problem that precludes a meta-analysis of all studies.</w:t>
      </w:r>
      <w:hyperlink w:anchor="ref-mckenzie2019">
        <w:r>
          <w:rPr>
            <w:rStyle w:val="Hyperlink"/>
            <w:vertAlign w:val="superscript"/>
          </w:rPr>
          <w:t xml:space="preserve">163</w:t>
        </w:r>
      </w:hyperlink>
      <w:r>
        <w:t xml:space="preserve"> </w:t>
      </w:r>
      <w:r>
        <w:t xml:space="preserve">However if the outcome is rare, as is the case for dementia outcomes, the estimated odds, risk and hazard ratios will approximate each other.</w:t>
      </w:r>
      <w:hyperlink w:anchor="ref-vanderweele2020">
        <w:r>
          <w:rPr>
            <w:rStyle w:val="Hyperlink"/>
            <w:vertAlign w:val="superscript"/>
          </w:rPr>
          <w:t xml:space="preserve">164</w:t>
        </w:r>
      </w:hyperlink>
      <w:r>
        <w:t xml:space="preserve"> </w:t>
      </w:r>
      <w:r>
        <w:t xml:space="preserve">As such, I did not stratify the analyses by reported effect measure.</w:t>
      </w:r>
    </w:p>
    <w:p>
      <w:pPr>
        <w:pStyle w:val="BodyText"/>
      </w:pPr>
      <w:r>
        <w:t xml:space="preserve"> </w:t>
      </w:r>
    </w:p>
    <w:bookmarkEnd w:id="104"/>
    <w:bookmarkStart w:id="105" w:name="random-effects-meta-analysis"/>
    <w:p>
      <w:pPr>
        <w:pStyle w:val="Heading4"/>
      </w:pPr>
      <w:r>
        <w:t xml:space="preserve">Random-effects meta-analysis</w:t>
      </w:r>
    </w:p>
    <w:p>
      <w:pPr>
        <w:pStyle w:val="FirstParagraph"/>
      </w:pPr>
      <w:r>
        <w:t xml:space="preserve">I used a random-effects model in all meta-analyses.[</w:t>
      </w:r>
      <w:hyperlink w:anchor="ref-hedges1998">
        <w:r>
          <w:rPr>
            <w:rStyle w:val="Hyperlink"/>
            <w:vertAlign w:val="superscript"/>
          </w:rPr>
          <w:t xml:space="preserve">165</w:t>
        </w:r>
      </w:hyperlink>
      <w:r>
        <w:rPr>
          <w:vertAlign w:val="superscript"/>
        </w:rPr>
        <w:t xml:space="preserve">,</w:t>
      </w:r>
      <w:hyperlink w:anchor="ref-dersimonian1986">
        <w:r>
          <w:rPr>
            <w:rStyle w:val="Hyperlink"/>
            <w:vertAlign w:val="superscript"/>
          </w:rPr>
          <w:t xml:space="preserve">166</w:t>
        </w:r>
      </w:hyperlink>
      <w:r>
        <w:t xml:space="preserve"> </w:t>
      </w:r>
      <w:r>
        <w:t xml:space="preserve">Random-effects meta-analysis does not assume one true underlying effect, but rather allows for a distribution of true effects with variance</w:t>
      </w:r>
      <w:r>
        <w:t xml:space="preserve"> </w:t>
      </w:r>
      <m:oMath>
        <m:sSup>
          <m:e>
            <m:r>
              <m:t>τ</m:t>
            </m:r>
          </m:e>
          <m:sup>
            <m:r>
              <m:t>2</m:t>
            </m:r>
          </m:sup>
        </m:sSup>
      </m:oMath>
      <w:r>
        <w:t xml:space="preserve">. The weight (</w:t>
      </w:r>
      <m:oMath>
        <m:r>
          <m:t>w</m:t>
        </m:r>
      </m:oMath>
      <w:r>
        <w:t xml:space="preserve">) assigned to each result (denoted as</w:t>
      </w:r>
      <w:r>
        <w:t xml:space="preserve"> </w:t>
      </w:r>
      <m:oMath>
        <m:sSub>
          <m:e>
            <m:r>
              <m:t>y</m:t>
            </m:r>
          </m:e>
          <m:sub>
            <m:r>
              <m:t>i</m:t>
            </m:r>
          </m:sub>
        </m:sSub>
      </m:oMath>
      <w:r>
        <w:t xml:space="preserve">) is then given as the inverse of the variance of that result plus the estimate of between-result variance, denoted as</w:t>
      </w:r>
      <w:r>
        <w:t xml:space="preserve"> </w:t>
      </w: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oMath>
      <w:r>
        <w:t xml:space="preserve"> </w:t>
      </w:r>
      <w:r>
        <w:t xml:space="preserve">for result</w:t>
      </w:r>
      <w:r>
        <w:t xml:space="preserve"> </w:t>
      </w:r>
      <m:oMath>
        <m:r>
          <m:t>i</m:t>
        </m:r>
      </m:oMath>
      <w:r>
        <w:t xml:space="preserve">. 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6</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7</m:t>
          </m:r>
          <m:r>
            <m:rPr>
              <m:sty m:val="p"/>
            </m:rPr>
            <m:t>)</m:t>
          </m:r>
        </m:oMath>
      </m:oMathPara>
    </w:p>
    <w:p>
      <w:pPr>
        <w:pStyle w:val="FirstParagraph"/>
      </w:pPr>
      <w:r>
        <w:t xml:space="preserve"> </w:t>
      </w:r>
    </w:p>
    <w:p>
      <w:pPr>
        <w:pStyle w:val="BodyText"/>
      </w:pPr>
      <w:r>
        <w:t xml:space="preserve">Results included in a meta-analysis were stratified into subgroups on the basis of the overall risk of bias judgement,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of subgroup differences between studies at different levels of risk of bias was performed (see subsequent Section</w:t>
      </w:r>
      <w:r>
        <w:t xml:space="preserve"> </w:t>
      </w:r>
      <w:r>
        <w:t xml:space="preserve">3.3.9.5</w:t>
      </w:r>
      <w:r>
        <w:t xml:space="preserve">).</w:t>
      </w:r>
      <w:hyperlink w:anchor="ref-deeks2019">
        <w:r>
          <w:rPr>
            <w:rStyle w:val="Hyperlink"/>
            <w:vertAlign w:val="superscript"/>
          </w:rPr>
          <w:t xml:space="preserve">167</w:t>
        </w:r>
      </w:hyperlink>
      <w:r>
        <w:t xml:space="preserve"> </w:t>
      </w:r>
      <w:r>
        <w:t xml:space="preserve">All models were implemented using the</w:t>
      </w:r>
      <w:r>
        <w:t xml:space="preserve"> </w:t>
      </w:r>
      <w:r>
        <w:rPr>
          <w:rStyle w:val="VerbatimChar"/>
        </w:rPr>
        <w:t xml:space="preserve">metafor</w:t>
      </w:r>
      <w:r>
        <w:t xml:space="preserve"> </w:t>
      </w:r>
      <w:r>
        <w:t xml:space="preserve">R package.</w:t>
      </w:r>
      <w:hyperlink w:anchor="ref-R-metafor">
        <w:r>
          <w:rPr>
            <w:rStyle w:val="Hyperlink"/>
            <w:vertAlign w:val="superscript"/>
          </w:rPr>
          <w:t xml:space="preserve">168</w:t>
        </w:r>
      </w:hyperlink>
    </w:p>
    <w:p>
      <w:pPr>
        <w:pStyle w:val="BodyText"/>
      </w:pPr>
      <w:r>
        <w:t xml:space="preserve"> </w:t>
      </w:r>
    </w:p>
    <w:bookmarkEnd w:id="105"/>
    <w:bookmarkStart w:id="106"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contained in the interim groups. In order to address this limitation, I performed a dose-response meta-analysis in those studies reporting more than two categories of lipid levels. This marks a departure from the published protocol, as I was unaware that such a large number of studies would report dementia risk across multiple lipid categories.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I took a two-stage dose-response meta-analysis approach, where study-specific trends are estimated before being pooled across studies.</w:t>
      </w:r>
      <w:hyperlink w:anchor="ref-greenland1992">
        <w:r>
          <w:rPr>
            <w:rStyle w:val="Hyperlink"/>
            <w:vertAlign w:val="superscript"/>
          </w:rPr>
          <w:t xml:space="preserve">169</w:t>
        </w:r>
      </w:hyperlink>
      <w:r>
        <w:t xml:space="preserve"> </w:t>
      </w:r>
      <w:r>
        <w:t xml:space="preserve">To estimate within-study trends, a restricted cubic spline model was fitted within each study. This approach allows for a non-linear relationship between lipid levels and dementia, for example a U or J-shaped relationship, where low and high levels of a lipid fraction can have different effects versus the</w:t>
      </w:r>
      <w:r>
        <w:t xml:space="preserve"> </w:t>
      </w:r>
      <w:r>
        <w:t xml:space="preserve">“</w:t>
      </w:r>
      <w:r>
        <w:t xml:space="preserve">normal</w:t>
      </w:r>
      <w:r>
        <w:t xml:space="preserve">”</w:t>
      </w:r>
      <w:r>
        <w:t xml:space="preserve"> </w:t>
      </w:r>
      <w:r>
        <w:t xml:space="preserve">reference dose.</w:t>
      </w:r>
      <w:hyperlink w:anchor="ref-durrleman1989">
        <w:r>
          <w:rPr>
            <w:rStyle w:val="Hyperlink"/>
            <w:vertAlign w:val="superscript"/>
          </w:rPr>
          <w:t xml:space="preserve">170</w:t>
        </w:r>
      </w:hyperlink>
      <w:r>
        <w:rPr>
          <w:vertAlign w:val="superscript"/>
        </w:rPr>
        <w:t xml:space="preserve">,</w:t>
      </w:r>
      <w:hyperlink w:anchor="ref-liu2009">
        <w:r>
          <w:rPr>
            <w:rStyle w:val="Hyperlink"/>
            <w:vertAlign w:val="superscript"/>
          </w:rPr>
          <w:t xml:space="preserve">171</w:t>
        </w:r>
      </w:hyperlink>
      <w:r>
        <w:t xml:space="preserve"> </w:t>
      </w:r>
      <w:r>
        <w:t xml:space="preserve">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Restricted cubic spline models use</w:t>
      </w:r>
      <w:r>
        <w:t xml:space="preserve"> </w:t>
      </w:r>
      <w:r>
        <w:t xml:space="preserve">“</w:t>
      </w:r>
      <w:r>
        <w:t xml:space="preserve">knots</w:t>
      </w:r>
      <w:r>
        <w:t xml:space="preserve">”</w:t>
      </w:r>
      <w:r>
        <w:t xml:space="preserve"> </w:t>
      </w:r>
      <w:r>
        <w:t xml:space="preserve">to separate the data into subsets or</w:t>
      </w:r>
      <w:r>
        <w:t xml:space="preserve"> </w:t>
      </w:r>
      <w:r>
        <w:t xml:space="preserve">“</w:t>
      </w:r>
      <w:r>
        <w:t xml:space="preserve">windows</w:t>
      </w:r>
      <w:r>
        <w:t xml:space="preserve">”</w:t>
      </w:r>
      <w:r>
        <w:t xml:space="preserve">, in which the trend is modelled. Further restrictions are then imposed, in that the curves in each window must join up</w:t>
      </w:r>
      <w:r>
        <w:t xml:space="preserve"> </w:t>
      </w:r>
      <w:r>
        <w:t xml:space="preserve">“</w:t>
      </w:r>
      <w:r>
        <w:t xml:space="preserve">smoothly</w:t>
      </w:r>
      <w:r>
        <w:t xml:space="preserve">”</w:t>
      </w:r>
      <w:r>
        <w:t xml:space="preserve"> </w:t>
      </w:r>
      <w:r>
        <w:t xml:space="preserve">at the knot location, and that the trend is assumed to be linear before the first knot and after the last knot.</w:t>
      </w:r>
      <w:hyperlink w:anchor="ref-gauthier2020">
        <w:r>
          <w:rPr>
            <w:rStyle w:val="Hyperlink"/>
            <w:vertAlign w:val="superscript"/>
          </w:rPr>
          <w:t xml:space="preserve">172</w:t>
        </w:r>
      </w:hyperlink>
      <w:r>
        <w:t xml:space="preserve"> </w:t>
      </w:r>
      <w:r>
        <w:t xml:space="preserve">The locations of the knots in the model were identified using fixed percentiles (5th, 50th, 95th) of the exposure data.</w:t>
      </w:r>
      <w:hyperlink w:anchor="ref-durrleman1989">
        <w:r>
          <w:rPr>
            <w:rStyle w:val="Hyperlink"/>
            <w:vertAlign w:val="superscript"/>
          </w:rPr>
          <w:t xml:space="preserve">170</w:t>
        </w:r>
      </w:hyperlink>
      <w:r>
        <w:t xml:space="preserve"> </w:t>
      </w:r>
      <w:r>
        <w:t xml:space="preserve">Once the within-study trends have been estimated, they are combined in a multivariate random-effects meta-analysis using the restricted maximum likelihood (REML) method.</w:t>
      </w:r>
      <w:hyperlink w:anchor="ref-liu2009">
        <w:r>
          <w:rPr>
            <w:rStyle w:val="Hyperlink"/>
            <w:vertAlign w:val="superscript"/>
          </w:rPr>
          <w:t xml:space="preserve">171</w:t>
        </w:r>
      </w:hyperlink>
      <w:r>
        <w:rPr>
          <w:vertAlign w:val="superscript"/>
        </w:rPr>
        <w:t xml:space="preserve">,</w:t>
      </w:r>
      <w:hyperlink w:anchor="ref-white2009">
        <w:r>
          <w:rPr>
            <w:rStyle w:val="Hyperlink"/>
            <w:vertAlign w:val="superscript"/>
          </w:rPr>
          <w:t xml:space="preserve">173</w:t>
        </w:r>
      </w:hyperlink>
      <w:r>
        <w:rPr>
          <w:vertAlign w:val="superscript"/>
        </w:rPr>
        <w:t xml:space="preserve">,</w:t>
      </w:r>
      <w:hyperlink w:anchor="ref-gasparrini2012">
        <w:r>
          <w:rPr>
            <w:rStyle w:val="Hyperlink"/>
            <w:vertAlign w:val="superscript"/>
          </w:rPr>
          <w:t xml:space="preserve">174</w:t>
        </w:r>
      </w:hyperlink>
      <w:r>
        <w:t xml:space="preserve"> </w:t>
      </w:r>
      <w:r>
        <w:t xml:space="preserve">All dose-response analyses were implemented using the</w:t>
      </w:r>
      <w:r>
        <w:t xml:space="preserve"> </w:t>
      </w:r>
      <w:r>
        <w:rPr>
          <w:rStyle w:val="VerbatimChar"/>
        </w:rPr>
        <w:t xml:space="preserve">dosresmeta</w:t>
      </w:r>
      <w:r>
        <w:t xml:space="preserve"> </w:t>
      </w:r>
      <w:r>
        <w:t xml:space="preserve">R package.</w:t>
      </w:r>
      <w:hyperlink w:anchor="ref-crippa2016">
        <w:r>
          <w:rPr>
            <w:rStyle w:val="Hyperlink"/>
            <w:vertAlign w:val="superscript"/>
          </w:rPr>
          <w:t xml:space="preserve">175</w:t>
        </w:r>
      </w:hyperlink>
    </w:p>
    <w:p>
      <w:pPr>
        <w:pStyle w:val="BodyText"/>
      </w:pPr>
      <w:r>
        <w:t xml:space="preserve"> </w:t>
      </w:r>
      <w:r>
        <w:t xml:space="preserve"> </w:t>
      </w:r>
    </w:p>
    <w:bookmarkEnd w:id="106"/>
    <w:bookmarkStart w:id="107"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results were assessed for heterogeneity across these covariates.</w:t>
      </w:r>
      <w:hyperlink w:anchor="ref-deeks2019">
        <w:r>
          <w:rPr>
            <w:rStyle w:val="Hyperlink"/>
            <w:vertAlign w:val="superscript"/>
          </w:rPr>
          <w:t xml:space="preserve">167</w:t>
        </w:r>
      </w:hyperlink>
    </w:p>
    <w:p>
      <w:pPr>
        <w:pStyle w:val="BodyText"/>
      </w:pPr>
      <w:r>
        <w:t xml:space="preserve">Finally, I investigated the potential for small study effects, which may be caused by publication bias, both visually using funnel plots and formally using Egger’s regression test.</w:t>
      </w:r>
      <w:hyperlink w:anchor="ref-sterne2011">
        <w:r>
          <w:rPr>
            <w:rStyle w:val="Hyperlink"/>
            <w:vertAlign w:val="superscript"/>
          </w:rPr>
          <w:t xml:space="preserve">176</w:t>
        </w:r>
      </w:hyperlink>
    </w:p>
    <w:p>
      <w:pPr>
        <w:pStyle w:val="BodyText"/>
      </w:pPr>
      <w:r>
        <w:t xml:space="preserve"> </w:t>
      </w:r>
      <w:r>
        <w:t xml:space="preserve"> </w:t>
      </w:r>
    </w:p>
    <w:bookmarkEnd w:id="107"/>
    <w:bookmarkStart w:id="108"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177</w:t>
        </w:r>
      </w:hyperlink>
      <w:r>
        <w:t xml:space="preserve"> </w:t>
      </w:r>
      <w:r>
        <w:t xml:space="preserve">As part of the initial descriptive synthesis, the location of each individual study contributing to the evidence base was visualised on a world map.</w:t>
      </w:r>
    </w:p>
    <w:p>
      <w:pPr>
        <w:pStyle w:val="BodyText"/>
      </w:pPr>
      <w:r>
        <w:t xml:space="preserve">One of the limitations of current risk-of-bias assessment practice in systematic reviews is that they are often divorced from the results to which they refer, and are infrequently incorporated into the analysis.</w:t>
      </w:r>
      <w:hyperlink w:anchor="ref-marusic2020">
        <w:r>
          <w:rPr>
            <w:rStyle w:val="Hyperlink"/>
            <w:vertAlign w:val="superscript"/>
          </w:rPr>
          <w:t xml:space="preserve">178</w:t>
        </w:r>
      </w:hyperlink>
      <w:r>
        <w:rPr>
          <w:vertAlign w:val="superscript"/>
        </w:rPr>
        <w:t xml:space="preserve">,</w:t>
      </w:r>
      <w:hyperlink w:anchor="ref-katikireddi2015">
        <w:r>
          <w:rPr>
            <w:rStyle w:val="Hyperlink"/>
            <w:vertAlign w:val="superscript"/>
          </w:rPr>
          <w:t xml:space="preserve">179</w:t>
        </w:r>
      </w:hyperlink>
      <w:r>
        <w:t xml:space="preserve"> </w:t>
      </w:r>
      <w:r>
        <w:t xml:space="preserve">In response to this criticism, I developed a new visualisation tool which was designed to allow for the production of</w:t>
      </w:r>
      <w:r>
        <w:t xml:space="preserve"> </w:t>
      </w:r>
      <w:r>
        <w:t xml:space="preserve">“</w:t>
      </w:r>
      <w:r>
        <w:t xml:space="preserve">paired</w:t>
      </w:r>
      <w:r>
        <w:t xml:space="preserve">”</w:t>
      </w:r>
      <w:r>
        <w:t xml:space="preserve"> </w:t>
      </w:r>
      <w:r>
        <w:t xml:space="preserve">forest plots - a risk-of-bias assessment is presented alongside it’s corresponding numerical result - as recommended by the ROB2 publication.</w:t>
      </w:r>
      <w:hyperlink w:anchor="ref-sterne2019">
        <w:r>
          <w:rPr>
            <w:rStyle w:val="Hyperlink"/>
            <w:vertAlign w:val="superscript"/>
          </w:rPr>
          <w:t xml:space="preserve">91</w:t>
        </w:r>
      </w:hyperlink>
      <w:r>
        <w:t xml:space="preserve"> </w:t>
      </w:r>
      <w:r>
        <w:t xml:space="preserve">In addition, the risk of bias due to missing evidence in each synthesis is shown beside the overall summary diamond. This tool was developed as an adjunct to this thesis to aid in creating standardised risk-of-bias figures,</w:t>
      </w:r>
      <w:hyperlink w:anchor="ref-mcguinness2020robvisPaper">
        <w:r>
          <w:rPr>
            <w:rStyle w:val="Hyperlink"/>
            <w:vertAlign w:val="superscript"/>
          </w:rPr>
          <w:t xml:space="preserve">180</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181</w:t>
        </w:r>
      </w:hyperlink>
      <w:r>
        <w:t xml:space="preserve"> </w:t>
      </w:r>
      <w:r>
        <w:t xml:space="preserve">A summary of this tool is contained in Appendix</w:t>
      </w:r>
      <w:r>
        <w:t xml:space="preserve"> </w:t>
      </w:r>
      <w:r>
        <w:t xml:space="preserve">11.2</w:t>
      </w:r>
      <w:r>
        <w:t xml:space="preserve">, and all forest plots presented in this Chapter were created using this tool. Unless otherwise stated in the figure caption, only a single effect measure (hazard ratio/odds ratio/etc) is represented in the forest plot.</w:t>
      </w:r>
    </w:p>
    <w:p>
      <w:pPr>
        <w:pStyle w:val="BodyText"/>
      </w:pPr>
      <w:r>
        <w:t xml:space="preserve"> </w:t>
      </w:r>
      <w:r>
        <w:t xml:space="preserve"> </w:t>
      </w:r>
    </w:p>
    <w:bookmarkEnd w:id="108"/>
    <w:bookmarkStart w:id="109" w:name="X70e6c291630de5daf4cc0c432796c9ea205184d"/>
    <w:p>
      <w:pPr>
        <w:pStyle w:val="Heading4"/>
      </w:pPr>
      <w:r>
        <w:t xml:space="preserve">Assessment of added value of including preprints</w:t>
      </w:r>
    </w:p>
    <w:p>
      <w:pPr>
        <w:pStyle w:val="FirstParagraph"/>
      </w:pPr>
      <w:r>
        <w:t xml:space="preserve">Preprints are considered a valuable evidence source within this thesis (see Introduction, Section</w:t>
      </w:r>
      <w:r>
        <w:t xml:space="preserve"> </w:t>
      </w:r>
      <w:r>
        <w:t xml:space="preserve">1.5.1</w:t>
      </w:r>
      <w:r>
        <w:t xml:space="preserve">). As an adjunct analysis to this review, I explored the additional evidential value of including preprints in each meta-analysis performed, assessed using the fixed effect weight from a standard meta-analysis. In addition, in meta-analysis including at least one preprinted result, I assessed the impact of including the preprinted results on the summary estimate using a leave-one-out approach.</w:t>
      </w:r>
    </w:p>
    <w:p>
      <w:pPr>
        <w:pStyle w:val="BodyText"/>
      </w:pPr>
      <w:r>
        <w:t xml:space="preserve">Additionally, I followed identified preprints up after a two-year lag to investigate whether they had been subsequently published (in which case preprints provide a snapshot into the future, and a systematic review update would capture these reports) or not (in which case preprints provide a distinct evidence source to conventional bibliographic databases).</w:t>
      </w:r>
    </w:p>
    <w:p>
      <w:pPr>
        <w:pStyle w:val="BodyText"/>
      </w:pPr>
      <w:r>
        <w:t xml:space="preserve"> </w:t>
      </w:r>
      <w:r>
        <w:t xml:space="preserve"> </w:t>
      </w:r>
    </w:p>
    <w:bookmarkEnd w:id="109"/>
    <w:bookmarkEnd w:id="110"/>
    <w:bookmarkEnd w:id="111"/>
    <w:bookmarkStart w:id="112" w:name="summary-2"/>
    <w:p>
      <w:pPr>
        <w:pStyle w:val="Heading2"/>
      </w:pPr>
      <w:r>
        <w:t xml:space="preserve">Summary</w:t>
      </w:r>
    </w:p>
    <w:p>
      <w:pPr>
        <w:numPr>
          <w:ilvl w:val="0"/>
          <w:numId w:val="1009"/>
        </w:numPr>
      </w:pPr>
      <w:r>
        <w:t xml:space="preserve">In this chapter, I have presented the methods underpinning a comprehensive systematic review of the existing literature on the association of dementia incidence with blood lipids and lipid-regulating agents.</w:t>
      </w:r>
    </w:p>
    <w:p>
      <w:pPr>
        <w:numPr>
          <w:ilvl w:val="0"/>
          <w:numId w:val="1009"/>
        </w:numPr>
      </w:pPr>
      <w:r>
        <w:t xml:space="preserve">I have detailed how this review will find, extract, critically assess and synthesize the results of existing studies. Additionally, I have highlighted how this review will examine the impact the of including preprinted results, as enabled by the research tool presented in the previous chapter.</w:t>
      </w:r>
    </w:p>
    <w:p>
      <w:pPr>
        <w:numPr>
          <w:ilvl w:val="0"/>
          <w:numId w:val="1009"/>
        </w:numPr>
      </w:pPr>
      <w:r>
        <w:t xml:space="preserve">In the following chapter, I present the results of this review, and detail how the identified evidence is used throughout the remainder of the thesis.</w:t>
      </w:r>
    </w:p>
    <w:p>
      <w:r>
        <w:br w:type="page"/>
      </w:r>
    </w:p>
    <w:bookmarkEnd w:id="112"/>
    <w:bookmarkStart w:id="113" w:name="references-2"/>
    <w:p>
      <w:pPr>
        <w:pStyle w:val="Heading2"/>
      </w:pPr>
      <w:r>
        <w:t xml:space="preserve">References</w:t>
      </w:r>
    </w:p>
    <w:bookmarkEnd w:id="113"/>
    <w:bookmarkEnd w:id="114"/>
    <w:bookmarkStart w:id="167" w:name="sys-rev-results-heading"/>
    <w:p>
      <w:pPr>
        <w:pStyle w:val="Heading1"/>
      </w:pPr>
      <w:r>
        <w:t xml:space="preserve">Systematic review of existing evidence on the association between blood lipids and dementia outcomes: Results</w:t>
      </w:r>
    </w:p>
    <w:p>
      <w:pPr>
        <w:pStyle w:val="FirstParagraph"/>
      </w:pPr>
      <w:r>
        <w:t xml:space="preserve"> </w:t>
      </w:r>
    </w:p>
    <w:p>
      <w:pPr>
        <w:pStyle w:val="BodyText"/>
      </w:pPr>
    </w:p>
    <w:bookmarkStart w:id="115" w:name="lay-summary-3"/>
    <w:p>
      <w:pPr>
        <w:pStyle w:val="Heading2"/>
      </w:pPr>
      <w:r>
        <w:t xml:space="preserve">Lay summary</w:t>
      </w:r>
    </w:p>
    <w:p>
      <w:pPr>
        <w:pStyle w:val="FirstParagraph"/>
      </w:pPr>
      <w:r>
        <w:t xml:space="preserve">Using the methods outlined in the previous chapter, here I present the results of a systematic review of primary studies that have examined the relationship between the levels of blood lipids (such as cholesterol and triglycerides) and dementia outcomes. In addition, it examined the relationship between treatments that change blood lipid levels, such as statins, and dementia outcomes</w:t>
      </w:r>
    </w:p>
    <w:p>
      <w:pPr>
        <w:pStyle w:val="BodyText"/>
      </w:pPr>
      <w:r>
        <w:t xml:space="preserve">My review included 81 primary studies. I found that statins appear to reduce the risk of all-cause dementia and Alzheimer’s disease, but were not associated with risk of vascular dementia. Lipid levels were not associated with any dementia outcome. However, problems with the methods used in some studies included in the review meant that I was less confident in their results. In addition, I found that several results were missing from my analysis as authors decided not to report them.</w:t>
      </w:r>
    </w:p>
    <w:bookmarkEnd w:id="115"/>
    <w:bookmarkStart w:id="116" w:name="introduction-1"/>
    <w:p>
      <w:pPr>
        <w:pStyle w:val="Heading2"/>
      </w:pPr>
      <w:r>
        <w:t xml:space="preserve">Introduction</w:t>
      </w:r>
    </w:p>
    <w:p>
      <w:pPr>
        <w:pStyle w:val="FirstParagraph"/>
      </w:pPr>
      <w:r>
        <w:t xml:space="preserve">Following the methods outlined in the previous chapter, here I present the results of the comprehensive systematic review. The use of the evidence identified by the review in future chapters is discussed. Finally, I make recommendations for future methodological work around the inclusion of preprints and Mendelian randomisation studies in evidence synthesis exercises.</w:t>
      </w:r>
    </w:p>
    <w:p>
      <w:pPr>
        <w:pStyle w:val="BodyText"/>
      </w:pPr>
      <w:r>
        <w:t xml:space="preserve"> </w:t>
      </w:r>
    </w:p>
    <w:bookmarkEnd w:id="116"/>
    <w:bookmarkStart w:id="123" w:name="search-results"/>
    <w:p>
      <w:pPr>
        <w:pStyle w:val="Heading2"/>
      </w:pPr>
      <w:r>
        <w:t xml:space="preserve">Search results</w:t>
      </w:r>
    </w:p>
    <w:bookmarkStart w:id="117"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As expected, many of those excluded by the filters were commentaries/educational articles, or described basic science studies.</w:t>
      </w:r>
      <w:r>
        <w:t xml:space="preserve"> </w:t>
      </w:r>
    </w:p>
    <w:p>
      <w:pPr>
        <w:pStyle w:val="BodyText"/>
      </w:pPr>
      <w:r>
        <w:t xml:space="preserve"> </w:t>
      </w:r>
      <w:r>
        <w:t xml:space="preserve"> </w:t>
      </w:r>
    </w:p>
    <w:bookmarkEnd w:id="117"/>
    <w:bookmarkStart w:id="119"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w:t>
      </w:r>
      <w:r>
        <w:t xml:space="preserve">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previously (presented in grey on the right of the diagram).</w:t>
      </w:r>
    </w:p>
    <w:p>
      <w:pPr>
        <w:pStyle w:val="BodyText"/>
      </w:pPr>
      <w:r>
        <w:t xml:space="preserve">Common reasons for exclusion at the full text-stage included studies reporting on ineligible exposures (N = 70 ; most commonly an ineligible lipid fraction) or outcomes (N = 67; e.g. change in cognitive scores), or usin an ineligible study design (N = 56).</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8"/>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9"/>
    <w:bookmarkStart w:id="120" w:name="validation-of-screening"/>
    <w:p>
      <w:pPr>
        <w:pStyle w:val="Heading3"/>
      </w:pPr>
      <w:r>
        <w:t xml:space="preserve">Validation of screening</w:t>
      </w:r>
    </w:p>
    <w:p>
      <w:pPr>
        <w:pStyle w:val="FirstParagraph"/>
      </w:pPr>
      <w:r>
        <w:t xml:space="preserve">For the assessment of the intra-/inter-rater reliability, the estimated values of Gwet’s</w:t>
      </w:r>
      <w:r>
        <w:t xml:space="preserve"> </w:t>
      </w:r>
      <m:oMath>
        <m:r>
          <m:t>A</m:t>
        </m:r>
        <m:r>
          <m:t>C</m:t>
        </m:r>
        <m:r>
          <m:t>1</m:t>
        </m:r>
      </m:oMath>
      <w:r>
        <w:t xml:space="preserve"> </w:t>
      </w:r>
      <w:r>
        <w:t xml:space="preserve">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182</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 =26,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of eligible lipids fractions.</w:t>
      </w:r>
    </w:p>
    <w:p>
      <w:pPr>
        <w:pStyle w:val="BodyText"/>
      </w:pPr>
      <w:r>
        <w:t xml:space="preserve"> </w:t>
      </w:r>
      <w:r>
        <w:t xml:space="preserve"> </w:t>
      </w:r>
    </w:p>
    <w:bookmarkEnd w:id="120"/>
    <w:bookmarkStart w:id="122"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this review.</w:t>
      </w:r>
      <w:hyperlink w:anchor="ref-kivipelto2005">
        <w:r>
          <w:rPr>
            <w:rStyle w:val="Hyperlink"/>
            <w:vertAlign w:val="superscript"/>
          </w:rPr>
          <w:t xml:space="preserve">50</w:t>
        </w:r>
      </w:hyperlink>
      <w:r>
        <w:rPr>
          <w:vertAlign w:val="superscript"/>
        </w:rPr>
        <w:t xml:space="preserve">–</w:t>
      </w:r>
      <w:hyperlink w:anchor="ref-reitz2004">
        <w:r>
          <w:rPr>
            <w:rStyle w:val="Hyperlink"/>
            <w:vertAlign w:val="superscript"/>
          </w:rPr>
          <w:t xml:space="preserve">59</w:t>
        </w:r>
      </w:hyperlink>
      <w:r>
        <w:rPr>
          <w:vertAlign w:val="superscript"/>
        </w:rPr>
        <w:t xml:space="preserve">,</w:t>
      </w:r>
      <w:hyperlink w:anchor="X49f9892f062f4edfe92b37e5c1639cb4f6c013f">
        <w:r>
          <w:rPr>
            <w:rStyle w:val="Hyperlink"/>
            <w:vertAlign w:val="superscript"/>
          </w:rPr>
          <w:t xml:space="preserve">64</w:t>
        </w:r>
      </w:hyperlink>
      <w:r>
        <w:rPr>
          <w:vertAlign w:val="superscript"/>
        </w:rPr>
        <w:t xml:space="preserve">,</w:t>
      </w:r>
      <w:hyperlink w:anchor="ref-larsson2017">
        <w:r>
          <w:rPr>
            <w:rStyle w:val="Hyperlink"/>
            <w:vertAlign w:val="superscript"/>
          </w:rPr>
          <w:t xml:space="preserve">68</w:t>
        </w:r>
      </w:hyperlink>
      <w:r>
        <w:rPr>
          <w:vertAlign w:val="superscript"/>
        </w:rPr>
        <w:t xml:space="preserve">,</w:t>
      </w:r>
      <w:hyperlink w:anchor="ref-ostergaard2015">
        <w:r>
          <w:rPr>
            <w:rStyle w:val="Hyperlink"/>
            <w:vertAlign w:val="superscript"/>
          </w:rPr>
          <w:t xml:space="preserve">69</w:t>
        </w:r>
      </w:hyperlink>
      <w:r>
        <w:rPr>
          <w:vertAlign w:val="superscript"/>
        </w:rPr>
        <w:t xml:space="preserve">,</w:t>
      </w:r>
      <w:hyperlink w:anchor="ref-benn2017">
        <w:r>
          <w:rPr>
            <w:rStyle w:val="Hyperlink"/>
            <w:vertAlign w:val="superscript"/>
          </w:rPr>
          <w:t xml:space="preserve">71</w:t>
        </w:r>
      </w:hyperlink>
      <w:r>
        <w:rPr>
          <w:vertAlign w:val="superscript"/>
        </w:rPr>
        <w:t xml:space="preserve">,</w:t>
      </w:r>
      <w:hyperlink w:anchor="ref-ridker2008">
        <w:r>
          <w:rPr>
            <w:rStyle w:val="Hyperlink"/>
            <w:vertAlign w:val="superscript"/>
          </w:rPr>
          <w:t xml:space="preserve">183</w:t>
        </w:r>
      </w:hyperlink>
      <w:r>
        <w:rPr>
          <w:vertAlign w:val="superscript"/>
        </w:rPr>
        <w:t xml:space="preserve">–</w:t>
      </w:r>
      <w:hyperlink w:anchor="ref-zhu2018">
        <w:r>
          <w:rPr>
            <w:rStyle w:val="Hyperlink"/>
            <w:vertAlign w:val="superscript"/>
          </w:rPr>
          <w:t xml:space="preserve">249</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only two included randomised controlled trials (the Heart Protection Study/British Heart Foundation trial</w:t>
      </w:r>
      <w:hyperlink w:anchor="X49f9892f062f4edfe92b37e5c1639cb4f6c013f">
        <w:r>
          <w:rPr>
            <w:rStyle w:val="Hyperlink"/>
            <w:vertAlign w:val="superscript"/>
          </w:rPr>
          <w:t xml:space="preserve">64</w:t>
        </w:r>
      </w:hyperlink>
      <w:r>
        <w:t xml:space="preserve"> </w:t>
      </w:r>
      <w:r>
        <w:t xml:space="preserve">and the JUPITER trial</w:t>
      </w:r>
      <w:hyperlink w:anchor="ref-ridker2008">
        <w:r>
          <w:rPr>
            <w:rStyle w:val="Hyperlink"/>
            <w:vertAlign w:val="superscript"/>
          </w:rPr>
          <w:t xml:space="preserve">183</w:t>
        </w:r>
      </w:hyperlink>
      <w:r>
        <w:t xml:space="preserve">) both reporting on the effect of statin use on incidence of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4.3.2</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59; 72.8%) or Alzheimer’s disease (n = 51; 63%), with only a small proportion examining vascular dementia (n = 15; 18.5%).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so2017">
        <w:r>
          <w:rPr>
            <w:rStyle w:val="Hyperlink"/>
            <w:vertAlign w:val="superscript"/>
          </w:rPr>
          <w:t xml:space="preserve">248</w:t>
        </w:r>
      </w:hyperlink>
      <w:r>
        <w:rPr>
          <w:vertAlign w:val="superscript"/>
        </w:rPr>
        <w:t xml:space="preserve">,</w:t>
      </w:r>
      <w:hyperlink w:anchor="ref-andrews2019">
        <w:r>
          <w:rPr>
            <w:rStyle w:val="Hyperlink"/>
            <w:vertAlign w:val="superscript"/>
          </w:rPr>
          <w:t xml:space="preserve">250</w:t>
        </w:r>
      </w:hyperlink>
      <w:r>
        <w:rPr>
          <w:vertAlign w:val="superscript"/>
        </w:rPr>
        <w:t xml:space="preserve">,</w:t>
      </w:r>
      <w:hyperlink w:anchor="ref-zhu2017">
        <w:r>
          <w:rPr>
            <w:rStyle w:val="Hyperlink"/>
            <w:vertAlign w:val="superscript"/>
          </w:rPr>
          <w:t xml:space="preserve">251</w:t>
        </w:r>
      </w:hyperlink>
      <w:r>
        <w:t xml:space="preserve"> </w:t>
      </w:r>
      <w:r>
        <w:t xml:space="preserve">one of which had subsequently been published and was captured by the primary literature search.</w:t>
      </w:r>
      <w:hyperlink w:anchor="ref-zhu2018">
        <w:r>
          <w:rPr>
            <w:rStyle w:val="Hyperlink"/>
            <w:vertAlign w:val="superscript"/>
          </w:rPr>
          <w:t xml:space="preserve">249</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9f0542ed-358f-457b-97cb-46c2202daf67" w:name="tab:studyCharacteristics-table"/>
      <w:r>
        <w:t xml:space="preserve">Characteristics of included studies, stratified by study design. Note that three studies reported on multiple analytical designs within a single study report (Beydoun 2011,[@beydoun2011] Reitz 2010,[@reitz2010] and Benn 2017[@benn2017]), and these have been duplicated across the relevant sub-sections. Preprinted studies are denoted using an asterik.</w:t>
      </w:r>
      <w:bookmarkEnd w:id="9f0542ed-358f-457b-97cb-46c2202daf6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2002[@heartprotectionstudycollaborativegroup2002]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2009[@ridker2008]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2012[@ancelin2012]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2008[@arvanitakis2008]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2012[@bettermann2012]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2015[@chao2015]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2014[@chen2014]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2015[@chitnis2015]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2014[@chou2014]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2015[@chuang2015]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2008[@cramer2008]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2016[@gnjidic2016]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2009[@haag2009]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2015[@hendrie2015]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2010[@hippisley-cox2010]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2000[@jick2000]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2004[@li2010]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2010[@li2004]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2013[@liao2013]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2019[@liu2019]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2018[@pan2018]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2011[@parikh2011]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2005[@rea2005]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2019[@redelmeier2019]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2009[@smeeth2009]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2010[@solomon2007]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2008[@sparks2008]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2007[@szwast2007]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2015[@yang2015]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2004[@zamrini2004]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2005[@zandi2005]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2013[@ancelin2013]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2014[@batty2014]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2017[@bruce2017]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2007[@chiang2007]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2011[@dodge2011]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2010[@forti2010]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2017[@gottesman2017]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2012[@gustafson2012]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2006[@hayden2006]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2011[@kimm2011]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2001[@kivipelto2001]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2005[@kivipelto2005]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2015[@kuo2015]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2005[@li2005]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2005[@mainous2005]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2005[@mielke2010]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2010[@mielke2005]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2012[@mielke2011]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2007[@muller2007]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2013[@noale2013]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1998[@notkola1998]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2009[@peters2009]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2009[@raffaitin2009]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2017[@rantanen2017]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2010[@reitz2004]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2011[@ronnemaa2011]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2017[@schilling2017]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2007[@solomon2010]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2009[@solomon2009]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2013[@strand2013]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2017[@su2017]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2019[@svensson2019]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2003[@tan2003]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2016[@tynkkynen2016]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2018[@tynkkynen2018]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2012[@wang2012]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2005[@whitmer2005]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2009[@yamada2009]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1995[@yoshitake1995]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1992[@zimetbaum1992]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2019[@andrews2019; @andrews2021]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2017[@burgess2017]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2017[@larsson2017]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2013[@mukherjee2013]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2015[@ostergaard2015]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2017[@so2017]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2018[@zhu2018; @zhu2020] *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3.3.8.4</w:t>
      </w:r>
      <w:r>
        <w:t xml:space="preserve">).</w:t>
      </w:r>
    </w:p>
    <w:p>
      <w:pPr>
        <w:pStyle w:val="BodyText"/>
      </w:pPr>
      <w:r>
        <w:t xml:space="preserve"> </w:t>
      </w:r>
    </w:p>
    <w:bookmarkEnd w:id="122"/>
    <w:bookmarkEnd w:id="123"/>
    <w:bookmarkStart w:id="148" w:name="primary-analyses"/>
    <w:p>
      <w:pPr>
        <w:pStyle w:val="Heading2"/>
      </w:pPr>
      <w:r>
        <w:t xml:space="preserve">Primary analyses</w:t>
      </w:r>
    </w:p>
    <w:p>
      <w:pPr>
        <w:pStyle w:val="FirstParagraph"/>
      </w:pPr>
      <w:r>
        <w:t xml:space="preserve">In the following sections, analyses are grouped first by outcome (all-cause dementia, Alzheimer’s disease and vascular dementia) and then are further stratified by exposure category.</w:t>
      </w:r>
    </w:p>
    <w:p>
      <w:pPr>
        <w:pStyle w:val="BodyText"/>
      </w:pPr>
      <w:r>
        <w:t xml:space="preserve"> </w:t>
      </w:r>
    </w:p>
    <w:bookmarkStart w:id="132" w:name="sys-rev-res-Dementia"/>
    <w:p>
      <w:pPr>
        <w:pStyle w:val="Heading3"/>
      </w:pPr>
      <w:r>
        <w:t xml:space="preserve">All-cause dementia</w:t>
      </w:r>
    </w:p>
    <w:bookmarkStart w:id="126" w:name="statins"/>
    <w:p>
      <w:pPr>
        <w:pStyle w:val="Heading4"/>
      </w:pPr>
      <w:r>
        <w:t xml:space="preserve">Statins</w:t>
      </w:r>
    </w:p>
    <w:p>
      <w:pPr>
        <w:pStyle w:val="FirstParagraph"/>
      </w:pPr>
      <w:r>
        <w:t xml:space="preserve">The two randomised controlled trials provided weak evidence (OR: 1.07, 95%CI: 0.70-1.66) of an effect on statin use on all-cause dementia risk (Figure</w:t>
      </w:r>
      <w:r>
        <w:t xml:space="preserve"> </w:t>
      </w:r>
      <w:r>
        <w:t xml:space="preserve">6</w:t>
      </w:r>
      <w:r>
        <w:t xml:space="preserve">).</w:t>
      </w:r>
    </w:p>
    <w:p>
      <w:pPr>
        <w:pStyle w:val="BodyText"/>
      </w:pPr>
      <w:r>
        <w:t xml:space="preserve">(ref:statinsRCT-cap) Random-effects meta-analysis of randomised controlled trials examining statin statins on all-cause dementia. D1-D5 and O refer to the five risk-of-bias domains and single overall judgement in the RoB2 tool, while the risk of bias due to missing evidence is shown beside the overall summary diamond in each forest plot presented above.</w:t>
      </w:r>
    </w:p>
    <w:p>
      <w:pPr>
        <w:pStyle w:val="CaptionedFigure"/>
      </w:pPr>
      <w:r>
        <w:drawing>
          <wp:inline>
            <wp:extent cx="5943600" cy="1867988"/>
            <wp:effectExtent b="0" l="0" r="0" t="0"/>
            <wp:docPr descr="Figure 6: (ref:statinsRCT-cap)"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(ref:statinsRCT-cap)</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0.69-0.87,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5"/>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1.3.2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6"/>
    <w:bookmarkStart w:id="128" w:name="fibrates"/>
    <w:p>
      <w:pPr>
        <w:pStyle w:val="Heading4"/>
      </w:pPr>
      <w:r>
        <w:t xml:space="preserve">Fibrates</w:t>
      </w:r>
    </w:p>
    <w:p>
      <w:pPr>
        <w:pStyle w:val="FirstParagraph"/>
      </w:pPr>
      <w:r>
        <w:t xml:space="preserve">Two studies examined the effect of fibrate use on all-cause dementia and found weak evidence for an effect (HR: 0.89,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8"/>
    <w:bookmarkStart w:id="131"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0.98-1.25,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9"/>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0.97, 95%CI: 0.88-1.07), LDL-c (N = 2; HR: 0.97, 95%CI: 0.86-1.08), HDL-c (N = 4; HR: 1.05, 95%CI: 0.96-1.14) and triglycerides (N = 3; HR: 0.90, 95%CI: 0.74-1.09).</w:t>
      </w:r>
    </w:p>
    <w:p>
      <w:pPr>
        <w:pStyle w:val="BodyText"/>
      </w:pPr>
      <w:r>
        <w:drawing>
          <wp:inline>
            <wp:extent cx="5943600" cy="8915400"/>
            <wp:effectExtent b="0" l="0" r="0" t="0"/>
            <wp:docPr descr="(#fig:lipidFractionsDementia)Random-effects meta-analysis of four lipid fractions (total cholesterol, HDL, LDL, and triglycerides) on all-cause dementia risk, standardised per 1-SD increase in the lipid fraction. Note that Tynkkyen et al240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30"/>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31"/>
    <w:bookmarkEnd w:id="132"/>
    <w:bookmarkStart w:id="140" w:name="sys-rev-res-AD"/>
    <w:p>
      <w:pPr>
        <w:pStyle w:val="Heading3"/>
      </w:pPr>
      <w:r>
        <w:t xml:space="preserve">Alzheimer’s disease</w:t>
      </w:r>
    </w:p>
    <w:bookmarkStart w:id="135"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0.69-0.99;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33"/>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lipid-lowering specifically as a result of HMGCR inhibition, mediated by SNPs in the gene (rs172338484 and rs12916).</w:t>
      </w:r>
      <w:hyperlink w:anchor="ref-benn2017">
        <w:r>
          <w:rPr>
            <w:rStyle w:val="Hyperlink"/>
            <w:vertAlign w:val="superscript"/>
          </w:rPr>
          <w:t xml:space="preserve">71</w:t>
        </w:r>
      </w:hyperlink>
      <w:r>
        <w:rPr>
          <w:vertAlign w:val="superscript"/>
        </w:rPr>
        <w:t xml:space="preserve">,</w:t>
      </w:r>
      <w:hyperlink w:anchor="ref-so2017">
        <w:r>
          <w:rPr>
            <w:rStyle w:val="Hyperlink"/>
            <w:vertAlign w:val="superscript"/>
          </w:rPr>
          <w:t xml:space="preserve">248</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34"/>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35"/>
    <w:bookmarkStart w:id="139" w:name="lipids-1"/>
    <w:p>
      <w:pPr>
        <w:pStyle w:val="Heading4"/>
      </w:pPr>
      <w:r>
        <w:t xml:space="preserve">Lipids</w:t>
      </w:r>
    </w:p>
    <w:p>
      <w:pPr>
        <w:pStyle w:val="FirstParagraph"/>
      </w:pPr>
      <w:r>
        <w:t xml:space="preserve">Nine studies reported on the association of hypercholesterolemia with Alzheimer’s disease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6"/>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1.00, 95%CI: 0.94-1.06), LDL-c (N = 3; HR: 1.06, 95%CI: 0.98-1.16), HDL-c (N = 4; HR: 0.99, 95%CI: 0.91-1.07) or triglycerides (N = 3; HR: 1.00, 95%CI: 0.84-1.18).</w:t>
      </w:r>
    </w:p>
    <w:p>
      <w:pPr>
        <w:pStyle w:val="BodyText"/>
      </w:pPr>
      <w:r>
        <w:drawing>
          <wp:inline>
            <wp:extent cx="5943600" cy="8915400"/>
            <wp:effectExtent b="0" l="0" r="0" t="0"/>
            <wp:docPr descr="(#fig:lipidFractionsAD) Random-effects meta-analysis of four lipid fractions (total cholesterol, HDL, LDL, and triglycerides) on Alzheimer’s disease risk, standardised per 1-SD increase in the lipid fraction. Note that Tynkkyen et al240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7"/>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took a two-sample approach, making use of summary statistics from the GLGC and IGAP consortia. Due to this overlap, which would result in a falsely precise estimate caused by multiple counting of the same participants, no meta-analysis of these studies was performed. However, across each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9"/>
    <w:bookmarkEnd w:id="140"/>
    <w:bookmarkStart w:id="146" w:name="sys-rev-res-VaD"/>
    <w:p>
      <w:pPr>
        <w:pStyle w:val="Heading3"/>
      </w:pPr>
      <w:r>
        <w:t xml:space="preserve">Vascular dementia</w:t>
      </w:r>
    </w:p>
    <w:bookmarkStart w:id="142" w:name="statins-2"/>
    <w:p>
      <w:pPr>
        <w:pStyle w:val="Heading4"/>
      </w:pPr>
      <w:r>
        <w:t xml:space="preserve">Statins</w:t>
      </w:r>
    </w:p>
    <w:p>
      <w:pPr>
        <w:pStyle w:val="FirstParagraph"/>
      </w:pPr>
      <w:r>
        <w:t xml:space="preserve">As noted in Section</w:t>
      </w:r>
      <w:r>
        <w:t xml:space="preserve"> </w:t>
      </w:r>
      <w:r>
        <w:t xml:space="preserve">4.2.4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weak evidence for an effect (N = 3; HR: 0.99, 95%CI: 0.79-1.25;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4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some evidence for an effect (RR: 0.44, 95%CI: 0.21-0.91).</w:t>
      </w:r>
    </w:p>
    <w:p>
      <w:pPr>
        <w:pStyle w:val="BodyText"/>
      </w:pPr>
      <w:r>
        <w:t xml:space="preserve"> </w:t>
      </w:r>
    </w:p>
    <w:bookmarkEnd w:id="142"/>
    <w:bookmarkStart w:id="145"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43"/>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weak evidence for an effect (N = 2; HR: 1.05, 95%CI: 0.79-1.41). A single study provided evidence on the other three fractions,</w:t>
      </w:r>
      <w:hyperlink w:anchor="ref-yoshitake1995">
        <w:r>
          <w:rPr>
            <w:rStyle w:val="Hyperlink"/>
            <w:vertAlign w:val="superscript"/>
          </w:rPr>
          <w:t xml:space="preserve">243</w:t>
        </w:r>
      </w:hyperlink>
      <w:r>
        <w:t xml:space="preserve"> </w:t>
      </w:r>
      <w:r>
        <w:t xml:space="preserve">and similar found minimal evidence of an effect LDL-c (HR: 1.12, 95%CI: 0.83-1.51), HDL-c (HR: 0.83, 95%CI: 0.60-1.14) or triglycerides (HR: 1.00, 95%CI: 0.75-1.34).</w:t>
      </w:r>
    </w:p>
    <w:p>
      <w:pPr>
        <w:pStyle w:val="BodyText"/>
      </w:pPr>
      <w:r>
        <w:drawing>
          <wp:inline>
            <wp:extent cx="5943600" cy="2377440"/>
            <wp:effectExtent b="0" l="0" r="0" t="0"/>
            <wp:docPr descr="Figure 16: Random-effects meta-analysis of four lipid fractions (total cholesterol, HDL, LDL, and triglycerides) on Alzheimer’s disease risk, standardised per 1-SD increase in the lipid fraction. Note that Tynkkyen et al240 reported results from multiple cohorts within a single study and the results for each cohort are presented separately here."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44"/>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no Mendelian randomisation analyses examining the effect of genetically determined lipid levels on vascular dementia risk were identified.</w:t>
      </w:r>
    </w:p>
    <w:p>
      <w:pPr>
        <w:pStyle w:val="BodyText"/>
      </w:pPr>
      <w:r>
        <w:t xml:space="preserve"> </w:t>
      </w:r>
    </w:p>
    <w:bookmarkEnd w:id="145"/>
    <w:bookmarkEnd w:id="146"/>
    <w:bookmarkStart w:id="147" w:name="risk-of-bias-res"/>
    <w:p>
      <w:pPr>
        <w:pStyle w:val="Heading3"/>
      </w:pPr>
      <w:r>
        <w:t xml:space="preserve">Risk of bias</w:t>
      </w:r>
    </w:p>
    <w:p>
      <w:pPr>
        <w:pStyle w:val="FirstParagraph"/>
      </w:pPr>
      <w:r>
        <w:t xml:space="preserve">As shown in the forest plots in the above sections, the risk-of-bias assessments are presented alongside their corresponding numerical result. A more detailed discussion of the sources and directions of bias in each result is presented in Chapter</w:t>
      </w:r>
      <w:r>
        <w:t xml:space="preserve"> </w:t>
      </w:r>
      <w:r>
        <w:t xml:space="preserve">7</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primarily due to poor controlling for confounding, immortal time bias, and missing outcome data.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67</w:t>
        </w:r>
      </w:hyperlink>
    </w:p>
    <w:p>
      <w:pPr>
        <w:pStyle w:val="BodyText"/>
      </w:pPr>
      <w:r>
        <w:t xml:space="preserve">Following best practice, any result judged to be at critical risk of bias should be excluded from any quantitative analyses.</w:t>
      </w:r>
      <w:hyperlink w:anchor="ref-sterne2016">
        <w:r>
          <w:rPr>
            <w:rStyle w:val="Hyperlink"/>
            <w:vertAlign w:val="superscript"/>
          </w:rPr>
          <w:t xml:space="preserve">154</w:t>
        </w:r>
      </w:hyperlink>
      <w:r>
        <w:t xml:space="preserve"> </w:t>
      </w:r>
      <w:r>
        <w:t xml:space="preserve">Three observational studies were excluded on this basis, predominantly due to a lack of adjustment for any potentially important confounders (i.e. the study reported unadjusted estimates).</w:t>
      </w:r>
      <w:hyperlink w:anchor="ref-mainous2005">
        <w:r>
          <w:rPr>
            <w:rStyle w:val="Hyperlink"/>
            <w:vertAlign w:val="superscript"/>
          </w:rPr>
          <w:t xml:space="preserve">55</w:t>
        </w:r>
      </w:hyperlink>
      <w:r>
        <w:rPr>
          <w:vertAlign w:val="superscript"/>
        </w:rPr>
        <w:t xml:space="preserve">,</w:t>
      </w:r>
      <w:hyperlink w:anchor="ref-kuo2015">
        <w:r>
          <w:rPr>
            <w:rStyle w:val="Hyperlink"/>
            <w:vertAlign w:val="superscript"/>
          </w:rPr>
          <w:t xml:space="preserve">226</w:t>
        </w:r>
      </w:hyperlink>
      <w:r>
        <w:rPr>
          <w:vertAlign w:val="superscript"/>
        </w:rPr>
        <w:t xml:space="preserve">,</w:t>
      </w:r>
      <w:hyperlink w:anchor="ref-notkola1998">
        <w:r>
          <w:rPr>
            <w:rStyle w:val="Hyperlink"/>
            <w:vertAlign w:val="superscript"/>
          </w:rPr>
          <w:t xml:space="preserve">230</w:t>
        </w:r>
      </w:hyperlink>
    </w:p>
    <w:p>
      <w:pPr>
        <w:pStyle w:val="BodyText"/>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7"/>
    <w:bookmarkEnd w:id="148"/>
    <w:bookmarkStart w:id="153" w:name="additional-analyses-1"/>
    <w:p>
      <w:pPr>
        <w:pStyle w:val="Heading2"/>
      </w:pPr>
      <w:r>
        <w:t xml:space="preserve">Additional analyses</w:t>
      </w:r>
    </w:p>
    <w:bookmarkStart w:id="150" w:name="dose-response-results"/>
    <w:p>
      <w:pPr>
        <w:pStyle w:val="Heading3"/>
      </w:pPr>
      <w:r>
        <w:t xml:space="preserve">Dose response meta-analysis of lipid levels</w:t>
      </w:r>
    </w:p>
    <w:p>
      <w:pPr>
        <w:pStyle w:val="FirstParagraph"/>
      </w:pPr>
      <w:r>
        <w:t xml:space="preserve">There were 13 studies initially considered eligible for the dose-response meta-analysis, as they appear to provide data on risk of dementia outcomes across several categories of lipid exposure. However, following data extraction, five were excluded as they did not reported the relevant information needed (most commonly, the cut-off measures for each category).</w:t>
      </w:r>
    </w:p>
    <w:p>
      <w:pPr>
        <w:pStyle w:val="BodyText"/>
      </w:pPr>
      <w:r>
        <w:t xml:space="preserve">Across the remaining eight studies, a sufficient number of results (n</w:t>
      </w:r>
      <w:r>
        <w:t xml:space="preserve"> </w:t>
      </w:r>
      <m:oMath>
        <m:r>
          <m:rPr>
            <m:sty m:val="p"/>
          </m:rPr>
          <m:t>≥</m:t>
        </m:r>
      </m:oMath>
      <w:r>
        <w:t xml:space="preserve"> </w:t>
      </w:r>
      <w:r>
        <w:t xml:space="preserve">3) were identified only for the total cholesterol-Alzheimer’s, LDL-Alzheimer’s, and total cholesterol-dementia strata. This analysis provided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50"/>
    <w:bookmarkStart w:id="151" w:name="heterogeneity-and-publication-bias"/>
    <w:p>
      <w:pPr>
        <w:pStyle w:val="Heading3"/>
      </w:pPr>
      <w:r>
        <w:t xml:space="preserve">Heterogeneity and publication bias</w:t>
      </w:r>
    </w:p>
    <w:p>
      <w:pPr>
        <w:pStyle w:val="FirstParagraph"/>
      </w:pPr>
      <w:r>
        <w:t xml:space="preserve">Investigation of potential sources of heterogeneity was complicated by two factors. In the first instance, a minority of meta-analysis (4 out of 18, 22%) included more than 10 results, the recommended minimum required for meta-regression. Secondly, poor reporting of study characteristics of interest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 </w:t>
      </w:r>
    </w:p>
    <w:bookmarkEnd w:id="151"/>
    <w:bookmarkStart w:id="152" w:name="sys-rev-including-preprints-res"/>
    <w:p>
      <w:pPr>
        <w:pStyle w:val="Heading3"/>
      </w:pPr>
      <w:r>
        <w:t xml:space="preserve">Added evidential value of including preprints</w:t>
      </w:r>
    </w:p>
    <w:p>
      <w:pPr>
        <w:pStyle w:val="FirstParagraph"/>
      </w:pPr>
      <w:r>
        <w:t xml:space="preserve">As show in the PRISMA flow diagram (Figure</w:t>
      </w:r>
      <w:r>
        <w:t xml:space="preserve"> </w:t>
      </w:r>
      <w:r>
        <w:t xml:space="preserve">4</w:t>
      </w:r>
      <w:r>
        <w:t xml:space="preserve">), the number of hits returned by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248</w:t>
        </w:r>
      </w:hyperlink>
      <w:r>
        <w:rPr>
          <w:vertAlign w:val="superscript"/>
        </w:rPr>
        <w:t xml:space="preserve">,</w:t>
      </w:r>
      <w:hyperlink w:anchor="ref-andrews2019">
        <w:r>
          <w:rPr>
            <w:rStyle w:val="Hyperlink"/>
            <w:vertAlign w:val="superscript"/>
          </w:rPr>
          <w:t xml:space="preserve">250</w:t>
        </w:r>
      </w:hyperlink>
    </w:p>
    <w:p>
      <w:pPr>
        <w:pStyle w:val="BodyText"/>
      </w:pPr>
      <w:r>
        <w:t xml:space="preserve">One preprint (So</w:t>
      </w:r>
      <w:r>
        <w:t xml:space="preserve"> </w:t>
      </w:r>
      <w:r>
        <w:rPr>
          <w:iCs/>
          <w:i/>
        </w:rPr>
        <w:t xml:space="preserve">et al</w:t>
      </w:r>
      <w:hyperlink w:anchor="ref-so2017">
        <w:r>
          <w:rPr>
            <w:rStyle w:val="Hyperlink"/>
            <w:vertAlign w:val="superscript"/>
          </w:rPr>
          <w:t xml:space="preserve">248</w:t>
        </w:r>
      </w:hyperlink>
      <w:r>
        <w:t xml:space="preserve">) provided additional evidential value in a single meta-analysis (5.6% of the 18 meta-analyses performed in this chapter). This meta-analysis of Mendelian randomisation studies examined the effects of lipid-lowering via HMGCR mutations on incidence of Alzheimer’s disease (Figure</w:t>
      </w:r>
      <w:r>
        <w:t xml:space="preserve"> </w:t>
      </w:r>
      <w:r>
        <w:t xml:space="preserve">11</w:t>
      </w:r>
      <w:r>
        <w:t xml:space="preserve">). To assess the evidence added to the meta-analysis through inclusion of the preprint, the data was re-analysed using a fixed-effect model. Examination of the weight assigned to each result in the analysis illustrates that a large proportion (78%) of the weight is given to the preprinted result. However, the inclusion of the preprinted study did not have a substantial impact on the result of the meta-analysis (RR: 0.76, 95%CI: 0.51-1.14) as compared to that reported by the single published study (RR: 0.59, 95%CI: 0.25-1.39).</w:t>
      </w:r>
    </w:p>
    <w:p>
      <w:pPr>
        <w:pStyle w:val="BodyText"/>
      </w:pPr>
      <w:r>
        <w:t xml:space="preserve">The other two preprints identified</w:t>
      </w:r>
      <w:hyperlink w:anchor="ref-andrews2019">
        <w:r>
          <w:rPr>
            <w:rStyle w:val="Hyperlink"/>
            <w:vertAlign w:val="superscript"/>
          </w:rPr>
          <w:t xml:space="preserve">250</w:t>
        </w:r>
      </w:hyperlink>
      <w:r>
        <w:rPr>
          <w:vertAlign w:val="superscript"/>
        </w:rPr>
        <w:t xml:space="preserve">,</w:t>
      </w:r>
      <w:hyperlink w:anchor="ref-zhu2017">
        <w:r>
          <w:rPr>
            <w:rStyle w:val="Hyperlink"/>
            <w:vertAlign w:val="superscript"/>
          </w:rPr>
          <w:t xml:space="preserve">251</w:t>
        </w:r>
      </w:hyperlink>
      <w:r>
        <w:t xml:space="preserve"> </w:t>
      </w:r>
      <w:r>
        <w:t xml:space="preserve">reported on the effect of LDL-c on Alzheimer’s disease using data from GLCC and IGAP consortia. As illustrated in Figure</w:t>
      </w:r>
      <w:r>
        <w:t xml:space="preserve"> </w:t>
      </w:r>
      <w:r>
        <w:t xml:space="preserve">13</w:t>
      </w:r>
      <w:r>
        <w:t xml:space="preserve">, these consortia were previously analysed in several published reports, and so these preprints did not add to new information to the evidence base.</w:t>
      </w:r>
    </w:p>
    <w:p>
      <w:pPr>
        <w:pStyle w:val="BodyText"/>
      </w:pPr>
      <w:r>
        <w:t xml:space="preserve">Investigation of the publication status of the two preprints reporting studies not also identified by the main search found that, allowing for a two-year lag, only one had been subsequently published.</w:t>
      </w:r>
      <w:hyperlink w:anchor="ref-andrews2021">
        <w:r>
          <w:rPr>
            <w:rStyle w:val="Hyperlink"/>
            <w:vertAlign w:val="superscript"/>
          </w:rPr>
          <w:t xml:space="preserve">245</w:t>
        </w:r>
      </w:hyperlink>
      <w:r>
        <w:rPr>
          <w:vertAlign w:val="superscript"/>
        </w:rPr>
        <w:t xml:space="preserve">,</w:t>
      </w:r>
      <w:hyperlink w:anchor="ref-andrews2019">
        <w:r>
          <w:rPr>
            <w:rStyle w:val="Hyperlink"/>
            <w:vertAlign w:val="superscript"/>
          </w:rPr>
          <w:t xml:space="preserve">250</w:t>
        </w:r>
      </w:hyperlink>
    </w:p>
    <w:p>
      <w:pPr>
        <w:pStyle w:val="BodyText"/>
      </w:pPr>
      <w:r>
        <w:t xml:space="preserve"> </w:t>
      </w:r>
      <w:r>
        <w:t xml:space="preserve"> </w:t>
      </w:r>
    </w:p>
    <w:bookmarkEnd w:id="152"/>
    <w:bookmarkEnd w:id="153"/>
    <w:bookmarkStart w:id="165" w:name="discussion-1"/>
    <w:p>
      <w:pPr>
        <w:pStyle w:val="Heading2"/>
      </w:pPr>
      <w:r>
        <w:t xml:space="preserve">Discussion</w:t>
      </w:r>
    </w:p>
    <w:p>
      <w:pPr>
        <w:pStyle w:val="FirstParagraph"/>
      </w:pPr>
      <w:r>
        <w:t xml:space="preserve">This review presented a summary of the available evidence on the association between lipids, and treatments that modify lipids such as statins, and the subsequent risk of dementia. This discussion seeks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55" w:name="summary-of-findings"/>
    <w:p>
      <w:pPr>
        <w:pStyle w:val="Heading3"/>
      </w:pPr>
      <w:r>
        <w:t xml:space="preserve">Summary of findings</w:t>
      </w:r>
    </w:p>
    <w:p>
      <w:pPr>
        <w:pStyle w:val="FirstParagraph"/>
      </w:pPr>
      <w:r>
        <w:t xml:space="preserve">There was some indication of a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differing exposure windows (e.g. mid-life lipid lowering in non-randomised studies versus life-course lipid exposure in Mendelian randomisation studies and late-life lipid reduction in RCTs) or alternatively due to biases within the non-randomised studies.</w:t>
      </w:r>
    </w:p>
    <w:p>
      <w:pPr>
        <w:pStyle w:val="BodyText"/>
      </w:pPr>
      <w:r>
        <w:t xml:space="preserve">Across dementia outcomes, the majority of studies were non-randomised studies of lipids or lipid regulating agents. This distribution of evidence between analytical designs is to be expected. Randomised controlled trials of dementia are particularly challenging, as the follow-up made necessary by the long latent period of the condition makes trials logistically difficult and financial expensive. Similarly, Mendelian randomisation is a comparatively new study design, and studies employing it in relation to dementia outcomes only appear in the evidence base in recent years, as illustrated in Figure</w:t>
      </w:r>
      <w:r>
        <w:t xml:space="preserve"> </w:t>
      </w:r>
      <w:r>
        <w:t xml:space="preserve">18</w:t>
      </w:r>
      <w:r>
        <w:t xml:space="preserve">. This recent increase is likely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for any dementia outcome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54"/>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central finding of this review is the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81</w:t>
        </w:r>
      </w:hyperlink>
      <w:r>
        <w:t xml:space="preserve"> </w:t>
      </w:r>
      <w:r>
        <w:t xml:space="preserve">though there was weak evidence of a small-study effects for this outcome (of which publication bias is one potential cause).</w:t>
      </w:r>
      <w:hyperlink w:anchor="ref-sterne2011">
        <w:r>
          <w:rPr>
            <w:rStyle w:val="Hyperlink"/>
            <w:vertAlign w:val="superscript"/>
          </w:rPr>
          <w:t xml:space="preserve">176</w:t>
        </w:r>
      </w:hyperlink>
      <w:r>
        <w:t xml:space="preserve"> </w:t>
      </w:r>
      <w:r>
        <w:t xml:space="preserve">Similarly, only one Mendelian randomisation study examined this outcome, likely due to the absence (until recently) of vascular dementia GWAS which precludes a two-sample approach.</w:t>
      </w:r>
    </w:p>
    <w:p>
      <w:pPr>
        <w:pStyle w:val="BodyText"/>
      </w:pPr>
      <w:r>
        <w:t xml:space="preserve">Of note, this review did not include the commonly cited PROSPER RCT, which examined the effect of pravastatin on cardiovascular disease risk and reported on cognitive outcomes as one of several secondary outcomes.</w:t>
      </w:r>
      <w:hyperlink w:anchor="ref-shepherd2002">
        <w:r>
          <w:rPr>
            <w:rStyle w:val="Hyperlink"/>
            <w:vertAlign w:val="superscript"/>
          </w:rPr>
          <w:t xml:space="preserve">252</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62</w:t>
        </w:r>
      </w:hyperlink>
      <w:r>
        <w:t xml:space="preserve"> </w:t>
      </w:r>
      <w:r>
        <w:t xml:space="preserve">the trial reported solely on the change in a range of cognitive measures (MMSE, Stroop test, Picture-Word Learning test and others) over follow-up. Though a useful indicator of general cognitive decline, it is not equivalent to a dementia diagnosis using recognised criteria, as cognitive tests should feed into a broader diagnostic pathway (see Section</w:t>
      </w:r>
      <w:r>
        <w:t xml:space="preserve"> </w:t>
      </w:r>
      <w:r>
        <w:t xml:space="preserve">1.2.2</w:t>
      </w:r>
      <w:r>
        <w:t xml:space="preserve">). As such, this trial did not meet the inclusion criteria for this review.</w:t>
      </w:r>
    </w:p>
    <w:p>
      <w:pPr>
        <w:pStyle w:val="BodyText"/>
      </w:pPr>
      <w:r>
        <w:t xml:space="preserve">Risk of bias across the individual results was generally high. The causes and expected impact of these biases on the results are discussed in more detail in Chapter</w:t>
      </w:r>
      <w:r>
        <w:t xml:space="preserve"> </w:t>
      </w:r>
      <w:r>
        <w:t xml:space="preserve">7</w:t>
      </w:r>
      <w:r>
        <w:t xml:space="preserve">. Of particular interest to this chapter, however, was the high risk of bias due to missing evidence observed for observational studies of lipid levels. In many cases, estimates are known to be missing not at random from meta-analyses due to preferential reporting of significant results, leading to high risk of bias due to missing evidence. These missing estimates were most commonly identified via analysis of conference abstract/final publication pairs.</w:t>
      </w:r>
      <w:hyperlink w:anchor="ref-yamada2009">
        <w:r>
          <w:rPr>
            <w:rStyle w:val="Hyperlink"/>
            <w:vertAlign w:val="superscript"/>
          </w:rPr>
          <w:t xml:space="preserve">242</w:t>
        </w:r>
      </w:hyperlink>
      <w:r>
        <w:rPr>
          <w:vertAlign w:val="superscript"/>
        </w:rPr>
        <w:t xml:space="preserve">,</w:t>
      </w:r>
      <w:hyperlink w:anchor="ref-yamada2009conf">
        <w:r>
          <w:rPr>
            <w:rStyle w:val="Hyperlink"/>
            <w:vertAlign w:val="superscript"/>
          </w:rPr>
          <w:t xml:space="preserve">253</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hyperlink w:anchor="ref-ancelin2013">
        <w:r>
          <w:rPr>
            <w:rStyle w:val="Hyperlink"/>
            <w:vertAlign w:val="superscript"/>
          </w:rPr>
          <w:t xml:space="preserve">215</w:t>
        </w:r>
      </w:hyperlink>
      <w:r>
        <w:t xml:space="preserve">). However, as all identified missing results are likely to be non-significant, they would not be expected to have a substantial impact on their respective meta-analysis (which provided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several studies which made use of data from the Taiwan health insurance database.</w:t>
      </w:r>
    </w:p>
    <w:p>
      <w:pPr>
        <w:pStyle w:val="BodyText"/>
      </w:pPr>
      <w:r>
        <w:t xml:space="preserve"> </w:t>
      </w:r>
    </w:p>
    <w:bookmarkEnd w:id="155"/>
    <w:bookmarkStart w:id="156"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254</w:t>
        </w:r>
      </w:hyperlink>
      <w:r>
        <w:rPr>
          <w:vertAlign w:val="superscript"/>
        </w:rPr>
        <w:t xml:space="preserve">–</w:t>
      </w:r>
      <w:hyperlink w:anchor="ref-kuzma2018risk">
        <w:r>
          <w:rPr>
            <w:rStyle w:val="Hyperlink"/>
            <w:vertAlign w:val="superscript"/>
          </w:rPr>
          <w:t xml:space="preserve">259</w:t>
        </w:r>
      </w:hyperlink>
      <w:r>
        <w:t xml:space="preserve"> </w:t>
      </w:r>
      <w:r>
        <w:t xml:space="preserve">However, to my knowledge, this review is the first to use established domain based assessments tools (for example, the RoB 2 tool for randomized controlled trials)</w:t>
      </w:r>
      <w:hyperlink w:anchor="ref-sterne2019">
        <w:r>
          <w:rPr>
            <w:rStyle w:val="Hyperlink"/>
            <w:vertAlign w:val="superscript"/>
          </w:rPr>
          <w:t xml:space="preserve">91</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254</w:t>
        </w:r>
      </w:hyperlink>
      <w:r>
        <w:rPr>
          <w:vertAlign w:val="superscript"/>
        </w:rPr>
        <w:t xml:space="preserve">,</w:t>
      </w:r>
      <w:hyperlink w:anchor="ref-power2015">
        <w:r>
          <w:rPr>
            <w:rStyle w:val="Hyperlink"/>
            <w:vertAlign w:val="superscript"/>
          </w:rPr>
          <w:t xml:space="preserve">260</w:t>
        </w:r>
      </w:hyperlink>
      <w:r>
        <w:t xml:space="preserve"> </w:t>
      </w:r>
      <w:r>
        <w:t xml:space="preserve">or used a non-domain-based assessment tool (e.g. the Newcastle-Ottowa Scale).</w:t>
      </w:r>
      <w:hyperlink w:anchor="ref-poly2020">
        <w:r>
          <w:rPr>
            <w:rStyle w:val="Hyperlink"/>
            <w:vertAlign w:val="superscript"/>
          </w:rPr>
          <w:t xml:space="preserve">257</w:t>
        </w:r>
      </w:hyperlink>
    </w:p>
    <w:p>
      <w:pPr>
        <w:pStyle w:val="BodyText"/>
      </w:pPr>
      <w:r>
        <w:t xml:space="preserve">I identified one previous review of Mendelian randomisation studies examining risk factors for Alzheimer’s disease. However, this review was conducted prior to the majority of Mendelian randomisation studies included in this review being published and extracted results including SNPs in the APoE4 genetic region (see the following section for a discussion of the bias this introduces).</w:t>
      </w:r>
    </w:p>
    <w:p>
      <w:pPr>
        <w:pStyle w:val="BodyText"/>
      </w:pPr>
      <w:r>
        <w:t xml:space="preserve">Despite these differences in time scales and methodology, the duplication of work across systematic reviews (including this one) is substantial. In retrospect, an alternative approach to conducting a further systematic review from scratch, known as an umbrella review or review-of-reviews,</w:t>
      </w:r>
      <w:hyperlink w:anchor="ref-aromataris2015">
        <w:r>
          <w:rPr>
            <w:rStyle w:val="Hyperlink"/>
            <w:vertAlign w:val="superscript"/>
          </w:rPr>
          <w:t xml:space="preserve">261</w:t>
        </w:r>
      </w:hyperlink>
      <w:r>
        <w:rPr>
          <w:vertAlign w:val="superscript"/>
        </w:rPr>
        <w:t xml:space="preserve">,</w:t>
      </w:r>
      <w:hyperlink w:anchor="ref-smith2011">
        <w:r>
          <w:rPr>
            <w:rStyle w:val="Hyperlink"/>
            <w:vertAlign w:val="superscript"/>
          </w:rPr>
          <w:t xml:space="preserve">262</w:t>
        </w:r>
      </w:hyperlink>
      <w:r>
        <w:t xml:space="preserve"> </w:t>
      </w:r>
      <w:r>
        <w:t xml:space="preserve">could have been employed. This study design uses other systematic reviews rather than primary studies as the unit of analysis, and would have enabled more efficient identification of relevant primary studies to which the methods which sets this review apart could have been applied.</w:t>
      </w:r>
    </w:p>
    <w:p>
      <w:pPr>
        <w:pStyle w:val="BodyText"/>
      </w:pPr>
      <w:r>
        <w:t xml:space="preserve"> </w:t>
      </w:r>
    </w:p>
    <w:bookmarkEnd w:id="156"/>
    <w:bookmarkStart w:id="158" w:name="rev-discussion-MR"/>
    <w:p>
      <w:pPr>
        <w:pStyle w:val="Heading3"/>
      </w:pPr>
      <w:r>
        <w:t xml:space="preserve">Inclusion of Mendelian randomisation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three core assumptions detailed in Figure</w:t>
      </w:r>
      <w:r>
        <w:t xml:space="preserve"> </w:t>
      </w:r>
      <w:r>
        <w:t xml:space="preserve">19</w:t>
      </w:r>
      <w:r>
        <w:t xml:space="preserve"> </w:t>
      </w:r>
      <w:r>
        <w:t xml:space="preserve">are valid. These assumptions are namely that: i) the genetic variant associates with the risk factor of interest (relevance assumption); ii) the variant-exposure association has no unmeasured confounders (independence assumption); and the variants affect the outcome only through their effect on the risk factor of interest (exclusion restriction assumption).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7"/>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availability of large scale GWAS datasets needed for two-sample Mendelian randomisation analyses. As such, the process and tools for systematically assessing this study design are not as well developed. A key example of this is the absence of validated search filters for Mendelian randomisation studies. This limitation is further complicated by the varying terminology used to describe the method, particularly in the early years of its application, which led to me including general terms for instrumental variable analyses in my search.</w:t>
      </w:r>
    </w:p>
    <w:p>
      <w:pPr>
        <w:pStyle w:val="BodyText"/>
      </w:pPr>
      <w:r>
        <w:t xml:space="preserve">Additionally, there is currently no widely used risk-of-bias assessment tool for Mendelian randomisation studies. While a recent commentary provided a checklist for interpreting Mendelian randomisation studies, this guide includes reporting items in their quality checklist.</w:t>
      </w:r>
      <w:hyperlink w:anchor="ref-davies2018">
        <w:r>
          <w:rPr>
            <w:rStyle w:val="Hyperlink"/>
            <w:vertAlign w:val="superscript"/>
          </w:rPr>
          <w:t xml:space="preserve">67</w:t>
        </w:r>
      </w:hyperlink>
      <w:r>
        <w:t xml:space="preserve"> </w:t>
      </w:r>
      <w:r>
        <w:t xml:space="preserve">Reporting quality is an important consideration for Mendelian randomisation studies, as reflected by the recent release of a STROBE MR reporting guidelines,</w:t>
      </w:r>
      <w:hyperlink w:anchor="ref-skrivankova2021">
        <w:r>
          <w:rPr>
            <w:rStyle w:val="Hyperlink"/>
            <w:vertAlign w:val="superscript"/>
          </w:rPr>
          <w:t xml:space="preserve">263</w:t>
        </w:r>
      </w:hyperlink>
      <w:r>
        <w:t xml:space="preserve"> </w:t>
      </w:r>
      <w:r>
        <w:t xml:space="preserve">but is a separate consideration to bias, as discussed in Section</w:t>
      </w:r>
      <w:r>
        <w:t xml:space="preserve"> </w:t>
      </w:r>
      <w:r>
        <w:t xml:space="preserve">3.3.8</w:t>
      </w:r>
      <w:r>
        <w:t xml:space="preserve">. Similarly, a previous review of Mendelian randomisation studies used the Q-Genie tool which was designed to assess the quality of GWAS included in a meta-analysis.</w:t>
      </w:r>
      <w:hyperlink w:anchor="ref-sohani2015">
        <w:r>
          <w:rPr>
            <w:rStyle w:val="Hyperlink"/>
            <w:vertAlign w:val="superscript"/>
          </w:rPr>
          <w:t xml:space="preserve">264</w:t>
        </w:r>
      </w:hyperlink>
      <w:r>
        <w:t xml:space="preserve"> </w:t>
      </w:r>
      <w:r>
        <w:t xml:space="preserve">While this tool assesses the underlying GWAS used, it does not address the additional methodological considerations of the Mendelian randomisation analysis itself. For this review, I used the best available author-devised tool, sourced from a recent review of systematic reviews of Mendelian randomisation studies.</w:t>
      </w:r>
      <w:hyperlink w:anchor="ref-spiga2021">
        <w:r>
          <w:rPr>
            <w:rStyle w:val="Hyperlink"/>
            <w:vertAlign w:val="superscript"/>
          </w:rPr>
          <w:t xml:space="preserve">161</w:t>
        </w:r>
      </w:hyperlink>
    </w:p>
    <w:p>
      <w:pPr>
        <w:pStyle w:val="BodyText"/>
      </w:pPr>
      <w:r>
        <w:t xml:space="preserve">As a further stumbling block, Mendelian randomisation lends itself to the analysis of multiple exposure-outcome comparisons as part of a single study, particularly when using a two-sample summary data design. This is particularly relevant to the consideration of bias due to missing evidence. As an example, through snowballing and other measures, I identified at least one relevant Mendelian randomisation study that had not been captured by the search strategy.</w:t>
      </w:r>
      <w:hyperlink w:anchor="ref-larsson2017">
        <w:r>
          <w:rPr>
            <w:rStyle w:val="Hyperlink"/>
            <w:vertAlign w:val="superscript"/>
          </w:rPr>
          <w:t xml:space="preserve">68</w:t>
        </w:r>
      </w:hyperlink>
      <w:r>
        <w:t xml:space="preserve"> </w:t>
      </w:r>
      <w:r>
        <w:t xml:space="preserve">This study examined lipid fractions as one of many risk factors for Alzheimer’s disease, though the search would not have been expected to find it given the absence of any lipid-related keywords in the title or abstract. Studies examining multiple risk factors such as this can introduce bias into a systematic review, as it is commonly only those risk factors with statistically significant result that are reported in the abstract and so are captured by a systematic search. These studies are described as</w:t>
      </w:r>
      <w:r>
        <w:t xml:space="preserve"> </w:t>
      </w:r>
      <w:r>
        <w:t xml:space="preserve">“</w:t>
      </w:r>
      <w:r>
        <w:t xml:space="preserve">unknown unknown’s</w:t>
      </w:r>
      <w:r>
        <w:t xml:space="preserve">”</w:t>
      </w:r>
      <w:r>
        <w:t xml:space="preserve"> </w:t>
      </w:r>
      <w:r>
        <w:t xml:space="preserve">in the context of the RoB-ME tool, and are considered to be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265</w:t>
        </w:r>
      </w:hyperlink>
      <w:r>
        <w:rPr>
          <w:vertAlign w:val="superscript"/>
        </w:rPr>
        <w:t xml:space="preserve">,</w:t>
      </w:r>
      <w:hyperlink w:anchor="ref-wagner2020">
        <w:r>
          <w:rPr>
            <w:rStyle w:val="Hyperlink"/>
            <w:vertAlign w:val="superscript"/>
          </w:rPr>
          <w:t xml:space="preserve">266</w:t>
        </w:r>
      </w:hyperlink>
      <w:r>
        <w:t xml:space="preserve"> </w:t>
      </w:r>
      <w:r>
        <w:t xml:space="preserve">Alternatively, in better-resourced reviews, a broader search (e.g. </w:t>
      </w:r>
      <w:r>
        <w:t xml:space="preserve">“</w:t>
      </w:r>
      <w:r>
        <w:t xml:space="preserve">risk factor</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examined multiple risk factors would be advisable. This was not feasible in the context of this review, given the large number of records to be screened even when using study design filters (N = 16,109). Additionally, the value of methods that support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w:t>
      </w:r>
    </w:p>
    <w:p>
      <w:pPr>
        <w:pStyle w:val="BodyText"/>
      </w:pPr>
      <w:r>
        <w:t xml:space="preserve">One item of particular interest is the attenuation of any effects identified by Mendelian randomisation studies following the adjustment for/exclusion of genetic variation in the Apoe4 gene region. As discussed in the introduction (see Section</w:t>
      </w:r>
      <w:r>
        <w:t xml:space="preserve"> </w:t>
      </w:r>
      <w:r>
        <w:t xml:space="preserve">1.4.1</w:t>
      </w:r>
      <w:r>
        <w:t xml:space="preserve">), an increasing number of ApoE4 alleles is a major independent risk factor for Alzheimer’s disease and so violates the exclusion restriction criteria of Mendelian randomisation studies (Figure</w:t>
      </w:r>
      <w:r>
        <w:t xml:space="preserve"> </w:t>
      </w:r>
      <w:r>
        <w:t xml:space="preserve">19</w:t>
      </w:r>
      <w:r>
        <w:t xml:space="preserve">). In all cases, excluding variants in the ApoE region attenuates the observed effect to the null. A clear example of this is Benn</w:t>
      </w:r>
      <w:r>
        <w:t xml:space="preserve"> </w:t>
      </w:r>
      <w:r>
        <w:rPr>
          <w:iCs/>
          <w:i/>
        </w:rPr>
        <w:t xml:space="preserve">et al</w:t>
      </w:r>
      <w:r>
        <w:t xml:space="preserve"> </w:t>
      </w:r>
      <w:r>
        <w:t xml:space="preserve">(2017), where ApoE variants were not sufficient identified and excluded, leading the published paper to report a protective effect of LDL-c on Alzheimer’s (RR: 0.83, 95%CI: 0.75-0.92).</w:t>
      </w:r>
      <w:hyperlink w:anchor="ref-benn2017">
        <w:r>
          <w:rPr>
            <w:rStyle w:val="Hyperlink"/>
            <w:vertAlign w:val="superscript"/>
          </w:rPr>
          <w:t xml:space="preserve">71</w:t>
        </w:r>
      </w:hyperlink>
      <w:r>
        <w:t xml:space="preserve"> </w:t>
      </w:r>
      <w:r>
        <w:t xml:space="preserve">Following several rapid responses, the data was re-analysed to exclude a larger area around ApoE which attenuated the finding to the null.</w:t>
      </w:r>
      <w:hyperlink w:anchor="ref-benn2017comment">
        <w:r>
          <w:rPr>
            <w:rStyle w:val="Hyperlink"/>
            <w:vertAlign w:val="superscript"/>
          </w:rPr>
          <w:t xml:space="preserve">267</w:t>
        </w:r>
      </w:hyperlink>
    </w:p>
    <w:p>
      <w:pPr>
        <w:pStyle w:val="BodyText"/>
      </w:pPr>
      <w:r>
        <w:t xml:space="preserve"> </w:t>
      </w:r>
    </w:p>
    <w:bookmarkEnd w:id="158"/>
    <w:bookmarkStart w:id="160" w:name="inclusion-of-preprints"/>
    <w:p>
      <w:pPr>
        <w:pStyle w:val="Heading3"/>
      </w:pPr>
      <w:r>
        <w:t xml:space="preserve">Inclusion of preprints</w:t>
      </w:r>
    </w:p>
    <w:p>
      <w:pPr>
        <w:pStyle w:val="FirstParagraph"/>
      </w:pPr>
      <w:r>
        <w:t xml:space="preserve">As highlighted in Section</w:t>
      </w:r>
      <w:r>
        <w:t xml:space="preserve"> </w:t>
      </w:r>
      <w:r>
        <w:t xml:space="preserve">1.5.1</w:t>
      </w:r>
      <w:r>
        <w:t xml:space="preserve">, this review explicitly sought to synthesize evidence across different publication statuses (preprinted vs. published). Using the tool described in Chapter</w:t>
      </w:r>
      <w:r>
        <w:t xml:space="preserve"> </w:t>
      </w:r>
      <w:r>
        <w:t xml:space="preserve">2.1</w:t>
      </w:r>
      <w:r>
        <w:t xml:space="preserve">, two preprint servers related to health and biomedical sciences were searched as part of this review. The small number of studies returned by the preprint searches (or the absence of any relevant hits in the medRxiv database - see Figure</w:t>
      </w:r>
      <w:r>
        <w:t xml:space="preserve"> </w:t>
      </w:r>
      <w:r>
        <w:t xml:space="preserve">4</w:t>
      </w:r>
      <w:r>
        <w:t xml:space="preserve">) is largely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 = 148; Figure</w:t>
      </w:r>
      <w:r>
        <w:t xml:space="preserve"> </w:t>
      </w:r>
      <w:r>
        <w:t xml:space="preserve">20</w:t>
      </w:r>
      <w:r>
        <w:t xml:space="preserve">).</w:t>
      </w:r>
    </w:p>
    <w:p>
      <w:pPr>
        <w:pStyle w:val="BodyText"/>
      </w:pPr>
      <w:r>
        <w:t xml:space="preserve"> </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9"/>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bioRxiv were identified. Of note, all three described a Mendelian randomisation study, potentially indicating that more biologically-focused study designs are over-represented in the bioRxiv repository. The added evidential value of including these preprints was described in Section</w:t>
      </w:r>
      <w:r>
        <w:t xml:space="preserve"> </w:t>
      </w:r>
      <w:r>
        <w:t xml:space="preserve">4.4.3</w:t>
      </w:r>
      <w:r>
        <w:t xml:space="preserve"> </w:t>
      </w:r>
      <w:r>
        <w:t xml:space="preserve">and indicated that results available only via preprinted reports can contribute additional evidence to a meta-analysis. However, the scale of this contribution is questionable. Preprinted evidence was incorporated into only single meta-analysis in this review, and inclusion of the preprinted result did not substantially impact the summary effect estimate.</w:t>
      </w:r>
    </w:p>
    <w:p>
      <w:pPr>
        <w:pStyle w:val="BodyText"/>
      </w:pPr>
      <w:r>
        <w:t xml:space="preserve">Of the three identified preprints, two were subsequently published as of September 2021. This fits well with the analysis presented in Chapter</w:t>
      </w:r>
      <w:r>
        <w:t xml:space="preserve"> </w:t>
      </w:r>
      <w:r>
        <w:t xml:space="preserve">2</w:t>
      </w:r>
      <w:r>
        <w:t xml:space="preserve"> </w:t>
      </w:r>
      <w:r>
        <w:t xml:space="preserve">that, allowing for a two-year lag, approximately two-thirds of preprints are published. It also illustrates the dual advantages of preprinted reports to evidence syntheses. Firstly, preprints provide an advance snapshot of the literature, capturing articles that will eventually be published but were not available at the time of the main search. For example one eligible preprint in this review was initially posted on bioRxiv in July 2019</w:t>
      </w:r>
      <w:hyperlink w:anchor="ref-andrews2019">
        <w:r>
          <w:rPr>
            <w:rStyle w:val="Hyperlink"/>
            <w:vertAlign w:val="superscript"/>
          </w:rPr>
          <w:t xml:space="preserve">250</w:t>
        </w:r>
      </w:hyperlink>
      <w:r>
        <w:t xml:space="preserve"> </w:t>
      </w:r>
      <w:r>
        <w:t xml:space="preserve">and was subsequently published in 2021 following peer-review.</w:t>
      </w:r>
      <w:hyperlink w:anchor="ref-andrews2021">
        <w:r>
          <w:rPr>
            <w:rStyle w:val="Hyperlink"/>
            <w:vertAlign w:val="superscript"/>
          </w:rPr>
          <w:t xml:space="preserve">245</w:t>
        </w:r>
      </w:hyperlink>
      <w:r>
        <w:t xml:space="preserve"> </w:t>
      </w:r>
      <w:r>
        <w:t xml:space="preserve">Secondly, inclusion of preprints allows for results that may never be formally published to be included in an evidence synthesis exercise, as is the case with a second preprint included in this review.</w:t>
      </w:r>
      <w:hyperlink w:anchor="ref-so2017">
        <w:r>
          <w:rPr>
            <w:rStyle w:val="Hyperlink"/>
            <w:vertAlign w:val="superscript"/>
          </w:rPr>
          <w:t xml:space="preserve">248</w:t>
        </w:r>
      </w:hyperlink>
      <w:r>
        <w:t xml:space="preserve"> </w:t>
      </w:r>
      <w:r>
        <w:t xml:space="preserve">Both of these aspects illustrate that inclusion of preprints is a necessity if the aim is to find all relevant literature on a topic at the time of searching.</w:t>
      </w:r>
    </w:p>
    <w:p>
      <w:pPr>
        <w:pStyle w:val="BodyText"/>
      </w:pPr>
      <w:r>
        <w:t xml:space="preserve">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80</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p>
    <w:bookmarkEnd w:id="160"/>
    <w:bookmarkStart w:id="161" w:name="sys-rev-open-data"/>
    <w:p>
      <w:pPr>
        <w:pStyle w:val="Heading3"/>
      </w:pPr>
      <w:r>
        <w:t xml:space="preserve">Open data sharing</w:t>
      </w:r>
    </w:p>
    <w:p>
      <w:pPr>
        <w:pStyle w:val="FirstParagraph"/>
      </w:pPr>
      <w:r>
        <w:t xml:space="preserve">As discussed in Section</w:t>
      </w:r>
      <w:r>
        <w:t xml:space="preserve"> </w:t>
      </w:r>
      <w:r>
        <w:t xml:space="preserve">4.4.1</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268</w:t>
        </w:r>
      </w:hyperlink>
      <w:r>
        <w:t xml:space="preserve"> </w:t>
      </w:r>
      <w:r>
        <w:t xml:space="preserve">and is not too costly to systematic reviewers,</w:t>
      </w:r>
      <w:hyperlink w:anchor="ref-cooper2019">
        <w:r>
          <w:rPr>
            <w:rStyle w:val="Hyperlink"/>
            <w:vertAlign w:val="superscript"/>
          </w:rPr>
          <w:t xml:space="preserve">269</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270</w:t>
        </w:r>
      </w:hyperlink>
      <w:r>
        <w:t xml:space="preserve"> </w:t>
      </w:r>
      <w:r>
        <w:t xml:space="preserve">A copy of this publication is available in Appendix</w:t>
      </w:r>
      <w:r>
        <w:t xml:space="preserve"> </w:t>
      </w:r>
      <w:r>
        <w:t xml:space="preserve">11.3</w:t>
      </w:r>
      <w:r>
        <w:t xml:space="preserve">. In an attempt to apply my own guidance, I have invested a substantial amount of time and effort into making the data obtained by this review openly available to other researchers, via a GitHub repository.</w:t>
      </w:r>
    </w:p>
    <w:p>
      <w:pPr>
        <w:pStyle w:val="BodyText"/>
      </w:pPr>
      <w:r>
        <w:t xml:space="preserve"> </w:t>
      </w:r>
    </w:p>
    <w:bookmarkEnd w:id="161"/>
    <w:bookmarkStart w:id="164" w:name="strengths-and-limitations"/>
    <w:p>
      <w:pPr>
        <w:pStyle w:val="Heading3"/>
      </w:pPr>
      <w:r>
        <w:t xml:space="preserve">Strengths and limitations</w:t>
      </w:r>
    </w:p>
    <w:bookmarkStart w:id="162" w:name="strengths"/>
    <w:p>
      <w:pPr>
        <w:pStyle w:val="Heading4"/>
      </w:pPr>
      <w:r>
        <w:t xml:space="preserve">Strengths</w:t>
      </w:r>
    </w:p>
    <w:p>
      <w:pPr>
        <w:pStyle w:val="FirstParagraph"/>
      </w:pPr>
      <w:r>
        <w:t xml:space="preserve">I believe there are several aspects where this review is distinct from those already available in the published literature. While several reviews of this research topic exist,</w:t>
      </w:r>
      <w:hyperlink w:anchor="ref-chu2018">
        <w:r>
          <w:rPr>
            <w:rStyle w:val="Hyperlink"/>
            <w:vertAlign w:val="superscript"/>
          </w:rPr>
          <w:t xml:space="preserve">254</w:t>
        </w:r>
      </w:hyperlink>
      <w:r>
        <w:rPr>
          <w:vertAlign w:val="superscript"/>
        </w:rPr>
        <w:t xml:space="preserve">–</w:t>
      </w:r>
      <w:hyperlink w:anchor="ref-poly2020">
        <w:r>
          <w:rPr>
            <w:rStyle w:val="Hyperlink"/>
            <w:vertAlign w:val="superscript"/>
          </w:rPr>
          <w:t xml:space="preserve">257</w:t>
        </w:r>
      </w:hyperlink>
      <w:r>
        <w:t xml:space="preserve"> </w:t>
      </w:r>
      <w:r>
        <w:t xml:space="preserve">the overlap between the list of studies included in each is not complete. As part of this review, I have not only performed a original search of primary literature databases, but have also screened the reference lists of comparable reviews to ensure no relevant study has been omitted.</w:t>
      </w:r>
    </w:p>
    <w:p>
      <w:pPr>
        <w:pStyle w:val="BodyText"/>
      </w:pPr>
      <w:r>
        <w:t xml:space="preserve">Secondly, this review employed a structured approach to risk-of-bias assessment using a domain-based tool. This represents an important strength of this review, as the detailed risk of bias assessments are used in inform the quantitative triangulation analysis presented in Chapter</w:t>
      </w:r>
      <w:r>
        <w:t xml:space="preserve"> </w:t>
      </w:r>
      <w:r>
        <w:t xml:space="preserve">??</w:t>
      </w:r>
      <w:r>
        <w:t xml:space="preserve">.</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62"/>
    <w:bookmarkStart w:id="163"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271</w:t>
        </w:r>
      </w:hyperlink>
      <w:r>
        <w:rPr>
          <w:vertAlign w:val="superscript"/>
        </w:rPr>
        <w:t xml:space="preserve">–</w:t>
      </w:r>
      <w:hyperlink w:anchor="ref-wilkinson2018">
        <w:r>
          <w:rPr>
            <w:rStyle w:val="Hyperlink"/>
            <w:vertAlign w:val="superscript"/>
          </w:rPr>
          <w:t xml:space="preserve">273</w:t>
        </w:r>
      </w:hyperlink>
      <w:r>
        <w:t xml:space="preserve"> </w:t>
      </w:r>
      <w:r>
        <w:t xml:space="preserve">Relatedly, several studies which made use of electronic health record database did not report the specific code lists used, potentially introducing substantial heterogeneity into the analysis. An empirical example of the effect of differing EHR code list is presented as part of the analysis in Chapter</w:t>
      </w:r>
      <w:r>
        <w:t xml:space="preserve"> </w:t>
      </w:r>
      <w:r>
        <w:t xml:space="preserve">5</w:t>
      </w:r>
      <w:r>
        <w:t xml:space="preserve"> </w:t>
      </w:r>
      <w:r>
        <w:t xml:space="preserve">(see Section</w:t>
      </w:r>
      <w:r>
        <w:t xml:space="preserve"> </w:t>
      </w:r>
      <w:r>
        <w:t xml:space="preserve">??</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not a major concern.</w:t>
      </w:r>
    </w:p>
    <w:p>
      <w:pPr>
        <w:pStyle w:val="BodyText"/>
      </w:pPr>
      <w:r>
        <w:t xml:space="preserve">One particular limitation with regards to the risk-of-bias assessment is the fact that the ROBINS-E assessments were performed using an adapted version of the ROBINS-I tool. This meant that there were no signaling questions to guide the domain-level risk-of-bias assessments, which may have influenced the accuracy with which the judgements were assigned. However, there is no published empirical evidence supporting the need for signaling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274</w:t>
        </w:r>
      </w:hyperlink>
    </w:p>
    <w:p>
      <w:pPr>
        <w:pStyle w:val="BodyText"/>
      </w:pPr>
      <w:r>
        <w:t xml:space="preserve">A final limitation is the potential for missing evidence on the basis of the results. Evidence for this limitation came from the ROB-ME assessments and was supported by empirical evidence that some studies containing relevant results were missed by the search (see Section @Ref(rev-discussion-MR) above for a fuller discussion of this issue with respect to Mendelian randomisation studies). Unfortunately, this is probably a common limitation across all systematic reviews, based on the way in which increased search sensitivity must be balanced with a manageable workload.</w:t>
      </w:r>
    </w:p>
    <w:p>
      <w:pPr>
        <w:pStyle w:val="BodyText"/>
      </w:pPr>
      <w:r>
        <w:t xml:space="preserve"> </w:t>
      </w:r>
    </w:p>
    <w:bookmarkEnd w:id="163"/>
    <w:bookmarkEnd w:id="164"/>
    <w:bookmarkEnd w:id="165"/>
    <w:bookmarkStart w:id="166" w:name="summary-3"/>
    <w:p>
      <w:pPr>
        <w:pStyle w:val="Heading2"/>
      </w:pPr>
      <w:r>
        <w:t xml:space="preserve">Summary</w:t>
      </w:r>
    </w:p>
    <w:p>
      <w:pPr>
        <w:numPr>
          <w:ilvl w:val="0"/>
          <w:numId w:val="1010"/>
        </w:numPr>
      </w:pPr>
      <w:r>
        <w:t xml:space="preserve">In this chapter, I presented the results of a comprehensive systematic review of existing evidence on the association between lipid levels and dementia use. The review included both direct (studies that examined lipid levels directly) and indirect (studies examining lipid regulating agents such as statins) forms of evidence. In contrast to previous reviews, I also included preprinted evidence, facilitated by the research tool introduced in Chapter</w:t>
      </w:r>
      <w:r>
        <w:t xml:space="preserve"> </w:t>
      </w:r>
      <w:r>
        <w:t xml:space="preserve">2</w:t>
      </w:r>
      <w:r>
        <w:t xml:space="preserve">.</w:t>
      </w:r>
    </w:p>
    <w:p>
      <w:pPr>
        <w:numPr>
          <w:ilvl w:val="0"/>
          <w:numId w:val="1010"/>
        </w:numPr>
      </w:pPr>
      <w:r>
        <w:t xml:space="preserve">I found no consistent relationship between lipids or lipid-regulating agents and dementia across different evidence sources. However, there was some indication of a protective effect of statins on all-cause and Alzheimer’s disease dementia in non-randomised studies of interventions.</w:t>
      </w:r>
    </w:p>
    <w:p>
      <w:pPr>
        <w:numPr>
          <w:ilvl w:val="0"/>
          <w:numId w:val="1010"/>
        </w:numPr>
      </w:pPr>
      <w:r>
        <w:t xml:space="preserve">The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and provided evidence on an under-studied outcome (vascular dementia); while in Chapter</w:t>
      </w:r>
      <w:r>
        <w:t xml:space="preserve"> </w:t>
      </w:r>
      <w:r>
        <w:t xml:space="preserve">6</w:t>
      </w:r>
      <w:r>
        <w:t xml:space="preserve">, prospective cohorts identified by the review were contacted in an attempt to obtain individual participant data; finally, the results identified here are used as a key source of evidence for the triangulation exercise presented in Chapter</w:t>
      </w:r>
      <w:r>
        <w:t xml:space="preserve"> </w:t>
      </w:r>
      <w:r>
        <w:t xml:space="preserve">8</w:t>
      </w:r>
      <w:r>
        <w:t xml:space="preserve">.</w:t>
      </w:r>
    </w:p>
    <w:p>
      <w:r>
        <w:br w:type="page"/>
      </w:r>
    </w:p>
    <w:bookmarkEnd w:id="166"/>
    <w:bookmarkEnd w:id="167"/>
    <w:bookmarkStart w:id="223" w:name="cprd-analysis-heading"/>
    <w:p>
      <w:pPr>
        <w:pStyle w:val="Heading1"/>
      </w:pPr>
      <w:r>
        <w:t xml:space="preserve">Primary analysis of lipid-regulating agents and dementia outcomes</w:t>
      </w:r>
    </w:p>
    <w:p>
      <w:pPr>
        <w:pStyle w:val="FirstParagraph"/>
      </w:pPr>
    </w:p>
    <w:bookmarkStart w:id="168" w:name="lay-summary-4"/>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relatively low cost of data collection via routine care.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Little evidence for an effect of lipid-regulating agents effect on the risk of Alzheimer’s disease was found, with the exception of a slightly increased risk in those prescribed a certain type of lipid-regulating agent called fibrates. In contrast, I found an increased risk of vascular and other (i.e. non-Alzheimer’s) dementia was associated with lipid-regulating agent use.</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p>
      <w:pPr>
        <w:pStyle w:val="BodyText"/>
      </w:pPr>
      <w:r>
        <w:t xml:space="preserve"> </w:t>
      </w:r>
    </w:p>
    <w:bookmarkEnd w:id="168"/>
    <w:bookmarkStart w:id="169" w:name="introduction-2"/>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hazards analysis, incorporating a time-varying treatment indicator.</w:t>
      </w:r>
      <w:hyperlink w:anchor="ref-suissa2008">
        <w:r>
          <w:rPr>
            <w:rStyle w:val="Hyperlink"/>
            <w:vertAlign w:val="superscript"/>
          </w:rPr>
          <w:t xml:space="preserve">275</w:t>
        </w:r>
      </w:hyperlink>
      <w:r>
        <w:t xml:space="preserve"> </w:t>
      </w:r>
      <w:r>
        <w:t xml:space="preserve">By employing this approach, the analysis provides an evidence source at risk of a distinct bias.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 manuscript, a copy of which is available in Appendix</w:t>
      </w:r>
      <w:r>
        <w:t xml:space="preserve"> </w:t>
      </w:r>
      <w:r>
        <w:t xml:space="preserve">11.3</w:t>
      </w:r>
      <w:r>
        <w:t xml:space="preserve">.</w:t>
      </w:r>
    </w:p>
    <w:p>
      <w:pPr>
        <w:pStyle w:val="BodyText"/>
      </w:pPr>
      <w:r>
        <w:t xml:space="preserve"> </w:t>
      </w:r>
    </w:p>
    <w:bookmarkEnd w:id="169"/>
    <w:bookmarkStart w:id="190" w:name="methods-1"/>
    <w:p>
      <w:pPr>
        <w:pStyle w:val="Heading2"/>
      </w:pPr>
      <w:r>
        <w:t xml:space="preserve">Methods</w:t>
      </w:r>
    </w:p>
    <w:bookmarkStart w:id="17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276</w:t>
        </w:r>
      </w:hyperlink>
      <w:r>
        <w:t xml:space="preserve"> </w:t>
      </w:r>
      <w:r>
        <w:t xml:space="preserve">and amendments to this are recorded in Appendix</w:t>
      </w:r>
      <w:r>
        <w:t xml:space="preserve"> </w:t>
      </w:r>
      <w:r>
        <w:t xml:space="preserve">10.5.1</w:t>
      </w:r>
      <w:r>
        <w:t xml:space="preserve">.</w:t>
      </w:r>
      <w:hyperlink w:anchor="ref-vonelm2008">
        <w:r>
          <w:rPr>
            <w:rStyle w:val="Hyperlink"/>
            <w:vertAlign w:val="superscript"/>
          </w:rPr>
          <w:t xml:space="preserve">277</w:t>
        </w:r>
      </w:hyperlink>
    </w:p>
    <w:p>
      <w:pPr>
        <w:pStyle w:val="BodyText"/>
      </w:pPr>
      <w:r>
        <w:t xml:space="preserve"> </w:t>
      </w:r>
    </w:p>
    <w:bookmarkEnd w:id="170"/>
    <w:bookmarkStart w:id="171"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278</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279</w:t>
        </w:r>
      </w:hyperlink>
      <w:r>
        <w:rPr>
          <w:vertAlign w:val="superscript"/>
        </w:rPr>
        <w:t xml:space="preserve">,</w:t>
      </w:r>
      <w:hyperlink w:anchor="ref-wood2001revitalizing">
        <w:r>
          <w:rPr>
            <w:rStyle w:val="Hyperlink"/>
            <w:vertAlign w:val="superscript"/>
          </w:rPr>
          <w:t xml:space="preserve">280</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278</w:t>
        </w:r>
      </w:hyperlink>
      <w:r>
        <w:rPr>
          <w:vertAlign w:val="superscript"/>
        </w:rPr>
        <w:t xml:space="preserve">,</w:t>
      </w:r>
      <w:hyperlink w:anchor="ref-mathur2014">
        <w:r>
          <w:rPr>
            <w:rStyle w:val="Hyperlink"/>
            <w:vertAlign w:val="superscript"/>
          </w:rPr>
          <w:t xml:space="preserve">281</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282</w:t>
        </w:r>
      </w:hyperlink>
      <w:r>
        <w:t xml:space="preserve"> </w:t>
      </w:r>
      <w:r>
        <w:t xml:space="preserve">All clinical events, included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001f7d47-f990-40c0-88fd-2a8b73da0ec3"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001f7d47-f990-40c0-88fd-2a8b73da0ec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 </w:t>
      </w:r>
    </w:p>
    <w:bookmarkEnd w:id="171"/>
    <w:bookmarkStart w:id="172"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(as defined by the CPRD). Records pre-dating the 1995 cut-off were included in the original CPRD extract obtained for this analysis. However, these were excluded from the analysis as data quality and reliability are thought to be higher after this date.</w:t>
      </w:r>
      <w:hyperlink w:anchor="ref-wolf2019">
        <w:r>
          <w:rPr>
            <w:rStyle w:val="Hyperlink"/>
            <w:vertAlign w:val="superscript"/>
          </w:rPr>
          <w:t xml:space="preserve">283</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hyperlink w:anchor="ref-walker2016">
        <w:r>
          <w:rPr>
            <w:rStyle w:val="Hyperlink"/>
            <w:vertAlign w:val="superscript"/>
          </w:rPr>
          <w:t xml:space="preserve">276</w:t>
        </w:r>
      </w:hyperlink>
      <w:r>
        <w:t xml:space="preserve"> </w:t>
      </w: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 (a) an outcome of interest; (b) death; (c) end of follow-up (29 February 2016); (d) last registration date with their GP practice; or (e) the last CPRD collection date for their practice. Participants were ineligible for our cohort if they were less than 40 years of age (as these patients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72"/>
    <w:bookmarkStart w:id="173" w:name="exposures"/>
    <w:p>
      <w:pPr>
        <w:pStyle w:val="Heading3"/>
      </w:pPr>
      <w:r>
        <w:t xml:space="preserve">Exposures</w:t>
      </w:r>
    </w:p>
    <w:p>
      <w:pPr>
        <w:pStyle w:val="FirstParagraph"/>
      </w:pPr>
      <w:r>
        <w:t xml:space="preserve">I considered seven lipid-regulating drug classes based on groupings in the British National Formulary (BNF),</w:t>
      </w:r>
      <w:hyperlink w:anchor="ref-wishart2017">
        <w:r>
          <w:rPr>
            <w:rStyle w:val="Hyperlink"/>
            <w:vertAlign w:val="superscript"/>
          </w:rPr>
          <w:t xml:space="preserve">284</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1"/>
        </w:numPr>
        <w:pStyle w:val="Compact"/>
      </w:pPr>
      <w:r>
        <w:rPr>
          <w:bCs/>
          <w:b/>
        </w:rPr>
        <w:t xml:space="preserve">stopped</w:t>
      </w:r>
      <w:r>
        <w:t xml:space="preserve">: defined as the last prescription of the primary class being followed by at least six months of observation;</w:t>
      </w:r>
    </w:p>
    <w:p>
      <w:pPr>
        <w:numPr>
          <w:ilvl w:val="0"/>
          <w:numId w:val="1011"/>
        </w:numPr>
        <w:pStyle w:val="Compact"/>
      </w:pPr>
      <w:r>
        <w:rPr>
          <w:bCs/>
          <w:b/>
        </w:rPr>
        <w:t xml:space="preserve">added</w:t>
      </w:r>
      <w:r>
        <w:t xml:space="preserve">: defined as a second drug class being prescribed before the last prescription of the initial class; and</w:t>
      </w:r>
    </w:p>
    <w:p>
      <w:pPr>
        <w:numPr>
          <w:ilvl w:val="0"/>
          <w:numId w:val="1011"/>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73"/>
    <w:bookmarkStart w:id="175" w:name="cprd-outcomes"/>
    <w:p>
      <w:pPr>
        <w:pStyle w:val="Heading3"/>
      </w:pPr>
      <w:r>
        <w:t xml:space="preserve">Outcomes</w:t>
      </w:r>
    </w:p>
    <w:p>
      <w:pPr>
        <w:pStyle w:val="FirstParagraph"/>
      </w:pPr>
      <w:r>
        <w:t xml:space="preserve">I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74"/>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5"/>
    <w:bookmarkStart w:id="176"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f1ea21bc-173d-42ad-a429-4d91e70c73d7" w:name="tab:covariateDef-table"/>
      <w:r>
        <w:t xml:space="preserve">Definition of covariates adjusted for in the full-adjusted model. The code lists used to define the majority of these covariates were originally created for use in a previously published analysis.[@walker2020] while others were built on or adapted from previous published work,[@khan2010; @taylor2016; @wright2017].</w:t>
      </w:r>
      <w:bookmarkEnd w:id="f1ea21bc-173d-42ad-a429-4d91e70c73d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in years was calculated at date of entry into the cohort, using the 1st of January of a patients’ birth year (the exact date of birth was not provided by CPRD), and was adjusted for via its use as the time axis for the Cox model (see Section</w:t>
      </w:r>
      <w:r>
        <w:t xml:space="preserve"> </w:t>
      </w:r>
      <w:r>
        <w:t xml:space="preserve">5.3.10</w:t>
      </w:r>
      <w:r>
        <w:t xml:space="preserve">).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285</w:t>
        </w:r>
      </w:hyperlink>
      <w:r>
        <w:t xml:space="preserve"> </w:t>
      </w:r>
      <w:r>
        <w:t xml:space="preserve">The conditions considered under the index are: AIDS; cancer; cerebrovascular disease; chronic pulmonary disease; congestive heart disease; dementia; diabetes; diabetes with complications; hemiplegia; metastatic tumour; mild liver disease; moderate liver disease; myocardial infarction; peptic ulcer disease; peripheral vascular disease; renal disease; and rheumatological disease. Inclusion of this index allowed me to attempt to adjust for the general health of patients included in the analysis.</w:t>
      </w:r>
    </w:p>
    <w:p>
      <w:pPr>
        <w:pStyle w:val="BodyText"/>
      </w:pPr>
      <w:r>
        <w:t xml:space="preserve">code 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76"/>
    <w:bookmarkStart w:id="177"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286</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w:t>
      </w:r>
      <w:hyperlink w:anchor="ref-sterne2009">
        <w:r>
          <w:rPr>
            <w:rStyle w:val="Hyperlink"/>
            <w:vertAlign w:val="superscript"/>
          </w:rPr>
          <w:t xml:space="preserve">287</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
        <w:r>
          <w:rPr>
            <w:rStyle w:val="Hyperlink"/>
            <w:vertAlign w:val="superscript"/>
          </w:rPr>
          <w:t xml:space="preserve">288</w:t>
        </w:r>
      </w:hyperlink>
      <w:r>
        <w:t xml:space="preserve"> </w:t>
      </w:r>
      <w:r>
        <w:t xml:space="preserve">Using the MICE (Multiple Imputation by Chained Equations) command in STATA16, 20 imputed datasets were created.</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286</w:t>
        </w:r>
      </w:hyperlink>
    </w:p>
    <w:p>
      <w:pPr>
        <w:pStyle w:val="BodyText"/>
      </w:pPr>
      <w:r>
        <w:t xml:space="preserve"> </w:t>
      </w:r>
      <w:r>
        <w:t xml:space="preserve"> </w:t>
      </w:r>
    </w:p>
    <w:bookmarkEnd w:id="177"/>
    <w:bookmarkStart w:id="178"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2"/>
        </w:numPr>
        <w:pStyle w:val="Compact"/>
      </w:pPr>
      <m:oMath>
        <m:r>
          <m:t>t</m:t>
        </m:r>
      </m:oMath>
      <w:r>
        <w:t xml:space="preserve"> </w:t>
      </w:r>
      <w:r>
        <w:t xml:space="preserve">is the survival time;</w:t>
      </w:r>
    </w:p>
    <w:p>
      <w:pPr>
        <w:numPr>
          <w:ilvl w:val="0"/>
          <w:numId w:val="1012"/>
        </w:numPr>
        <w:pStyle w:val="Compact"/>
      </w:pPr>
      <m:oMath>
        <m:r>
          <m:t>h</m:t>
        </m:r>
        <m:r>
          <m:rPr>
            <m:sty m:val="p"/>
          </m:rPr>
          <m:t>(</m:t>
        </m:r>
        <m:r>
          <m:t>t</m:t>
        </m:r>
        <m:r>
          <m:rPr>
            <m:sty m:val="p"/>
          </m:rPr>
          <m:t>)</m:t>
        </m:r>
      </m:oMath>
      <w:r>
        <w:t xml:space="preserve"> </w:t>
      </w:r>
      <w:r>
        <w:t xml:space="preserve">is the hazard function; and</w:t>
      </w:r>
    </w:p>
    <w:p>
      <w:pPr>
        <w:numPr>
          <w:ilvl w:val="0"/>
          <w:numId w:val="1012"/>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2"/>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8"/>
    <w:bookmarkStart w:id="180" w:name="cprd-immortal-time-bias"/>
    <w:p>
      <w:pPr>
        <w:pStyle w:val="Heading3"/>
      </w:pPr>
      <w:r>
        <w:t xml:space="preserve">Immortal time bias and time-varying treatment indicators</w:t>
      </w:r>
    </w:p>
    <w:p>
      <w:pPr>
        <w:pStyle w:val="FirstParagraph"/>
      </w:pPr>
      <w:r>
        <w:t xml:space="preserve">Immortal time bias describes two distinct but related types of bias. The first presentation, the selection bias aspect (Panel A, Figure</w:t>
      </w:r>
      <w:r>
        <w:t xml:space="preserve"> </w:t>
      </w:r>
      <w:r>
        <w:t xml:space="preserve">22</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289</w:t>
        </w:r>
      </w:hyperlink>
      <w:r>
        <w:t xml:space="preserve"> </w:t>
      </w:r>
      <w:r>
        <w:t xml:space="preserve">Following the example displayed in the figure, the unexposed group are followed from the date of a diagnosis, while the exposed group is followed from date of a prescription. In this scenario, the time between diagnosis and prescription for the exposure group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the prescription,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e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9"/>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(Panel B).</w:t>
      </w:r>
    </w:p>
    <w:p>
      <w:pPr>
        <w:pStyle w:val="BodyText"/>
      </w:pPr>
      <w:r>
        <w:t xml:space="preserve"> </w:t>
      </w:r>
    </w:p>
    <w:p>
      <w:pPr>
        <w:pStyle w:val="BodyText"/>
      </w:pPr>
      <w:r>
        <w:t xml:space="preserve">This second presentation appears to be common in the existing literature,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 Both presentations of immortal time bias appear in the literature on the relationship of statins and dementia, as identified by the systematic review presented in Chapters</w:t>
      </w:r>
      <w:r>
        <w:t xml:space="preserve"> </w:t>
      </w:r>
      <w:r>
        <w:t xml:space="preserve">3</w:t>
      </w:r>
      <w:r>
        <w:t xml:space="preserve">/</w:t>
      </w:r>
      <w:r>
        <w:t xml:space="preserve">4</w:t>
      </w:r>
    </w:p>
    <w:p>
      <w:pPr>
        <w:pStyle w:val="BodyText"/>
      </w:pPr>
      <w:r>
        <w:t xml:space="preserve">This analysis attempted to address this issue by following all participants from a common index date (defined as earliest of: (a) date of raised cholesterol test results; (b) hypercholesterolemia diagnosis; or (c) LRA prescription). 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289</w:t>
        </w:r>
      </w:hyperlink>
    </w:p>
    <w:p>
      <w:pPr>
        <w:pStyle w:val="BodyText"/>
      </w:pPr>
      <w:r>
        <w:t xml:space="preserve">Under this approach, all patients start in the unexposed group and contribute time-at-risk until they are prescribed a lipid-regulating agent and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80"/>
    <w:bookmarkStart w:id="181"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290</w:t>
        </w:r>
      </w:hyperlink>
      <w:r>
        <w:rPr>
          <w:vertAlign w:val="superscript"/>
        </w:rPr>
        <w:t xml:space="preserve">–</w:t>
      </w:r>
      <w:hyperlink w:anchor="ref-pencina2007">
        <w:r>
          <w:rPr>
            <w:rStyle w:val="Hyperlink"/>
            <w:vertAlign w:val="superscript"/>
          </w:rPr>
          <w:t xml:space="preserve">292</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81"/>
    <w:bookmarkStart w:id="189"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82"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
        <w:r>
          <w:rPr>
            <w:rStyle w:val="Hyperlink"/>
            <w:vertAlign w:val="superscript"/>
          </w:rPr>
          <w:t xml:space="preserve">293</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294</w:t>
        </w:r>
      </w:hyperlink>
      <w:r>
        <w:t xml:space="preserve"> </w:t>
      </w:r>
      <w:r>
        <w:t xml:space="preserve">I preformed and compared the results of both methods, to investigate the impact of multiple imputation on the results.</w:t>
      </w:r>
    </w:p>
    <w:p>
      <w:pPr>
        <w:pStyle w:val="BodyText"/>
      </w:pPr>
      <w:r>
        <w:t xml:space="preserve"> </w:t>
      </w:r>
    </w:p>
    <w:bookmarkEnd w:id="182"/>
    <w:bookmarkStart w:id="184"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295</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were chosen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83"/>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296</w:t>
        </w:r>
      </w:hyperlink>
      <w:r>
        <w:t xml:space="preserve"> </w:t>
      </w:r>
      <w:r>
        <w:t xml:space="preserve">systematic reviews of the adverse events of statin use</w:t>
      </w:r>
      <w:hyperlink w:anchor="ref-collins2016">
        <w:r>
          <w:rPr>
            <w:rStyle w:val="Hyperlink"/>
            <w:vertAlign w:val="superscript"/>
          </w:rPr>
          <w:t xml:space="preserve">35</w:t>
        </w:r>
      </w:hyperlink>
      <w:r>
        <w:t xml:space="preserve"> </w:t>
      </w:r>
      <w:r>
        <w:t xml:space="preserve">and N-of-1 trials explicitly exploring the association of statin use with muscle pain</w:t>
      </w:r>
      <w:hyperlink w:anchor="ref-herrett2021">
        <w:r>
          <w:rPr>
            <w:rStyle w:val="Hyperlink"/>
            <w:vertAlign w:val="superscript"/>
          </w:rPr>
          <w:t xml:space="preserve">297</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
        <w:r>
          <w:rPr>
            <w:rStyle w:val="Hyperlink"/>
            <w:vertAlign w:val="superscript"/>
          </w:rPr>
          <w:t xml:space="preserve">35</w:t>
        </w:r>
      </w:hyperlink>
      <w:r>
        <w:t xml:space="preserve"> </w:t>
      </w:r>
      <w:r>
        <w:t xml:space="preserve">while there is growing evidence for an increased risk of Type 2 diabetes with statin use.</w:t>
      </w:r>
      <w:hyperlink w:anchor="ref-collins2016">
        <w:r>
          <w:rPr>
            <w:rStyle w:val="Hyperlink"/>
            <w:vertAlign w:val="superscript"/>
          </w:rPr>
          <w:t xml:space="preserve">35</w:t>
        </w:r>
      </w:hyperlink>
      <w:r>
        <w:rPr>
          <w:vertAlign w:val="superscript"/>
        </w:rPr>
        <w:t xml:space="preserve">,</w:t>
      </w:r>
      <w:hyperlink w:anchor="ref-macedo2014">
        <w:r>
          <w:rPr>
            <w:rStyle w:val="Hyperlink"/>
            <w:vertAlign w:val="superscript"/>
          </w:rPr>
          <w:t xml:space="preserve">298</w:t>
        </w:r>
      </w:hyperlink>
      <w:r>
        <w:rPr>
          <w:vertAlign w:val="superscript"/>
        </w:rPr>
        <w:t xml:space="preserve">,</w:t>
      </w:r>
      <w:hyperlink w:anchor="ref-smit2020">
        <w:r>
          <w:rPr>
            <w:rStyle w:val="Hyperlink"/>
            <w:vertAlign w:val="superscript"/>
          </w:rPr>
          <w:t xml:space="preserve">299</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84"/>
    <w:bookmarkStart w:id="185"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5"/>
    <w:bookmarkStart w:id="186"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300</w:t>
        </w:r>
      </w:hyperlink>
    </w:p>
    <w:p>
      <w:pPr>
        <w:pStyle w:val="BodyText"/>
      </w:pPr>
      <w:r>
        <w:t xml:space="preserve"> </w:t>
      </w:r>
    </w:p>
    <w:bookmarkEnd w:id="186"/>
    <w:bookmarkStart w:id="187"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1.3.2</w:t>
      </w:r>
      <w:r>
        <w:t xml:space="preserve">).</w:t>
      </w:r>
      <w:hyperlink w:anchor="ref-sierra2011">
        <w:r>
          <w:rPr>
            <w:rStyle w:val="Hyperlink"/>
            <w:vertAlign w:val="superscript"/>
          </w:rPr>
          <w:t xml:space="preserve">38</w:t>
        </w:r>
      </w:hyperlink>
      <w:r>
        <w:t xml:space="preserve"> </w:t>
      </w:r>
      <w:r>
        <w:t xml:space="preserve">As such, I expected that any effects of statins on dementia outcomes would be stronger in the lipophilic as compared to the hydrophilic statin subgroup. 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7"/>
    <w:bookmarkStart w:id="188" w:name="Xdef37d208aaf217ad669f20108f5f02d6e4575c"/>
    <w:p>
      <w:pPr>
        <w:pStyle w:val="Heading4"/>
      </w:pPr>
      <w:r>
        <w:t xml:space="preserve">Impact of using different code lists for defining dementia outcomes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208</w:t>
        </w:r>
      </w:hyperlink>
      <w:r>
        <w:t xml:space="preserve"> </w:t>
      </w:r>
      <w:r>
        <w:t xml:space="preserve">The intended purpose of this analysis was to assess the robustness of my results to the choice of code list.</w:t>
      </w:r>
    </w:p>
    <w:p>
      <w:pPr>
        <w:pStyle w:val="BodyText"/>
      </w:pPr>
      <w:r>
        <w:t xml:space="preserve">This previous analysis used a propensity matching approach to estimate the association of statins with a range of outcomes in The Health Improvement Network (THIN) database, a alternative source of English electronic health records which has substantial overlap with the CPRD.</w:t>
      </w:r>
      <w:hyperlink w:anchor="ref-carbonari2015">
        <w:r>
          <w:rPr>
            <w:rStyle w:val="Hyperlink"/>
            <w:vertAlign w:val="superscript"/>
          </w:rPr>
          <w:t xml:space="preserve">301</w:t>
        </w:r>
      </w:hyperlink>
      <w:r>
        <w:t xml:space="preserve"> </w:t>
      </w:r>
      <w:r>
        <w:t xml:space="preserve">The code lists used in this analysis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88"/>
    <w:bookmarkEnd w:id="189"/>
    <w:bookmarkEnd w:id="190"/>
    <w:bookmarkStart w:id="210" w:name="results"/>
    <w:p>
      <w:pPr>
        <w:pStyle w:val="Heading2"/>
      </w:pPr>
      <w:r>
        <w:t xml:space="preserve">Results</w:t>
      </w:r>
    </w:p>
    <w:bookmarkStart w:id="192"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91"/>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(IQR):48-67years ) and participants were followed up for a median of 5.9 years (IQR:2.7-9.7years ).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(n=127) and</w:t>
      </w:r>
      <w:r>
        <w:t xml:space="preserve"> </w:t>
      </w:r>
      <w:r>
        <w:t xml:space="preserve">“</w:t>
      </w:r>
      <w:r>
        <w:t xml:space="preserve">Nicotinic acid groups</w:t>
      </w:r>
      <w:r>
        <w:t xml:space="preserve">”</w:t>
      </w:r>
      <w:r>
        <w:t xml:space="preserve"> </w:t>
      </w:r>
      <w:r>
        <w:t xml:space="preserve">(n=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76c39fe0-59e8-4a55-9914-6fdb471c6ae5" w:name="tab:followUp-table"/>
      <w:r>
        <w:t xml:space="preserve">Summary of number of events, years at risk and crude rates per 100,000 participant-years-at-risk stratified by dementia outcome and drug class of interest.</w:t>
      </w:r>
      <w:bookmarkEnd w:id="76c39fe0-59e8-4a55-9914-6fdb471c6ae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e7ab4abf-e93c-43ff-9294-6da6b665cdb7" w:name="tab:cprdCharacteristics-table"/>
      <w:r>
        <w:t xml:space="preserve">Patient characteristics by drug class. Summary statistics are presented as "% (N)" unless otherwise specified in the variable name.</w:t>
      </w:r>
      <w:bookmarkEnd w:id="e7ab4abf-e93c-43ff-9294-6da6b665cdb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e3caa6b4-e81e-437b-9cf9-0419466568ec" w:name="tab:cprdSSA-table"/>
      <w:r>
        <w:t xml:space="preserve">Participants who stopped, switched or added treatments by initial treatment type.</w:t>
      </w:r>
      <w:bookmarkEnd w:id="e3caa6b4-e81e-437b-9cf9-0419466568e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92"/>
    <w:bookmarkStart w:id="193"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93"/>
    <w:bookmarkStart w:id="195"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94"/>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dementias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5"/>
    <w:bookmarkStart w:id="209"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7"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287</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6"/>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7"/>
    <w:bookmarkStart w:id="199"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8"/>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9"/>
    <w:bookmarkStart w:id="201"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Note that the x-axis cutoffs (.5,2) are different compared to other plots (0.3,3) to enable greater comparison between the different model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200"/>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201"/>
    <w:bookmarkStart w:id="203"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202"/>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probable AD diagnoses in the cohort over time,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cb807c0e-7aeb-493e-8d7f-e71f4fe3d8bc" w:name="tab:diagnosisType-table"/>
      <w:r>
        <w:t xml:space="preserve">Frequency of diagnoses by grouped year of cohort entry</w:t>
      </w:r>
      <w:bookmarkEnd w:id="cb807c0e-7aeb-493e-8d7f-e71f4fe3d8b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203"/>
    <w:bookmarkStart w:id="205"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204"/>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5"/>
    <w:bookmarkStart w:id="207"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an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94c8b3e9-8e32-4f09-b8cf-833f46f40c86" w:name="tab:statinTypeTable-table"/>
      <w:r>
        <w:t xml:space="preserve">Summary of statin properties (lipophilicity vs hydrophilicity) by grouped year of prescription.</w:t>
      </w:r>
      <w:bookmarkEnd w:id="94c8b3e9-8e32-4f09-b8cf-833f46f40c8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6"/>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7"/>
    <w:bookmarkStart w:id="208" w:name="X3edd5cb951d32f3e683a3ee6ecce4e28d0a7da1"/>
    <w:p>
      <w:pPr>
        <w:pStyle w:val="Heading4"/>
      </w:pPr>
      <w:r>
        <w:t xml:space="preserve">Impact of dementia code lists {#comparing-code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 While direct mapping to the outcomes used in this analysis was not possible, the most comparable are probable Alzheimer’s disease (HR:0.98, 95%CI:0.94-1.01) and other dementia (HR:1.19, 95%CI:1.15-1.24).</w:t>
      </w:r>
    </w:p>
    <w:p>
      <w:pPr>
        <w:pStyle w:val="BodyText"/>
      </w:pPr>
      <w:r>
        <w:t xml:space="preserve"> </w:t>
      </w:r>
    </w:p>
    <w:bookmarkEnd w:id="208"/>
    <w:bookmarkEnd w:id="209"/>
    <w:bookmarkEnd w:id="210"/>
    <w:bookmarkStart w:id="221" w:name="discussion-2"/>
    <w:p>
      <w:pPr>
        <w:pStyle w:val="Heading2"/>
      </w:pPr>
      <w:r>
        <w:t xml:space="preserve">Discussion</w:t>
      </w:r>
    </w:p>
    <w:bookmarkStart w:id="211"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 The estimate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11"/>
    <w:bookmarkStart w:id="217"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detailed comparison of the result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t xml:space="preserve"> </w:t>
      </w:r>
    </w:p>
    <w:bookmarkStart w:id="213" w:name="cprd-confounding-by-ind"/>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 of bias in epidemiological analyses,</w:t>
      </w:r>
      <w:hyperlink w:anchor="ref-salas1999">
        <w:r>
          <w:rPr>
            <w:rStyle w:val="Hyperlink"/>
            <w:vertAlign w:val="superscript"/>
          </w:rPr>
          <w:t xml:space="preserve">302</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303</w:t>
        </w:r>
      </w:hyperlink>
      <w:r>
        <w:t xml:space="preserve"> </w:t>
      </w:r>
      <w:r>
        <w:t xml:space="preserve">In the context of this analysis, the confounding variable (or, more likely, variables) would prompt both prescription of statins and also represent a vascular risk factor that contributes to the development of the vascular dementia. A similar confounding structure likely exists for ezetimibe, another hypercholesterolemia treatment, providing an explanation for the association of vascular/other dementia but not Alzheimer’s disease with this exposure.</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12"/>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than that observed for the ischemic heart disease outcome, indicating that the majority of the uncontrolled confounding is likely related to vascular factors. The slight effect observed for the negative control of backpain could be due to incomplete control for socioeconomic status, as deprivation data was provided in twentiles to preserve patient privacy.</w:t>
      </w:r>
      <w:hyperlink w:anchor="ref-boruzs2016">
        <w:r>
          <w:rPr>
            <w:rStyle w:val="Hyperlink"/>
            <w:vertAlign w:val="superscript"/>
          </w:rPr>
          <w:t xml:space="preserve">304</w:t>
        </w:r>
      </w:hyperlink>
      <w:r>
        <w:rPr>
          <w:vertAlign w:val="superscript"/>
        </w:rPr>
        <w:t xml:space="preserve">,</w:t>
      </w:r>
      <w:hyperlink w:anchor="ref-ikeda2019">
        <w:r>
          <w:rPr>
            <w:rStyle w:val="Hyperlink"/>
            <w:vertAlign w:val="superscript"/>
          </w:rPr>
          <w:t xml:space="preserve">305</w:t>
        </w:r>
      </w:hyperlink>
    </w:p>
    <w:p>
      <w:pPr>
        <w:pStyle w:val="BodyText"/>
      </w:pPr>
      <w:r>
        <w:t xml:space="preserve">In line with this, an increasingly harmful effect is observed when moving from the probable and possible Alzheimer’s disease outcome to the other dementias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
        <w:r>
          <w:rPr>
            <w:rStyle w:val="Hyperlink"/>
            <w:vertAlign w:val="superscript"/>
          </w:rPr>
          <w:t xml:space="preserve">306</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307</w:t>
        </w:r>
      </w:hyperlink>
    </w:p>
    <w:p>
      <w:pPr>
        <w:pStyle w:val="BodyText"/>
      </w:pPr>
      <w:r>
        <w:t xml:space="preserve">Given the absence of vascular dementia in the published literature, as highlighted in the previous chapter (see Section</w:t>
      </w:r>
      <w:r>
        <w:t xml:space="preserve"> </w:t>
      </w:r>
      <w:r>
        <w:t xml:space="preserve">??</w:t>
      </w:r>
      <w:r>
        <w:t xml:space="preserve">), the unexpected increase in vascular dementia risk with statin use is particularly interesting. It is possible that this finding reflects publication bias if previous research encountered similar methodological issues to this analysis, and these results did not make it into the evidence base as unexpected or assumedly incorrect results are less likely to be submitted or accepted for publication.</w:t>
      </w:r>
    </w:p>
    <w:p>
      <w:pPr>
        <w:pStyle w:val="BodyText"/>
      </w:pPr>
      <w:r>
        <w:t xml:space="preserve"> </w:t>
      </w:r>
    </w:p>
    <w:bookmarkEnd w:id="213"/>
    <w:bookmarkStart w:id="214"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308</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309</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different associations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hydrophobic.</w:t>
      </w:r>
    </w:p>
    <w:p>
      <w:pPr>
        <w:pStyle w:val="BodyText"/>
      </w:pPr>
      <w:r>
        <w:t xml:space="preserve"> </w:t>
      </w:r>
    </w:p>
    <w:bookmarkEnd w:id="214"/>
    <w:bookmarkStart w:id="216"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208</w:t>
        </w:r>
      </w:hyperlink>
      <w:r>
        <w:t xml:space="preserve"> </w:t>
      </w:r>
      <w:r>
        <w:t xml:space="preserve">Using these lists in my analytical set-up, I found a harmful association of statin use with both outcomes.</w:t>
      </w:r>
    </w:p>
    <w:p>
      <w:pPr>
        <w:pStyle w:val="BodyText"/>
      </w:pPr>
      <w:r>
        <w:t xml:space="preserve">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208</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5"/>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our analysis obtained different results despite the substantial overlap in the data sources used.</w:t>
      </w:r>
    </w:p>
    <w:p>
      <w:pPr>
        <w:pStyle w:val="BodyText"/>
      </w:pPr>
      <w:r>
        <w:t xml:space="preserve"> </w:t>
      </w:r>
    </w:p>
    <w:bookmarkEnd w:id="216"/>
    <w:bookmarkEnd w:id="217"/>
    <w:bookmarkStart w:id="218" w:name="cprd-limitations"/>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 and used negative and positive controls to assess the potential for residual confounding.</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
        <w:r>
          <w:rPr>
            <w:rStyle w:val="Hyperlink"/>
            <w:vertAlign w:val="superscript"/>
          </w:rPr>
          <w:t xml:space="preserve">310</w:t>
        </w:r>
      </w:hyperlink>
      <w:r>
        <w:t xml:space="preserve"> </w:t>
      </w:r>
      <w:r>
        <w:t xml:space="preserve">As an illustrative example, those with memory complaints may be more likely to be classified as vascular dementia than Alzheimer’s disease if their medical records contain prescriptions for lipid-regulating agents. Further, there is a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272</w:t>
        </w:r>
      </w:hyperlink>
      <w:r>
        <w:rPr>
          <w:vertAlign w:val="superscript"/>
        </w:rPr>
        <w:t xml:space="preserve">,</w:t>
      </w:r>
      <w:hyperlink w:anchor="ref-wilkinson2018">
        <w:r>
          <w:rPr>
            <w:rStyle w:val="Hyperlink"/>
            <w:vertAlign w:val="superscript"/>
          </w:rPr>
          <w:t xml:space="preserve">273</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lists can have on the analysis, as illustrated by the discrepancy between the results when using the code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The number of ApoE</w:t>
      </w:r>
      <w:r>
        <w:t xml:space="preserve"> </w:t>
      </w:r>
      <m:oMath>
        <m:r>
          <m:t>ϵ</m:t>
        </m:r>
        <m:r>
          <m:t>4</m:t>
        </m:r>
      </m:oMath>
      <w:r>
        <w:t xml:space="preserve"> </w:t>
      </w:r>
      <w:r>
        <w:t xml:space="preserve">alleles represents the strongest genetic risk factor for Alzheimer’s disease, but also substantially increases LDL cholesterol levels,</w:t>
      </w:r>
      <w:hyperlink w:anchor="ref-bennet2007">
        <w:r>
          <w:rPr>
            <w:rStyle w:val="Hyperlink"/>
            <w:vertAlign w:val="superscript"/>
          </w:rPr>
          <w:t xml:space="preserve">311</w:t>
        </w:r>
      </w:hyperlink>
      <w:r>
        <w:t xml:space="preserve"> </w:t>
      </w:r>
      <w:r>
        <w:t xml:space="preserve">potentially prompting treatment with a statin or other lipid regulating agent. I was unable to control for ApoE genotype in this analysis as I did not have access to genetic data on participants. As a result, any protective association between LRA use and the Alzheimer’s disease outcomes may be masked by residual negative confounding by ApoE.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8"/>
    <w:bookmarkStart w:id="219"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
        <w:r>
          <w:rPr>
            <w:rStyle w:val="Hyperlink"/>
            <w:vertAlign w:val="superscript"/>
          </w:rPr>
          <w:t xml:space="preserve">134</w:t>
        </w:r>
      </w:hyperlink>
    </w:p>
    <w:p>
      <w:pPr>
        <w:pStyle w:val="BodyText"/>
      </w:pPr>
      <w:r>
        <w:t xml:space="preserve">In light of this and my own experiences in attempting to extract information for papers assessing preventative treatments, as documented in Section</w:t>
      </w:r>
      <w:r>
        <w:t xml:space="preserve"> </w:t>
      </w:r>
      <w:r>
        <w:t xml:space="preserve">4.5.5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9"/>
    <w:bookmarkStart w:id="220" w:name="summary-4"/>
    <w:p>
      <w:pPr>
        <w:pStyle w:val="Heading3"/>
      </w:pPr>
      <w:r>
        <w:t xml:space="preserve">Summary</w:t>
      </w:r>
    </w:p>
    <w:p>
      <w:pPr>
        <w:numPr>
          <w:ilvl w:val="0"/>
          <w:numId w:val="1013"/>
        </w:numPr>
      </w:pPr>
      <w:r>
        <w:t xml:space="preserve">In this chapter, I produced new evidence on the association of lipid-regulating agents with incidence of all-cause dementia, Alzheimer’s disease, vascular dementia, and other dementia.</w:t>
      </w:r>
    </w:p>
    <w:p>
      <w:pPr>
        <w:numPr>
          <w:ilvl w:val="0"/>
          <w:numId w:val="1013"/>
        </w:numPr>
      </w:pPr>
      <w:r>
        <w:t xml:space="preserve">I found little evidence for an effect of lipid-regulating agents on probable or possible Alzheimer’s disease. However, lipid-regulating agent use was associated with an increased risk of all-cause, vascular and other dementias. In all cases, the estimated associations were driven by those observed in the large statin subgroup.</w:t>
      </w:r>
    </w:p>
    <w:p>
      <w:pPr>
        <w:numPr>
          <w:ilvl w:val="0"/>
          <w:numId w:val="1013"/>
        </w:numPr>
      </w:pPr>
      <w:r>
        <w:t xml:space="preserve">I attempted to account for important sources of bias through use of time-varying treatment indicator, though the control outcomes included in the analysis provided evidence for only partially controlled confounding by indication related to vascular factors. Additionally, there was the potential for differential misclassification of dementia subtype on the basis of the exposure. Combined, these biases reduce the confidence in my findings, in particular the unexpected increase in risk of vascular dementia associated with statin use.</w:t>
      </w:r>
    </w:p>
    <w:p>
      <w:pPr>
        <w:numPr>
          <w:ilvl w:val="0"/>
          <w:numId w:val="1013"/>
        </w:numPr>
      </w:pPr>
      <w:r>
        <w:t xml:space="preserve">Findings from this analysis are used as an additional source of evidence in the triangulation exercise presented in Chapter</w:t>
      </w:r>
      <w:r>
        <w:t xml:space="preserve"> </w:t>
      </w:r>
      <w:r>
        <w:t xml:space="preserve">8</w:t>
      </w:r>
      <w:r>
        <w:t xml:space="preserve">.</w:t>
      </w:r>
    </w:p>
    <w:p>
      <w:r>
        <w:br w:type="page"/>
      </w:r>
    </w:p>
    <w:bookmarkEnd w:id="220"/>
    <w:bookmarkEnd w:id="221"/>
    <w:bookmarkStart w:id="222" w:name="references-3"/>
    <w:p>
      <w:pPr>
        <w:pStyle w:val="Heading2"/>
      </w:pPr>
      <w:r>
        <w:t xml:space="preserve">References</w:t>
      </w:r>
    </w:p>
    <w:bookmarkEnd w:id="222"/>
    <w:bookmarkEnd w:id="223"/>
    <w:bookmarkStart w:id="271" w:name="ipd-heading"/>
    <w:p>
      <w:pPr>
        <w:pStyle w:val="Heading1"/>
      </w:pPr>
      <w:r>
        <w:t xml:space="preserve">Individual participant data meta-analysis of blood lipid levels and dementia outcomes</w:t>
      </w:r>
    </w:p>
    <w:p>
      <w:pPr>
        <w:pStyle w:val="FirstParagraph"/>
      </w:pPr>
    </w:p>
    <w:bookmarkStart w:id="224" w:name="lay-summary-5"/>
    <w:p>
      <w:pPr>
        <w:pStyle w:val="Heading2"/>
      </w:pPr>
      <w:r>
        <w:t xml:space="preserve">Lay Summary</w:t>
      </w:r>
    </w:p>
    <w:p>
      <w:pPr>
        <w:pStyle w:val="FirstParagraph"/>
      </w:pPr>
      <w:r>
        <w:t xml:space="preserve">TBC</w:t>
      </w:r>
    </w:p>
    <w:p>
      <w:pPr>
        <w:pStyle w:val="BodyText"/>
      </w:pPr>
      <w:r>
        <w:t xml:space="preserve"> </w:t>
      </w:r>
    </w:p>
    <w:bookmarkEnd w:id="224"/>
    <w:bookmarkStart w:id="225" w:name="introduction-3"/>
    <w:p>
      <w:pPr>
        <w:pStyle w:val="Heading2"/>
      </w:pPr>
      <w:r>
        <w:t xml:space="preserve">Introduction</w:t>
      </w:r>
    </w:p>
    <w:p>
      <w:pPr>
        <w:pStyle w:val="FirstParagraph"/>
      </w:pPr>
      <w:r>
        <w:t xml:space="preserve">Individual patient data (IPD) meta-analyses are considered to be the gold standard form of evidence synthesis, allowing for the application of a common selection model and analytical approach across all identified cohorts.</w:t>
      </w:r>
      <w:hyperlink w:anchor="ref-riley2010">
        <w:r>
          <w:rPr>
            <w:rStyle w:val="Hyperlink"/>
            <w:vertAlign w:val="superscript"/>
          </w:rPr>
          <w:t xml:space="preserve">93</w:t>
        </w:r>
      </w:hyperlink>
      <w:r>
        <w:t xml:space="preserve"> </w:t>
      </w:r>
      <w:r>
        <w:t xml:space="preserve">They are particularly useful for investigating the impact of patient-level characteristics, something that is not possible with aggregate data unless the results are stratified by the characteristic of interest.</w:t>
      </w:r>
      <w:hyperlink w:anchor="ref-riley2010">
        <w:r>
          <w:rPr>
            <w:rStyle w:val="Hyperlink"/>
            <w:vertAlign w:val="superscript"/>
          </w:rPr>
          <w:t xml:space="preserve">93</w:t>
        </w:r>
      </w:hyperlink>
      <w:r>
        <w:rPr>
          <w:vertAlign w:val="superscript"/>
        </w:rPr>
        <w:t xml:space="preserve">,</w:t>
      </w:r>
      <w:hyperlink w:anchor="ref-thompson2005">
        <w:r>
          <w:rPr>
            <w:rStyle w:val="Hyperlink"/>
            <w:vertAlign w:val="superscript"/>
          </w:rPr>
          <w:t xml:space="preserve">312</w:t>
        </w:r>
      </w:hyperlink>
      <w:r>
        <w:t xml:space="preserve"> </w:t>
      </w:r>
      <w:r>
        <w:t xml:space="preserve">Knowledge of which groups a treatment will benefit most (or harm least) is a core aim of the move towards personalised medicine.</w:t>
      </w:r>
      <w:hyperlink w:anchor="ref-riley2020">
        <w:r>
          <w:rPr>
            <w:rStyle w:val="Hyperlink"/>
            <w:vertAlign w:val="superscript"/>
          </w:rPr>
          <w:t xml:space="preserve">99</w:t>
        </w:r>
      </w:hyperlink>
      <w:r>
        <w:rPr>
          <w:vertAlign w:val="superscript"/>
        </w:rPr>
        <w:t xml:space="preserve">,</w:t>
      </w:r>
      <w:hyperlink w:anchor="ref-hingorani2013">
        <w:r>
          <w:rPr>
            <w:rStyle w:val="Hyperlink"/>
            <w:vertAlign w:val="superscript"/>
          </w:rPr>
          <w:t xml:space="preserve">313</w:t>
        </w:r>
      </w:hyperlink>
      <w:r>
        <w:t xml:space="preserve"> </w:t>
      </w:r>
      <w:r>
        <w:t xml:space="preserve">IPD analysis also offer a mechanism by which previously unanalysed datasets can be incorporated into an analysis, thus expanding the evidence base for a particular research question.</w:t>
      </w:r>
    </w:p>
    <w:p>
      <w:pPr>
        <w:pStyle w:val="BodyText"/>
      </w:pPr>
      <w:r>
        <w:t xml:space="preserve">Previous work has suggested a difference in the effect of lipids on dementia risk based on patient age and sex.</w:t>
      </w:r>
      <w:hyperlink w:anchor="ref-mielke2010">
        <w:r>
          <w:rPr>
            <w:rStyle w:val="Hyperlink"/>
            <w:vertAlign w:val="superscript"/>
          </w:rPr>
          <w:t xml:space="preserve">56</w:t>
        </w:r>
      </w:hyperlink>
      <w:r>
        <w:rPr>
          <w:vertAlign w:val="superscript"/>
        </w:rPr>
        <w:t xml:space="preserve">,</w:t>
      </w:r>
      <w:hyperlink w:anchor="ref-ancelin2013">
        <w:r>
          <w:rPr>
            <w:rStyle w:val="Hyperlink"/>
            <w:vertAlign w:val="superscript"/>
          </w:rPr>
          <w:t xml:space="preserve">215</w:t>
        </w:r>
      </w:hyperlink>
      <w:r>
        <w:t xml:space="preserve"> </w:t>
      </w:r>
      <w:r>
        <w:t xml:space="preserve">While the systematic review presented in Chapter</w:t>
      </w:r>
      <w:r>
        <w:t xml:space="preserve"> </w:t>
      </w:r>
      <w:r>
        <w:t xml:space="preserve">??</w:t>
      </w:r>
      <w:r>
        <w:t xml:space="preserve"> </w:t>
      </w:r>
      <w:r>
        <w:t xml:space="preserve">did not identify strong evidence for an effect of sex or age at lipid measurement on the relationship between lipids and dementia. However, the number of included studies in the lipid fraction meta-analyses was small, due to both the relatively small number of studies reporting on the lipids exposure and the poor reporting of summary statistics of patient characteristics in those that did. Additionally, best practice guidance recommends against basing the decision to perform an IPD meta-analysis on the between-study heterogeneity in a summary data meta-analysis, as similar distributions of patient covariates across studies may mask a true effect.</w:t>
      </w:r>
      <w:hyperlink w:anchor="ref-riley2020">
        <w:r>
          <w:rPr>
            <w:rStyle w:val="Hyperlink"/>
            <w:vertAlign w:val="superscript"/>
          </w:rPr>
          <w:t xml:space="preserve">99</w:t>
        </w:r>
      </w:hyperlink>
    </w:p>
    <w:p>
      <w:pPr>
        <w:pStyle w:val="BodyText"/>
      </w:pPr>
      <w:r>
        <w:t xml:space="preserve">As such, the aims of this analysis are two fold: firstly, to perform a individual patient data meta-analysis across identified cohorts to examine the impact of patient age-at-measurement and sex on the effect of lipids on dementia risk; and secondly, to expand the evidence base for the effect of lipids on dementia outcomes by obtaining estimates from previously unanalysed cohorts available via the Dementia Platform UK, a large consortia of dementia cohorts.</w:t>
      </w:r>
    </w:p>
    <w:p>
      <w:pPr>
        <w:pStyle w:val="BodyText"/>
      </w:pPr>
      <w:r>
        <w:t xml:space="preserve"> </w:t>
      </w:r>
    </w:p>
    <w:bookmarkEnd w:id="225"/>
    <w:bookmarkStart w:id="239" w:name="methods-2"/>
    <w:p>
      <w:pPr>
        <w:pStyle w:val="Heading2"/>
      </w:pPr>
      <w:r>
        <w:t xml:space="preserve">Methods</w:t>
      </w:r>
    </w:p>
    <w:bookmarkStart w:id="228" w:name="eligibility-criteria-1"/>
    <w:p>
      <w:pPr>
        <w:pStyle w:val="Heading3"/>
      </w:pPr>
      <w:r>
        <w:t xml:space="preserve">Eligibility criteria</w:t>
      </w:r>
    </w:p>
    <w:bookmarkStart w:id="226" w:name="study-design"/>
    <w:p>
      <w:pPr>
        <w:pStyle w:val="Heading4"/>
      </w:pPr>
      <w:r>
        <w:t xml:space="preserve">Study design</w:t>
      </w:r>
    </w:p>
    <w:p>
      <w:pPr>
        <w:pStyle w:val="FirstParagraph"/>
      </w:pPr>
      <w:r>
        <w:t xml:space="preserve">Data sources which were cross-sectional, either by design or due to the available data (e.g. a study conducted across multiple waves, but only data from a single wave could be accessed) were excluded. Similarly, due to the limited time afforded by this thesis, studies making use of population-level electronic health records, which often require an extensive project proposals in order to gain access to the data, were ineligible due to the time and cost involved in applying. No restrictions were put on the number of participants or the length of follow-up, though participants must be free of dementia (or assumed to be free, based on age at entry) at baseline.</w:t>
      </w:r>
    </w:p>
    <w:p>
      <w:pPr>
        <w:pStyle w:val="BodyText"/>
      </w:pPr>
      <w:r>
        <w:t xml:space="preserve"> </w:t>
      </w:r>
    </w:p>
    <w:bookmarkEnd w:id="226"/>
    <w:bookmarkStart w:id="227" w:name="exposuresoutcome-definition"/>
    <w:p>
      <w:pPr>
        <w:pStyle w:val="Heading4"/>
      </w:pPr>
      <w:r>
        <w:t xml:space="preserve">Exposures/outcome definition</w:t>
      </w:r>
    </w:p>
    <w:p>
      <w:pPr>
        <w:pStyle w:val="FirstParagraph"/>
      </w:pPr>
      <w:r>
        <w:t xml:space="preserve">I considered four blood lipid fractions as part of this analysis, namely: total cholesterol (TC), low-density lipoprotein cholesterol (LDL-c), high-density lipoprotein cholesterol (HDL-c) and triglycerides (TG). Cohorts were eligible for inclusion if they contained data on at least one of these in a continuous format (i.e. studies with binary</w:t>
      </w:r>
      <w:r>
        <w:t xml:space="preserve"> </w:t>
      </w:r>
      <w:r>
        <w:t xml:space="preserve">“</w:t>
      </w:r>
      <w:r>
        <w:t xml:space="preserve">hypercholesteromemia</w:t>
      </w:r>
      <w:r>
        <w:t xml:space="preserve">”</w:t>
      </w:r>
      <w:r>
        <w:t xml:space="preserve"> </w:t>
      </w:r>
      <w:r>
        <w:t xml:space="preserve">would be excluded).</w:t>
      </w:r>
    </w:p>
    <w:p>
      <w:pPr>
        <w:pStyle w:val="BodyText"/>
      </w:pPr>
      <w:r>
        <w:t xml:space="preserve">In line with the analyses presented in other chapters, eligible cohorts were those containing data on at least one outcome of interest, namely: all-cause dementia, Alzheimer’s disease, or vascular dementia.</w:t>
      </w:r>
    </w:p>
    <w:p>
      <w:pPr>
        <w:pStyle w:val="BodyText"/>
      </w:pPr>
      <w:r>
        <w:t xml:space="preserve"> </w:t>
      </w:r>
    </w:p>
    <w:bookmarkEnd w:id="227"/>
    <w:bookmarkEnd w:id="228"/>
    <w:bookmarkStart w:id="231" w:name="applying-for-data-access"/>
    <w:p>
      <w:pPr>
        <w:pStyle w:val="Heading3"/>
      </w:pPr>
      <w:r>
        <w:t xml:space="preserve">Applying for data access</w:t>
      </w:r>
    </w:p>
    <w:p>
      <w:pPr>
        <w:pStyle w:val="FirstParagraph"/>
      </w:pPr>
      <w:r>
        <w:t xml:space="preserve">Potentially eligible data sources as defined above were identified via two mechanisms, each with a distinct focus. For both approaches, the number of cohorts responding to the request for data access, and where applicable, the reasons given for a lack of data sharing were recorded.</w:t>
      </w:r>
    </w:p>
    <w:p>
      <w:pPr>
        <w:pStyle w:val="BodyText"/>
      </w:pPr>
      <w:r>
        <w:t xml:space="preserve"> </w:t>
      </w:r>
    </w:p>
    <w:bookmarkStart w:id="229" w:name="X176827fbba443f1c48534ef68f66ac0ee55d400"/>
    <w:p>
      <w:pPr>
        <w:pStyle w:val="Heading4"/>
      </w:pPr>
      <w:r>
        <w:t xml:space="preserve">Cohorts identified by the systematic review</w:t>
      </w:r>
    </w:p>
    <w:p>
      <w:pPr>
        <w:pStyle w:val="FirstParagraph"/>
      </w:pPr>
      <w:r>
        <w:t xml:space="preserve">The first approach focused on previously analysed observational prospective cohort studies examining the effect of blood lipid levels on dementia outcomes, as identified by the systematic review presented in Chapter</w:t>
      </w:r>
      <w:r>
        <w:t xml:space="preserve"> </w:t>
      </w:r>
      <w:r>
        <w:t xml:space="preserve">??</w:t>
      </w:r>
      <w:r>
        <w:t xml:space="preserve"> </w:t>
      </w:r>
      <w:r>
        <w:t xml:space="preserve">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10.7.1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p>
      <w:pPr>
        <w:pStyle w:val="BodyText"/>
      </w:pPr>
      <w:r>
        <w:t xml:space="preserve"> </w:t>
      </w:r>
    </w:p>
    <w:bookmarkEnd w:id="229"/>
    <w:bookmarkStart w:id="230" w:name="Xeb6bb5ed6e7e28b978decd5cde24f067ff76a35"/>
    <w:p>
      <w:pPr>
        <w:pStyle w:val="Heading4"/>
      </w:pPr>
      <w:r>
        <w:t xml:space="preserve">Cohorts contained in Dementia Platform UK</w:t>
      </w:r>
    </w:p>
    <w:p>
      <w:pPr>
        <w:pStyle w:val="FirstParagraph"/>
      </w:pPr>
      <w:r>
        <w:t xml:space="preserve">The second approach focused on incorporating relevant, previously-unanalysed data into the analysis, thus providing additional evidence on the relationship between blood lipids and dementia risk. 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109</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17 cohorts was made via the common-access procedure.</w:t>
      </w:r>
    </w:p>
    <w:p>
      <w:pPr>
        <w:pStyle w:val="BodyText"/>
      </w:pPr>
      <w:r>
        <w:t xml:space="preserve"> </w:t>
      </w:r>
    </w:p>
    <w:bookmarkEnd w:id="230"/>
    <w:bookmarkEnd w:id="231"/>
    <w:bookmarkStart w:id="238" w:name="primary-analysis-1"/>
    <w:p>
      <w:pPr>
        <w:pStyle w:val="Heading3"/>
      </w:pPr>
      <w:r>
        <w:t xml:space="preserve">Primary analysis</w:t>
      </w:r>
    </w:p>
    <w:bookmarkStart w:id="232" w:name="data-cleaning-and-harmonisation"/>
    <w:p>
      <w:pPr>
        <w:pStyle w:val="Heading4"/>
      </w:pPr>
      <w:r>
        <w:t xml:space="preserve">Data cleaning and harmonisation</w:t>
      </w:r>
    </w:p>
    <w:p>
      <w:pPr>
        <w:pStyle w:val="FirstParagraph"/>
      </w:pPr>
      <w:r>
        <w:t xml:space="preserve">Where data on one of these exposures (TC, LDL-c, HDL-c, TG) was missing, it was inferred from the other three fractions (where available) using the Friedwald formula (Equation (1)). Lipids levels were retained as continuous variables rather than dichotomising into a binary hypercholesterolemia exposure, given the additional power this adds to the meta-analysis.</w:t>
      </w:r>
      <w:hyperlink w:anchor="ref-riley2020">
        <w:r>
          <w:rPr>
            <w:rStyle w:val="Hyperlink"/>
            <w:vertAlign w:val="superscript"/>
          </w:rPr>
          <w:t xml:space="preserve">99</w:t>
        </w:r>
      </w:hyperlink>
      <w:r>
        <w:rPr>
          <w:vertAlign w:val="superscript"/>
        </w:rPr>
        <w:t xml:space="preserve">,</w:t>
      </w:r>
      <w:hyperlink w:anchor="ref-ensor2018">
        <w:r>
          <w:rPr>
            <w:rStyle w:val="Hyperlink"/>
            <w:vertAlign w:val="superscript"/>
          </w:rPr>
          <w:t xml:space="preserve">314</w:t>
        </w:r>
      </w:hyperlink>
      <w:r>
        <w:t xml:space="preserve"> </w:t>
      </w:r>
      <w:r>
        <w:t xml:space="preserve">Where lipid measurements were reported in</w:t>
      </w:r>
      <w:r>
        <w:t xml:space="preserve"> </w:t>
      </w:r>
      <w:r>
        <w:rPr>
          <w:iCs/>
          <w:i/>
        </w:rPr>
        <w:t xml:space="preserve">mg/dL</w:t>
      </w:r>
      <w:r>
        <w:t xml:space="preserve">, these were converted to</w:t>
      </w:r>
      <w:r>
        <w:t xml:space="preserve"> </w:t>
      </w:r>
      <w:r>
        <w:rPr>
          <w:iCs/>
          <w:i/>
        </w:rPr>
        <w:t xml:space="preserve">mmol/L</w:t>
      </w:r>
      <w:r>
        <w:t xml:space="preserve">. To aid interpretability of the outcome, all analyses were standardised to refer to a 1-standard deviation increase in the lipid fraction under investigation.</w:t>
      </w:r>
    </w:p>
    <w:p>
      <w:pPr>
        <w:pStyle w:val="BodyText"/>
      </w:pPr>
      <w:r>
        <w:t xml:space="preserve">Across all cohorts, data cleaning was performed in a similar manner, standardising to commonly named variables so that a single model could be applied using functional programming.</w:t>
      </w:r>
      <w:hyperlink w:anchor="ref-wickham2016func">
        <w:r>
          <w:rPr>
            <w:rStyle w:val="Hyperlink"/>
            <w:vertAlign w:val="superscript"/>
          </w:rPr>
          <w:t xml:space="preserve">315</w:t>
        </w:r>
      </w:hyperlink>
      <w:r>
        <w:t xml:space="preserve"> </w:t>
      </w:r>
      <w:r>
        <w:t xml:space="preserve">The advantage of this approach is that it reduces the likelihood of errors in model mis-specification if needing to change variables names from cohort to cohort. Following data cleaning, summary statistics for each data source were calculated and compared to publicly available statistics to ensure no errors were introduced in the data cleaning process, in line with best practice.</w:t>
      </w:r>
      <w:hyperlink w:anchor="ref-levis2021">
        <w:r>
          <w:rPr>
            <w:rStyle w:val="Hyperlink"/>
            <w:vertAlign w:val="superscript"/>
          </w:rPr>
          <w:t xml:space="preserve">316</w:t>
        </w:r>
      </w:hyperlink>
    </w:p>
    <w:p>
      <w:pPr>
        <w:pStyle w:val="BodyText"/>
      </w:pPr>
      <w:r>
        <w:t xml:space="preserve"> </w:t>
      </w:r>
    </w:p>
    <w:bookmarkEnd w:id="232"/>
    <w:bookmarkStart w:id="233" w:name="covariate-definition"/>
    <w:p>
      <w:pPr>
        <w:pStyle w:val="Heading4"/>
      </w:pPr>
      <w:r>
        <w:t xml:space="preserve">Covariate definition</w:t>
      </w:r>
    </w:p>
    <w:p>
      <w:pPr>
        <w:pStyle w:val="FirstParagraph"/>
      </w:pPr>
      <w:r>
        <w:t xml:space="preserve">With an awareness that discrepancies in available covariates is a common issue in IPD studies, I defined an idealised set of covariate domains to be age, sex, education, BMI, ApoE4 status, smoking/alcohol status and prevalent cardiovascular disease. This set covers key risk factors for dementia/Alzheimer’s disease in addition to general cardiovascular risk factors. Ethnicity was considered as a potential addition covariate of interest, but several of the DPUK cohorts (whose data dictionaries could be inspected in advance) made it clear that ethnicity data was either not available or would not be shared. Details on how these variables were coded, given the available data, are presented in Section</w:t>
      </w:r>
      <w:r>
        <w:t xml:space="preserve"> </w:t>
      </w:r>
      <w:r>
        <w:t xml:space="preserve">6.4.3</w:t>
      </w:r>
      <w:r>
        <w:t xml:space="preserve">.</w:t>
      </w:r>
    </w:p>
    <w:p>
      <w:pPr>
        <w:pStyle w:val="BodyText"/>
      </w:pPr>
      <w:r>
        <w:t xml:space="preserve"> </w:t>
      </w:r>
    </w:p>
    <w:bookmarkEnd w:id="233"/>
    <w:bookmarkStart w:id="234" w:name="missing-data-2"/>
    <w:p>
      <w:pPr>
        <w:pStyle w:val="Heading4"/>
      </w:pPr>
      <w:r>
        <w:t xml:space="preserve">Missing data</w:t>
      </w:r>
    </w:p>
    <w:p>
      <w:pPr>
        <w:pStyle w:val="FirstParagraph"/>
      </w:pPr>
      <w:r>
        <w:t xml:space="preserve">Missing data in this analysis was classified as either relating to missing values (a cohort collected data on a variable of interest, but some values are missing) or missing variables (a cohort did not collect data on a variable of interest).</w:t>
      </w:r>
    </w:p>
    <w:p>
      <w:pPr>
        <w:pStyle w:val="BodyText"/>
      </w:pPr>
      <w:r>
        <w:t xml:space="preserve">Variables with missing values were identified, and 20 imputed datasets were created.</w:t>
      </w:r>
      <w:hyperlink w:anchor="ref-sterne2009">
        <w:r>
          <w:rPr>
            <w:rStyle w:val="Hyperlink"/>
            <w:vertAlign w:val="superscript"/>
          </w:rPr>
          <w:t xml:space="preserve">287</w:t>
        </w:r>
      </w:hyperlink>
      <w:r>
        <w:t xml:space="preserve"> </w:t>
      </w:r>
      <w:r>
        <w:t xml:space="preserve">Imputation was performed using the MICE (Multiple Imputation by Chained Equations) using the</w:t>
      </w:r>
      <w:r>
        <w:t xml:space="preserve"> </w:t>
      </w:r>
      <w:r>
        <w:rPr>
          <w:rStyle w:val="VerbatimChar"/>
        </w:rPr>
        <w:t xml:space="preserve">mice</w:t>
      </w:r>
      <w:r>
        <w:t xml:space="preserve"> </w:t>
      </w:r>
      <w:r>
        <w:t xml:space="preserve">package in R.</w:t>
      </w:r>
    </w:p>
    <w:p>
      <w:pPr>
        <w:pStyle w:val="BodyText"/>
      </w:pPr>
      <w:r>
        <w:t xml:space="preserve">Systematically missing variables were originally intended to be addressed using a previously described method.</w:t>
      </w:r>
      <w:hyperlink w:anchor="ref-fibrinogenstudiescollaboration2009">
        <w:r>
          <w:rPr>
            <w:rStyle w:val="Hyperlink"/>
            <w:vertAlign w:val="superscript"/>
          </w:rPr>
          <w:t xml:space="preserve">317</w:t>
        </w:r>
      </w:hyperlink>
      <w:r>
        <w:t xml:space="preserve"> </w:t>
      </w:r>
      <w:r>
        <w:t xml:space="preserve">Here, the correlation between the fully-adjusted and partially-adjusted estimate in cohorts with the full set of covariates is used to estimate the fully-adjusted effect in those cohorts missing covariates. However, this method requires several large cohorts to contain the full set of covariates, a condition this analysis failed to meet given the very low response rate. As such, two other common approaches were employed.</w:t>
      </w:r>
      <w:hyperlink w:anchor="ref-fibrinogenstudiescollaboration2009">
        <w:r>
          <w:rPr>
            <w:rStyle w:val="Hyperlink"/>
            <w:vertAlign w:val="superscript"/>
          </w:rPr>
          <w:t xml:space="preserve">317</w:t>
        </w:r>
      </w:hyperlink>
      <w:r>
        <w:t xml:space="preserve"> </w:t>
      </w:r>
      <w:r>
        <w:t xml:space="preserve">In the primary analysis, all cohorts were analysed adjusted for the set of common covariates across cohorts (Model 1: age, sex, smoking, alcohol, presence of morbidities). As a sensitivity analysis, cohorts with the full complement of covariates (Whitehall II and EPIC) were analysed using a maximally-adjusted model (Model 2: Model 1, further adjusted for education and BMI). Results between the common-set-adjusted (Model 1) and maximally-adjusted (Model 2) models were then compared.</w:t>
      </w:r>
    </w:p>
    <w:p>
      <w:pPr>
        <w:pStyle w:val="BodyText"/>
      </w:pPr>
      <w:r>
        <w:t xml:space="preserve"> </w:t>
      </w:r>
    </w:p>
    <w:bookmarkEnd w:id="234"/>
    <w:bookmarkStart w:id="235" w:name="individual-patient-data-analysis"/>
    <w:p>
      <w:pPr>
        <w:pStyle w:val="Heading4"/>
      </w:pPr>
      <w:r>
        <w:t xml:space="preserve">Individual patient data analysis</w:t>
      </w:r>
    </w:p>
    <w:p>
      <w:pPr>
        <w:pStyle w:val="FirstParagraph"/>
      </w:pPr>
      <w:r>
        <w:t xml:space="preserve">In this analysis, an two-stage individual patient data analysis was planned. Under a two-stage approach, estimates for the effect of each lipid fraction on available dementia outcomes were first calculated for each data source. More specifically, odds ratios were used to quantify the effect of a 1-SD lower exposure to a lipid fraction on dementia outcomes. Examination of the data available via the DPUK indicated that the common time-to-event approach used in studies of dementia outcomes would be precluded by the absence of detailed time-to-event data. An overall effect estimate was then produced by combining data-source-specific estimates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w:t>
      </w:r>
    </w:p>
    <w:p>
      <w:pPr>
        <w:pStyle w:val="BodyText"/>
      </w:pPr>
      <w:r>
        <w:t xml:space="preserve">A two-stage IPD approach was employed for a number of reasons. Firstly, and most importantly, a two-stage approach allows for siloed data, enabling researchers who are unwilling/unable to provide their data to analyse themselves following a specified analysis plan.</w:t>
      </w:r>
      <w:hyperlink w:anchor="ref-riley2010">
        <w:r>
          <w:rPr>
            <w:rStyle w:val="Hyperlink"/>
            <w:vertAlign w:val="superscript"/>
          </w:rPr>
          <w:t xml:space="preserve">93</w:t>
        </w:r>
      </w:hyperlink>
      <w:r>
        <w:t xml:space="preserve"> </w:t>
      </w:r>
      <w:r>
        <w:t xml:space="preserve">Secondly, it allows for the production of forest plots of within-cohort estimates, something which is useful for the triangulation exercise in Chapter</w:t>
      </w:r>
      <w:r>
        <w:t xml:space="preserve"> </w:t>
      </w:r>
      <w:r>
        <w:t xml:space="preserve">7</w:t>
      </w:r>
      <w:r>
        <w:t xml:space="preserve">. Finally, a two-stage approach is simpler to model, as it uses standard well-documented summary effect estimate meta-analysis techniques, and automatically accounts for methodological issues such as clustering within cohorts</w:t>
      </w:r>
      <w:hyperlink w:anchor="ref-abo-zaid2013">
        <w:r>
          <w:rPr>
            <w:rStyle w:val="Hyperlink"/>
            <w:vertAlign w:val="superscript"/>
          </w:rPr>
          <w:t xml:space="preserve">318</w:t>
        </w:r>
      </w:hyperlink>
      <w:r>
        <w:t xml:space="preserve"> </w:t>
      </w:r>
      <w:r>
        <w:t xml:space="preserve">and the potential for ecological bias.</w:t>
      </w:r>
      <w:hyperlink w:anchor="ref-burke2017">
        <w:r>
          <w:rPr>
            <w:rStyle w:val="Hyperlink"/>
            <w:vertAlign w:val="superscript"/>
          </w:rPr>
          <w:t xml:space="preserve">319</w:t>
        </w:r>
      </w:hyperlink>
    </w:p>
    <w:p>
      <w:pPr>
        <w:pStyle w:val="BodyText"/>
      </w:pPr>
      <w:r>
        <w:t xml:space="preserve"> </w:t>
      </w:r>
    </w:p>
    <w:bookmarkEnd w:id="235"/>
    <w:bookmarkStart w:id="236" w:name="comparison-with-published-findings"/>
    <w:p>
      <w:pPr>
        <w:pStyle w:val="Heading4"/>
      </w:pPr>
      <w:r>
        <w:t xml:space="preserve">Comparison with published findings</w:t>
      </w:r>
    </w:p>
    <w:p>
      <w:pPr>
        <w:pStyle w:val="FirstParagraph"/>
      </w:pPr>
      <w:r>
        <w:t xml:space="preserve">Following estimation of the main effect, where an included data source had previously been analysed, the results of this analysis were compared against those published previously. Where discrepancies were identified, these were investigated.</w:t>
      </w:r>
    </w:p>
    <w:p>
      <w:pPr>
        <w:pStyle w:val="BodyText"/>
      </w:pPr>
      <w:r>
        <w:t xml:space="preserve"> </w:t>
      </w:r>
    </w:p>
    <w:bookmarkEnd w:id="236"/>
    <w:bookmarkStart w:id="237" w:name="X2dc8357d96d4a6e9f30782364ea15a5d69e488e"/>
    <w:p>
      <w:pPr>
        <w:pStyle w:val="Heading4"/>
      </w:pPr>
      <w:r>
        <w:t xml:space="preserve">Investigating the effect of patient-level covariates</w:t>
      </w:r>
    </w:p>
    <w:p>
      <w:pPr>
        <w:pStyle w:val="FirstParagraph"/>
      </w:pPr>
      <w:r>
        <w:t xml:space="preserve">In order to investigate the interaction of patient-level characteristics (age and sex) with lipid levels, interaction terms for lipid-covariate terms were extracted and synthesised using a random effects meta-analysis.</w:t>
      </w:r>
      <w:hyperlink w:anchor="ref-fisher2017">
        <w:r>
          <w:rPr>
            <w:rStyle w:val="Hyperlink"/>
            <w:vertAlign w:val="superscript"/>
          </w:rPr>
          <w:t xml:space="preserve">320</w:t>
        </w:r>
      </w:hyperlink>
      <w:r>
        <w:t xml:space="preserve"> </w:t>
      </w:r>
      <w:r>
        <w:t xml:space="preserve">To avoid ecological bias, where the between-study association does not reflect the within-study associations, cohorts where there was no within-study variation in the covariate of interest were excluded from the interaction analysis for that covariate.</w:t>
      </w:r>
      <w:hyperlink w:anchor="ref-burke2017">
        <w:r>
          <w:rPr>
            <w:rStyle w:val="Hyperlink"/>
            <w:vertAlign w:val="superscript"/>
          </w:rPr>
          <w:t xml:space="preserve">319</w:t>
        </w:r>
      </w:hyperlink>
      <w:r>
        <w:t xml:space="preserve"> </w:t>
      </w:r>
      <w:r>
        <w:t xml:space="preserve">As an example, it is impossible to estimate the impact of sex on the lipid~dementia relationship in a study which contains female participants. All interaction analysis were performed using the common-set-adjusted model (Model 1).</w:t>
      </w:r>
    </w:p>
    <w:p>
      <w:pPr>
        <w:pStyle w:val="BodyText"/>
      </w:pPr>
      <w:r>
        <w:t xml:space="preserve"> </w:t>
      </w:r>
    </w:p>
    <w:bookmarkEnd w:id="237"/>
    <w:bookmarkEnd w:id="238"/>
    <w:bookmarkEnd w:id="239"/>
    <w:bookmarkStart w:id="259" w:name="results-1"/>
    <w:p>
      <w:pPr>
        <w:pStyle w:val="Heading2"/>
      </w:pPr>
      <w:r>
        <w:t xml:space="preserve">Results</w:t>
      </w:r>
    </w:p>
    <w:bookmarkStart w:id="241" w:name="data-access"/>
    <w:p>
      <w:pPr>
        <w:pStyle w:val="Heading3"/>
      </w:pPr>
      <w:r>
        <w:t xml:space="preserve">Data access</w:t>
      </w:r>
    </w:p>
    <w:p>
      <w:pPr>
        <w:pStyle w:val="FirstParagraph"/>
      </w:pPr>
      <w:r>
        <w:t xml:space="preserve">Of the 37 studies to which I applied for data access, only three (8.1%) were included in the final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where available, stratified by application approach.</w:t>
      </w:r>
    </w:p>
    <w:p>
      <w:pPr>
        <w:pStyle w:val="BodyText"/>
      </w:pPr>
      <w:r>
        <w:t xml:space="preserve">In summary, the requests for data from cohorts identified by the systematic review were characterised by a very low response rate. For the minority who did respond, common reasons given by authors for not sharing the data included that they: no longer worked with the same group and did not know if the data were available or how to obtain it; no longer had access to the data; or were currently performing,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However, even using this streamlined approach, a response was obtained for approximately half (N=9, 53%) of the approached cohorts, one of which (Whitehall II) was also identified by the systematic review.</w:t>
      </w:r>
    </w:p>
    <w:p>
      <w:pPr>
        <w:pStyle w:val="BodyText"/>
      </w:pPr>
      <w:r>
        <w:drawing>
          <wp:inline>
            <wp:extent cx="5943600" cy="4330337"/>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40"/>
                    <a:stretch>
                      <a:fillRect/>
                    </a:stretch>
                  </pic:blipFill>
                  <pic:spPr bwMode="auto">
                    <a:xfrm>
                      <a:off x="0" y="0"/>
                      <a:ext cx="5943600" cy="4330337"/>
                    </a:xfrm>
                    <a:prstGeom prst="rect">
                      <a:avLst/>
                    </a:prstGeom>
                    <a:noFill/>
                    <a:ln w="9525">
                      <a:noFill/>
                      <a:headEnd/>
                      <a:tailEnd/>
                    </a:ln>
                  </pic:spPr>
                </pic:pic>
              </a:graphicData>
            </a:graphic>
          </wp:inline>
        </w:drawing>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(1), indicating that the DPUK is a useful source of unanalysed data with respect to this question.</w:t>
      </w:r>
    </w:p>
    <w:p>
      <w:pPr>
        <w:pStyle w:val="BodyText"/>
      </w:pPr>
      <w:r>
        <w:t xml:space="preserve">As highlighted in Figure</w:t>
      </w:r>
      <w:r>
        <w:t xml:space="preserve"> </w:t>
      </w:r>
      <w:r>
        <w:t xml:space="preserve">34</w:t>
      </w:r>
      <w:r>
        <w:t xml:space="preserve">, nice cohorts (8 DPUK only, 1 Systematic review + DPUK) responding positively to requests for data access. However, on inspection of data provided, six of these cohorts were excluded for a range of reasons. The exclusion reason for each cohort for which data were provided is illustrated in Table</w:t>
      </w:r>
      <w:r>
        <w:t xml:space="preserve"> </w:t>
      </w:r>
      <w:r>
        <w:t xml:space="preserve">17</w:t>
      </w:r>
      <w:r>
        <w:t xml:space="preserve">. In summary, two cohorts contained were memory-complaint cohorts, containing patients unlikely to be free of dementia at baseline (BRACE, MEMENTO). Two cohorts, despite being designed as multi-wave studies, only shared data related to a single wave and so represented cross-sectional data (Generation Scotland, NICOLA). Finally TRACK HD is a genetic cohort where cohort owners advised me that dementia will inevitably develop in mid-life driven by the Huntington’s (HTT gene) mutation and that this effect would likely far outweigh the effect of lipids. Finally, the ELSA study was excluded based on the dichotomous definition of the exposure variable</w:t>
      </w:r>
      <w:r>
        <w:t xml:space="preserve"> </w:t>
      </w:r>
    </w:p>
    <w:p>
      <w:pPr>
        <w:pStyle w:val="BodyText"/>
      </w:pPr>
      <w:r>
        <w:t xml:space="preserve"> </w:t>
      </w:r>
    </w:p>
    <w:p>
      <w:pPr>
        <w:pStyle w:val="TableCaption"/>
      </w:pPr>
      <w:r>
        <w:t xml:space="preserve">Table 17:</w:t>
      </w:r>
      <w:r>
        <w:t xml:space="preserve"> </w:t>
      </w:r>
      <w:bookmarkStart w:id="35134bbf-f925-4a99-a1d8-e0cef99c13e6" w:name="tab:dataExcluded-table"/>
      <w:r>
        <w:t xml:space="preserve">Exclusion reasons for cohorts providing data</w:t>
      </w:r>
      <w:bookmarkEnd w:id="35134bbf-f925-4a99-a1d8-e0cef99c13e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BRACE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ELSA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 exposure reported as a binary variable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Generation Scotland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MEMENTO</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HTT gene carriers (i.e. premanifest Huntington's Disease)</w:t>
            </w:r>
          </w:p>
        </w:tc>
      </w:tr>
    </w:tbl>
    <w:p>
      <w:pPr>
        <w:pStyle w:val="BodyText"/>
      </w:pPr>
      <w:r>
        <w:t xml:space="preserve"> </w:t>
      </w:r>
    </w:p>
    <w:bookmarkEnd w:id="241"/>
    <w:bookmarkStart w:id="245" w:name="included-data-sources"/>
    <w:p>
      <w:pPr>
        <w:pStyle w:val="Heading3"/>
      </w:pPr>
      <w:r>
        <w:t xml:space="preserve">Included data sources</w:t>
      </w:r>
    </w:p>
    <w:p>
      <w:pPr>
        <w:pStyle w:val="FirstParagraph"/>
      </w:pPr>
      <w:r>
        <w:t xml:space="preserve">The three data sources used in this analysis are described in detail in the following sections. Of note, all included data sources were based in the United Kingdom. This is due to the majority of included datasets being identified via the Dementia Platform UK route (Figure</w:t>
      </w:r>
      <w:r>
        <w:t xml:space="preserve"> </w:t>
      </w:r>
      <w:r>
        <w:t xml:space="preserve">34</w:t>
      </w:r>
      <w:r>
        <w:t xml:space="preserve">), which as implied by the name, has a narrow geographical focus.</w:t>
      </w:r>
      <w:hyperlink w:anchor="ref-bauermeister2020">
        <w:r>
          <w:rPr>
            <w:rStyle w:val="Hyperlink"/>
            <w:vertAlign w:val="superscript"/>
          </w:rPr>
          <w:t xml:space="preserve">109</w:t>
        </w:r>
      </w:hyperlink>
    </w:p>
    <w:p>
      <w:pPr>
        <w:pStyle w:val="BodyText"/>
      </w:pPr>
      <w:r>
        <w:t xml:space="preserve"> </w:t>
      </w:r>
    </w:p>
    <w:bookmarkStart w:id="242" w:name="caerphilly-prospective-study"/>
    <w:p>
      <w:pPr>
        <w:pStyle w:val="Heading4"/>
      </w:pPr>
      <w:r>
        <w:t xml:space="preserve">Caerphilly Prospective Study</w:t>
      </w:r>
    </w:p>
    <w:p>
      <w:pPr>
        <w:pStyle w:val="FirstParagraph"/>
      </w:pPr>
      <w:r>
        <w:t xml:space="preserve">The Caerphilly Prospective Study (CaPS) is a longitudinal study of men in South Wales, UK.</w:t>
      </w:r>
      <w:hyperlink w:anchor="ref-zotero-15398">
        <w:r>
          <w:rPr>
            <w:rStyle w:val="Hyperlink"/>
            <w:vertAlign w:val="superscript"/>
          </w:rPr>
          <w:t xml:space="preserve">321</w:t>
        </w:r>
      </w:hyperlink>
      <w:r>
        <w:rPr>
          <w:vertAlign w:val="superscript"/>
        </w:rPr>
        <w:t xml:space="preserve">,</w:t>
      </w:r>
      <w:hyperlink w:anchor="ref-elwood2013">
        <w:r>
          <w:rPr>
            <w:rStyle w:val="Hyperlink"/>
            <w:vertAlign w:val="superscript"/>
          </w:rPr>
          <w:t xml:space="preserve">322</w:t>
        </w:r>
      </w:hyperlink>
      <w:r>
        <w:t xml:space="preserve"> </w:t>
      </w:r>
      <w:r>
        <w:t xml:space="preserve">Blood lipids (TC, LDL-c, HDL-c and TG) were measured at baseline in 1979-1983, and from Phase III (1989-1993) onwards, a battery of cognitive tests were introduced. The cohort contains data on dementia outcomes sub-classified as vascular and non-vascular dementia. Data were available for all covariates of interest except for education, BMI and ApoE4 status.</w:t>
      </w:r>
    </w:p>
    <w:p>
      <w:pPr>
        <w:pStyle w:val="BodyText"/>
      </w:pPr>
      <w:r>
        <w:t xml:space="preserve"> </w:t>
      </w:r>
    </w:p>
    <w:bookmarkEnd w:id="242"/>
    <w:bookmarkStart w:id="243" w:name="epic-norfolk"/>
    <w:p>
      <w:pPr>
        <w:pStyle w:val="Heading4"/>
      </w:pPr>
      <w:r>
        <w:t xml:space="preserve">Epic Norfolk</w:t>
      </w:r>
    </w:p>
    <w:p>
      <w:pPr>
        <w:pStyle w:val="FirstParagraph"/>
      </w:pPr>
      <w:r>
        <w:t xml:space="preserve">The European Prospective Investigation of Cancer (EPIC) - Norfolk is a population-based cohort, containing men and women recruited from 35 general practices in Norfolk between 1993 and 1998.</w:t>
      </w:r>
      <w:hyperlink w:anchor="ref-riboli1997">
        <w:r>
          <w:rPr>
            <w:rStyle w:val="Hyperlink"/>
            <w:vertAlign w:val="superscript"/>
          </w:rPr>
          <w:t xml:space="preserve">323</w:t>
        </w:r>
      </w:hyperlink>
      <w:r>
        <w:rPr>
          <w:vertAlign w:val="superscript"/>
        </w:rPr>
        <w:t xml:space="preserve">,</w:t>
      </w:r>
      <w:hyperlink w:anchor="ref-riboli2002">
        <w:r>
          <w:rPr>
            <w:rStyle w:val="Hyperlink"/>
            <w:vertAlign w:val="superscript"/>
          </w:rPr>
          <w:t xml:space="preserve">324</w:t>
        </w:r>
      </w:hyperlink>
      <w:r>
        <w:t xml:space="preserve"> </w:t>
      </w:r>
      <w:r>
        <w:t xml:space="preserve">The added evidential value of the EPIC cohort is small, given the the fact that the data obtained contains only 8 dementia events. The cohort contains no information on dementia subtype, while all covariates of interest bar ApoE4 were available.</w:t>
      </w:r>
    </w:p>
    <w:p>
      <w:pPr>
        <w:pStyle w:val="BodyText"/>
      </w:pPr>
      <w:r>
        <w:t xml:space="preserve"> </w:t>
      </w:r>
    </w:p>
    <w:bookmarkEnd w:id="243"/>
    <w:bookmarkStart w:id="244" w:name="whitehall-ii"/>
    <w:p>
      <w:pPr>
        <w:pStyle w:val="Heading4"/>
      </w:pPr>
      <w:r>
        <w:t xml:space="preserve">Whitehall II</w:t>
      </w:r>
    </w:p>
    <w:p>
      <w:pPr>
        <w:pStyle w:val="FirstParagraph"/>
      </w:pPr>
      <w:r>
        <w:t xml:space="preserve">The Whitehall II study is a prospective cohort study of men and women recruited between 1985 and 1989 from the civil service in London.</w:t>
      </w:r>
      <w:hyperlink w:anchor="ref-marmot2005">
        <w:r>
          <w:rPr>
            <w:rStyle w:val="Hyperlink"/>
            <w:vertAlign w:val="superscript"/>
          </w:rPr>
          <w:t xml:space="preserve">325</w:t>
        </w:r>
      </w:hyperlink>
      <w:r>
        <w:t xml:space="preserve"> </w:t>
      </w:r>
      <w:r>
        <w:t xml:space="preserve">The cohort is linked with the Hospital Episode Statistics (HES) database, a database containing details of patient events at NHS hospitals in England, which was used to define covariates at baseline and dementia outcomes.</w:t>
      </w:r>
      <w:hyperlink w:anchor="ref-zotero-15403">
        <w:r>
          <w:rPr>
            <w:rStyle w:val="Hyperlink"/>
            <w:vertAlign w:val="superscript"/>
          </w:rPr>
          <w:t xml:space="preserve">326</w:t>
        </w:r>
      </w:hyperlink>
      <w:r>
        <w:t xml:space="preserve"> </w:t>
      </w:r>
      <w:r>
        <w:t xml:space="preserve">Information was available on dementia type, which was classified as all-cause dementia, Alzheimer’s disease or vascular dementia. This data source contained details on all covariates of interest except for ApoE4 status.</w:t>
      </w:r>
    </w:p>
    <w:p>
      <w:pPr>
        <w:pStyle w:val="BodyText"/>
      </w:pPr>
      <w:r>
        <w:t xml:space="preserve">Of note, the Whitehall II cohort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240</w:t>
        </w:r>
      </w:hyperlink>
      <w:r>
        <w:t xml:space="preserve"> </w:t>
      </w:r>
      <w:r>
        <w:t xml:space="preserve">meaning that a comparison between the published result and the analysis reported here was was possible.</w:t>
      </w:r>
    </w:p>
    <w:p>
      <w:pPr>
        <w:pStyle w:val="BodyText"/>
      </w:pPr>
      <w:r>
        <w:t xml:space="preserve"> </w:t>
      </w:r>
    </w:p>
    <w:bookmarkEnd w:id="244"/>
    <w:bookmarkEnd w:id="245"/>
    <w:bookmarkStart w:id="246" w:name="ipd-covar-definition"/>
    <w:p>
      <w:pPr>
        <w:pStyle w:val="Heading3"/>
      </w:pPr>
      <w:r>
        <w:t xml:space="preserve">Covariate definition &amp; missing data</w:t>
      </w:r>
    </w:p>
    <w:p>
      <w:pPr>
        <w:pStyle w:val="FirstParagraph"/>
      </w:pPr>
      <w:r>
        <w:t xml:space="preserve">Based on available data across cohorts, smoking was classified as never/ever/current, while alcohol consumption was classified as never/ever. Education was categorised into 4 levels (None,O-levels,A-levels,Degree). BMI was treated as a continuous variable while presence of vascular co-morbidities was treated as dichotomous.</w:t>
      </w:r>
    </w:p>
    <w:p>
      <w:pPr>
        <w:pStyle w:val="BodyText"/>
      </w:pPr>
      <w:r>
        <w:t xml:space="preserve">A key consideration in the definition of covariates across cohorts was the classification of age. The Whitehall II study, the largest cohort to which I had access, only shared age data in five-year age band (e.g. 40-44, 45-49, etc.). To ensure comparability across the cohorts, I created identical categories in the CaPS and EPIC data. This grouped age variable was then used in all subsequent analyses.</w:t>
      </w:r>
    </w:p>
    <w:p>
      <w:pPr>
        <w:pStyle w:val="BodyText"/>
      </w:pPr>
      <w:r>
        <w:t xml:space="preserve">Missing values in collected variables was common across the cohorts. A matrix of covariates, and whether they were not available or contained missing values for each included cohort, can be seen Appendix</w:t>
      </w:r>
      <w:r>
        <w:t xml:space="preserve"> </w:t>
      </w:r>
      <w:r>
        <w:t xml:space="preserve">??</w:t>
      </w:r>
      <w:r>
        <w:t xml:space="preserve">. The Whitehall II and EPIC cohorts containted data on all but one covariates of interest, while two systematically missing covariates were identified in the CaPS cohort, namely education and BMI. No included cohort provided information on the ApoE4 status of participants, and so this variable could not be adjusted for in the analysis.</w:t>
      </w:r>
    </w:p>
    <w:p>
      <w:pPr>
        <w:pStyle w:val="BodyText"/>
      </w:pPr>
      <w:r>
        <w:t xml:space="preserve"> </w:t>
      </w:r>
    </w:p>
    <w:bookmarkEnd w:id="246"/>
    <w:bookmarkStart w:id="258" w:name="analytical-results"/>
    <w:p>
      <w:pPr>
        <w:pStyle w:val="Heading3"/>
      </w:pPr>
      <w:r>
        <w:t xml:space="preserve">Analytical results</w:t>
      </w:r>
    </w:p>
    <w:bookmarkStart w:id="247" w:name="descriptive-statistics"/>
    <w:p>
      <w:pPr>
        <w:pStyle w:val="Heading4"/>
      </w:pPr>
      <w:r>
        <w:t xml:space="preserve">Descriptive statistics</w:t>
      </w:r>
    </w:p>
    <w:p>
      <w:pPr>
        <w:pStyle w:val="FirstParagraph"/>
      </w:pPr>
      <w:r>
        <w:t xml:space="preserve">Across the three cohorts, 11,835 patients were included in this analysis (Whitehall II = 8208, EPIC = 1115, CaPS = 2512). All cohorts contained data on the four exposure variables of interest (or sufficient data from which to calculate them) and on all-cause dementia outcomes. The only other dementia outcome examined across cohorts was vascular dementia, which was reported in the CaPS and Whitehall II studies. The definitions of dementia outcomes used across cohorts can be seen in Appendix</w:t>
      </w:r>
      <w:r>
        <w:t xml:space="preserve"> </w:t>
      </w:r>
      <w:r>
        <w:t xml:space="preserve">??</w:t>
      </w:r>
      <w:r>
        <w:t xml:space="preserve">. Cumulatively, there were 542 cases of all-cause dementia, with 114 further classified as vascular dementia. Summary statistics for each cohort are provided in Table</w:t>
      </w:r>
      <w:r>
        <w:t xml:space="preserve"> </w:t>
      </w:r>
      <w:r>
        <w:t xml:space="preserve">??</w:t>
      </w:r>
      <w:r>
        <w:t xml:space="preserve">.</w:t>
      </w:r>
    </w:p>
    <w:p>
      <w:pPr>
        <w:pStyle w:val="BodyText"/>
      </w:pPr>
      <w:r>
        <w:t xml:space="preserve"> </w:t>
      </w:r>
    </w:p>
    <w:p>
      <w:pPr>
        <w:pStyle w:val="TableCaption"/>
      </w:pPr>
      <w:r>
        <w:t xml:space="preserve">Table 18:</w:t>
      </w:r>
      <w:r>
        <w:t xml:space="preserve"> </w:t>
      </w:r>
      <w:bookmarkStart w:id="48ae1499-8639-4e3b-940e-35adccd5ee7c" w:name="tab:covariateSummary-table"/>
      <w:r>
        <w:t xml:space="preserve">Summary of characteristics for cohorts included in the IPD  analysis</w:t>
      </w:r>
      <w:bookmarkEnd w:id="48ae1499-8639-4e3b-940e-35adccd5ee7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group,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45-49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5679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495 (44)%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 (100)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25.3 (3.75)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(3.58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Education &gt;18 yrs,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2576 (31.4)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Smoke ever,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2678 (32)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490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6612 (80.6)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2235 (89)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6.49 (1.16)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LDL-c,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 (0.96)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(1.12)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HDL-c,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 (0.41)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TG,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 (1.14)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 (1.21)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 (3.5)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 (0.7)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 (9.8)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 N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 (3.1)</w:t>
            </w:r>
          </w:p>
        </w:tc>
      </w:tr>
    </w:tbl>
    <w:p>
      <w:pPr>
        <w:pStyle w:val="BodyText"/>
      </w:pPr>
      <w:r>
        <w:t xml:space="preserve"> </w:t>
      </w:r>
    </w:p>
    <w:bookmarkEnd w:id="247"/>
    <w:bookmarkStart w:id="251" w:name="main-effects"/>
    <w:p>
      <w:pPr>
        <w:pStyle w:val="Heading4"/>
      </w:pPr>
      <w:r>
        <w:t xml:space="preserve">Main effects</w:t>
      </w:r>
    </w:p>
    <w:p>
      <w:pPr>
        <w:pStyle w:val="FirstParagraph"/>
      </w:pPr>
      <w:r>
        <w:t xml:space="preserve">The results from the main effect analysis across the varying lipid fractions on each dementia, considered can be seen in Figures</w:t>
      </w:r>
      <w:r>
        <w:t xml:space="preserve"> </w:t>
      </w:r>
      <w:r>
        <w:t xml:space="preserve">35</w:t>
      </w:r>
      <w:r>
        <w:t xml:space="preserve"> </w:t>
      </w:r>
      <w:r>
        <w:t xml:space="preserve">&amp;</w:t>
      </w:r>
      <w:r>
        <w:t xml:space="preserve"> </w:t>
      </w:r>
      <w:r>
        <w:t xml:space="preserve">36</w:t>
      </w:r>
      <w:r>
        <w:t xml:space="preserve">, respectively. There was very weak evidence for an association of any lipid level with either all-cause or vascular dementia, with the exception of a harmful association between raised triglycerides and vascular dementia (OR: 1.40, 95%CI: 1.19-1.63).</w:t>
      </w:r>
    </w:p>
    <w:p>
      <w:pPr>
        <w:pStyle w:val="BodyText"/>
      </w:pPr>
      <w:r>
        <w:drawing>
          <wp:inline>
            <wp:extent cx="5943600" cy="4457700"/>
            <wp:effectExtent b="0" l="0" r="0" t="0"/>
            <wp:docPr descr="Figure 35: IPD meta-analysis (model 1) of all-cause dementia outcomes, stratified by lipid fraction" title="" id="1" name="Picture"/>
            <a:graphic>
              <a:graphicData uri="http://schemas.openxmlformats.org/drawingml/2006/picture">
                <pic:pic>
                  <pic:nvPicPr>
                    <pic:cNvPr descr="figures/ipd/main_Dementia.png" id="0" name="Picture"/>
                    <pic:cNvPicPr>
                      <a:picLocks noChangeArrowheads="1" noChangeAspect="1"/>
                    </pic:cNvPicPr>
                  </pic:nvPicPr>
                  <pic:blipFill>
                    <a:blip r:embed="rId24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6: IPD meta-analysis (model 1) of vascular dementia outcomes, stratified by lipid fraction. Note that the vascular dementia outcome was only available in the CaPS and Whitehall II cohorts." title="" id="1" name="Picture"/>
            <a:graphic>
              <a:graphicData uri="http://schemas.openxmlformats.org/drawingml/2006/picture">
                <pic:pic>
                  <pic:nvPicPr>
                    <pic:cNvPr descr="figures/ipd/main_vasdem.png" id="0" name="Picture"/>
                    <pic:cNvPicPr>
                      <a:picLocks noChangeArrowheads="1" noChangeAspect="1"/>
                    </pic:cNvPicPr>
                  </pic:nvPicPr>
                  <pic:blipFill>
                    <a:blip r:embed="rId2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Estimates from the common-set-adjusted model (Model 1: adjusted for age, sex, smoking, alcohol, presence of vascular comorbidites) were comparable to the fully-adjusted model (Model 2: Model 1 further adjusted for education and BMI) for the effect of lipids on all-cause dementia in cohorts reporting all covariates of interest (Figure</w:t>
      </w:r>
      <w:r>
        <w:t xml:space="preserve"> </w:t>
      </w:r>
      <w:r>
        <w:t xml:space="preserve">37</w:t>
      </w:r>
      <w:r>
        <w:t xml:space="preserve">).</w:t>
      </w:r>
    </w:p>
    <w:p>
      <w:pPr>
        <w:pStyle w:val="BodyText"/>
      </w:pPr>
      <w:r>
        <w:drawing>
          <wp:inline>
            <wp:extent cx="5943600" cy="5200650"/>
            <wp:effectExtent b="0" l="0" r="0" t="0"/>
            <wp:docPr descr="Figure 37: Comparison of results from the common-set-adjusted (Model 1) and fully-adjusted (Model 2) analyses." title="" id="1" name="Picture"/>
            <a:graphic>
              <a:graphicData uri="http://schemas.openxmlformats.org/drawingml/2006/picture">
                <pic:pic>
                  <pic:nvPicPr>
                    <pic:cNvPr descr="figures/ipd/main_model_comparison.png" id="0" name="Picture"/>
                    <pic:cNvPicPr>
                      <a:picLocks noChangeArrowheads="1" noChangeAspect="1"/>
                    </pic:cNvPicPr>
                  </pic:nvPicPr>
                  <pic:blipFill>
                    <a:blip r:embed="rId250"/>
                    <a:stretch>
                      <a:fillRect/>
                    </a:stretch>
                  </pic:blipFill>
                  <pic:spPr bwMode="auto">
                    <a:xfrm>
                      <a:off x="0" y="0"/>
                      <a:ext cx="5943600" cy="5200650"/>
                    </a:xfrm>
                    <a:prstGeom prst="rect">
                      <a:avLst/>
                    </a:prstGeom>
                    <a:noFill/>
                    <a:ln w="9525">
                      <a:noFill/>
                      <a:headEnd/>
                      <a:tailEnd/>
                    </a:ln>
                  </pic:spPr>
                </pic:pic>
              </a:graphicData>
            </a:graphic>
          </wp:inline>
        </w:drawing>
      </w:r>
      <w:r>
        <w:t xml:space="preserve"> </w:t>
      </w:r>
    </w:p>
    <w:p>
      <w:pPr>
        <w:pStyle w:val="BodyText"/>
      </w:pPr>
      <w:r>
        <w:t xml:space="preserve"> </w:t>
      </w:r>
    </w:p>
    <w:bookmarkEnd w:id="251"/>
    <w:bookmarkStart w:id="255" w:name="interaction-effects"/>
    <w:p>
      <w:pPr>
        <w:pStyle w:val="Heading4"/>
      </w:pPr>
      <w:r>
        <w:t xml:space="preserve">Interaction effects</w:t>
      </w:r>
    </w:p>
    <w:p>
      <w:pPr>
        <w:pStyle w:val="FirstParagraph"/>
      </w:pPr>
      <w:r>
        <w:t xml:space="preserve">For all-cause dementia, there was no evidence of an interaction of lipid levels with either age group or sex (Figures</w:t>
      </w:r>
      <w:r>
        <w:t xml:space="preserve"> </w:t>
      </w:r>
      <w:r>
        <w:t xml:space="preserve">38</w:t>
      </w:r>
      <w:r>
        <w:t xml:space="preserve"> </w:t>
      </w:r>
      <w:r>
        <w:t xml:space="preserve">&amp;</w:t>
      </w:r>
      <w:r>
        <w:t xml:space="preserve"> </w:t>
      </w:r>
      <w:r>
        <w:t xml:space="preserve">39</w:t>
      </w:r>
      <w:r>
        <w:t xml:space="preserve">). Note that for the sex interaction analysis, the CaPS cohort was excluded as it contains only a single sex and therefore provides no information on exposure-sex interaction.</w:t>
      </w:r>
    </w:p>
    <w:p>
      <w:pPr>
        <w:pStyle w:val="BodyText"/>
      </w:pPr>
      <w:r>
        <w:drawing>
          <wp:inline>
            <wp:extent cx="5943600" cy="4457700"/>
            <wp:effectExtent b="0" l="0" r="0" t="0"/>
            <wp:docPr descr="Figure 38: Meta-analysis of interaction terms representing the effect of a one-step increase in age group on the lipid/all-cause dementia association" title="" id="1" name="Picture"/>
            <a:graphic>
              <a:graphicData uri="http://schemas.openxmlformats.org/drawingml/2006/picture">
                <pic:pic>
                  <pic:nvPicPr>
                    <pic:cNvPr descr="figures/ipd/interaction_age_dementia.png" id="0" name="Picture"/>
                    <pic:cNvPicPr>
                      <a:picLocks noChangeArrowheads="1" noChangeAspect="1"/>
                    </pic:cNvPicPr>
                  </pic:nvPicPr>
                  <pic:blipFill>
                    <a:blip r:embed="rId252"/>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9: Meta-analysis of interaction terms representing the effect of male gender on the lipid/all-cause dementia association" title="" id="1" name="Picture"/>
            <a:graphic>
              <a:graphicData uri="http://schemas.openxmlformats.org/drawingml/2006/picture">
                <pic:pic>
                  <pic:nvPicPr>
                    <pic:cNvPr descr="figures/ipd/interaction_sex_dementia.png" id="0" name="Picture"/>
                    <pic:cNvPicPr>
                      <a:picLocks noChangeArrowheads="1" noChangeAspect="1"/>
                    </pic:cNvPicPr>
                  </pic:nvPicPr>
                  <pic:blipFill>
                    <a:blip r:embed="rId253"/>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For the consideration of vascular dementia, I was only able to explore the effect of age, as only the CaPS and Whitehall cohorts contained details on vascular dementia as an outcome. As discussed above, the CaPS data contained a single sex excluding it from a exposure-sex analysis, leaving Whitehall II as the sole eligible study.</w:t>
      </w:r>
    </w:p>
    <w:p>
      <w:pPr>
        <w:pStyle w:val="BodyText"/>
      </w:pPr>
      <w:r>
        <w:drawing>
          <wp:inline>
            <wp:extent cx="5943600" cy="4457700"/>
            <wp:effectExtent b="0" l="0" r="0" t="0"/>
            <wp:docPr descr="Figure 40: Meta-analysis of interaction terms representing the effect of a one-step increase in age group on the lipid/vascular dementia association" title="" id="1" name="Picture"/>
            <a:graphic>
              <a:graphicData uri="http://schemas.openxmlformats.org/drawingml/2006/picture">
                <pic:pic>
                  <pic:nvPicPr>
                    <pic:cNvPr descr="figures/ipd/interaction_age_vasdem.png" id="0" name="Picture"/>
                    <pic:cNvPicPr>
                      <a:picLocks noChangeArrowheads="1" noChangeAspect="1"/>
                    </pic:cNvPicPr>
                  </pic:nvPicPr>
                  <pic:blipFill>
                    <a:blip r:embed="rId254"/>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 </w:t>
      </w:r>
    </w:p>
    <w:bookmarkEnd w:id="255"/>
    <w:bookmarkStart w:id="257" w:name="comparison-with-previous-analyses"/>
    <w:p>
      <w:pPr>
        <w:pStyle w:val="Heading4"/>
      </w:pPr>
      <w:r>
        <w:t xml:space="preserve">Comparison with previous analyses</w:t>
      </w:r>
    </w:p>
    <w:p>
      <w:pPr>
        <w:pStyle w:val="FirstParagraph"/>
      </w:pPr>
      <w:r>
        <w:t xml:space="preserve">For the single cohort where a previously published analysis was available (Whitehall II), results from the maximally-adjusted model for both all-cause dementia and Alzheimer’s disease were comparable, with the exception of the trigluceride fraction (Figure</w:t>
      </w:r>
      <w:r>
        <w:t xml:space="preserve"> </w:t>
      </w:r>
      <w:r>
        <w:t xml:space="preserve">41</w:t>
      </w:r>
      <w:r>
        <w:t xml:space="preserve">). Tynkkynen</w:t>
      </w:r>
      <w:r>
        <w:t xml:space="preserve"> </w:t>
      </w:r>
      <w:r>
        <w:rPr>
          <w:iCs/>
          <w:i/>
        </w:rPr>
        <w:t xml:space="preserve">et al.</w:t>
      </w:r>
      <w:hyperlink w:anchor="ref-tynkkynen2018">
        <w:r>
          <w:rPr>
            <w:rStyle w:val="Hyperlink"/>
            <w:vertAlign w:val="superscript"/>
          </w:rPr>
          <w:t xml:space="preserve">240</w:t>
        </w:r>
      </w:hyperlink>
      <w:r>
        <w:t xml:space="preserve"> </w:t>
      </w:r>
      <w:r>
        <w:t xml:space="preserve">found a protective effect of triglycerides on all-cause dementia (HR: 0.69, 95%CI: 0.56-0.85) while this analysis found evidence for a harmful effect (OR: 1.26, 95%CI: 1.12-1.41).</w:t>
      </w:r>
    </w:p>
    <w:p>
      <w:pPr>
        <w:pStyle w:val="BodyText"/>
      </w:pPr>
      <w:r>
        <w:drawing>
          <wp:inline>
            <wp:extent cx="5943600" cy="5094514"/>
            <wp:effectExtent b="0" l="0" r="0" t="0"/>
            <wp:docPr descr="Figure 41: Comparison of results across the two analysis of the Whitehall II cohort" title="" id="1" name="Picture"/>
            <a:graphic>
              <a:graphicData uri="http://schemas.openxmlformats.org/drawingml/2006/picture">
                <pic:pic>
                  <pic:nvPicPr>
                    <pic:cNvPr descr="figures/ipd/whitehall_comparison.png" id="0" name="Picture"/>
                    <pic:cNvPicPr>
                      <a:picLocks noChangeArrowheads="1" noChangeAspect="1"/>
                    </pic:cNvPicPr>
                  </pic:nvPicPr>
                  <pic:blipFill>
                    <a:blip r:embed="rId256"/>
                    <a:stretch>
                      <a:fillRect/>
                    </a:stretch>
                  </pic:blipFill>
                  <pic:spPr bwMode="auto">
                    <a:xfrm>
                      <a:off x="0" y="0"/>
                      <a:ext cx="5943600" cy="5094514"/>
                    </a:xfrm>
                    <a:prstGeom prst="rect">
                      <a:avLst/>
                    </a:prstGeom>
                    <a:noFill/>
                    <a:ln w="9525">
                      <a:noFill/>
                      <a:headEnd/>
                      <a:tailEnd/>
                    </a:ln>
                  </pic:spPr>
                </pic:pic>
              </a:graphicData>
            </a:graphic>
          </wp:inline>
        </w:drawing>
      </w:r>
      <w:r>
        <w:t xml:space="preserve"> </w:t>
      </w:r>
    </w:p>
    <w:p>
      <w:pPr>
        <w:pStyle w:val="BodyText"/>
      </w:pPr>
      <w:r>
        <w:t xml:space="preserve"> </w:t>
      </w:r>
    </w:p>
    <w:bookmarkEnd w:id="257"/>
    <w:bookmarkEnd w:id="258"/>
    <w:bookmarkEnd w:id="259"/>
    <w:bookmarkStart w:id="268" w:name="discussion-3"/>
    <w:p>
      <w:pPr>
        <w:pStyle w:val="Heading2"/>
      </w:pPr>
      <w:r>
        <w:t xml:space="preserve">Discussion</w:t>
      </w:r>
    </w:p>
    <w:bookmarkStart w:id="260" w:name="summary-of-findings-2"/>
    <w:p>
      <w:pPr>
        <w:pStyle w:val="Heading3"/>
      </w:pPr>
      <w:r>
        <w:t xml:space="preserve">Summary of findings</w:t>
      </w:r>
    </w:p>
    <w:p>
      <w:pPr>
        <w:pStyle w:val="FirstParagraph"/>
      </w:pPr>
      <w:r>
        <w:t xml:space="preserve">This analysis requested data from 37 data sources, but only obtained data from three, all of which were based in the United Kingdom. No evidence for an effect of lipids on the risk of dementia or related outcomes was identified, except for a harmful association of raised triglycerides with risk of vascular dementia Similarly, there was very weak evidence for an interaction of the effect of lipids levels on dementia outcomes with participants age, grouped into 5 year bands, or sex.</w:t>
      </w:r>
    </w:p>
    <w:p>
      <w:pPr>
        <w:pStyle w:val="BodyText"/>
      </w:pPr>
      <w:r>
        <w:t xml:space="preserve">Similar to the analysis of CPRD data presented in the previous chapter, this discussion will not provide a detailed comparison of the results of this analysis with other published literature, except where needed to illustrate a methodological point. For a detailed comparison of the findings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t xml:space="preserve"> </w:t>
      </w:r>
    </w:p>
    <w:bookmarkEnd w:id="260"/>
    <w:bookmarkStart w:id="264" w:name="limitations-1"/>
    <w:p>
      <w:pPr>
        <w:pStyle w:val="Heading3"/>
      </w:pPr>
      <w:r>
        <w:t xml:space="preserve">Limitations</w:t>
      </w:r>
    </w:p>
    <w:bookmarkStart w:id="261" w:name="low-response-rate-to-request-for-data"/>
    <w:p>
      <w:pPr>
        <w:pStyle w:val="Heading4"/>
      </w:pPr>
      <w:r>
        <w:t xml:space="preserve">Low response rate to request for data</w:t>
      </w:r>
    </w:p>
    <w:p>
      <w:pPr>
        <w:pStyle w:val="FirstParagraph"/>
      </w:pPr>
      <w:r>
        <w:t xml:space="preserve">The obvious key limitation of this analysis is the very low response rate to requests for data access, which may bias the results if there are systematic differences between cohorts that share data and those that do not.</w:t>
      </w:r>
      <w:hyperlink w:anchor="ref-ahmed2012">
        <w:r>
          <w:rPr>
            <w:rStyle w:val="Hyperlink"/>
            <w:vertAlign w:val="superscript"/>
          </w:rPr>
          <w:t xml:space="preserve">327</w:t>
        </w:r>
      </w:hyperlink>
      <w:r>
        <w:t xml:space="preserve"> </w:t>
      </w:r>
      <w:r>
        <w:t xml:space="preserve">Whether or not to press ahead with an IPD analysis in the absence of all (or even most) data is a personal decision, and some previous analyses have highlighted where they decided not to pursue an IPD study.</w:t>
      </w:r>
      <w:hyperlink w:anchor="ref-jaspers2014">
        <w:r>
          <w:rPr>
            <w:rStyle w:val="Hyperlink"/>
            <w:vertAlign w:val="superscript"/>
          </w:rPr>
          <w:t xml:space="preserve">328</w:t>
        </w:r>
      </w:hyperlink>
      <w:r>
        <w:t xml:space="preserve"> </w:t>
      </w:r>
      <w:r>
        <w:t xml:space="preserve">For the purposes of this thesis, the decision was made to conduct the IPD analysis, as it provided training in pplication of the methods in addition to providing additional evidence sources that could be incorporated into the triangulation exercise detailed in Chapter</w:t>
      </w:r>
      <w:r>
        <w:t xml:space="preserve"> </w:t>
      </w:r>
      <w:r>
        <w:t xml:space="preserve">7</w:t>
      </w:r>
      <w:r>
        <w:t xml:space="preserve">.</w:t>
      </w:r>
    </w:p>
    <w:p>
      <w:pPr>
        <w:pStyle w:val="BodyText"/>
      </w:pPr>
      <w:r>
        <w:t xml:space="preserve">A low response rate is not unexpected, given that a review of IPD studies published between 1987 and 2015 found that fewer than half managed to obtained data from greater than 80% of studies, and that in many cases, the exact percentage of studies for which data were obtained was not accurately reported.</w:t>
      </w:r>
      <w:hyperlink w:anchor="ref-nevitt2017">
        <w:r>
          <w:rPr>
            <w:rStyle w:val="Hyperlink"/>
            <w:vertAlign w:val="superscript"/>
          </w:rPr>
          <w:t xml:space="preserve">102</w:t>
        </w:r>
      </w:hyperlink>
      <w:r>
        <w:t xml:space="preserve"> </w:t>
      </w:r>
      <w:r>
        <w:t xml:space="preserve">However, it is assumed that a ~10% response rate is at the lower end of the scale.</w:t>
      </w:r>
    </w:p>
    <w:p>
      <w:pPr>
        <w:pStyle w:val="BodyText"/>
      </w:pPr>
      <w:r>
        <w:t xml:space="preserve">There are likely several likely reasons for this low response rate to requests for data access. In general terms, there are a several well-documented reasons why data are not made readily available, including concerns regarding participant privacy and</w:t>
      </w:r>
      <w:r>
        <w:t xml:space="preserve"> </w:t>
      </w:r>
      <w:r>
        <w:t xml:space="preserve">“</w:t>
      </w:r>
      <w:r>
        <w:t xml:space="preserve">scooping</w:t>
      </w:r>
      <w:r>
        <w:t xml:space="preserve">”</w:t>
      </w:r>
      <w:r>
        <w:t xml:space="preserve"> </w:t>
      </w:r>
      <w:r>
        <w:t xml:space="preserve">or</w:t>
      </w:r>
      <w:r>
        <w:t xml:space="preserve"> </w:t>
      </w:r>
      <w:r>
        <w:t xml:space="preserve">“</w:t>
      </w:r>
      <w:r>
        <w:t xml:space="preserve">parasitic</w:t>
      </w:r>
      <w:r>
        <w:t xml:space="preserve">”</w:t>
      </w:r>
      <w:r>
        <w:t xml:space="preserve"> </w:t>
      </w:r>
      <w:r>
        <w:t xml:space="preserve">behaviour, and a lack of trust between primary and secondary researchers.</w:t>
      </w:r>
      <w:hyperlink w:anchor="ref-vanpanhuis2014">
        <w:r>
          <w:rPr>
            <w:rStyle w:val="Hyperlink"/>
            <w:vertAlign w:val="superscript"/>
          </w:rPr>
          <w:t xml:space="preserve">107</w:t>
        </w:r>
      </w:hyperlink>
      <w:r>
        <w:t xml:space="preserve"> </w:t>
      </w:r>
      <w:r>
        <w:t xml:space="preserve">More specific to this analysis, individual participant data meta-analysis including studies other than randomised controlled trials have less success in obtaining individual participant data from studies.</w:t>
      </w:r>
      <w:hyperlink w:anchor="ref-nevitt2017">
        <w:r>
          <w:rPr>
            <w:rStyle w:val="Hyperlink"/>
            <w:vertAlign w:val="superscript"/>
          </w:rPr>
          <w:t xml:space="preserve">102</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senior academic might. The timing of the requests for data access, coinciding with a global pandemic, may also have affected the response rate as researchers prioritised other COVID-related work.</w:t>
      </w:r>
    </w:p>
    <w:p>
      <w:pPr>
        <w:pStyle w:val="BodyText"/>
      </w:pPr>
      <w:r>
        <w:t xml:space="preserve">Finally, the method of contact used (email) has been shown to be less successful in eliciting responses from authors when compared with telephoning.</w:t>
      </w:r>
      <w:hyperlink w:anchor="ref-danko2019">
        <w:r>
          <w:rPr>
            <w:rStyle w:val="Hyperlink"/>
            <w:vertAlign w:val="superscript"/>
          </w:rPr>
          <w:t xml:space="preserve">329</w:t>
        </w:r>
      </w:hyperlink>
      <w:r>
        <w:t xml:space="preserve"> </w:t>
      </w:r>
      <w:r>
        <w:t xml:space="preserve">One of the reasons for this may be that the email addresses reported on publications are more likely to be out of date for older publications. Anecdotally, post-hoc investigation of a subset of cohorts revealed that several corresponding/first authors were no longer at the same institution as when the study was reported, and as a result, were unlikely to have access to the institutional email address listed on the study publication.</w:t>
      </w:r>
    </w:p>
    <w:p>
      <w:pPr>
        <w:pStyle w:val="BodyText"/>
      </w:pPr>
      <w:r>
        <w:t xml:space="preserve">The barriers to data access described above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process would be aided by a clearer distinction between those cohorts that are</w:t>
      </w:r>
      <w:r>
        <w:t xml:space="preserve"> </w:t>
      </w:r>
      <w:r>
        <w:t xml:space="preserve">“</w:t>
      </w:r>
      <w:r>
        <w:t xml:space="preserve">DPUK native</w:t>
      </w:r>
      <w:r>
        <w:t xml:space="preserve">”</w:t>
      </w:r>
      <w:r>
        <w:t xml:space="preserve"> </w:t>
      </w:r>
      <w:r>
        <w:t xml:space="preserve">(i.e. where a copy of the data is already held on DPUK servers) versus externally hosted, as the response time for externally hosted cohorts is likely to be much longer.</w:t>
      </w:r>
    </w:p>
    <w:p>
      <w:pPr>
        <w:pStyle w:val="BodyText"/>
      </w:pPr>
      <w:r>
        <w:t xml:space="preserve"> </w:t>
      </w:r>
    </w:p>
    <w:bookmarkEnd w:id="261"/>
    <w:bookmarkStart w:id="262" w:name="uncontrolled-confounding"/>
    <w:p>
      <w:pPr>
        <w:pStyle w:val="Heading4"/>
      </w:pPr>
      <w:r>
        <w:t xml:space="preserve">Uncontrolled confounding</w:t>
      </w:r>
    </w:p>
    <w:p>
      <w:pPr>
        <w:pStyle w:val="FirstParagraph"/>
      </w:pPr>
      <w:r>
        <w:t xml:space="preserve">A key limitation of this analysis is the potential for uncontrolled confounding. Across all cohorts, adjustment for ApoE4 was not possible as I did not have access to genetic data on participants. As discussed above in relation to the Tynkkynen</w:t>
      </w:r>
      <w:r>
        <w:t xml:space="preserve"> </w:t>
      </w:r>
      <w:r>
        <w:rPr>
          <w:iCs/>
          <w:i/>
        </w:rPr>
        <w:t xml:space="preserve">et al.</w:t>
      </w:r>
      <w:r>
        <w:t xml:space="preserve"> </w:t>
      </w:r>
      <w:r>
        <w:t xml:space="preserve">analysis, ApoE4 is a strong risk factor for both increased LDL-c levels and Alzheimer’s disease.</w:t>
      </w:r>
      <w:hyperlink w:anchor="ref-bennet2007">
        <w:r>
          <w:rPr>
            <w:rStyle w:val="Hyperlink"/>
            <w:vertAlign w:val="superscript"/>
          </w:rPr>
          <w:t xml:space="preserve">311</w:t>
        </w:r>
      </w:hyperlink>
      <w:r>
        <w:rPr>
          <w:vertAlign w:val="superscript"/>
        </w:rPr>
        <w:t xml:space="preserve">,</w:t>
      </w:r>
      <w:hyperlink w:anchor="ref-safieh2019">
        <w:r>
          <w:rPr>
            <w:rStyle w:val="Hyperlink"/>
            <w:vertAlign w:val="superscript"/>
          </w:rPr>
          <w:t xml:space="preserve">330</w:t>
        </w:r>
      </w:hyperlink>
      <w:r>
        <w:t xml:space="preserve"> </w:t>
      </w:r>
      <w:r>
        <w:t xml:space="preserve">Failing to adjust for this factor means confounding in the LDL-c fraction results is likely.</w:t>
      </w:r>
    </w:p>
    <w:p>
      <w:pPr>
        <w:pStyle w:val="BodyText"/>
      </w:pPr>
      <w:r>
        <w:t xml:space="preserve">More generally, systematically missing variables meant that a trade-off between inclusion of cohort data and appropriate control for confounding was required, resulting in the potential for uncontrolled confounding due to education and BMI. However, sensitivity analysis comparing the commom-set-adjusted (Model 1) and fully-adjusted (Model 2) models in cohorts with a full complement of covariates indicated that further adjustment for BMI and education had minimal impact on the effect estimates.</w:t>
      </w:r>
    </w:p>
    <w:bookmarkEnd w:id="262"/>
    <w:bookmarkStart w:id="263" w:name="discrepancy-with-previous-analysis"/>
    <w:p>
      <w:pPr>
        <w:pStyle w:val="Heading4"/>
      </w:pPr>
      <w:r>
        <w:t xml:space="preserve">Discrepancy with previous analysis</w:t>
      </w:r>
    </w:p>
    <w:p>
      <w:pPr>
        <w:pStyle w:val="FirstParagraph"/>
      </w:pPr>
      <w:r>
        <w:t xml:space="preserve">I found a qualitative difference between the association of triglycerides and all-cause dementia identified in this analysis and that previously reported by Tynkkynen</w:t>
      </w:r>
      <w:r>
        <w:t xml:space="preserve"> </w:t>
      </w:r>
      <w:r>
        <w:rPr>
          <w:iCs/>
          <w:i/>
        </w:rPr>
        <w:t xml:space="preserve">et al.</w:t>
      </w:r>
      <w:hyperlink w:anchor="ref-tynkkynen2018">
        <w:r>
          <w:rPr>
            <w:rStyle w:val="Hyperlink"/>
            <w:vertAlign w:val="superscript"/>
          </w:rPr>
          <w:t xml:space="preserve">240</w:t>
        </w:r>
      </w:hyperlink>
      <w:r>
        <w:t xml:space="preserve"> </w:t>
      </w:r>
      <w:r>
        <w:t xml:space="preserve">Investigation of this discrepancy indicated that it was likely to be due to the Whitehall snapshot that each analysis had access to, as comparison of summary statistics indicated that this analysis had substantially more dementia events (n=287 in this analysis vs. n=114 in Tynkkynen</w:t>
      </w:r>
      <w:r>
        <w:t xml:space="preserve"> </w:t>
      </w:r>
      <w:r>
        <w:rPr>
          <w:iCs/>
          <w:i/>
        </w:rPr>
        <w:t xml:space="preserve">et al.</w:t>
      </w:r>
      <w:r>
        <w:t xml:space="preserve">). The covariates adjusted for in each analysis were similar, though the previous analysis had access to genetic data, allowing it to adjust for ApoE4 status. However, given that ApoE4 is a risk factor for increased LDL-c rather than triglycerides,</w:t>
      </w:r>
      <w:hyperlink w:anchor="ref-bennet2007">
        <w:r>
          <w:rPr>
            <w:rStyle w:val="Hyperlink"/>
            <w:vertAlign w:val="superscript"/>
          </w:rPr>
          <w:t xml:space="preserve">311</w:t>
        </w:r>
      </w:hyperlink>
      <w:r>
        <w:t xml:space="preserve"> </w:t>
      </w:r>
      <w:r>
        <w:t xml:space="preserve">it seems unlikely that additional adjustment for this variable is responsible for the discrepancy in findings observed.</w:t>
      </w:r>
    </w:p>
    <w:p>
      <w:pPr>
        <w:pStyle w:val="BodyText"/>
      </w:pPr>
      <w:r>
        <w:t xml:space="preserve"> </w:t>
      </w:r>
    </w:p>
    <w:bookmarkEnd w:id="263"/>
    <w:bookmarkEnd w:id="264"/>
    <w:bookmarkStart w:id="265" w:name="strengths-1"/>
    <w:p>
      <w:pPr>
        <w:pStyle w:val="Heading3"/>
      </w:pPr>
      <w:r>
        <w:t xml:space="preserve">Strengths</w:t>
      </w:r>
    </w:p>
    <w:p>
      <w:pPr>
        <w:pStyle w:val="FirstParagraph"/>
      </w:pPr>
      <w:r>
        <w:rPr>
          <w:bCs/>
          <w:b/>
        </w:rPr>
        <w:t xml:space="preserve">[Note: I feel quite negatively about this analysis, so suggestions for other strengths to flesh out this section would be welcome!]</w:t>
      </w:r>
    </w:p>
    <w:p>
      <w:pPr>
        <w:pStyle w:val="BodyText"/>
      </w:pPr>
      <w:r>
        <w:t xml:space="preserve">While this analysis did not manage to systematically obtain and analyse a large proportion of identified data, it did enable an analysis of two previously unanalysed datasets - the CaPS and EPIC Norfolk cohorts - providing additional data that is incorporated into the triangulation exercise reported in Chapter</w:t>
      </w:r>
      <w:r>
        <w:t xml:space="preserve"> </w:t>
      </w:r>
      <w:r>
        <w:t xml:space="preserve">7</w:t>
      </w:r>
      <w:r>
        <w:t xml:space="preserve">.</w:t>
      </w:r>
    </w:p>
    <w:p>
      <w:pPr>
        <w:pStyle w:val="BodyText"/>
      </w:pPr>
      <w:r>
        <w:t xml:space="preserve">Additionally, it provides new evidence on a previously unexplored outcome, vascular dementia, in the Whitehall II dataset, adding to the extremely small evidence base for this outcome identified by the systematic review presented in Chapters</w:t>
      </w:r>
      <w:r>
        <w:t xml:space="preserve"> </w:t>
      </w:r>
      <w:r>
        <w:t xml:space="preserve">??</w:t>
      </w:r>
      <w:r>
        <w:t xml:space="preserve"> </w:t>
      </w:r>
      <w:r>
        <w:t xml:space="preserve">&amp;</w:t>
      </w:r>
      <w:r>
        <w:t xml:space="preserve"> </w:t>
      </w:r>
      <w:r>
        <w:t xml:space="preserve">4</w:t>
      </w:r>
      <w:r>
        <w:t xml:space="preserve">.</w:t>
      </w:r>
    </w:p>
    <w:p>
      <w:pPr>
        <w:pStyle w:val="BodyText"/>
      </w:pPr>
      <w:r>
        <w:t xml:space="preserve"> </w:t>
      </w:r>
    </w:p>
    <w:bookmarkEnd w:id="265"/>
    <w:bookmarkStart w:id="266"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316</w:t>
        </w:r>
      </w:hyperlink>
      <w:r>
        <w:t xml:space="preserve"> </w:t>
      </w:r>
      <w:r>
        <w:t xml:space="preserve">and in line with this, data cleaning for this analysis took substantially longer than expected. While the cohort response rate was substantially lower that expected, given the time and resource of data cleaning and harmonisation for just three cohorts, a situation in which all 37 cohorts responded positively would have been logistically challenging within the scope of my PhD.</w:t>
      </w:r>
    </w:p>
    <w:p>
      <w:pPr>
        <w:pStyle w:val="BodyText"/>
      </w:pPr>
      <w:r>
        <w:t xml:space="preserve"> </w:t>
      </w:r>
    </w:p>
    <w:bookmarkEnd w:id="266"/>
    <w:bookmarkStart w:id="267" w:name="future-work"/>
    <w:p>
      <w:pPr>
        <w:pStyle w:val="Heading3"/>
      </w:pPr>
      <w:r>
        <w:t xml:space="preserve">Future work</w:t>
      </w:r>
    </w:p>
    <w:p>
      <w:pPr>
        <w:pStyle w:val="FirstParagraph"/>
      </w:pPr>
      <w:r>
        <w:t xml:space="preserve">While it is tempting to suggest that an IPD analysis of lipid levels be reattempted, without empirically guided approaches to increase the response rate, this may just result in a similarly small set of studies as described here. In line with the limitations considered earlier in this chapter, future methodological work could formally consider the effect of requester characteristics (sex, location, career stage) on response rates in IPD analyses.</w:t>
      </w:r>
    </w:p>
    <w:p>
      <w:pPr>
        <w:pStyle w:val="BodyText"/>
      </w:pPr>
      <w:r>
        <w:t xml:space="preserve">Additionally, the production of detailed guidance for handling cases where covariates are systematically missing. Much of the literature around IPD analysis is focused on the synthesis of trials, where additional covariate information is needed primarily for the assessment of treatment-covariate interactions rather than the adjustment of the effect estimate for confounding. Given the wide availability of non-randomised cohorts, improved guidance on this challenge would support future work.</w:t>
      </w:r>
    </w:p>
    <w:p>
      <w:pPr>
        <w:pStyle w:val="BodyText"/>
      </w:pPr>
      <w:r>
        <w:t xml:space="preserve">Finally, a movement towards increased use of unique persistent identification of researchers, through schemes such as the ORCID programme,</w:t>
      </w:r>
      <w:hyperlink w:anchor="ref-nature2009">
        <w:r>
          <w:rPr>
            <w:rStyle w:val="Hyperlink"/>
            <w:vertAlign w:val="superscript"/>
          </w:rPr>
          <w:t xml:space="preserve">331</w:t>
        </w:r>
      </w:hyperlink>
      <w:r>
        <w:t xml:space="preserve"> </w:t>
      </w:r>
      <w:r>
        <w:t xml:space="preserve">would help with contact issues. Researchers move institutions regularly as their contracts come to an end, and so the institutional contact details provided on publications are frequently out of date.</w:t>
      </w:r>
    </w:p>
    <w:p>
      <w:pPr>
        <w:pStyle w:val="BodyText"/>
      </w:pPr>
      <w:r>
        <w:t xml:space="preserve"> </w:t>
      </w:r>
    </w:p>
    <w:bookmarkEnd w:id="267"/>
    <w:bookmarkEnd w:id="268"/>
    <w:bookmarkStart w:id="269" w:name="summary-5"/>
    <w:p>
      <w:pPr>
        <w:pStyle w:val="Heading2"/>
      </w:pPr>
      <w:r>
        <w:t xml:space="preserve">Summary</w:t>
      </w:r>
    </w:p>
    <w:p>
      <w:pPr>
        <w:numPr>
          <w:ilvl w:val="0"/>
          <w:numId w:val="1014"/>
        </w:numPr>
      </w:pPr>
      <w:r>
        <w:t xml:space="preserve">In this chapter, I performed an IPD meta-analysis to investigate the effect of blood lipid levels on risk of incident dementia. There was a very low response rate to requests for data access, resulting in the inclusion of only three cohorts.</w:t>
      </w:r>
    </w:p>
    <w:p>
      <w:pPr>
        <w:numPr>
          <w:ilvl w:val="0"/>
          <w:numId w:val="1014"/>
        </w:numPr>
      </w:pPr>
      <w:r>
        <w:t xml:space="preserve">I found very weak evidence for an association of any lipid with either all-cause or vascular dementia, except for an increased risk of vascular dementia associated with raised triglycerides. Similarly, there was very weak evidence that the association of blood lipids and dementia outcomes varied by patient age or sex.</w:t>
      </w:r>
    </w:p>
    <w:p>
      <w:pPr>
        <w:numPr>
          <w:ilvl w:val="0"/>
          <w:numId w:val="1014"/>
        </w:numPr>
      </w:pPr>
      <w:r>
        <w:t xml:space="preserve">I discussed potential reasons for the low response rate, and explored other limitations of this analysis. I highlighted the contribution of this work to the wider topic via the analysis of previously unexplored cohorts (CaPS &amp; EPIC) and outcomes (vascular dementia). Finally, I recommended that future research formally investigate the impact of request characteristics on requests for data.</w:t>
      </w:r>
    </w:p>
    <w:p>
      <w:pPr>
        <w:numPr>
          <w:ilvl w:val="0"/>
          <w:numId w:val="1014"/>
        </w:numPr>
      </w:pPr>
      <w:r>
        <w:t xml:space="preserve">The new evidence produced by this analysis will be incorporated, along with evidence identified or produced in the previous chapters, into the triangulation analysis presented in the following chapter.</w:t>
      </w:r>
    </w:p>
    <w:p>
      <w:r>
        <w:br w:type="page"/>
      </w:r>
    </w:p>
    <w:bookmarkEnd w:id="269"/>
    <w:bookmarkStart w:id="270" w:name="references-4"/>
    <w:p>
      <w:pPr>
        <w:pStyle w:val="Heading2"/>
      </w:pPr>
      <w:r>
        <w:t xml:space="preserve">References</w:t>
      </w:r>
    </w:p>
    <w:bookmarkEnd w:id="270"/>
    <w:bookmarkEnd w:id="271"/>
    <w:bookmarkStart w:id="314" w:name="tri-heading"/>
    <w:p>
      <w:pPr>
        <w:pStyle w:val="Heading1"/>
      </w:pPr>
      <w:r>
        <w:t xml:space="preserve">Aetiological triangulation across new and existing evidence sources</w:t>
      </w:r>
    </w:p>
    <w:p>
      <w:pPr>
        <w:pStyle w:val="FirstParagraph"/>
      </w:pPr>
    </w:p>
    <w:bookmarkStart w:id="272" w:name="lay-summary-6"/>
    <w:p>
      <w:pPr>
        <w:pStyle w:val="Heading2"/>
      </w:pPr>
      <w:r>
        <w:t xml:space="preserve">Lay summary</w:t>
      </w:r>
    </w:p>
    <w:p>
      <w:pPr>
        <w:pStyle w:val="FirstParagraph"/>
      </w:pPr>
      <w:r>
        <w:rPr>
          <w:bCs/>
          <w:b/>
        </w:rPr>
        <w:t xml:space="preserve">TBC</w:t>
      </w:r>
    </w:p>
    <w:p>
      <w:pPr>
        <w:pStyle w:val="BodyText"/>
      </w:pPr>
      <w:r>
        <w:t xml:space="preserve"> </w:t>
      </w:r>
    </w:p>
    <w:p>
      <w:r>
        <w:br w:type="page"/>
      </w:r>
    </w:p>
    <w:p>
      <w:r>
        <w:br w:type="page"/>
      </w:r>
    </w:p>
    <w:bookmarkEnd w:id="272"/>
    <w:bookmarkStart w:id="273" w:name="triangulation-overview"/>
    <w:p>
      <w:pPr>
        <w:pStyle w:val="Heading2"/>
      </w:pPr>
      <w:r>
        <w:t xml:space="preserve">Introduction</w:t>
      </w:r>
    </w:p>
    <w:p>
      <w:pPr>
        <w:pStyle w:val="FirstParagraph"/>
      </w:pPr>
      <w:r>
        <w:t xml:space="preserve">Aetiological triangulation, or simply triangulation, is the process of comparing and contrasting across different sources of evidence. Triangulation is broadly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332</w:t>
        </w:r>
      </w:hyperlink>
      <w:r>
        <w:t xml:space="preserve"> </w:t>
      </w:r>
      <w:r>
        <w:t xml:space="preserve">where contexts are assumed to have different underlying bias structures. More formally it can be defined as:</w:t>
      </w:r>
    </w:p>
    <w:p>
      <w:pPr>
        <w:pStyle w:val="BlockText"/>
      </w:pPr>
      <w:r>
        <w:t xml:space="preserve">The practice of strengthening causal inferences by integrating results from several different approaches, where each approach has different (and assumed to be largely unrelated) key sources of potential bias.</w:t>
      </w:r>
      <w:hyperlink w:anchor="ref-lawlor2016">
        <w:r>
          <w:rPr>
            <w:rStyle w:val="Hyperlink"/>
            <w:vertAlign w:val="superscript"/>
          </w:rPr>
          <w:t xml:space="preserve">88</w:t>
        </w:r>
      </w:hyperlink>
    </w:p>
    <w:p>
      <w:pPr>
        <w:pStyle w:val="FirstParagraph"/>
      </w:pPr>
      <w:r>
        <w:t xml:space="preserve">This approach represents a significant step forward from the current practice of synthesising evidence from only one type of study (e.g. randomised controlled trials (RCTs), non-randomised studies of exposures (NRSE) or interventions (NRSI)). The most common implementation of this method to date has been in the form of</w:t>
      </w:r>
      <w:r>
        <w:t xml:space="preserve"> </w:t>
      </w:r>
      <w:r>
        <w:rPr>
          <w:iCs/>
          <w:i/>
        </w:rPr>
        <w:t xml:space="preserve">qualitative triangulation</w:t>
      </w:r>
      <w:r>
        <w:t xml:space="preserve"> </w:t>
      </w:r>
      <w:r>
        <w:t xml:space="preserve">- that is the identification and narrative comparison of diverse evidence sources with respect to their underlying bias structures.</w:t>
      </w:r>
      <w:hyperlink w:anchor="ref-lawlor2016">
        <w:r>
          <w:rPr>
            <w:rStyle w:val="Hyperlink"/>
            <w:vertAlign w:val="superscript"/>
          </w:rPr>
          <w:t xml:space="preserve">88</w:t>
        </w:r>
      </w:hyperlink>
    </w:p>
    <w:p>
      <w:pPr>
        <w:pStyle w:val="BodyText"/>
      </w:pPr>
      <w:r>
        <w:t xml:space="preserve">However, qualitative triangulation faces issues at scale. There is a need to include all evidence to avoid potential confirmation bias,</w:t>
      </w:r>
      <w:hyperlink w:anchor="ref-dubroff2018">
        <w:r>
          <w:rPr>
            <w:rStyle w:val="Hyperlink"/>
            <w:vertAlign w:val="superscript"/>
          </w:rPr>
          <w:t xml:space="preserve">333</w:t>
        </w:r>
      </w:hyperlink>
      <w:r>
        <w:t xml:space="preserve"> </w:t>
      </w:r>
      <w:r>
        <w:t xml:space="preserve">yet as the number of evidence sources increases, it is not possible to narratively compare and contrast across multiple results in any meaningful way. This fact is illustrated by previous exemplars of triangulation only considering a small number of individual results.</w:t>
      </w:r>
      <w:hyperlink w:anchor="ref-lawlor2016">
        <w:r>
          <w:rPr>
            <w:rStyle w:val="Hyperlink"/>
            <w:vertAlign w:val="superscript"/>
          </w:rPr>
          <w:t xml:space="preserve">88</w:t>
        </w:r>
      </w:hyperlink>
      <w:r>
        <w:rPr>
          <w:vertAlign w:val="superscript"/>
        </w:rPr>
        <w:t xml:space="preserve">,</w:t>
      </w:r>
      <w:hyperlink w:anchor="ref-ference2014">
        <w:r>
          <w:rPr>
            <w:rStyle w:val="Hyperlink"/>
            <w:vertAlign w:val="superscript"/>
          </w:rPr>
          <w:t xml:space="preserve">334</w:t>
        </w:r>
      </w:hyperlink>
      <w:r>
        <w:t xml:space="preserve"> </w:t>
      </w:r>
      <w:r>
        <w:t xml:space="preserve">To overcome this limitation, some attempts have considered the output of a meta-analysis of similarly-designed studies to be a single source of evidence, and have assessed bias in relation to this summary result. While this approach keeps the number of individual sources of evidence manageable, it loses useful information on the specific biases inherent to each result contributing to the summary estimate. For example, while it may be true that all non-randomised studies share some minimal level of bias, competing extents and directions of bias in individual results may be masked by the use of summary estimates. In addition, previous attempts at qualitative triangulation have not systematically assessed the indirectness of the results, that is the differences between the question of interest and the question addressed by a study.</w:t>
      </w:r>
    </w:p>
    <w:p>
      <w:pPr>
        <w:pStyle w:val="BodyText"/>
      </w:pPr>
      <w:r>
        <w:t xml:space="preserve">Taken together, these limitations to qualitative triangulation detail a need for a more systematic way to integrate across multiple evidence sources as the number of individual results contributing to the exercise increases. One such approach is</w:t>
      </w:r>
      <w:r>
        <w:t xml:space="preserve"> </w:t>
      </w:r>
      <w:r>
        <w:rPr>
          <w:iCs/>
          <w:i/>
        </w:rPr>
        <w:t xml:space="preserve">quantitative triangulation</w:t>
      </w:r>
      <w:r>
        <w:t xml:space="preserve">, where results from different evidence sources are combined numerically while accounting for the key sources of bias and indirectness in each. This chapter, in addition to providing a narrative comparison of the existing and new evidence identified by this thesis, builds on recent developments in risk-of-bias assessment and methods for bias-/indirectness-adjusted meta-analysis to propose a generalised framework for quantitative triangulation. The framework, along with the methodological challenges to its implementation, is illustrated via two case studies examining the causal effect of lipids on dementia outcomes.</w:t>
      </w:r>
    </w:p>
    <w:p>
      <w:pPr>
        <w:pStyle w:val="BodyText"/>
      </w:pPr>
      <w:r>
        <w:t xml:space="preserve"> </w:t>
      </w:r>
    </w:p>
    <w:p>
      <w:r>
        <w:br w:type="page"/>
      </w:r>
    </w:p>
    <w:bookmarkEnd w:id="273"/>
    <w:bookmarkStart w:id="285" w:name="methods-3"/>
    <w:p>
      <w:pPr>
        <w:pStyle w:val="Heading2"/>
      </w:pPr>
      <w:r>
        <w:t xml:space="preserve">Methods</w:t>
      </w:r>
    </w:p>
    <w:bookmarkStart w:id="274" w:name="tri-data-sources"/>
    <w:p>
      <w:pPr>
        <w:pStyle w:val="Heading3"/>
      </w:pPr>
      <w:r>
        <w:t xml:space="preserve">Data sources</w:t>
      </w:r>
    </w:p>
    <w:p>
      <w:pPr>
        <w:pStyle w:val="FirstParagraph"/>
      </w:pPr>
      <w:r>
        <w:t xml:space="preserve">This triangulation exercise draws on the research produced in each of the preceding chapters. More specifically, this chapter builds on the comprehensive systematic review of existing evidence presented in Chapters</w:t>
      </w:r>
      <w:r>
        <w:t xml:space="preserve"> </w:t>
      </w:r>
      <w:r>
        <w:t xml:space="preserve">3</w:t>
      </w:r>
      <w:r>
        <w:t xml:space="preserve"> </w:t>
      </w:r>
      <w:r>
        <w:t xml:space="preserve">&amp;</w:t>
      </w:r>
      <w:r>
        <w:t xml:space="preserve"> </w:t>
      </w:r>
      <w:r>
        <w:t xml:space="preserve">4</w:t>
      </w:r>
      <w:r>
        <w:t xml:space="preserve">. This evidence base is then supplemented by new evidence on the association of statin use with dementia outcomes in the CPRD (Chapter</w:t>
      </w:r>
      <w:r>
        <w:t xml:space="preserve"> </w:t>
      </w:r>
      <w:r>
        <w:t xml:space="preserve">5</w:t>
      </w:r>
      <w:r>
        <w:t xml:space="preserve">) and the association of lipids with dementia outcomes in previously unanalysed datasets accessed via the DPUK (Chapter</w:t>
      </w:r>
      <w:r>
        <w:t xml:space="preserve"> </w:t>
      </w:r>
      <w:r>
        <w:t xml:space="preserve">6</w:t>
      </w:r>
      <w:r>
        <w:t xml:space="preserve">).</w:t>
      </w:r>
    </w:p>
    <w:p>
      <w:pPr>
        <w:pStyle w:val="BodyText"/>
      </w:pPr>
      <w:r>
        <w:t xml:space="preserve">Table</w:t>
      </w:r>
      <w:r>
        <w:t xml:space="preserve"> </w:t>
      </w:r>
      <w:r>
        <w:t xml:space="preserve">19</w:t>
      </w:r>
      <w:r>
        <w:t xml:space="preserve"> </w:t>
      </w:r>
      <w:r>
        <w:t xml:space="preserve">summarises the research each data source has attempted to address, the exposures and outcomes considered in each case, and the contribution of each chapter to the triangulation exercise presented here.</w:t>
      </w:r>
    </w:p>
    <w:p>
      <w:pPr>
        <w:pStyle w:val="BodyText"/>
      </w:pPr>
      <w:r>
        <w:t xml:space="preserve">Table 19: Summary of studies included in this thesis and used as evidence sources in this triangulation exercise. Note, Chapter</w:t>
      </w:r>
      <w:r>
        <w:t xml:space="preserve"> </w:t>
      </w:r>
      <w:r>
        <w:t xml:space="preserve">2</w:t>
      </w:r>
      <w:r>
        <w:t xml:space="preserve"> </w:t>
      </w:r>
      <w:r>
        <w:t xml:space="preserve">is intentionally not included in this table, as it describes a research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 including detailed risk-of-bias assessments for each result</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an individual participant data meta-analysis?</w:t>
      </w:r>
      <w:r>
        <w:t xml:space="preserve"> </w:t>
      </w:r>
    </w:p>
    <w:p>
      <w:pPr>
        <w:pStyle w:val="BodyText"/>
      </w:pPr>
      <w:r>
        <w:t xml:space="preserve">Lipids (HDL-c, LDL-c, TC, TG)</w:t>
      </w:r>
    </w:p>
    <w:p>
      <w:pPr>
        <w:pStyle w:val="BodyText"/>
      </w:pPr>
      <w:r>
        <w:t xml:space="preserve">All-cause dementia</w:t>
      </w:r>
      <w:r>
        <w:t xml:space="preserve"> </w:t>
      </w:r>
      <w:r>
        <w:t xml:space="preserve">VaD</w:t>
      </w:r>
    </w:p>
    <w:p>
      <w:pPr>
        <w:pStyle w:val="BodyText"/>
      </w:pPr>
      <w:r>
        <w:t xml:space="preserve">Provides additional evidence from unanalysed datasets</w:t>
      </w:r>
      <w:r>
        <w:t xml:space="preserve"> </w:t>
      </w:r>
      <w:r>
        <w:t xml:space="preserve">Provides additional observational data on vascular dementia (under-represented in the literature)</w:t>
      </w:r>
    </w:p>
    <w:p>
      <w:pPr>
        <w:pStyle w:val="BodyText"/>
      </w:pPr>
      <w:r>
        <w:t xml:space="preserve"> </w:t>
      </w:r>
    </w:p>
    <w:bookmarkEnd w:id="274"/>
    <w:bookmarkStart w:id="275" w:name="qual-tri"/>
    <w:p>
      <w:pPr>
        <w:pStyle w:val="Heading3"/>
      </w:pPr>
      <w:r>
        <w:t xml:space="preserve">Qualitative triangulation / narrative comparison</w:t>
      </w:r>
    </w:p>
    <w:p>
      <w:pPr>
        <w:pStyle w:val="FirstParagraph"/>
      </w:pPr>
      <w:r>
        <w:t xml:space="preserve">As discussed in the introduction to this Chapter (Section</w:t>
      </w:r>
      <w:r>
        <w:t xml:space="preserve"> </w:t>
      </w:r>
      <w:r>
        <w:t xml:space="preserve">7.2</w:t>
      </w:r>
      <w:r>
        <w:t xml:space="preserve">), as part of a narrative synthesis of the evidence all information sources were initially grouped by outcome, and the findings from each source were narratively compared and contrasted. Potential reasons for heterogeneity between study designs were examined with specific reference to the risk-of-bias assessments performed.</w:t>
      </w:r>
    </w:p>
    <w:p>
      <w:pPr>
        <w:pStyle w:val="BodyText"/>
      </w:pPr>
      <w:r>
        <w:t xml:space="preserve">This analysis built on the detailed risk-of-bias assessments performed and presented as part of the systematic review (Chapters</w:t>
      </w:r>
      <w:r>
        <w:t xml:space="preserve"> </w:t>
      </w:r>
      <w:r>
        <w:t xml:space="preserve">3</w:t>
      </w:r>
      <w:r>
        <w:t xml:space="preserve"> </w:t>
      </w:r>
      <w:r>
        <w:t xml:space="preserve">&amp;</w:t>
      </w:r>
      <w:r>
        <w:t xml:space="preserve"> </w:t>
      </w:r>
      <w:r>
        <w:t xml:space="preserve">4</w:t>
      </w:r>
      <w:r>
        <w:t xml:space="preserve">). Similarly, risk-of-bias assessments were performed for each new source of evidence presented in this thesis. The risk of bias tools used to assess each result are described in detail in Section</w:t>
      </w:r>
      <w:r>
        <w:t xml:space="preserve"> </w:t>
      </w:r>
      <w:r>
        <w:t xml:space="preserve">3.3.8</w:t>
      </w:r>
      <w:r>
        <w:t xml:space="preserve">, but in summary, RCTS were assessed using the RoB 2 tool;</w:t>
      </w:r>
      <w:hyperlink w:anchor="ref-sterne2019">
        <w:r>
          <w:rPr>
            <w:rStyle w:val="Hyperlink"/>
            <w:vertAlign w:val="superscript"/>
          </w:rPr>
          <w:t xml:space="preserve">91</w:t>
        </w:r>
      </w:hyperlink>
      <w:r>
        <w:t xml:space="preserve"> </w:t>
      </w:r>
      <w:r>
        <w:t xml:space="preserve">NRSI using the ROBINS-I tool;</w:t>
      </w:r>
      <w:hyperlink w:anchor="ref-sterne2016">
        <w:r>
          <w:rPr>
            <w:rStyle w:val="Hyperlink"/>
            <w:vertAlign w:val="superscript"/>
          </w:rPr>
          <w:t xml:space="preserve">154</w:t>
        </w:r>
      </w:hyperlink>
      <w:r>
        <w:t xml:space="preserve"> </w:t>
      </w:r>
      <w:r>
        <w:t xml:space="preserve">NRSE using the ROBINS-E tool (see Section</w:t>
      </w:r>
      <w:r>
        <w:t xml:space="preserve"> </w:t>
      </w:r>
      <w:r>
        <w:t xml:space="preserve">3.3.8.2</w:t>
      </w:r>
      <w:r>
        <w:t xml:space="preserve">);</w:t>
      </w:r>
      <w:hyperlink w:anchor="ref-morganr2020">
        <w:r>
          <w:rPr>
            <w:rStyle w:val="Hyperlink"/>
            <w:vertAlign w:val="superscript"/>
          </w:rPr>
          <w:t xml:space="preserve">157</w:t>
        </w:r>
      </w:hyperlink>
      <w:r>
        <w:rPr>
          <w:vertAlign w:val="superscript"/>
        </w:rPr>
        <w:t xml:space="preserve">,</w:t>
      </w:r>
      <w:hyperlink w:anchor="ref-french2019">
        <w:r>
          <w:rPr>
            <w:rStyle w:val="Hyperlink"/>
            <w:vertAlign w:val="superscript"/>
          </w:rPr>
          <w:t xml:space="preserve">158</w:t>
        </w:r>
      </w:hyperlink>
      <w:r>
        <w:t xml:space="preserve"> </w:t>
      </w:r>
      <w:r>
        <w:t xml:space="preserve">and MR studies using the Mamluk et al. tool.</w:t>
      </w:r>
      <w:hyperlink w:anchor="ref-mamluk2020">
        <w:r>
          <w:rPr>
            <w:rStyle w:val="Hyperlink"/>
            <w:vertAlign w:val="superscript"/>
          </w:rPr>
          <w:t xml:space="preserve">160</w:t>
        </w:r>
      </w:hyperlink>
    </w:p>
    <w:p>
      <w:pPr>
        <w:pStyle w:val="BodyText"/>
      </w:pPr>
      <w:r>
        <w:t xml:space="preserve"> </w:t>
      </w:r>
    </w:p>
    <w:bookmarkEnd w:id="275"/>
    <w:bookmarkStart w:id="284" w:name="quantitative-triangulation"/>
    <w:p>
      <w:pPr>
        <w:pStyle w:val="Heading3"/>
      </w:pPr>
      <w:r>
        <w:t xml:space="preserve">Quantitative triangulation</w:t>
      </w:r>
    </w:p>
    <w:p>
      <w:pPr>
        <w:pStyle w:val="FirstParagraph"/>
      </w:pPr>
      <w:r>
        <w:t xml:space="preserve">In addition to a qualitative discussion of the evidence, I attempted to integrate the numerical results of the multiple approaches under a proposed quantitative triangulation framework. This approach incorporates recent advancements in the way that bias in results is assessed (namely the move to domain-based assessment tools)</w:t>
      </w:r>
      <w:hyperlink w:anchor="ref-sterne2019">
        <w:r>
          <w:rPr>
            <w:rStyle w:val="Hyperlink"/>
            <w:vertAlign w:val="superscript"/>
          </w:rPr>
          <w:t xml:space="preserve">91</w:t>
        </w:r>
      </w:hyperlink>
      <w:r>
        <w:t xml:space="preserve"> </w:t>
      </w:r>
      <w:r>
        <w:t xml:space="preserve">and existing methods for bias-/indirectness-adjusted meta-analysis</w:t>
      </w:r>
      <w:hyperlink w:anchor="ref-turner2009">
        <w:r>
          <w:rPr>
            <w:rStyle w:val="Hyperlink"/>
            <w:vertAlign w:val="superscript"/>
          </w:rPr>
          <w:t xml:space="preserve">335</w:t>
        </w:r>
      </w:hyperlink>
      <w:r>
        <w:t xml:space="preserve"> </w:t>
      </w:r>
      <w:r>
        <w:t xml:space="preserve">to illustrate how causal questions could be addressed under this framework.</w:t>
      </w:r>
    </w:p>
    <w:p>
      <w:pPr>
        <w:pStyle w:val="BodyText"/>
      </w:pPr>
      <w:r>
        <w:t xml:space="preserve">This proposed framework involves several steps, described in detail in the following sections. In summary, these steps are:</w:t>
      </w:r>
    </w:p>
    <w:p>
      <w:pPr>
        <w:numPr>
          <w:ilvl w:val="0"/>
          <w:numId w:val="1015"/>
        </w:numPr>
        <w:pStyle w:val="Compact"/>
      </w:pPr>
      <w:r>
        <w:t xml:space="preserve">Define the causal question of interest</w:t>
      </w:r>
    </w:p>
    <w:p>
      <w:pPr>
        <w:numPr>
          <w:ilvl w:val="0"/>
          <w:numId w:val="1015"/>
        </w:numPr>
        <w:pStyle w:val="Compact"/>
      </w:pPr>
      <w:r>
        <w:t xml:space="preserve">Identify of relevant evidence sources and standardise effect directions</w:t>
      </w:r>
    </w:p>
    <w:p>
      <w:pPr>
        <w:numPr>
          <w:ilvl w:val="0"/>
          <w:numId w:val="1015"/>
        </w:numPr>
        <w:pStyle w:val="Compact"/>
      </w:pPr>
      <w:r>
        <w:t xml:space="preserve">Assess and visualise the extent and direction of bias in each result</w:t>
      </w:r>
    </w:p>
    <w:p>
      <w:pPr>
        <w:numPr>
          <w:ilvl w:val="0"/>
          <w:numId w:val="1015"/>
        </w:numPr>
        <w:pStyle w:val="Compact"/>
      </w:pPr>
      <w:r>
        <w:t xml:space="preserve">Define modifying terms for bias and indirectness in each result</w:t>
      </w:r>
    </w:p>
    <w:p>
      <w:pPr>
        <w:numPr>
          <w:ilvl w:val="0"/>
          <w:numId w:val="1015"/>
        </w:numPr>
        <w:pStyle w:val="Compact"/>
      </w:pPr>
      <w:r>
        <w:t xml:space="preserve">Calculate bias-/indirectness-adjusted results and perform meta-analysis</w:t>
      </w:r>
    </w:p>
    <w:p>
      <w:pPr>
        <w:pStyle w:val="FirstParagraph"/>
      </w:pPr>
      <w:r>
        <w:t xml:space="preserve">In order to illustrate the bias-/indirectness adjustment process detailed in the subsequent sections, the process for calculating the adjusted estimate is described in detail for a single result. Following this, the framework is applied to two case studies, as defined below.</w:t>
      </w:r>
    </w:p>
    <w:p>
      <w:pPr>
        <w:pStyle w:val="BodyText"/>
      </w:pPr>
      <w:r>
        <w:t xml:space="preserve"> </w:t>
      </w:r>
    </w:p>
    <w:bookmarkStart w:id="276" w:name="Xbf1cd1ab4deda7fa53d92992e4b9113c65dbf8e"/>
    <w:p>
      <w:pPr>
        <w:pStyle w:val="Heading4"/>
      </w:pPr>
      <w:r>
        <w:t xml:space="preserve">Definition of the causal questions of interest (case-studies)</w:t>
      </w:r>
    </w:p>
    <w:p>
      <w:pPr>
        <w:pStyle w:val="FirstParagraph"/>
      </w:pPr>
      <w:r>
        <w:t xml:space="preserve">Using the ROBINS-E framework,</w:t>
      </w:r>
      <w:hyperlink w:anchor="ref-morganr2020">
        <w:r>
          <w:rPr>
            <w:rStyle w:val="Hyperlink"/>
            <w:vertAlign w:val="superscript"/>
          </w:rPr>
          <w:t xml:space="preserve">157</w:t>
        </w:r>
      </w:hyperlink>
      <w:r>
        <w:t xml:space="preserve"> </w:t>
      </w:r>
      <w:r>
        <w:t xml:space="preserve">I defined the parameters of my causal questions of interest:</w:t>
      </w:r>
    </w:p>
    <w:p>
      <w:pPr>
        <w:pStyle w:val="BodyText"/>
      </w:pPr>
      <w:r>
        <w:rPr>
          <w:bCs/>
          <w:b/>
        </w:rPr>
        <w:t xml:space="preserve">Case study #1: Effect of mid-life LDL-c on Alzheimer’s disease</w:t>
      </w:r>
    </w:p>
    <w:p>
      <w:pPr>
        <w:numPr>
          <w:ilvl w:val="0"/>
          <w:numId w:val="1016"/>
        </w:numPr>
        <w:pStyle w:val="Compact"/>
      </w:pPr>
      <w:r>
        <w:rPr>
          <w:iCs/>
          <w:i/>
        </w:rPr>
        <w:t xml:space="preserve">Population of interest</w:t>
      </w:r>
      <w:r>
        <w:t xml:space="preserve">: General population</w:t>
      </w:r>
    </w:p>
    <w:p>
      <w:pPr>
        <w:numPr>
          <w:ilvl w:val="0"/>
          <w:numId w:val="1016"/>
        </w:numPr>
        <w:pStyle w:val="Compact"/>
      </w:pPr>
      <w:r>
        <w:rPr>
          <w:iCs/>
          <w:i/>
        </w:rPr>
        <w:t xml:space="preserve">Exposure of interest</w:t>
      </w:r>
      <w:r>
        <w:t xml:space="preserve">: Low density lipoprotein cholesterol</w:t>
      </w:r>
    </w:p>
    <w:p>
      <w:pPr>
        <w:numPr>
          <w:ilvl w:val="0"/>
          <w:numId w:val="1016"/>
        </w:numPr>
        <w:pStyle w:val="Compact"/>
      </w:pPr>
      <w:r>
        <w:rPr>
          <w:iCs/>
          <w:i/>
        </w:rPr>
        <w:t xml:space="preserve">Exposure window of interest</w:t>
      </w:r>
      <w:r>
        <w:t xml:space="preserve">: Mid-life (45-60)</w:t>
      </w:r>
    </w:p>
    <w:p>
      <w:pPr>
        <w:numPr>
          <w:ilvl w:val="0"/>
          <w:numId w:val="1016"/>
        </w:numPr>
        <w:pStyle w:val="Compact"/>
      </w:pPr>
      <w:r>
        <w:rPr>
          <w:iCs/>
          <w:i/>
        </w:rPr>
        <w:t xml:space="preserve">Summary measure of exposure over time</w:t>
      </w:r>
      <w:r>
        <w:t xml:space="preserve">: Average exposure</w:t>
      </w:r>
    </w:p>
    <w:p>
      <w:pPr>
        <w:numPr>
          <w:ilvl w:val="0"/>
          <w:numId w:val="1016"/>
        </w:numPr>
        <w:pStyle w:val="Compact"/>
      </w:pPr>
      <w:r>
        <w:rPr>
          <w:iCs/>
          <w:i/>
        </w:rPr>
        <w:t xml:space="preserve">Outcome of interest:</w:t>
      </w:r>
      <w:r>
        <w:t xml:space="preserve"> </w:t>
      </w:r>
      <w:r>
        <w:t xml:space="preserve">Alzheimer’s disease</w:t>
      </w:r>
    </w:p>
    <w:p>
      <w:pPr>
        <w:pStyle w:val="FirstParagraph"/>
      </w:pPr>
      <w:r>
        <w:rPr>
          <w:bCs/>
          <w:b/>
        </w:rPr>
        <w:t xml:space="preserve">Case study #2: Effect of mid-life triglycerides on vascular dementia</w:t>
      </w:r>
    </w:p>
    <w:p>
      <w:pPr>
        <w:numPr>
          <w:ilvl w:val="0"/>
          <w:numId w:val="1017"/>
        </w:numPr>
        <w:pStyle w:val="Compact"/>
      </w:pPr>
      <w:r>
        <w:rPr>
          <w:iCs/>
          <w:i/>
        </w:rPr>
        <w:t xml:space="preserve">Population of interest</w:t>
      </w:r>
      <w:r>
        <w:t xml:space="preserve">: General population</w:t>
      </w:r>
    </w:p>
    <w:p>
      <w:pPr>
        <w:numPr>
          <w:ilvl w:val="0"/>
          <w:numId w:val="1017"/>
        </w:numPr>
        <w:pStyle w:val="Compact"/>
      </w:pPr>
      <w:r>
        <w:rPr>
          <w:iCs/>
          <w:i/>
        </w:rPr>
        <w:t xml:space="preserve">Exposure of interest</w:t>
      </w:r>
      <w:r>
        <w:t xml:space="preserve">: Triglycerides</w:t>
      </w:r>
    </w:p>
    <w:p>
      <w:pPr>
        <w:numPr>
          <w:ilvl w:val="0"/>
          <w:numId w:val="1017"/>
        </w:numPr>
        <w:pStyle w:val="Compact"/>
      </w:pPr>
      <w:r>
        <w:rPr>
          <w:iCs/>
          <w:i/>
        </w:rPr>
        <w:t xml:space="preserve">Exposure window of interest</w:t>
      </w:r>
      <w:r>
        <w:t xml:space="preserve">: Mid-life (45-60)</w:t>
      </w:r>
    </w:p>
    <w:p>
      <w:pPr>
        <w:numPr>
          <w:ilvl w:val="0"/>
          <w:numId w:val="1017"/>
        </w:numPr>
        <w:pStyle w:val="Compact"/>
      </w:pPr>
      <w:r>
        <w:rPr>
          <w:iCs/>
          <w:i/>
        </w:rPr>
        <w:t xml:space="preserve">Summary measure of exposure over time</w:t>
      </w:r>
      <w:r>
        <w:t xml:space="preserve">: Average exposure</w:t>
      </w:r>
    </w:p>
    <w:p>
      <w:pPr>
        <w:numPr>
          <w:ilvl w:val="0"/>
          <w:numId w:val="1017"/>
        </w:numPr>
        <w:pStyle w:val="Compact"/>
      </w:pPr>
      <w:r>
        <w:rPr>
          <w:iCs/>
          <w:i/>
        </w:rPr>
        <w:t xml:space="preserve">Outcome of interest:</w:t>
      </w:r>
      <w:r>
        <w:t xml:space="preserve"> </w:t>
      </w:r>
      <w:r>
        <w:t xml:space="preserve">Vascular dementia</w:t>
      </w:r>
    </w:p>
    <w:p>
      <w:pPr>
        <w:pStyle w:val="FirstParagraph"/>
      </w:pPr>
      <w:r>
        <w:t xml:space="preserve"> </w:t>
      </w:r>
    </w:p>
    <w:p>
      <w:pPr>
        <w:pStyle w:val="BodyText"/>
      </w:pPr>
      <w:r>
        <w:t xml:space="preserve">These questions were chosen for several reasons. Firstly, work presented in previous chapters had identified some evidence for an association in these exposure/outcome pairs. Secondly, given the long prodomal period between the onset of physiological changes in the brain and presentation of dementia symptoms, it seems likely that conditions during the mid-life period are particularly important. Finally, examining the causal impact of a lipid faction on a specific outcome (e.g. Alzheimer’s disease), rather than a composite outcome (e.g. all-cause dementia), focuses on an single causal pathway rather than including several conditions in the outcome definition that likely have very different mechanisms of disease. In addition, previous work presented in this thesis illustrated that the component conditions (in this case Alzheimer’s disease and vascular dementia) are likely to be subject to very different confounding structures (see Section</w:t>
      </w:r>
      <w:r>
        <w:t xml:space="preserve"> </w:t>
      </w:r>
      <w:r>
        <w:t xml:space="preserve">??</w:t>
      </w:r>
      <w:r>
        <w:t xml:space="preserve">), and use of an composite all-cause outcome in the triangulation framework may mask this.</w:t>
      </w:r>
    </w:p>
    <w:p>
      <w:pPr>
        <w:pStyle w:val="BodyText"/>
      </w:pPr>
      <w:r>
        <w:t xml:space="preserve"> </w:t>
      </w:r>
    </w:p>
    <w:bookmarkEnd w:id="276"/>
    <w:bookmarkStart w:id="277" w:name="identify-relevant-results"/>
    <w:p>
      <w:pPr>
        <w:pStyle w:val="Heading4"/>
      </w:pPr>
      <w:r>
        <w:t xml:space="preserve">Identify relevant results</w:t>
      </w:r>
    </w:p>
    <w:p>
      <w:pPr>
        <w:pStyle w:val="FirstParagraph"/>
      </w:pPr>
      <w:r>
        <w:t xml:space="preserve">Once the causal question of interest had been defined, relevant individual results were obtained from the data sources described in Section</w:t>
      </w:r>
      <w:r>
        <w:t xml:space="preserve"> </w:t>
      </w:r>
      <w:r>
        <w:t xml:space="preserve">7.3.1</w:t>
      </w:r>
      <w:r>
        <w:t xml:space="preserve">. In a broad sense, this meant extracting results that examined the relationship between the exposure/outcome pair, either directly (e.g. non-randomised studies of LDL-c levels) or indirectly (e.g. non-randomised studies of statins, or Mendelian randomisation studies using genetic instruments for LDL-c levels).</w:t>
      </w:r>
    </w:p>
    <w:p>
      <w:pPr>
        <w:pStyle w:val="BodyText"/>
      </w:pPr>
      <w:r>
        <w:t xml:space="preserve">Once the set of relevant results were identified, effects were standardised to refer to the risk resulting from a</w:t>
      </w:r>
      <w:r>
        <w:t xml:space="preserve"> </w:t>
      </w:r>
      <w:r>
        <w:t xml:space="preserve">“</w:t>
      </w:r>
      <w:r>
        <w:t xml:space="preserve">reduction</w:t>
      </w:r>
      <w:r>
        <w:t xml:space="preserve">”</w:t>
      </w:r>
      <w:r>
        <w:t xml:space="preserve"> </w:t>
      </w:r>
      <w:r>
        <w:t xml:space="preserve">in the lipid fraction. For both non-randomised studies and Mendelian randomisation analysis of lipid levels, the association is usually reported per 1-SD increase in the lipid fraction. In this case, the effect estimates were inverted to ensure consistency across study designs.</w:t>
      </w:r>
    </w:p>
    <w:p>
      <w:pPr>
        <w:pStyle w:val="BodyText"/>
      </w:pPr>
      <w:r>
        <w:t xml:space="preserve"> </w:t>
      </w:r>
    </w:p>
    <w:bookmarkEnd w:id="277"/>
    <w:bookmarkStart w:id="279" w:name="X9a324d01978004b306d2eef148ccb0b15bb4bcc"/>
    <w:p>
      <w:pPr>
        <w:pStyle w:val="Heading4"/>
      </w:pPr>
      <w:r>
        <w:t xml:space="preserve">Assess risk and direction of bias in each result</w:t>
      </w:r>
    </w:p>
    <w:p>
      <w:pPr>
        <w:pStyle w:val="FirstParagraph"/>
      </w:pPr>
      <w:r>
        <w:t xml:space="preserve">Risk of bias was assessed for each result as discussed in Section</w:t>
      </w:r>
      <w:r>
        <w:t xml:space="preserve"> </w:t>
      </w:r>
      <w:r>
        <w:t xml:space="preserve">7.3.2</w:t>
      </w:r>
      <w:r>
        <w:t xml:space="preserve">. For the sake of consistency and ease of computing, I mapped the different acceptable risk-of-bias judgements in each tool to a harmonised set:</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and</w:t>
      </w:r>
      <w:r>
        <w:t xml:space="preserve"> </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hyperlink w:anchor="ref-sterne2016">
        <w:r>
          <w:rPr>
            <w:rStyle w:val="Hyperlink"/>
            <w:vertAlign w:val="superscript"/>
          </w:rPr>
          <w:t xml:space="preserve">154</w:t>
        </w:r>
      </w:hyperlink>
    </w:p>
    <w:p>
      <w:pPr>
        <w:pStyle w:val="BodyText"/>
      </w:pPr>
      <w:r>
        <w:t xml:space="preserve"> </w:t>
      </w:r>
    </w:p>
    <w:p>
      <w:pPr>
        <w:pStyle w:val="TableCaption"/>
      </w:pPr>
      <w:r>
        <w:t xml:space="preserve">Table 20:</w:t>
      </w:r>
      <w:r>
        <w:t xml:space="preserve"> </w:t>
      </w:r>
      <w:bookmarkStart w:id="e839f379-4768-4e9e-a8ed-f09c80acca15" w:name="tab:robLevelsMapping-table"/>
      <w:r>
        <w:t xml:space="preserve">Mapping of the different acceptable levels of bias across the assessment tools to a harmonised set. Note that no mapping for "Critical" risk of bias was performed, as best practice reccommends that studies at critical risk of bias are excluded from quantitative syntheses.</w:t>
      </w:r>
      <w:bookmarkEnd w:id="e839f379-4768-4e9e-a8ed-f09c80acca1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as defined by the three levels detailed above, I attempted to record the predicted direction and type of bias in each domain. This was achieved via an additional question at the end of each bias domain, which asked assessors to predict the expected direction of bias in that domain. Note that this question is currently only formally included in two existing tools (ROB2/ROBINS-I), but I employed an identical approach during assessment of non-randomised studies of exposure and Mendelian randomisation studies. Acceptable responses to this question included:</w:t>
      </w:r>
    </w:p>
    <w:p>
      <w:pPr>
        <w:numPr>
          <w:ilvl w:val="0"/>
          <w:numId w:val="1018"/>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(defines an additive bias)</w:t>
      </w:r>
    </w:p>
    <w:p>
      <w:pPr>
        <w:numPr>
          <w:ilvl w:val="0"/>
          <w:numId w:val="1018"/>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(defines a proportional bias)</w:t>
      </w:r>
    </w:p>
    <w:p>
      <w:pPr>
        <w:numPr>
          <w:ilvl w:val="0"/>
          <w:numId w:val="1018"/>
        </w:numPr>
        <w:pStyle w:val="Compact"/>
      </w:pPr>
      <w:r>
        <w:t xml:space="preserve">“</w:t>
      </w:r>
      <w:r>
        <w:t xml:space="preserve">Unpredictable</w:t>
      </w:r>
      <w:r>
        <w:t xml:space="preserve">”</w:t>
      </w:r>
    </w:p>
    <w:p>
      <w:pPr>
        <w:pStyle w:val="FirstParagraph"/>
      </w:pPr>
      <w:r>
        <w:t xml:space="preserve">As indicated in the options above, the response to this question is also used to determine the predicted type of bias as either additive or proportional. Proportional biases are dependent on the magnitude of the effect, while additive biases are not.</w:t>
      </w:r>
      <w:hyperlink w:anchor="ref-turner2009">
        <w:r>
          <w:rPr>
            <w:rStyle w:val="Hyperlink"/>
            <w:vertAlign w:val="superscript"/>
          </w:rPr>
          <w:t xml:space="preserve">335</w:t>
        </w:r>
      </w:hyperlink>
    </w:p>
    <w:p>
      <w:pPr>
        <w:pStyle w:val="BodyText"/>
      </w:pPr>
      <w:r>
        <w:t xml:space="preserve">For additive biases, determining the absolute direction of bias was simply a case of whether the bias is expected to shift the effect estimate to the left or right on an imaginary forest plot. For example, the estimate would be shifted to the right if a bias was predicted to favour the comparator (Figure</w:t>
      </w:r>
      <w:r>
        <w:t xml:space="preserve"> </w:t>
      </w:r>
      <w:r>
        <w:t xml:space="preserve">42</w:t>
      </w:r>
      <w:r>
        <w:t xml:space="preserve">).</w:t>
      </w:r>
    </w:p>
    <w:p>
      <w:pPr>
        <w:pStyle w:val="BodyText"/>
      </w:pPr>
      <w:r>
        <w:t xml:space="preserve">In contrast, for proportional biases, whether the estimate should be increased or decreased proportionally depends on the current position of the point estimate relative to the null. For example, if the effect estimate represents a protective effect (below the null), then bias towards the null would be adjusted for by moving the effect estimate proportionally to the right. In contrast, if the effect of the intervention is harmful (effect estimate above the null), bias towards the null would be adjusted for by moving the effect estimate proportionally to the left. Both scenarios are illustrated using example data in Figure</w:t>
      </w:r>
      <w:r>
        <w:t xml:space="preserve"> </w:t>
      </w:r>
      <w:r>
        <w:t xml:space="preserve">42</w:t>
      </w:r>
      <w:r>
        <w:t xml:space="preserve">.</w:t>
      </w:r>
    </w:p>
    <w:p>
      <w:pPr>
        <w:pStyle w:val="BodyText"/>
      </w:pPr>
      <w:r>
        <w:t xml:space="preserve">(ref:exampleDirection-cap) Illustration of calculating the absolute direction of biases (indicated by arrows), based on bias type. For additive biases, the direction is consistent regardless of the position of the effect estimate relative to the null - bias</w:t>
      </w:r>
      <w:r>
        <w:t xml:space="preserve"> </w:t>
      </w:r>
      <w:r>
        <w:t xml:space="preserve">“</w:t>
      </w:r>
      <w:r>
        <w:t xml:space="preserve">favouring the comparator</w:t>
      </w:r>
      <w:r>
        <w:t xml:space="preserve">”</w:t>
      </w:r>
      <w:r>
        <w:t xml:space="preserve"> </w:t>
      </w:r>
      <w:r>
        <w:t xml:space="preserve">will always pull the effect estimate to the right. In contrast, the position of the effect estimate is accounted for when determining the absolute direction of proportional biases, defined as towards or away from the null.</w:t>
      </w:r>
    </w:p>
    <w:p>
      <w:pPr>
        <w:pStyle w:val="BodyText"/>
      </w:pPr>
      <w:r>
        <w:drawing>
          <wp:inline>
            <wp:extent cx="5943600" cy="2971800"/>
            <wp:effectExtent b="0" l="0" r="0" t="0"/>
            <wp:docPr descr="Figure 42: (ref:exampleDirection-cap)" title="" id="1" name="Picture"/>
            <a:graphic>
              <a:graphicData uri="http://schemas.openxmlformats.org/drawingml/2006/picture">
                <pic:pic>
                  <pic:nvPicPr>
                    <pic:cNvPr descr="figures/tri/exampleDirection.png" id="0" name="Picture"/>
                    <pic:cNvPicPr>
                      <a:picLocks noChangeArrowheads="1" noChangeAspect="1"/>
                    </pic:cNvPicPr>
                  </pic:nvPicPr>
                  <pic:blipFill>
                    <a:blip r:embed="rId27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The predicted direction and type of bias were not recorded for domains at</w:t>
      </w:r>
      <w:r>
        <w:t xml:space="preserve"> </w:t>
      </w:r>
      <w:r>
        <w:t xml:space="preserve">“</w:t>
      </w:r>
      <w:r>
        <w:t xml:space="preserve">Low</w:t>
      </w:r>
      <w:r>
        <w:t xml:space="preserve">”</w:t>
      </w:r>
      <w:r>
        <w:t xml:space="preserve"> </w:t>
      </w:r>
      <w:r>
        <w:t xml:space="preserve">risk of bias. Finally, for some domains, only one type of bias is allowed. For example, in the confounding domains in the ROBINS-I/ROBINS-E tools, only the</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and</w:t>
      </w:r>
      <w:r>
        <w:t xml:space="preserve"> </w:t>
      </w:r>
      <w:r>
        <w:t xml:space="preserve">“</w:t>
      </w:r>
      <w:r>
        <w:t xml:space="preserve">Unpredictable</w:t>
      </w:r>
      <w:r>
        <w:t xml:space="preserve">”</w:t>
      </w:r>
      <w:r>
        <w:t xml:space="preserve"> </w:t>
      </w:r>
      <w:r>
        <w:t xml:space="preserve">options are available, meaning that bias in this domain will always be considered additive.</w:t>
      </w:r>
    </w:p>
    <w:p>
      <w:pPr>
        <w:pStyle w:val="BodyText"/>
      </w:pPr>
      <w:r>
        <w:t xml:space="preserve"> </w:t>
      </w:r>
    </w:p>
    <w:bookmarkEnd w:id="279"/>
    <w:bookmarkStart w:id="280" w:name="X1195b314c396a2a953d38d090671ff29095f74d"/>
    <w:p>
      <w:pPr>
        <w:pStyle w:val="Heading4"/>
      </w:pPr>
      <w:r>
        <w:t xml:space="preserve">Visualisation of extent and direction of bias</w:t>
      </w:r>
    </w:p>
    <w:p>
      <w:pPr>
        <w:pStyle w:val="FirstParagraph"/>
      </w:pPr>
      <w:r>
        <w:t xml:space="preserve">To aid with the quantitative triangulation exercise, I created a new method to visualise the extent, direction and type of bias in each result, enabling detailed comparison across different studies contributing to a synthesis. Similar to the standard paired forest plots introduced in Chapter</w:t>
      </w:r>
      <w:r>
        <w:t xml:space="preserve"> </w:t>
      </w:r>
      <w:r>
        <w:t xml:space="preserve">??</w:t>
      </w:r>
      <w:r>
        <w:t xml:space="preserve">, these</w:t>
      </w:r>
      <w:r>
        <w:t xml:space="preserve"> </w:t>
      </w:r>
      <w:r>
        <w:t xml:space="preserve">“</w:t>
      </w:r>
      <w:r>
        <w:t xml:space="preserve">bias direction</w:t>
      </w:r>
      <w:r>
        <w:t xml:space="preserve">”</w:t>
      </w:r>
      <w:r>
        <w:t xml:space="preserve"> </w:t>
      </w:r>
      <w:r>
        <w:t xml:space="preserve">plots show the level (or extent) of bias across the domains for each result reported using coloured blocks. However, in contrast to the previous forest plots, symbols are used to illustrate the predicted absolute direction of bias in that domain. Distinct symbol pairs are used to denote additive and proportional biases.</w:t>
      </w:r>
    </w:p>
    <w:p>
      <w:pPr>
        <w:pStyle w:val="BodyText"/>
      </w:pPr>
      <w:r>
        <w:t xml:space="preserve"> </w:t>
      </w:r>
    </w:p>
    <w:bookmarkEnd w:id="280"/>
    <w:bookmarkStart w:id="281" w:name="Xf309e4012b82e4836ce2bde824f3f232fac5ff8"/>
    <w:p>
      <w:pPr>
        <w:pStyle w:val="Heading4"/>
      </w:pPr>
      <w:r>
        <w:t xml:space="preserve">Assign modifying values to risk/direction of bias</w:t>
      </w:r>
    </w:p>
    <w:p>
      <w:pPr>
        <w:pStyle w:val="FirstParagraph"/>
      </w:pPr>
      <w:r>
        <w:t xml:space="preserve">Following definition of the extent, type and direction of bias in each domain, I assigned a prior distribution on the log scale to each combination. For example,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r>
            <m:t>  </m:t>
          </m:r>
          <m:r>
            <m:rPr>
              <m:sty m:val="p"/>
            </m:rPr>
            <m:t>(</m:t>
          </m:r>
          <m:r>
            <m:t>9</m:t>
          </m:r>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absolute direction of the bias. If the bias is expected to pull the effect to the left,</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given a negative sign, and if it is expected to pull the effect to the right, it is given a positive sign.</w:t>
      </w:r>
    </w:p>
    <w:p>
      <w:pPr>
        <w:pStyle w:val="BodyText"/>
      </w:pPr>
      <w:r>
        <w:t xml:space="preserve">One key feature of the domain-based risk-of-bias tools is that the domains are considered interchangeable - i.e. a</w:t>
      </w:r>
      <w:r>
        <w:t xml:space="preserve"> </w:t>
      </w:r>
      <w:r>
        <w:t xml:space="preserve">“</w:t>
      </w:r>
      <w:r>
        <w:t xml:space="preserve">high</w:t>
      </w:r>
      <w:r>
        <w:t xml:space="preserve">”</w:t>
      </w:r>
      <w:r>
        <w:t xml:space="preserve"> </w:t>
      </w:r>
      <w:r>
        <w:t xml:space="preserve">judgement in one domain is equivalent to a</w:t>
      </w:r>
      <w:r>
        <w:t xml:space="preserve"> </w:t>
      </w:r>
      <w:r>
        <w:t xml:space="preserve">“</w:t>
      </w:r>
      <w:r>
        <w:t xml:space="preserve">high</w:t>
      </w:r>
      <w:r>
        <w:t xml:space="preserve">”</w:t>
      </w:r>
      <w:r>
        <w:t xml:space="preserve"> </w:t>
      </w:r>
      <w:r>
        <w:t xml:space="preserve">judgement in any other. As such, for this analysis, I assumed that the distributions assigned to each extent of bias were identical across all values of</w:t>
      </w:r>
      <w:r>
        <w:t xml:space="preserve"> </w:t>
      </w:r>
      <m:oMath>
        <m:r>
          <m:t>j</m:t>
        </m:r>
      </m:oMath>
      <w:r>
        <w:t xml:space="preserve">, that is, were identical for all domains in the risk-of-bias assessment tool. To illustrate for additive biases:</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Reasonable values for the position and spread of the prior distributions were informed by a previously-reported expert bias elicitation exercise.</w:t>
      </w:r>
      <w:hyperlink w:anchor="ref-turner2009">
        <w:r>
          <w:rPr>
            <w:rStyle w:val="Hyperlink"/>
            <w:vertAlign w:val="superscript"/>
          </w:rPr>
          <w:t xml:space="preserve">335</w:t>
        </w:r>
      </w:hyperlink>
      <w:r>
        <w:t xml:space="preserve"> </w:t>
      </w:r>
      <w:r>
        <w:t xml:space="preserve">Using open data from that study, I calculated the mean values for the mean and variance of the adjustment distributions across all biases considered by that exercise (see Appendix @ref(?) for more details on how these were calculated). For the purposes of this illustrative analysis and to highlight the generalised nature of the code used to perform the analysis (see Section</w:t>
      </w:r>
      <w:r>
        <w:t xml:space="preserve"> </w:t>
      </w:r>
      <w:r>
        <w:t xml:space="preserve">7.5.5</w:t>
      </w:r>
      <w:r>
        <w:t xml:space="preserve">), I used the calculated values to inform two scenarios of modifying distributions (Table</w:t>
      </w:r>
      <w:r>
        <w:t xml:space="preserve"> </w:t>
      </w:r>
      <w:r>
        <w:t xml:space="preserve">21</w:t>
      </w:r>
      <w:r>
        <w:t xml:space="preserve">) for additive biases, and a single set for proportional biases. In the first scenario, the relationship between the position assigned to each additive judgement is linear. In the second scenario, the step from</w:t>
      </w:r>
      <w:r>
        <w:t xml:space="preserve"> </w:t>
      </w:r>
      <w:r>
        <w:t xml:space="preserve">“</w:t>
      </w:r>
      <w:r>
        <w:t xml:space="preserve">Moderate</w:t>
      </w:r>
      <w:r>
        <w:t xml:space="preserve">”</w:t>
      </w:r>
      <w:r>
        <w:t xml:space="preserve"> </w:t>
      </w:r>
      <w:r>
        <w:t xml:space="preserve">to</w:t>
      </w:r>
      <w:r>
        <w:t xml:space="preserve"> </w:t>
      </w:r>
      <w:r>
        <w:t xml:space="preserve">“</w:t>
      </w:r>
      <w:r>
        <w:t xml:space="preserve">High</w:t>
      </w:r>
      <w:r>
        <w:t xml:space="preserve">”</w:t>
      </w:r>
      <w:r>
        <w:t xml:space="preserve"> </w:t>
      </w:r>
      <w:r>
        <w:t xml:space="preserve">is twice that from</w:t>
      </w:r>
      <w:r>
        <w:t xml:space="preserve"> </w:t>
      </w:r>
      <w:r>
        <w:t xml:space="preserve">“</w:t>
      </w:r>
      <w:r>
        <w:t xml:space="preserve">Low</w:t>
      </w:r>
      <w:r>
        <w:t xml:space="preserve">”</w:t>
      </w:r>
      <w:r>
        <w:t xml:space="preserve"> </w:t>
      </w:r>
      <w:r>
        <w:t xml:space="preserve">to</w:t>
      </w:r>
      <w:r>
        <w:t xml:space="preserve"> </w:t>
      </w:r>
      <w:r>
        <w:t xml:space="preserve">“</w:t>
      </w:r>
      <w:r>
        <w:t xml:space="preserve">Moderate</w:t>
      </w:r>
      <w:r>
        <w:t xml:space="preserve">”</w:t>
      </w:r>
      <w:r>
        <w:t xml:space="preserve">. Across both additive and proportional biases, the variance of the</w:t>
      </w:r>
      <w:r>
        <w:t xml:space="preserve"> </w:t>
      </w:r>
      <w:r>
        <w:t xml:space="preserve">“</w:t>
      </w:r>
      <w:r>
        <w:t xml:space="preserve">High</w:t>
      </w:r>
      <w:r>
        <w:t xml:space="preserve">”</w:t>
      </w:r>
      <w:r>
        <w:t xml:space="preserve"> </w:t>
      </w:r>
      <w:r>
        <w:t xml:space="preserve">judgement distribution was defined to be greater than that of the</w:t>
      </w:r>
      <w:r>
        <w:t xml:space="preserve"> </w:t>
      </w:r>
      <w:r>
        <w:t xml:space="preserve">“</w:t>
      </w:r>
      <w:r>
        <w:t xml:space="preserve">Moderate</w:t>
      </w:r>
      <w:r>
        <w:t xml:space="preserve">”</w:t>
      </w:r>
      <w:r>
        <w:t xml:space="preserve"> </w:t>
      </w:r>
      <w:r>
        <w:t xml:space="preserve">judgement.</w:t>
      </w:r>
    </w:p>
    <w:p>
      <w:pPr>
        <w:pStyle w:val="BodyText"/>
      </w:pPr>
      <w:r>
        <w:t xml:space="preserve"> </w:t>
      </w:r>
    </w:p>
    <w:p>
      <w:pPr>
        <w:pStyle w:val="TableCaption"/>
      </w:pPr>
      <w:r>
        <w:t xml:space="preserve">Table 21:</w:t>
      </w:r>
      <w:r>
        <w:t xml:space="preserve"> </w:t>
      </w:r>
      <w:bookmarkStart w:id="977f875b-2b64-4777-9e26-d6b42b6b249d" w:name="tab:priorsAdd-table"/>
      <w:r>
        <w:t xml:space="preserve">Prior distributions for extent and type of bias under two scenarios, on the log scale. Note that the distributions for proportional biases were kept consistent across the two scenarios.</w:t>
      </w:r>
      <w:bookmarkEnd w:id="977f875b-2b64-4777-9e26-d6b42b6b249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N(.03,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N(.16,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N(.24,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.032)</w:t>
            </w:r>
          </w:p>
        </w:tc>
      </w:tr>
    </w:tbl>
    <w:p>
      <w:pPr>
        <w:pStyle w:val="BodyText"/>
      </w:pPr>
      <w:r>
        <w:t xml:space="preserve"> </w:t>
      </w:r>
    </w:p>
    <w:p>
      <w:pPr>
        <w:pStyle w:val="BodyText"/>
      </w:pPr>
    </w:p>
    <w:p>
      <w:pPr>
        <w:pStyle w:val="BodyText"/>
      </w:pPr>
      <w:r>
        <w:t xml:space="preserve">Where the direction of bias in a domain was unpredictable for a given result, the mean of the prior distribution for that domain was set to 0 but the appropriate variance for the recorded extent of bias was retained (e.g. for an unpredictable</w:t>
      </w:r>
      <w:r>
        <w:t xml:space="preserve"> </w:t>
      </w:r>
      <w:r>
        <w:t xml:space="preserve">“</w:t>
      </w:r>
      <w:r>
        <w:t xml:space="preserve">High</w:t>
      </w:r>
      <w:r>
        <w:t xml:space="preserve">”</w:t>
      </w:r>
      <w:r>
        <w:t xml:space="preserve"> </w:t>
      </w:r>
      <w:r>
        <w:t xml:space="preserve">additive bias, the distribution would be</w:t>
      </w:r>
      <w:r>
        <w:t xml:space="preserve"> </w:t>
      </w:r>
      <m:oMath>
        <m:r>
          <m:t>N</m:t>
        </m:r>
        <m:r>
          <m:rPr>
            <m:sty m:val="p"/>
          </m:rPr>
          <m:t>(</m:t>
        </m:r>
        <m:r>
          <m:t>0</m:t>
        </m:r>
        <m:r>
          <m:rPr>
            <m:sty m:val="p"/>
          </m:rPr>
          <m:t>,</m:t>
        </m:r>
        <m:r>
          <m:t>0.1</m:t>
        </m:r>
        <m:r>
          <m:rPr>
            <m:sty m:val="p"/>
          </m:rPr>
          <m:t>)</m:t>
        </m:r>
      </m:oMath>
      <w:r>
        <w:t xml:space="preserve"> </w:t>
      </w:r>
      <w:r>
        <w:t xml:space="preserve">under Scenario 1). In other words, adjusting for bias in a domain with an unpredictable direction of bias has no impact on the position of the effect estimate but does increase the uncertainty around it.</w:t>
      </w:r>
    </w:p>
    <w:p>
      <w:pPr>
        <w:pStyle w:val="BodyText"/>
      </w:pPr>
      <w:r>
        <w:t xml:space="preserve"> </w:t>
      </w:r>
    </w:p>
    <w:bookmarkEnd w:id="281"/>
    <w:bookmarkStart w:id="282" w:name="Xbf1550ddd0d57d8a98914b9d60eabe3c52603e3"/>
    <w:p>
      <w:pPr>
        <w:pStyle w:val="Heading4"/>
      </w:pPr>
      <w:r>
        <w:t xml:space="preserve">Assessing and assigning prior values to indirectness</w:t>
      </w:r>
    </w:p>
    <w:p>
      <w:pPr>
        <w:pStyle w:val="FirstParagraph"/>
      </w:pPr>
      <w:r>
        <w:t xml:space="preserve">The indirectness of a result (also termed external bias, external validity, relevance, generalisability, or applicability) is defined here as the discrepancy between the research question addressed by the</w:t>
      </w:r>
      <w:r>
        <w:t xml:space="preserve"> </w:t>
      </w:r>
      <w:r>
        <w:t xml:space="preserve">“</w:t>
      </w:r>
      <w:r>
        <w:t xml:space="preserve">idealised</w:t>
      </w:r>
      <w:r>
        <w:t xml:space="preserve">”</w:t>
      </w:r>
      <w:r>
        <w:t xml:space="preserve"> </w:t>
      </w:r>
      <w:r>
        <w:t xml:space="preserve">study and the causal question of interest.</w:t>
      </w:r>
    </w:p>
    <w:p>
      <w:pPr>
        <w:pStyle w:val="BodyText"/>
      </w:pPr>
      <w:r>
        <w:t xml:space="preserve">An identical approach was employed to assess, and assign prior distributions to, the indirectness in each result. The target question for each result was compared against the causal question of interest with respect to three domains, defined as important by the GRADE framework for assessing the certainty of evidence:</w:t>
      </w:r>
      <w:hyperlink w:anchor="ref-guyatt2011">
        <w:r>
          <w:rPr>
            <w:rStyle w:val="Hyperlink"/>
            <w:vertAlign w:val="superscript"/>
          </w:rPr>
          <w:t xml:space="preserve">336</w:t>
        </w:r>
      </w:hyperlink>
      <w:r>
        <w:t xml:space="preserve"> </w:t>
      </w:r>
      <w:r>
        <w:t xml:space="preserve">population, intervention/exposure, and outcome. I again used the scale of</w:t>
      </w:r>
      <w:r>
        <w:t xml:space="preserve"> </w:t>
      </w:r>
      <w:r>
        <w:t xml:space="preserve">“</w:t>
      </w:r>
      <w:r>
        <w:t xml:space="preserve">Low/</w:t>
      </w:r>
      <w:r>
        <w:t xml:space="preserve">”</w:t>
      </w:r>
      <w:r>
        <w:t xml:space="preserve">Moderate</w:t>
      </w:r>
      <w:r>
        <w:t xml:space="preserve">“</w:t>
      </w:r>
      <w:r>
        <w:t xml:space="preserve">/</w:t>
      </w:r>
      <w:r>
        <w:t xml:space="preserve">”</w:t>
      </w:r>
      <w:r>
        <w:t xml:space="preserve">High" to quantify the extent of indirectness in each domain. All indirectness was defined</w:t>
      </w:r>
      <w:r>
        <w:t xml:space="preserve"> </w:t>
      </w:r>
      <w:r>
        <w:rPr>
          <w:iCs/>
          <w:i/>
        </w:rPr>
        <w:t xml:space="preserve">a priori</w:t>
      </w:r>
      <w:r>
        <w:t xml:space="preserve"> </w:t>
      </w:r>
      <w:r>
        <w:t xml:space="preserve">as being proportional in nature (i.e. depending on the magnitude of the effect), in line with previous work on this topic.</w:t>
      </w:r>
      <w:hyperlink w:anchor="ref-turner2009">
        <w:r>
          <w:rPr>
            <w:rStyle w:val="Hyperlink"/>
            <w:vertAlign w:val="superscript"/>
          </w:rPr>
          <w:t xml:space="preserve">335</w:t>
        </w:r>
      </w:hyperlink>
      <w:r>
        <w:rPr>
          <w:vertAlign w:val="superscript"/>
        </w:rPr>
        <w:t xml:space="preserve">,</w:t>
      </w:r>
      <w:hyperlink w:anchor="ref-thompson2011">
        <w:r>
          <w:rPr>
            <w:rStyle w:val="Hyperlink"/>
            <w:vertAlign w:val="superscript"/>
          </w:rPr>
          <w:t xml:space="preserve">337</w:t>
        </w:r>
      </w:hyperlink>
      <w:r>
        <w:t xml:space="preserve"> </w:t>
      </w:r>
      <w:r>
        <w:t xml:space="preserve">As above, data from the previous elicitation exercise were used to inform reasonable prior distributions for each level of indirectness (Table</w:t>
      </w:r>
      <w:r>
        <w:t xml:space="preserve"> </w:t>
      </w:r>
      <w:r>
        <w:t xml:space="preserve">22</w:t>
      </w:r>
      <w:r>
        <w:t xml:space="preserve">).</w:t>
      </w:r>
    </w:p>
    <w:p>
      <w:pPr>
        <w:pStyle w:val="BodyText"/>
      </w:pPr>
      <w:r>
        <w:t xml:space="preserve"> </w:t>
      </w:r>
    </w:p>
    <w:p>
      <w:pPr>
        <w:pStyle w:val="TableCaption"/>
      </w:pPr>
      <w:r>
        <w:t xml:space="preserve">Table 22:</w:t>
      </w:r>
      <w:r>
        <w:t xml:space="preserve"> </w:t>
      </w:r>
      <w:bookmarkStart w:id="99bc4b16-bf84-42d0-abb3-977428283077" w:name="tab:priorsIndirect-table"/>
      <w:r>
        <w:t xml:space="preserve">Prior distributions for extent and type of bias under two scenarios, on the log scale. Note that the distributions for proportional biases were kept consistent across the two scenarios.</w:t>
      </w:r>
      <w:bookmarkEnd w:id="99bc4b16-bf84-42d0-abb3-97742828307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N(.12, .032)</w:t>
            </w:r>
          </w:p>
        </w:tc>
      </w:tr>
    </w:tbl>
    <w:p>
      <w:pPr>
        <w:pStyle w:val="BodyText"/>
      </w:pPr>
      <w:r>
        <w:t xml:space="preserve"> </w:t>
      </w:r>
    </w:p>
    <w:p>
      <w:pPr>
        <w:pStyle w:val="BodyText"/>
      </w:pPr>
      <w:r>
        <w:t xml:space="preserve">As an illustrative example, consider the first causal question of the interest in this exercise, the effect of LDL-c in mid-life on Alzheimer’s disease. Here, studies of lipids levels in this time period would require minimal adjustment, whereas studies examining statin use (indirect exposure/intervention) in late-life (indirect population) would be down-weighted due to reduced relevance to the causal question.</w:t>
      </w:r>
    </w:p>
    <w:p>
      <w:pPr>
        <w:pStyle w:val="BodyText"/>
      </w:pPr>
      <w:r>
        <w:t xml:space="preserve"> </w:t>
      </w:r>
    </w:p>
    <w:bookmarkEnd w:id="282"/>
    <w:bookmarkStart w:id="283" w:name="combine-in-a-bias-adjusted-meta-analysis"/>
    <w:p>
      <w:pPr>
        <w:pStyle w:val="Heading4"/>
      </w:pPr>
      <w:r>
        <w:t xml:space="preserve">Combine in a bias-adjusted meta-analysis</w:t>
      </w:r>
    </w:p>
    <w:p>
      <w:pPr>
        <w:pStyle w:val="FirstParagraph"/>
      </w:pPr>
      <w:r>
        <w:t xml:space="preserve">Using the the method reported in Turner</w:t>
      </w:r>
      <w:r>
        <w:t xml:space="preserve"> </w:t>
      </w:r>
      <w:r>
        <w:rPr>
          <w:iCs/>
          <w:i/>
        </w:rPr>
        <w:t xml:space="preserve">et al.</w:t>
      </w:r>
      <w:r>
        <w:t xml:space="preserve">,</w:t>
      </w:r>
      <w:hyperlink w:anchor="ref-turner2009">
        <w:r>
          <w:rPr>
            <w:rStyle w:val="Hyperlink"/>
            <w:vertAlign w:val="superscript"/>
          </w:rPr>
          <w:t xml:space="preserve">335</w:t>
        </w:r>
      </w:hyperlink>
      <w:r>
        <w:t xml:space="preserve"> </w:t>
      </w:r>
      <w:r>
        <w:t xml:space="preserve">total additive and proportional bias and indirectness were calculated and used to define an adjusted estimate for each result included in the synthesis.</w:t>
      </w:r>
    </w:p>
    <w:p>
      <w:pPr>
        <w:pStyle w:val="BodyText"/>
      </w:pPr>
      <w:r>
        <w:t xml:space="preserve">The adjusted estimate for each result,</w:t>
      </w:r>
      <w:r>
        <w:t xml:space="preserve"> </w:t>
      </w:r>
      <m:oMath>
        <m:acc>
          <m:accPr>
            <m:chr m:val="̂"/>
          </m:accPr>
          <m:e>
            <m:r>
              <m:t>θ</m:t>
            </m:r>
          </m:e>
        </m:acc>
      </m:oMath>
      <w:r>
        <w:t xml:space="preserve">,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β</m:t>
                  </m:r>
                </m:sub>
                <m:sup>
                  <m:r>
                    <m:rPr>
                      <m:sty m:val="p"/>
                    </m:rPr>
                    <m:t>I</m:t>
                  </m:r>
                  <m:r>
                    <m:rPr>
                      <m:sty m:val="p"/>
                    </m:rPr>
                    <m:t>n</m:t>
                  </m:r>
                </m:sup>
              </m:sSubSup>
              <m:sSubSup>
                <m:e>
                  <m:r>
                    <m:t>μ</m:t>
                  </m:r>
                </m:e>
                <m:sub>
                  <m:r>
                    <m:t>i</m:t>
                  </m:r>
                  <m:r>
                    <m:t>δ</m:t>
                  </m:r>
                </m:sub>
                <m:sup>
                  <m:r>
                    <m:rPr>
                      <m:sty m:val="p"/>
                    </m:rPr>
                    <m:t>I</m:t>
                  </m:r>
                  <m:r>
                    <m:rPr>
                      <m:sty m:val="p"/>
                    </m:rPr>
                    <m:t>n</m:t>
                  </m:r>
                </m:sup>
              </m:sSubSup>
              <m:r>
                <m:rPr>
                  <m:sty m:val="p"/>
                </m:rPr>
                <m:t>−</m:t>
              </m:r>
              <m:sSubSup>
                <m:e>
                  <m:r>
                    <m:t>μ</m:t>
                  </m:r>
                </m:e>
                <m:sub>
                  <m:r>
                    <m:t>i</m:t>
                  </m:r>
                  <m:r>
                    <m:t>δ</m:t>
                  </m:r>
                </m:sub>
                <m:sup>
                  <m:r>
                    <m:rPr>
                      <m:sty m:val="p"/>
                    </m:rPr>
                    <m:t>B</m:t>
                  </m:r>
                </m:sup>
              </m:sSubSup>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r>
            <m:t>  </m:t>
          </m:r>
          <m:r>
            <m:rPr>
              <m:sty m:val="p"/>
            </m:rPr>
            <m:t>(</m:t>
          </m:r>
          <m:r>
            <m:t>10</m:t>
          </m:r>
          <m:r>
            <m:rPr>
              <m:sty m:val="p"/>
            </m:rPr>
            <m:t>)</m:t>
          </m:r>
        </m:oMath>
      </m:oMathPara>
    </w:p>
    <w:p>
      <w:pPr>
        <w:pStyle w:val="FirstParagraph"/>
      </w:pPr>
      <w:r>
        <w:t xml:space="preserve">where</w:t>
      </w:r>
      <w:r>
        <w:t xml:space="preserve"> </w:t>
      </w:r>
      <m:oMath>
        <m:sSubSup>
          <m:e>
            <m:r>
              <m:t>μ</m:t>
            </m:r>
          </m:e>
          <m:sub>
            <m:r>
              <m:t>i</m:t>
            </m:r>
            <m:r>
              <m:t>δ</m:t>
            </m:r>
          </m:sub>
          <m:sup>
            <m:r>
              <m:rPr>
                <m:sty m:val="p"/>
              </m:rPr>
              <m:t>B</m:t>
            </m:r>
          </m:sup>
        </m:sSubSup>
      </m:oMath>
      <w:r>
        <w:t xml:space="preserve"> </w:t>
      </w:r>
      <w:r>
        <w:t xml:space="preserve">and</w:t>
      </w:r>
      <w:r>
        <w:t xml:space="preserve"> </w:t>
      </w:r>
      <m:oMath>
        <m:sSubSup>
          <m:e>
            <m:r>
              <m:t>μ</m:t>
            </m:r>
          </m:e>
          <m:sub>
            <m:r>
              <m:t>i</m:t>
            </m:r>
            <m:r>
              <m:t>β</m:t>
            </m:r>
          </m:sub>
          <m:sup>
            <m:r>
              <m:rPr>
                <m:sty m:val="p"/>
              </m:rPr>
              <m:t>B</m:t>
            </m:r>
          </m:sup>
        </m:sSubSup>
      </m:oMath>
      <w:r>
        <w:t xml:space="preserve"> </w:t>
      </w:r>
      <w:r>
        <w:t xml:space="preserve">refer to the total additive and proportional bias, and</w:t>
      </w:r>
      <w:r>
        <w:t xml:space="preserve"> </w:t>
      </w:r>
      <m:oMath>
        <m:sSubSup>
          <m:e>
            <m:r>
              <m:t>μ</m:t>
            </m:r>
          </m:e>
          <m:sub>
            <m:r>
              <m:t>i</m:t>
            </m:r>
            <m:r>
              <m:t>δ</m:t>
            </m:r>
          </m:sub>
          <m:sup>
            <m:r>
              <m:rPr>
                <m:sty m:val="p"/>
              </m:rPr>
              <m:t>I</m:t>
            </m:r>
            <m:r>
              <m:rPr>
                <m:sty m:val="p"/>
              </m:rPr>
              <m:t>n</m:t>
            </m:r>
          </m:sup>
        </m:sSubSup>
      </m:oMath>
      <w:r>
        <w:t xml:space="preserve"> </w:t>
      </w:r>
      <w:r>
        <w:t xml:space="preserve">and</w:t>
      </w:r>
      <w:r>
        <w:t xml:space="preserve"> </w:t>
      </w:r>
      <m:oMath>
        <m:sSubSup>
          <m:e>
            <m:r>
              <m:t>μ</m:t>
            </m:r>
          </m:e>
          <m:sub>
            <m:r>
              <m:t>i</m:t>
            </m:r>
            <m:r>
              <m:t>β</m:t>
            </m:r>
          </m:sub>
          <m:sup>
            <m:r>
              <m:rPr>
                <m:sty m:val="p"/>
              </m:rPr>
              <m:t>I</m:t>
            </m:r>
            <m:r>
              <m:rPr>
                <m:sty m:val="p"/>
              </m:rPr>
              <m:t>n</m:t>
            </m:r>
          </m:sup>
        </m:sSubSup>
      </m:oMath>
      <w:r>
        <w:t xml:space="preserve"> </w:t>
      </w:r>
      <w:r>
        <w:t xml:space="preserve">refer to the total additive and proportional indirectness. Note that in this exercise, the total additive indirectness</w:t>
      </w:r>
      <w:r>
        <w:t xml:space="preserve"> </w:t>
      </w:r>
      <m:oMath>
        <m:sSubSup>
          <m:e>
            <m:r>
              <m:t>μ</m:t>
            </m:r>
          </m:e>
          <m:sub>
            <m:r>
              <m:t>i</m:t>
            </m:r>
            <m:r>
              <m:t>β</m:t>
            </m:r>
          </m:sub>
          <m:sup>
            <m:r>
              <m:rPr>
                <m:sty m:val="p"/>
              </m:rPr>
              <m:t>I</m:t>
            </m:r>
            <m:r>
              <m:rPr>
                <m:sty m:val="p"/>
              </m:rPr>
              <m:t>n</m:t>
            </m:r>
          </m:sup>
        </m:sSubSup>
        <m:r>
          <m:rPr>
            <m:sty m:val="p"/>
          </m:rPr>
          <m:t>=</m:t>
        </m:r>
        <m:r>
          <m:t>1</m:t>
        </m:r>
      </m:oMath>
      <w:r>
        <w:t xml:space="preserve">, as all indirectness was defined</w:t>
      </w:r>
      <w:r>
        <w:t xml:space="preserve"> </w:t>
      </w:r>
      <w:r>
        <w:rPr>
          <w:iCs/>
          <w:i/>
        </w:rPr>
        <w:t xml:space="preserve">a priori</w:t>
      </w:r>
      <w:r>
        <w:t xml:space="preserve"> </w:t>
      </w:r>
      <w:r>
        <w:t xml:space="preserve">as being proportional.</w:t>
      </w:r>
    </w:p>
    <w:p>
      <w:pPr>
        <w:pStyle w:val="BodyText"/>
      </w:pPr>
      <w:r>
        <w:t xml:space="preserve">The standard error of this estimate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B</m:t>
                      </m:r>
                    </m:sup>
                  </m:sSubSup>
                  <m:r>
                    <m:t>2</m:t>
                  </m:r>
                  <m:r>
                    <m:rPr>
                      <m:sty m:val="p"/>
                    </m:rPr>
                    <m:t>+</m:t>
                  </m:r>
                  <m:sSubSup>
                    <m:e>
                      <m:r>
                        <m:t>σ</m:t>
                      </m:r>
                    </m:e>
                    <m:sub>
                      <m:r>
                        <m:t>i</m:t>
                      </m:r>
                      <m:r>
                        <m:t>β</m:t>
                      </m:r>
                    </m:sub>
                    <m:sup>
                      <m:r>
                        <m:rPr>
                          <m:sty m:val="p"/>
                        </m:rPr>
                        <m:t>B</m:t>
                      </m:r>
                    </m:sup>
                  </m:sSubSup>
                </m:e>
              </m:d>
              <m:d>
                <m:dPr>
                  <m:begChr m:val="("/>
                  <m:endChr m:val=")"/>
                  <m:grow/>
                </m:dPr>
                <m:e>
                  <m:sSup>
                    <m:e>
                      <m:acc>
                        <m:accPr>
                          <m:chr m:val="̂"/>
                        </m:accPr>
                        <m:e>
                          <m:r>
                            <m:t>θ</m:t>
                          </m:r>
                        </m:e>
                      </m:acc>
                    </m:e>
                    <m:sup>
                      <m:r>
                        <m:t>2</m:t>
                      </m:r>
                    </m:sup>
                  </m:sSup>
                  <m:sSubSup>
                    <m:e>
                      <m:r>
                        <m:t>σ</m:t>
                      </m:r>
                    </m:e>
                    <m:sub>
                      <m:r>
                        <m:t>i</m:t>
                      </m:r>
                      <m:r>
                        <m:t>β</m:t>
                      </m:r>
                    </m:sub>
                    <m:sup>
                      <m:r>
                        <m:rPr>
                          <m:sty m:val="p"/>
                        </m:rPr>
                        <m:t>I</m:t>
                      </m:r>
                      <m:r>
                        <m:rPr>
                          <m:sty m:val="p"/>
                        </m:rPr>
                        <m:t>n</m:t>
                      </m:r>
                      <m:r>
                        <m:t>2</m:t>
                      </m:r>
                    </m:sup>
                  </m:sSubSup>
                  <m:r>
                    <m:rPr>
                      <m:sty m:val="p"/>
                    </m:rPr>
                    <m:t>+</m:t>
                  </m:r>
                  <m:sSubSup>
                    <m:e>
                      <m:r>
                        <m:t>σ</m:t>
                      </m:r>
                    </m:e>
                    <m:sub>
                      <m:r>
                        <m:t>i</m:t>
                      </m:r>
                      <m:r>
                        <m:t>δ</m:t>
                      </m:r>
                    </m:sub>
                    <m:sup>
                      <m:r>
                        <m:rPr>
                          <m:sty m:val="p"/>
                        </m:rPr>
                        <m:t>I</m:t>
                      </m:r>
                      <m:r>
                        <m:rPr>
                          <m:sty m:val="p"/>
                        </m:rPr>
                        <m:t>n</m:t>
                      </m:r>
                      <m:r>
                        <m:t>2</m:t>
                      </m:r>
                    </m:sup>
                  </m:sSubSup>
                </m:e>
              </m:d>
              <m:r>
                <m:rPr>
                  <m:sty m:val="p"/>
                </m:rPr>
                <m:t>+</m:t>
              </m:r>
              <m:sSubSup>
                <m:e>
                  <m:r>
                    <m:t>σ</m:t>
                  </m:r>
                </m:e>
                <m:sub>
                  <m:r>
                    <m:t>i</m:t>
                  </m:r>
                  <m:r>
                    <m:t>β</m:t>
                  </m:r>
                </m:sub>
                <m:sup>
                  <m:r>
                    <m:rPr>
                      <m:sty m:val="p"/>
                    </m:rPr>
                    <m:t>B</m:t>
                  </m:r>
                </m:sup>
              </m:sSubSup>
              <m:sSup>
                <m:e>
                  <m:d>
                    <m:dPr>
                      <m:begChr m:val="("/>
                      <m:endChr m:val=")"/>
                      <m:grow/>
                    </m:dPr>
                    <m:e>
                      <m:acc>
                        <m:accPr>
                          <m:chr m:val="̂"/>
                        </m:accPr>
                        <m:e>
                          <m:r>
                            <m:t>θ</m:t>
                          </m:r>
                        </m:e>
                      </m:acc>
                      <m:sSubSup>
                        <m:e>
                          <m:r>
                            <m:t>μ</m:t>
                          </m:r>
                        </m:e>
                        <m:sub>
                          <m:r>
                            <m:t>i</m:t>
                          </m:r>
                          <m:r>
                            <m:t>β</m:t>
                          </m:r>
                        </m:sub>
                        <m:sup>
                          <m:r>
                            <m:rPr>
                              <m:sty m:val="p"/>
                            </m:rPr>
                            <m:t>I</m:t>
                          </m:r>
                          <m:r>
                            <m:rPr>
                              <m:sty m:val="p"/>
                            </m:rPr>
                            <m:t>n</m:t>
                          </m:r>
                        </m:sup>
                      </m:sSubSup>
                      <m:r>
                        <m:rPr>
                          <m:sty m:val="p"/>
                        </m:rPr>
                        <m:t>+</m:t>
                      </m:r>
                      <m:sSubSup>
                        <m:e>
                          <m:r>
                            <m:t>μ</m:t>
                          </m:r>
                        </m:e>
                        <m:sub>
                          <m:r>
                            <m:t>i</m:t>
                          </m:r>
                          <m:r>
                            <m:t>δ</m:t>
                          </m:r>
                        </m:sub>
                        <m:sup>
                          <m:r>
                            <m:rPr>
                              <m:sty m:val="p"/>
                            </m:rPr>
                            <m:t>I</m:t>
                          </m:r>
                          <m:r>
                            <m:rPr>
                              <m:sty m:val="p"/>
                            </m:rPr>
                            <m:t>n</m:t>
                          </m:r>
                        </m:sup>
                      </m:sSubSup>
                    </m:e>
                  </m:d>
                </m:e>
                <m:sup>
                  <m:r>
                    <m:t>2</m:t>
                  </m:r>
                </m:sup>
              </m:sSup>
              <m:r>
                <m:rPr>
                  <m:sty m:val="p"/>
                </m:rPr>
                <m:t>+</m:t>
              </m:r>
              <m:sSubSup>
                <m:e>
                  <m:r>
                    <m:t>σ</m:t>
                  </m:r>
                </m:e>
                <m:sub>
                  <m:r>
                    <m:t>i</m:t>
                  </m:r>
                  <m:r>
                    <m:t>δ</m:t>
                  </m:r>
                </m:sub>
                <m:sup>
                  <m:r>
                    <m:rPr>
                      <m:sty m:val="p"/>
                    </m:rPr>
                    <m:t>B</m:t>
                  </m:r>
                  <m:r>
                    <m:t>2</m:t>
                  </m:r>
                </m:sup>
              </m:sSubSup>
            </m:e>
          </m:d>
          <m:r>
            <m:t>  </m:t>
          </m:r>
          <m:r>
            <m:rPr>
              <m:sty m:val="p"/>
            </m:rPr>
            <m:t>(</m:t>
          </m:r>
          <m:r>
            <m:t>11</m:t>
          </m:r>
          <m:r>
            <m:rPr>
              <m:sty m:val="p"/>
            </m:rPr>
            <m:t>)</m:t>
          </m:r>
        </m:oMath>
      </m:oMathPara>
    </w:p>
    <w:p>
      <w:pPr>
        <w:pStyle w:val="FirstParagraph"/>
      </w:pPr>
      <w:r>
        <w:t xml:space="preserve">Once each individual result had been adjusted using this approach, I performed a random effects meta-analysis using the unadjusted and adjusted results. I also compared the adjusted results under the two scenarios of additive bias defined. results. I extracted the overall effect estimates, along with measures of heterogeneity in each case (</w:t>
      </w:r>
      <m:oMath>
        <m:sSup>
          <m:e>
            <m:r>
              <m:t>τ</m:t>
            </m:r>
          </m:e>
          <m:sup>
            <m:r>
              <m:t>2</m:t>
            </m:r>
          </m:sup>
        </m:sSup>
      </m:oMath>
      <w:r>
        <w:t xml:space="preserve">,</w:t>
      </w:r>
      <w:r>
        <w:t xml:space="preserve"> </w:t>
      </w:r>
      <m:oMath>
        <m:sSup>
          <m:e>
            <m:r>
              <m:t>I</m:t>
            </m:r>
          </m:e>
          <m:sup>
            <m:r>
              <m:t>2</m:t>
            </m:r>
          </m:sup>
        </m:sSup>
      </m:oMath>
      <w:r>
        <w:t xml:space="preserve">).</w:t>
      </w:r>
      <w:hyperlink w:anchor="ref-higgins2003">
        <w:r>
          <w:rPr>
            <w:rStyle w:val="Hyperlink"/>
            <w:vertAlign w:val="superscript"/>
          </w:rPr>
          <w:t xml:space="preserve">338</w:t>
        </w:r>
      </w:hyperlink>
      <w:r>
        <w:rPr>
          <w:vertAlign w:val="superscript"/>
        </w:rPr>
        <w:t xml:space="preserve">,</w:t>
      </w:r>
      <w:hyperlink w:anchor="ref-higgins2008">
        <w:r>
          <w:rPr>
            <w:rStyle w:val="Hyperlink"/>
            <w:vertAlign w:val="superscript"/>
          </w:rPr>
          <w:t xml:space="preserve">339</w:t>
        </w:r>
      </w:hyperlink>
    </w:p>
    <w:p>
      <w:pPr>
        <w:pStyle w:val="BodyText"/>
      </w:pPr>
      <w:r>
        <w:t xml:space="preserve"> </w:t>
      </w:r>
    </w:p>
    <w:bookmarkEnd w:id="283"/>
    <w:bookmarkEnd w:id="284"/>
    <w:bookmarkEnd w:id="285"/>
    <w:bookmarkStart w:id="301" w:name="results-2"/>
    <w:p>
      <w:pPr>
        <w:pStyle w:val="Heading2"/>
      </w:pPr>
      <w:r>
        <w:t xml:space="preserve">Results</w:t>
      </w:r>
    </w:p>
    <w:bookmarkStart w:id="289" w:name="X260b69239e639d35d5044a3449ad3b752a344f3"/>
    <w:p>
      <w:pPr>
        <w:pStyle w:val="Heading3"/>
      </w:pPr>
      <w:r>
        <w:t xml:space="preserve">Qualitative triangulation / narrative comparison</w:t>
      </w:r>
    </w:p>
    <w:p>
      <w:pPr>
        <w:pStyle w:val="FirstParagraph"/>
      </w:pPr>
      <w:r>
        <w:rPr>
          <w:bCs/>
          <w:b/>
        </w:rPr>
        <w:t xml:space="preserve">[Question: the</w:t>
      </w:r>
      <w:r>
        <w:rPr>
          <w:bCs/>
          <w:b/>
        </w:rPr>
        <w:t xml:space="preserve"> </w:t>
      </w:r>
      <w:r>
        <w:rPr>
          <w:bCs/>
          <w:b/>
        </w:rPr>
        <w:t xml:space="preserve">“</w:t>
      </w:r>
      <w:r>
        <w:rPr>
          <w:bCs/>
          <w:b/>
        </w:rPr>
        <w:t xml:space="preserve">strength of evidence</w:t>
      </w:r>
      <w:r>
        <w:rPr>
          <w:bCs/>
          <w:b/>
        </w:rPr>
        <w:t xml:space="preserve">”</w:t>
      </w:r>
      <w:r>
        <w:rPr>
          <w:bCs/>
          <w:b/>
        </w:rPr>
        <w:t xml:space="preserve"> </w:t>
      </w:r>
      <w:r>
        <w:rPr>
          <w:bCs/>
          <w:b/>
        </w:rPr>
        <w:t xml:space="preserve">language here makes for fairly ambiguous reading - e.g. </w:t>
      </w:r>
      <w:r>
        <w:rPr>
          <w:bCs/>
          <w:b/>
        </w:rPr>
        <w:t xml:space="preserve">“</w:t>
      </w:r>
      <w:r>
        <w:rPr>
          <w:bCs/>
          <w:b/>
        </w:rPr>
        <w:t xml:space="preserve">very weak evidence</w:t>
      </w:r>
      <w:r>
        <w:rPr>
          <w:bCs/>
          <w:b/>
        </w:rPr>
        <w:t xml:space="preserve">”</w:t>
      </w:r>
      <w:r>
        <w:rPr>
          <w:bCs/>
          <w:b/>
        </w:rPr>
        <w:t xml:space="preserve">. Should I also include the effect estimates from each approach, which will help to clarify, if it is a narrative synthesis?]</w:t>
      </w:r>
    </w:p>
    <w:p>
      <w:pPr>
        <w:pStyle w:val="BodyText"/>
      </w:pPr>
      <w:r>
        <w:t xml:space="preserve">I identified no consistent effect of any lipid fraction on any dementia outcome across the evidence sources presented in this thesis, through there was some suggestion of a protective effect of LDL-c lowering (via statin use) on all-cause dementia and Alzheimer’s disease, and a harmful effect of raised triglyceride levels on vascular dementia.</w:t>
      </w:r>
    </w:p>
    <w:p>
      <w:pPr>
        <w:pStyle w:val="BodyText"/>
      </w:pPr>
      <w:r>
        <w:t xml:space="preserve"> </w:t>
      </w:r>
    </w:p>
    <w:bookmarkStart w:id="286" w:name="all-cause-dementia"/>
    <w:p>
      <w:pPr>
        <w:pStyle w:val="Heading4"/>
      </w:pPr>
      <w:r>
        <w:t xml:space="preserve">All-cause dementia</w:t>
      </w:r>
    </w:p>
    <w:p>
      <w:pPr>
        <w:pStyle w:val="FirstParagraph"/>
      </w:pPr>
      <w:r>
        <w:t xml:space="preserve">Analysis of lipid levels across both the systematic review (Chapter</w:t>
      </w:r>
      <w:r>
        <w:t xml:space="preserve"> </w:t>
      </w:r>
      <w:r>
        <w:t xml:space="preserve">??</w:t>
      </w:r>
      <w:r>
        <w:t xml:space="preserve">) and the IPD analysis (Chapter</w:t>
      </w:r>
      <w:r>
        <w:t xml:space="preserve"> </w:t>
      </w:r>
      <w:r>
        <w:t xml:space="preserve">??</w:t>
      </w:r>
      <w:r>
        <w:t xml:space="preserve">) both found extremely weak evidence for an association of any lipid fraction with all-cause dementia. Similarly, both a meta-analysis of RCTs of statin use and of MR analyses of genetic instruments that mimic statin use found very weak evidence of an association, providing indirect evidence on the effect of LDL-c lowering on this outcome.</w:t>
      </w:r>
    </w:p>
    <w:p>
      <w:pPr>
        <w:pStyle w:val="BodyText"/>
      </w:pPr>
      <w:r>
        <w:t xml:space="preserve">In contrast, the meta-analysis of NRSI of statin use found a slight protective effect, though many of the studies in this analysis were found to be at risk of immortal time bias, which would be expected to favour the intervention. Finally, analysis of the association of statin use with all-cause dementia in the CPRD (Chapter</w:t>
      </w:r>
      <w:r>
        <w:t xml:space="preserve"> </w:t>
      </w:r>
      <w:r>
        <w:t xml:space="preserve">??</w:t>
      </w:r>
      <w:r>
        <w:t xml:space="preserve">) found evidence of a harmful effect, though this is likely to be driven by the substantial confounding by indication identified in the vascular dementia subgroup.</w:t>
      </w:r>
    </w:p>
    <w:p>
      <w:pPr>
        <w:pStyle w:val="BodyText"/>
      </w:pPr>
      <w:r>
        <w:t xml:space="preserve">For fibrates, an alternative lipid-regulating agent, there was some evidence of an increased risk of all-cause dementia in the CPRD, though this did not replicate in the meta-analysis of previous studies examining the association of fibrates and all-cause dementia.</w:t>
      </w:r>
    </w:p>
    <w:p>
      <w:pPr>
        <w:pStyle w:val="BodyText"/>
      </w:pPr>
      <w:r>
        <w:t xml:space="preserve"> </w:t>
      </w:r>
    </w:p>
    <w:bookmarkEnd w:id="286"/>
    <w:bookmarkStart w:id="287" w:name="alzheimers-disease"/>
    <w:p>
      <w:pPr>
        <w:pStyle w:val="Heading4"/>
      </w:pPr>
      <w:r>
        <w:t xml:space="preserve">Alzheimer’s disease</w:t>
      </w:r>
    </w:p>
    <w:p>
      <w:pPr>
        <w:pStyle w:val="FirstParagraph"/>
      </w:pPr>
      <w:r>
        <w:t xml:space="preserve">Meta-analysis of lipid levels in the systematic review (Chapter</w:t>
      </w:r>
      <w:r>
        <w:t xml:space="preserve"> </w:t>
      </w:r>
      <w:r>
        <w:t xml:space="preserve">??</w:t>
      </w:r>
      <w:r>
        <w:t xml:space="preserve">) found extremely weak evidence for an association of any lipid fraction with Alzheimer’s disease. Similarly, a meta-analysis of MR analyses of genetic instruments that mimic statin use found very weak evidence of an association.</w:t>
      </w:r>
    </w:p>
    <w:p>
      <w:pPr>
        <w:pStyle w:val="BodyText"/>
      </w:pPr>
      <w:r>
        <w:t xml:space="preserve">In contrast, the meta-analysis of NRSI of statin use found a slight protective effect, though similar to the all-cause dementia outcome, many of the studies in this analysis were found to be at risk of immortal time bias. However, the CPRD analysis (Chapter</w:t>
      </w:r>
      <w:r>
        <w:t xml:space="preserve"> </w:t>
      </w:r>
      <w:r>
        <w:t xml:space="preserve">??</w:t>
      </w:r>
      <w:r>
        <w:t xml:space="preserve">) attempted to account for this potential bias through the use of time-varying treatment indicator. It found very weak evidence for an effect, though the potential for differential misclassification on the basis of the exposure limit the validity of this finding.</w:t>
      </w:r>
    </w:p>
    <w:p>
      <w:pPr>
        <w:pStyle w:val="BodyText"/>
      </w:pPr>
      <w:r>
        <w:t xml:space="preserve">The IPD analysis (Chapter</w:t>
      </w:r>
      <w:r>
        <w:t xml:space="preserve">??</w:t>
      </w:r>
      <w:r>
        <w:t xml:space="preserve">) provided no information on this outcome, as the sole cohort containing data on Alzheimer’s disease (Whitehall II) had previously been analysed in respect to this outcome and so was included in the meta-analysis of NRSE.</w:t>
      </w:r>
    </w:p>
    <w:p>
      <w:pPr>
        <w:pStyle w:val="BodyText"/>
      </w:pPr>
      <w:r>
        <w:t xml:space="preserve"> </w:t>
      </w:r>
    </w:p>
    <w:bookmarkEnd w:id="287"/>
    <w:bookmarkStart w:id="288" w:name="vascular-dementia"/>
    <w:p>
      <w:pPr>
        <w:pStyle w:val="Heading4"/>
      </w:pPr>
      <w:r>
        <w:t xml:space="preserve">Vascular dementia</w:t>
      </w:r>
    </w:p>
    <w:p>
      <w:pPr>
        <w:pStyle w:val="FirstParagraph"/>
      </w:pPr>
      <w:r>
        <w:t xml:space="preserve">There was a general absence of existing evidence on vascular dementia outcomes. Meta-analysis of the small number of studies examing lipid levels in the systematic review (Chapter</w:t>
      </w:r>
      <w:r>
        <w:t xml:space="preserve"> </w:t>
      </w:r>
      <w:r>
        <w:t xml:space="preserve">??</w:t>
      </w:r>
      <w:r>
        <w:t xml:space="preserve">) found extremely weak evidence for an association of any lipid fraction with vascular dementia. Similarly, a meta-analysis of statin use found very weak evidence for an effect on this outcome. The CPRD analysis (Chapter</w:t>
      </w:r>
      <w:r>
        <w:t xml:space="preserve"> </w:t>
      </w:r>
      <w:r>
        <w:t xml:space="preserve">??</w:t>
      </w:r>
      <w:r>
        <w:t xml:space="preserve">) found evidence for a harmful association of statin use with vascular dementia, though this finding is likely to be the result of severe confounding by indication, as identified through the use of control outcomes.</w:t>
      </w:r>
    </w:p>
    <w:p>
      <w:pPr>
        <w:pStyle w:val="BodyText"/>
      </w:pPr>
      <w:r>
        <w:t xml:space="preserve">Finally, the IPD analysis (Chapter @Ref(hold)) provided supporting evidence for the absence of an effect of any fraction on vascular dementia, with the sole exception of triglycerides. Raised triglycerides were associated with an increased incidence of vascular dementia across two previously unanalysed cohorts though there is the potential for uncontrolled confounding due to the limited information on covariates available. With respect to evidence on treatments for hypertriglyceridemia, examination of fibrates in the CPRD provided very weak evidence of an association with vascular dementia.</w:t>
      </w:r>
    </w:p>
    <w:p>
      <w:pPr>
        <w:pStyle w:val="BodyText"/>
      </w:pPr>
      <w:r>
        <w:t xml:space="preserve"> </w:t>
      </w:r>
    </w:p>
    <w:bookmarkEnd w:id="288"/>
    <w:bookmarkEnd w:id="289"/>
    <w:bookmarkStart w:id="300" w:name="quantitative-triangulation-1"/>
    <w:p>
      <w:pPr>
        <w:pStyle w:val="Heading3"/>
      </w:pPr>
      <w:r>
        <w:t xml:space="preserve">Quantitative triangulation</w:t>
      </w:r>
    </w:p>
    <w:bookmarkStart w:id="291" w:name="single-study"/>
    <w:p>
      <w:pPr>
        <w:pStyle w:val="Heading4"/>
      </w:pPr>
      <w:r>
        <w:t xml:space="preserve">Single study</w:t>
      </w:r>
    </w:p>
    <w:p>
      <w:pPr>
        <w:pStyle w:val="FirstParagraph"/>
      </w:pPr>
      <w:r>
        <w:t xml:space="preserve">As an illustrative example, the bias and indirectness inherent to the estimate of the effect of statin use on Alzheimer’s disease in the CPRD are considered here. For this result, there were three domains at greater than low risk of bias: Bias due to confounding, Bias due to definition of the outcome, and Bias in the selection of the reported result (Figure</w:t>
      </w:r>
      <w:r>
        <w:t xml:space="preserve"> </w:t>
      </w:r>
      <w:r>
        <w:t xml:space="preserve">43</w:t>
      </w:r>
      <w:r>
        <w:t xml:space="preserve">). In Domain 1 (bias due to confounding), the study did not adjust for ApoE4 status, which is predicted to mask any true association between statins and Alzheimer’s disease (see Section</w:t>
      </w:r>
      <w:r>
        <w:t xml:space="preserve"> </w:t>
      </w:r>
      <w:r>
        <w:t xml:space="preserve">5.5.3</w:t>
      </w:r>
      <w:r>
        <w:t xml:space="preserve"> </w:t>
      </w:r>
      <w:r>
        <w:t xml:space="preserve">for a fuller discussion). As such, the bias is predicted to</w:t>
      </w:r>
      <w:r>
        <w:t xml:space="preserve"> </w:t>
      </w:r>
      <w:r>
        <w:rPr>
          <w:iCs/>
          <w:i/>
        </w:rPr>
        <w:t xml:space="preserve">favour the comparator</w:t>
      </w:r>
      <w:r>
        <w:t xml:space="preserve"> </w:t>
      </w:r>
      <w:r>
        <w:t xml:space="preserve">and so the absolute direction of bias is to the right. In Domain 7 (bias in measurement of the outcome), there was a high risk of differential misclassification on the basis of the exposure. Here, history of statin use may make a diagnosis of vascular dementia more likely than Alzheimer’s disease, and so for this outcome, this bias is predicted to</w:t>
      </w:r>
      <w:r>
        <w:t xml:space="preserve"> </w:t>
      </w:r>
      <w:r>
        <w:rPr>
          <w:iCs/>
          <w:i/>
        </w:rPr>
        <w:t xml:space="preserve">favour the experiment</w:t>
      </w:r>
      <w:r>
        <w:t xml:space="preserve"> </w:t>
      </w:r>
      <w:r>
        <w:t xml:space="preserve">(in this case, an intervention). As such, the absolute direction of bias is to the left. In Domain 7 (bias in selection of the reported result), for consistency with the other NRSI, in the absence of a protocol the bias is assumed to be</w:t>
      </w:r>
      <w:r>
        <w:t xml:space="preserve"> </w:t>
      </w:r>
      <w:r>
        <w:rPr>
          <w:iCs/>
          <w:i/>
        </w:rPr>
        <w:t xml:space="preserve">away from the null</w:t>
      </w:r>
      <w:r>
        <w:t xml:space="preserve">. Given the position of the effect estimate below the null, the absolute direction of bias in this domain is to the left.</w:t>
      </w:r>
    </w:p>
    <w:p>
      <w:pPr>
        <w:pStyle w:val="BodyText"/>
      </w:pPr>
      <w:r>
        <w:t xml:space="preserve"> </w:t>
      </w:r>
    </w:p>
    <w:p>
      <w:pPr>
        <w:pStyle w:val="BodyText"/>
      </w:pPr>
      <w:r>
        <w:drawing>
          <wp:inline>
            <wp:extent cx="5943600" cy="2377440"/>
            <wp:effectExtent b="0" l="0" r="0" t="0"/>
            <wp:docPr descr="Figure 43: Bias direction plot for a single study showing the predicted direction of bias in each domain. Additive biases are characterised using arrows, while the proportional biases are denoted using &lt; and &gt;. A question mark indicates that the direction of bias was unpredictable." title="" id="1" name="Picture"/>
            <a:graphic>
              <a:graphicData uri="http://schemas.openxmlformats.org/drawingml/2006/picture">
                <pic:pic>
                  <pic:nvPicPr>
                    <pic:cNvPr descr="figures/tri/midlife_AD_single.png" id="0" name="Picture"/>
                    <pic:cNvPicPr>
                      <a:picLocks noChangeArrowheads="1" noChangeAspect="1"/>
                    </pic:cNvPicPr>
                  </pic:nvPicPr>
                  <pic:blipFill>
                    <a:blip r:embed="rId290"/>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t xml:space="preserve"> </w:t>
      </w:r>
    </w:p>
    <w:p>
      <w:pPr>
        <w:pStyle w:val="BodyText"/>
      </w:pPr>
      <w:r>
        <w:t xml:space="preserve">With respect to indirectness, the result was judged to be a low risk in the population and outcome domains. However, the fact the result refers to the effect of statins, which may have an effect on dementia outcomes through a mechanism other than LDL-c lowering, put it at high risk of indirectness in the intervention/exposure domain.</w:t>
      </w:r>
    </w:p>
    <w:p>
      <w:pPr>
        <w:pStyle w:val="BodyText"/>
      </w:pPr>
      <w:r>
        <w:t xml:space="preserve">The unadjusted estimate was 0.98 (95%CI: 0.95-1.02). After accounting for the biases and indirectness described, the adjusted result was 1.07 (95%CI: 0.47-2.42).</w:t>
      </w:r>
    </w:p>
    <w:p>
      <w:pPr>
        <w:pStyle w:val="BodyText"/>
      </w:pPr>
      <w:r>
        <w:t xml:space="preserve"> </w:t>
      </w:r>
    </w:p>
    <w:bookmarkEnd w:id="291"/>
    <w:bookmarkStart w:id="295" w:name="Xa26d3efd9919970b7a1f3202c189e3ae7fea502"/>
    <w:p>
      <w:pPr>
        <w:pStyle w:val="Heading4"/>
      </w:pPr>
      <w:r>
        <w:t xml:space="preserve">Case study #1: effect of LDL-c at midlife on Alzheimer’s disease</w:t>
      </w:r>
    </w:p>
    <w:p>
      <w:pPr>
        <w:pStyle w:val="FirstParagraph"/>
      </w:pPr>
      <w:r>
        <w:t xml:space="preserve">From the data sources identified in Section</w:t>
      </w:r>
      <w:r>
        <w:t xml:space="preserve"> </w:t>
      </w:r>
      <w:r>
        <w:t xml:space="preserve">7.3.1</w:t>
      </w:r>
      <w:r>
        <w:t xml:space="preserve">, I identified 18 results relevant to my first causal question of interest. Most (n=17) were identified via the systematic review,</w:t>
      </w:r>
      <w:hyperlink w:anchor="ref-schilling2017">
        <w:r>
          <w:rPr>
            <w:rStyle w:val="Hyperlink"/>
            <w:vertAlign w:val="superscript"/>
          </w:rPr>
          <w:t xml:space="preserve">51</w:t>
        </w:r>
      </w:hyperlink>
      <w:r>
        <w:rPr>
          <w:vertAlign w:val="superscript"/>
        </w:rPr>
        <w:t xml:space="preserve">,</w:t>
      </w:r>
      <w:hyperlink w:anchor="ref-ostergaard2015">
        <w:r>
          <w:rPr>
            <w:rStyle w:val="Hyperlink"/>
            <w:vertAlign w:val="superscript"/>
          </w:rPr>
          <w:t xml:space="preserve">69</w:t>
        </w:r>
      </w:hyperlink>
      <w:r>
        <w:rPr>
          <w:vertAlign w:val="superscript"/>
        </w:rPr>
        <w:t xml:space="preserve">,</w:t>
      </w:r>
      <w:hyperlink w:anchor="ref-ancelin2012">
        <w:r>
          <w:rPr>
            <w:rStyle w:val="Hyperlink"/>
            <w:vertAlign w:val="superscript"/>
          </w:rPr>
          <w:t xml:space="preserve">184</w:t>
        </w:r>
      </w:hyperlink>
      <w:r>
        <w:rPr>
          <w:vertAlign w:val="superscript"/>
        </w:rPr>
        <w:t xml:space="preserve">–</w:t>
      </w:r>
      <w:hyperlink w:anchor="ref-bettermann2012">
        <w:r>
          <w:rPr>
            <w:rStyle w:val="Hyperlink"/>
            <w:vertAlign w:val="superscript"/>
          </w:rPr>
          <w:t xml:space="preserve">186</w:t>
        </w:r>
      </w:hyperlink>
      <w:r>
        <w:rPr>
          <w:vertAlign w:val="superscript"/>
        </w:rPr>
        <w:t xml:space="preserve">,</w:t>
      </w:r>
      <w:hyperlink w:anchor="ref-chou2014">
        <w:r>
          <w:rPr>
            <w:rStyle w:val="Hyperlink"/>
            <w:vertAlign w:val="superscript"/>
          </w:rPr>
          <w:t xml:space="preserve">191</w:t>
        </w:r>
      </w:hyperlink>
      <w:r>
        <w:rPr>
          <w:vertAlign w:val="superscript"/>
        </w:rPr>
        <w:t xml:space="preserve">,</w:t>
      </w:r>
      <w:hyperlink w:anchor="ref-haag2009">
        <w:r>
          <w:rPr>
            <w:rStyle w:val="Hyperlink"/>
            <w:vertAlign w:val="superscript"/>
          </w:rPr>
          <w:t xml:space="preserve">195</w:t>
        </w:r>
      </w:hyperlink>
      <w:r>
        <w:rPr>
          <w:vertAlign w:val="superscript"/>
        </w:rPr>
        <w:t xml:space="preserve">,</w:t>
      </w:r>
      <w:hyperlink w:anchor="ref-li2004">
        <w:r>
          <w:rPr>
            <w:rStyle w:val="Hyperlink"/>
            <w:vertAlign w:val="superscript"/>
          </w:rPr>
          <w:t xml:space="preserve">199</w:t>
        </w:r>
      </w:hyperlink>
      <w:r>
        <w:rPr>
          <w:vertAlign w:val="superscript"/>
        </w:rPr>
        <w:t xml:space="preserve">,</w:t>
      </w:r>
      <w:hyperlink w:anchor="ref-li2010">
        <w:r>
          <w:rPr>
            <w:rStyle w:val="Hyperlink"/>
            <w:vertAlign w:val="superscript"/>
          </w:rPr>
          <w:t xml:space="preserve">200</w:t>
        </w:r>
      </w:hyperlink>
      <w:r>
        <w:rPr>
          <w:vertAlign w:val="superscript"/>
        </w:rPr>
        <w:t xml:space="preserve">,</w:t>
      </w:r>
      <w:hyperlink w:anchor="ref-rea2005">
        <w:r>
          <w:rPr>
            <w:rStyle w:val="Hyperlink"/>
            <w:vertAlign w:val="superscript"/>
          </w:rPr>
          <w:t xml:space="preserve">205</w:t>
        </w:r>
      </w:hyperlink>
      <w:r>
        <w:rPr>
          <w:vertAlign w:val="superscript"/>
        </w:rPr>
        <w:t xml:space="preserve">,</w:t>
      </w:r>
      <w:hyperlink w:anchor="ref-reitz2010">
        <w:r>
          <w:rPr>
            <w:rStyle w:val="Hyperlink"/>
            <w:vertAlign w:val="superscript"/>
          </w:rPr>
          <w:t xml:space="preserve">207</w:t>
        </w:r>
      </w:hyperlink>
      <w:r>
        <w:rPr>
          <w:vertAlign w:val="superscript"/>
        </w:rPr>
        <w:t xml:space="preserve">,</w:t>
      </w:r>
      <w:hyperlink w:anchor="ref-smeeth2009">
        <w:r>
          <w:rPr>
            <w:rStyle w:val="Hyperlink"/>
            <w:vertAlign w:val="superscript"/>
          </w:rPr>
          <w:t xml:space="preserve">208</w:t>
        </w:r>
      </w:hyperlink>
      <w:r>
        <w:rPr>
          <w:vertAlign w:val="superscript"/>
        </w:rPr>
        <w:t xml:space="preserve">,</w:t>
      </w:r>
      <w:hyperlink w:anchor="ref-zandi2005">
        <w:r>
          <w:rPr>
            <w:rStyle w:val="Hyperlink"/>
            <w:vertAlign w:val="superscript"/>
          </w:rPr>
          <w:t xml:space="preserve">214</w:t>
        </w:r>
      </w:hyperlink>
      <w:r>
        <w:rPr>
          <w:vertAlign w:val="superscript"/>
        </w:rPr>
        <w:t xml:space="preserve">,</w:t>
      </w:r>
      <w:hyperlink w:anchor="ref-tynkkynen2018">
        <w:r>
          <w:rPr>
            <w:rStyle w:val="Hyperlink"/>
            <w:vertAlign w:val="superscript"/>
          </w:rPr>
          <w:t xml:space="preserve">240</w:t>
        </w:r>
      </w:hyperlink>
      <w:r>
        <w:rPr>
          <w:vertAlign w:val="superscript"/>
        </w:rPr>
        <w:t xml:space="preserve">,</w:t>
      </w:r>
      <w:hyperlink w:anchor="ref-yoshitake1995">
        <w:r>
          <w:rPr>
            <w:rStyle w:val="Hyperlink"/>
            <w:vertAlign w:val="superscript"/>
          </w:rPr>
          <w:t xml:space="preserve">243</w:t>
        </w:r>
      </w:hyperlink>
      <w:r>
        <w:t xml:space="preserve"> </w:t>
      </w:r>
      <w:r>
        <w:t xml:space="preserve">while Chapter</w:t>
      </w:r>
      <w:r>
        <w:t xml:space="preserve"> </w:t>
      </w:r>
      <w:r>
        <w:t xml:space="preserve">??</w:t>
      </w:r>
      <w:r>
        <w:t xml:space="preserve"> </w:t>
      </w:r>
      <w:r>
        <w:t xml:space="preserve">provided an additional estimate from the CPRD analysis. The extent, type and direction of predicted bias for each result can be seen in the bias-direction plot presented in Figure</w:t>
      </w:r>
      <w:r>
        <w:t xml:space="preserve"> </w:t>
      </w:r>
      <w:r>
        <w:t xml:space="preserve">44</w:t>
      </w:r>
      <w:r>
        <w:t xml:space="preserve">, stratified by study design.</w:t>
      </w:r>
    </w:p>
    <w:p>
      <w:pPr>
        <w:pStyle w:val="BodyText"/>
      </w:pPr>
      <w:r>
        <w:t xml:space="preserve"> </w:t>
      </w:r>
    </w:p>
    <w:p>
      <w:pPr>
        <w:pStyle w:val="BodyText"/>
      </w:pPr>
      <w:r>
        <w:drawing>
          <wp:inline>
            <wp:extent cx="5943600" cy="4415245"/>
            <wp:effectExtent b="0" l="0" r="0" t="0"/>
            <wp:docPr descr="Figure 44: Bias direction plot, summarising the internal biases related to effect of LDL-c on Alzheimer’s disease, stratified by study design." title="" id="1" name="Picture"/>
            <a:graphic>
              <a:graphicData uri="http://schemas.openxmlformats.org/drawingml/2006/picture">
                <pic:pic>
                  <pic:nvPicPr>
                    <pic:cNvPr descr="figures/tri/midlife_AD.png" id="0" name="Picture"/>
                    <pic:cNvPicPr>
                      <a:picLocks noChangeArrowheads="1" noChangeAspect="1"/>
                    </pic:cNvPicPr>
                  </pic:nvPicPr>
                  <pic:blipFill>
                    <a:blip r:embed="rId292"/>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results of the unadjusted and the bias-/indirectness-adjusted (under Scenario 1) are shown in Figure</w:t>
      </w:r>
      <w:r>
        <w:t xml:space="preserve"> </w:t>
      </w:r>
      <w:r>
        <w:t xml:space="preserve">45</w:t>
      </w:r>
      <w:r>
        <w:t xml:space="preserve">. Following adjustment for bias and indirectness, the observed effect attenuates to the null (unadjusted 0.94, 95%CI: 0.89-0.99; adjusted 0.95, 95%CI: 0.86-1.04). Additionally, adjustment for bias and indirectness substantially reduced the heterogeneity between studies (unadjusted</w:t>
      </w:r>
      <w:r>
        <w:t xml:space="preserve"> </w:t>
      </w:r>
      <m:oMath>
        <m:sSup>
          <m:e>
            <m:r>
              <m:t>τ</m:t>
            </m:r>
          </m:e>
          <m:sup>
            <m:r>
              <m:t>2</m:t>
            </m:r>
          </m:sup>
        </m:sSup>
      </m:oMath>
      <w:r>
        <w:t xml:space="preserve"> </w:t>
      </w:r>
      <w:r>
        <w:t xml:space="preserve">= 0.0017,</w:t>
      </w:r>
      <w:r>
        <w:t xml:space="preserve"> </w:t>
      </w:r>
      <m:oMath>
        <m:sSup>
          <m:e>
            <m:r>
              <m:t>I</m:t>
            </m:r>
          </m:e>
          <m:sup>
            <m:r>
              <m:t>2</m:t>
            </m:r>
          </m:sup>
        </m:sSup>
      </m:oMath>
      <w:r>
        <w:t xml:space="preserve"> </w:t>
      </w:r>
      <w:r>
        <w:t xml:space="preserve">= 17;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However, as can been seen from the right panel in Figure</w:t>
      </w:r>
      <w:r>
        <w:t xml:space="preserve"> </w:t>
      </w:r>
      <w:r>
        <w:t xml:space="preserve">45</w:t>
      </w:r>
      <w:r>
        <w:t xml:space="preserve">, this reduction in heterogeneity between studies is largely achieved via a reduction in the precision of each individual result.</w:t>
      </w:r>
    </w:p>
    <w:p>
      <w:pPr>
        <w:pStyle w:val="BodyText"/>
      </w:pPr>
      <w:r>
        <w:t xml:space="preserve"> </w:t>
      </w:r>
    </w:p>
    <w:p>
      <w:pPr>
        <w:pStyle w:val="CaptionedFigure"/>
      </w:pPr>
      <w:r>
        <w:drawing>
          <wp:inline>
            <wp:extent cx="5943600" cy="2971800"/>
            <wp:effectExtent b="0" l="0" r="0" t="0"/>
            <wp:docPr descr="Figure 45: Random effects meta-analysis of the association of midlife LDL-c with Alzheimer’s disease, using unadjusted and bias-/indirectness-adjusted results." title="" id="1" name="Picture"/>
            <a:graphic>
              <a:graphicData uri="http://schemas.openxmlformats.org/drawingml/2006/picture">
                <pic:pic>
                  <pic:nvPicPr>
                    <pic:cNvPr descr="figures/tri/fp_paired_midlife_ldl_ad.png" id="0" name="Picture"/>
                    <pic:cNvPicPr>
                      <a:picLocks noChangeArrowheads="1" noChangeAspect="1"/>
                    </pic:cNvPicPr>
                  </pic:nvPicPr>
                  <pic:blipFill>
                    <a:blip r:embed="rId29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45: Random effects meta-analysis of the association of midlife LDL-c with Alzheimer’s disease, using unadjusted and bias-/indirectness-adjusted results.</w:t>
      </w:r>
    </w:p>
    <w:p>
      <w:pPr>
        <w:pStyle w:val="BodyText"/>
      </w:pPr>
      <w:r>
        <w:t xml:space="preserve"> </w:t>
      </w:r>
    </w:p>
    <w:p>
      <w:pPr>
        <w:pStyle w:val="BodyText"/>
      </w:pPr>
      <w:r>
        <w:t xml:space="preserve">The estimates obtained under the two scenarios of additive bias are plotted in Figure</w:t>
      </w:r>
      <w:r>
        <w:t xml:space="preserve"> </w:t>
      </w:r>
      <w:r>
        <w:t xml:space="preserve">46</w:t>
      </w:r>
      <w:r>
        <w:t xml:space="preserve">, and no substantial differences were observed between the them.</w:t>
      </w:r>
    </w:p>
    <w:p>
      <w:pPr>
        <w:pStyle w:val="BodyText"/>
      </w:pPr>
      <w:r>
        <w:t xml:space="preserve">(ref:fpLdlAdComparison-cap) Comparison of bias-/indirectness-adjusted meta-analyses of LDL-c/Alzheimer’s disease,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46: (ref:fpLdlAdComparison-cap)" title="" id="1" name="Picture"/>
            <a:graphic>
              <a:graphicData uri="http://schemas.openxmlformats.org/drawingml/2006/picture">
                <pic:pic>
                  <pic:nvPicPr>
                    <pic:cNvPr descr="figures/tri/fp_paired_midlife_ldl_ad_scenarios.png" id="0" name="Picture"/>
                    <pic:cNvPicPr>
                      <a:picLocks noChangeArrowheads="1" noChangeAspect="1"/>
                    </pic:cNvPicPr>
                  </pic:nvPicPr>
                  <pic:blipFill>
                    <a:blip r:embed="rId29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295"/>
    <w:bookmarkStart w:id="299" w:name="Xbeead56182012fcbde6e7c8a3b8147a01088d5e"/>
    <w:p>
      <w:pPr>
        <w:pStyle w:val="Heading4"/>
      </w:pPr>
      <w:r>
        <w:t xml:space="preserve">Case study #2: effect of triglycerides at midlife on vascular dementia</w:t>
      </w:r>
    </w:p>
    <w:p>
      <w:pPr>
        <w:pStyle w:val="FirstParagraph"/>
      </w:pPr>
      <w:r>
        <w:t xml:space="preserve">From the data sources identified in Section</w:t>
      </w:r>
      <w:r>
        <w:t xml:space="preserve"> </w:t>
      </w:r>
      <w:r>
        <w:t xml:space="preserve">7.3.1</w:t>
      </w:r>
      <w:r>
        <w:t xml:space="preserve">, I identified 7 results relevant to my causal question of interest: 4 were identified via the systematic review,</w:t>
      </w:r>
      <w:hyperlink w:anchor="ref-forti2010">
        <w:r>
          <w:rPr>
            <w:rStyle w:val="Hyperlink"/>
            <w:vertAlign w:val="superscript"/>
          </w:rPr>
          <w:t xml:space="preserve">220</w:t>
        </w:r>
      </w:hyperlink>
      <w:r>
        <w:rPr>
          <w:vertAlign w:val="superscript"/>
        </w:rPr>
        <w:t xml:space="preserve">,</w:t>
      </w:r>
      <w:hyperlink w:anchor="ref-raffaitin2009">
        <w:r>
          <w:rPr>
            <w:rStyle w:val="Hyperlink"/>
            <w:vertAlign w:val="superscript"/>
          </w:rPr>
          <w:t xml:space="preserve">232</w:t>
        </w:r>
      </w:hyperlink>
      <w:r>
        <w:rPr>
          <w:vertAlign w:val="superscript"/>
        </w:rPr>
        <w:t xml:space="preserve">,</w:t>
      </w:r>
      <w:hyperlink w:anchor="ref-yoshitake1995">
        <w:r>
          <w:rPr>
            <w:rStyle w:val="Hyperlink"/>
            <w:vertAlign w:val="superscript"/>
          </w:rPr>
          <w:t xml:space="preserve">243</w:t>
        </w:r>
      </w:hyperlink>
      <w:r>
        <w:t xml:space="preserve"> </w:t>
      </w:r>
      <w:r>
        <w:t xml:space="preserve">while Chapter</w:t>
      </w:r>
      <w:r>
        <w:t xml:space="preserve"> </w:t>
      </w:r>
      <w:r>
        <w:t xml:space="preserve">??</w:t>
      </w:r>
      <w:r>
        <w:t xml:space="preserve"> </w:t>
      </w:r>
      <w:r>
        <w:t xml:space="preserve">provided two additional estimates from unanalysed datasets (CaPS and Whitehall II), and Chapter</w:t>
      </w:r>
      <w:r>
        <w:t xml:space="preserve"> </w:t>
      </w:r>
      <w:r>
        <w:t xml:space="preserve">6</w:t>
      </w:r>
      <w:r>
        <w:t xml:space="preserve"> </w:t>
      </w:r>
      <w:r>
        <w:t xml:space="preserve">provides an estimate for the effect of fibrates, a treatment for hypertriglyceridaemia. The extent, type and direction of predicted bias for each result can be seen in the bias-direction plot presented in Figure</w:t>
      </w:r>
      <w:r>
        <w:t xml:space="preserve"> </w:t>
      </w:r>
      <w:r>
        <w:t xml:space="preserve">47</w:t>
      </w:r>
      <w:r>
        <w:t xml:space="preserve">, stratified by study design.</w:t>
      </w:r>
    </w:p>
    <w:p>
      <w:pPr>
        <w:pStyle w:val="BodyText"/>
      </w:pPr>
      <w:r>
        <w:drawing>
          <wp:inline>
            <wp:extent cx="5943600" cy="4415245"/>
            <wp:effectExtent b="0" l="0" r="0" t="0"/>
            <wp:docPr descr="Figure 47: Bias direction plot, summarising the internal biases related to effect of triglycerides on vascular dementia, stratified by study design." title="" id="1" name="Picture"/>
            <a:graphic>
              <a:graphicData uri="http://schemas.openxmlformats.org/drawingml/2006/picture">
                <pic:pic>
                  <pic:nvPicPr>
                    <pic:cNvPr descr="figures/tri/midlife_VaD.png" id="0" name="Picture"/>
                    <pic:cNvPicPr>
                      <a:picLocks noChangeArrowheads="1" noChangeAspect="1"/>
                    </pic:cNvPicPr>
                  </pic:nvPicPr>
                  <pic:blipFill>
                    <a:blip r:embed="rId296"/>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Comparison of the unadjusted and bias-/indirectness-adjusted results for the effect of triglycerides on vascular dementia did not demonstrate a substantial difference (unadjusted 0.82, 95%CI: 0.64-1.05; adjusted 0.79, 95%CI: 0.58-1.08; Figure</w:t>
      </w:r>
      <w:r>
        <w:t xml:space="preserve"> </w:t>
      </w:r>
      <w:r>
        <w:t xml:space="preserve">48</w:t>
      </w:r>
      <w:r>
        <w:t xml:space="preserve">), though again, heterogeneity between the adjusted results was greatly reduced (unadjusted</w:t>
      </w:r>
      <w:r>
        <w:t xml:space="preserve"> </w:t>
      </w:r>
      <m:oMath>
        <m:sSup>
          <m:e>
            <m:r>
              <m:t>τ</m:t>
            </m:r>
          </m:e>
          <m:sup>
            <m:r>
              <m:t>2</m:t>
            </m:r>
          </m:sup>
        </m:sSup>
      </m:oMath>
      <w:r>
        <w:t xml:space="preserve"> </w:t>
      </w:r>
      <w:r>
        <w:t xml:space="preserve">= 0.054,</w:t>
      </w:r>
      <w:r>
        <w:t xml:space="preserve"> </w:t>
      </w:r>
      <m:oMath>
        <m:sSup>
          <m:e>
            <m:r>
              <m:t>I</m:t>
            </m:r>
          </m:e>
          <m:sup>
            <m:r>
              <m:t>2</m:t>
            </m:r>
          </m:sup>
        </m:sSup>
      </m:oMath>
      <w:r>
        <w:t xml:space="preserve"> </w:t>
      </w:r>
      <w:r>
        <w:t xml:space="preserve">= 65;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Similarly there was minimal difference between the results under the two scenarios of bias (Figure</w:t>
      </w:r>
      <w:r>
        <w:t xml:space="preserve"> </w:t>
      </w:r>
      <w:r>
        <w:t xml:space="preserve">49</w:t>
      </w:r>
      <w:r>
        <w:t xml:space="preserve">)</w:t>
      </w:r>
    </w:p>
    <w:p>
      <w:pPr>
        <w:pStyle w:val="CaptionedFigure"/>
      </w:pPr>
      <w:r>
        <w:drawing>
          <wp:inline>
            <wp:extent cx="5943600" cy="2971800"/>
            <wp:effectExtent b="0" l="0" r="0" t="0"/>
            <wp:docPr descr="Figure 48: Random effects meta-analysis of the association of midlife triglycerides and vascular dementia, using unadjusted and bias-/indirectness-adjusted (Scenario 1) results." title="" id="1" name="Picture"/>
            <a:graphic>
              <a:graphicData uri="http://schemas.openxmlformats.org/drawingml/2006/picture">
                <pic:pic>
                  <pic:nvPicPr>
                    <pic:cNvPr descr="figures/tri/fp_paired_midlife_tg_vad.png" id="0" name="Picture"/>
                    <pic:cNvPicPr>
                      <a:picLocks noChangeArrowheads="1" noChangeAspect="1"/>
                    </pic:cNvPicPr>
                  </pic:nvPicPr>
                  <pic:blipFill>
                    <a:blip r:embed="rId29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48: Random effects meta-analysis of the association of midlife triglycerides and vascular dementia, using unadjusted and bias-/indirectness-adjusted (Scenario 1) results.</w:t>
      </w:r>
    </w:p>
    <w:p>
      <w:pPr>
        <w:pStyle w:val="BodyText"/>
      </w:pPr>
      <w:r>
        <w:t xml:space="preserve"> </w:t>
      </w:r>
    </w:p>
    <w:p>
      <w:pPr>
        <w:pStyle w:val="BodyText"/>
      </w:pPr>
      <w:r>
        <w:t xml:space="preserve">(ref:fpTgVaDComparison-cap) Comparison of bias-/indirectness-adjusted meta-analyses of triglycerides/vascular dementia,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49: (ref:fpTgVaDComparison-cap)" title="" id="1" name="Picture"/>
            <a:graphic>
              <a:graphicData uri="http://schemas.openxmlformats.org/drawingml/2006/picture">
                <pic:pic>
                  <pic:nvPicPr>
                    <pic:cNvPr descr="figures/tri/fp_paired_midlife_tg_vad_scenarios.png" id="0" name="Picture"/>
                    <pic:cNvPicPr>
                      <a:picLocks noChangeArrowheads="1" noChangeAspect="1"/>
                    </pic:cNvPicPr>
                  </pic:nvPicPr>
                  <pic:blipFill>
                    <a:blip r:embed="rId29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bookmarkEnd w:id="299"/>
    <w:bookmarkEnd w:id="300"/>
    <w:bookmarkEnd w:id="301"/>
    <w:bookmarkStart w:id="311" w:name="discussion-4"/>
    <w:p>
      <w:pPr>
        <w:pStyle w:val="Heading2"/>
      </w:pPr>
      <w:r>
        <w:t xml:space="preserve">Discussion</w:t>
      </w:r>
    </w:p>
    <w:bookmarkStart w:id="302" w:name="summary-of-findings-3"/>
    <w:p>
      <w:pPr>
        <w:pStyle w:val="Heading3"/>
      </w:pPr>
      <w:r>
        <w:t xml:space="preserve">Summary of findings</w:t>
      </w:r>
    </w:p>
    <w:p>
      <w:pPr>
        <w:pStyle w:val="FirstParagraph"/>
      </w:pPr>
      <w:r>
        <w:t xml:space="preserve">This chapter has narratively synthesised the evidence identified and produced by the previous chapters, highlighting the absence of any consistent association between any blood lipid and any dementia outcome.</w:t>
      </w:r>
    </w:p>
    <w:p>
      <w:pPr>
        <w:pStyle w:val="BodyText"/>
      </w:pPr>
      <w:r>
        <w:t xml:space="preserve">In addition, it has sought to provide a generalised framework for quantitative triangulation, building on existing methods for systematic domain-based risk of bias assessment and bias-/indirectness-adjusted meta-analysis. To illustrate the method, I considered two causal questions: the effect of LDL-c at mid-life with Alzheimer’s disease and the effect of triglycerides on vascular dementia. In the quantitative triangulation framework, there was very weak evidence for an effect in relation to either of the causal questions considered. The heterogeneity between results produced by different study designs contributing to the analysis was substantially reduced using this method, though this was largely due to a reduction in the precision of each individual result.</w:t>
      </w:r>
    </w:p>
    <w:p>
      <w:pPr>
        <w:pStyle w:val="BodyText"/>
      </w:pPr>
      <w:r>
        <w:t xml:space="preserve"> </w:t>
      </w:r>
    </w:p>
    <w:bookmarkEnd w:id="302"/>
    <w:bookmarkStart w:id="307" w:name="limitations-2"/>
    <w:p>
      <w:pPr>
        <w:pStyle w:val="Heading3"/>
      </w:pPr>
      <w:r>
        <w:t xml:space="preserve">Limitations</w:t>
      </w:r>
    </w:p>
    <w:p>
      <w:pPr>
        <w:pStyle w:val="FirstParagraph"/>
      </w:pPr>
      <w:r>
        <w:t xml:space="preserve">The quantitative analysis presented in this chapter is subject to some strong methodological limitation, which are discussed in detail below.</w:t>
      </w:r>
    </w:p>
    <w:bookmarkStart w:id="303" w:name="X43021c436a891025dbff9767f7454d6db0b6fa0"/>
    <w:p>
      <w:pPr>
        <w:pStyle w:val="Heading4"/>
      </w:pPr>
      <w:r>
        <w:t xml:space="preserve">Defining reasonable prior distributions for bias and indirectness</w:t>
      </w:r>
    </w:p>
    <w:p>
      <w:pPr>
        <w:pStyle w:val="FirstParagraph"/>
      </w:pPr>
      <w:r>
        <w:t xml:space="preserve">The key limitation of the quantitative synthesis presented in this chapter is the lack of empirical evidence available for the prior distributions for bias and indirectness. While I attempted to address this by informing the prior distributions using data from a previous expert elicitation exercise, the extent of bias/indirectness in that analysis may not generalise to the one presented here.</w:t>
      </w:r>
    </w:p>
    <w:p>
      <w:pPr>
        <w:pStyle w:val="BodyText"/>
      </w:pPr>
      <w:r>
        <w:t xml:space="preserve">Ideally, these prior distributions would be based on empirical data on the effect of different domains of bias/indirectness on a result. Most meta-epidemiological studies examining the effect of different methodological issues studied only randomised controlled trials,</w:t>
      </w:r>
      <w:hyperlink w:anchor="ref-amer2021">
        <w:r>
          <w:rPr>
            <w:rStyle w:val="Hyperlink"/>
            <w:vertAlign w:val="superscript"/>
          </w:rPr>
          <w:t xml:space="preserve">340</w:t>
        </w:r>
      </w:hyperlink>
      <w:r>
        <w:rPr>
          <w:vertAlign w:val="superscript"/>
        </w:rPr>
        <w:t xml:space="preserve">,</w:t>
      </w:r>
      <w:hyperlink w:anchor="ref-page2016">
        <w:r>
          <w:rPr>
            <w:rStyle w:val="Hyperlink"/>
            <w:vertAlign w:val="superscript"/>
          </w:rPr>
          <w:t xml:space="preserve">341</w:t>
        </w:r>
      </w:hyperlink>
      <w:r>
        <w:t xml:space="preserve"> </w:t>
      </w:r>
      <w:r>
        <w:t xml:space="preserve">and the estimates of bias they produce may not hold for non-randomised study designs. However, the prior distributions defined here are broadly comparable to previously reported estimates of the impact of bias in non-randomised trials. For example, a previous simulation study estimated that, in the absence of true effect of LDL-c, ApoE4 would induce a RR of 1.09 with risk of dementia per 1-SD increase in LDL-c.</w:t>
      </w:r>
      <w:hyperlink w:anchor="ref-iwagami2021">
        <w:r>
          <w:rPr>
            <w:rStyle w:val="Hyperlink"/>
            <w:vertAlign w:val="superscript"/>
          </w:rPr>
          <w:t xml:space="preserve">342</w:t>
        </w:r>
      </w:hyperlink>
      <w:r>
        <w:t xml:space="preserve"> </w:t>
      </w:r>
      <w:r>
        <w:t xml:space="preserve">This is comparable to the mean assigned to the prior distribution mapped to</w:t>
      </w:r>
      <w:r>
        <w:t xml:space="preserve"> </w:t>
      </w:r>
      <w:r>
        <w:t xml:space="preserve">“</w:t>
      </w:r>
      <w:r>
        <w:t xml:space="preserve">Moderate</w:t>
      </w:r>
      <w:r>
        <w:t xml:space="preserve">”</w:t>
      </w:r>
      <w:r>
        <w:t xml:space="preserve"> </w:t>
      </w:r>
      <w:r>
        <w:t xml:space="preserve">additive bias (N(0.08,0.05), Table</w:t>
      </w:r>
      <w:r>
        <w:t xml:space="preserve"> </w:t>
      </w:r>
      <w:r>
        <w:t xml:space="preserve">21</w:t>
      </w:r>
      <w:r>
        <w:t xml:space="preserve">).</w:t>
      </w:r>
    </w:p>
    <w:p>
      <w:pPr>
        <w:pStyle w:val="BodyText"/>
      </w:pPr>
      <w:r>
        <w:t xml:space="preserve">A further limitation is the assumption that the distributions of bias are identical across domains of bias. Previous evidence from meta-epidemiological studies of randomised controlled trials that investigated the effects of different biases indicates that this is unlikely to be the case.</w:t>
      </w:r>
      <w:hyperlink w:anchor="ref-savovic2018">
        <w:r>
          <w:rPr>
            <w:rStyle w:val="Hyperlink"/>
            <w:vertAlign w:val="superscript"/>
          </w:rPr>
          <w:t xml:space="preserve">343</w:t>
        </w:r>
      </w:hyperlink>
      <w:r>
        <w:t xml:space="preserve"> </w:t>
      </w:r>
      <w:r>
        <w:t xml:space="preserve">The generalised framework for quantitative triangulation, presented here and available via the</w:t>
      </w:r>
      <w:r>
        <w:t xml:space="preserve"> </w:t>
      </w:r>
      <w:r>
        <w:rPr>
          <w:rStyle w:val="VerbatimChar"/>
        </w:rPr>
        <w:t xml:space="preserve">triangulate</w:t>
      </w:r>
      <w:r>
        <w:t xml:space="preserve"> </w:t>
      </w:r>
      <w:r>
        <w:t xml:space="preserve">package (see Section</w:t>
      </w:r>
      <w:r>
        <w:t xml:space="preserve"> </w:t>
      </w:r>
      <w:r>
        <w:t xml:space="preserve">7.5.5</w:t>
      </w:r>
      <w:r>
        <w:t xml:space="preserve">), allows for domain-specific distributions of bias/indirectness. As more information on the effect of specific sources of bias becomes available, such domain-specific distributions should be used.</w:t>
      </w:r>
    </w:p>
    <w:p>
      <w:pPr>
        <w:pStyle w:val="BodyText"/>
      </w:pPr>
      <w:r>
        <w:t xml:space="preserve">Finally, it may in fact be more reasonable for domains such as bias due to confounding to adjust on a per-confounder basis rather than mapping to a</w:t>
      </w:r>
      <w:r>
        <w:t xml:space="preserve"> </w:t>
      </w:r>
      <w:r>
        <w:t xml:space="preserve">“</w:t>
      </w:r>
      <w:r>
        <w:t xml:space="preserve">Moderate</w:t>
      </w:r>
      <w:r>
        <w:t xml:space="preserve">”</w:t>
      </w:r>
      <w:r>
        <w:t xml:space="preserve"> </w:t>
      </w:r>
      <w:r>
        <w:t xml:space="preserve">or</w:t>
      </w:r>
      <w:r>
        <w:t xml:space="preserve"> </w:t>
      </w:r>
      <w:r>
        <w:t xml:space="preserve">“</w:t>
      </w:r>
      <w:r>
        <w:t xml:space="preserve">High</w:t>
      </w:r>
      <w:r>
        <w:t xml:space="preserve">”</w:t>
      </w:r>
      <w:r>
        <w:t xml:space="preserve"> </w:t>
      </w:r>
      <w:r>
        <w:t xml:space="preserve">extent of bias. In this approach, prior distributions are assigned to each of the confounders pre-specified as part of the ROBINS-I/ROBINS-E tools.</w:t>
      </w:r>
      <w:hyperlink w:anchor="ref-sterne2016">
        <w:r>
          <w:rPr>
            <w:rStyle w:val="Hyperlink"/>
            <w:vertAlign w:val="superscript"/>
          </w:rPr>
          <w:t xml:space="preserve">154</w:t>
        </w:r>
      </w:hyperlink>
      <w:r>
        <w:t xml:space="preserve"> </w:t>
      </w:r>
      <w:r>
        <w:t xml:space="preserve">Then, rather than assigning a domain level distribution based on an arbitrary judgement of how many important confounders are missing, the result is adjusted for each confounder not accounted for in the original analysis.</w:t>
      </w:r>
    </w:p>
    <w:p>
      <w:pPr>
        <w:pStyle w:val="BodyText"/>
      </w:pPr>
      <w:r>
        <w:t xml:space="preserve"> </w:t>
      </w:r>
    </w:p>
    <w:bookmarkEnd w:id="303"/>
    <w:bookmarkStart w:id="304" w:name="accuracy-of-bias-indirectness-assessment"/>
    <w:p>
      <w:pPr>
        <w:pStyle w:val="Heading4"/>
      </w:pPr>
      <w:r>
        <w:t xml:space="preserve">Accuracy of bias-/indirectness-assessment</w:t>
      </w:r>
    </w:p>
    <w:p>
      <w:pPr>
        <w:pStyle w:val="FirstParagraph"/>
      </w:pPr>
      <w:r>
        <w:t xml:space="preserve">A key issue in this analysis is the accuracy of the assessment of bias and indirectness in each result. It has been widely demonstrated that the inter-rater agreement when using risk-of-bias tools is low with regards to the extnet of bias assinged to each domain</w:t>
      </w:r>
      <w:hyperlink w:anchor="ref-hartling2011">
        <w:r>
          <w:rPr>
            <w:rStyle w:val="Hyperlink"/>
            <w:vertAlign w:val="superscript"/>
          </w:rPr>
          <w:t xml:space="preserve">344</w:t>
        </w:r>
      </w:hyperlink>
      <w:r>
        <w:rPr>
          <w:vertAlign w:val="superscript"/>
        </w:rPr>
        <w:t xml:space="preserve">–</w:t>
      </w:r>
      <w:hyperlink w:anchor="ref-minozzi2020">
        <w:r>
          <w:rPr>
            <w:rStyle w:val="Hyperlink"/>
            <w:vertAlign w:val="superscript"/>
          </w:rPr>
          <w:t xml:space="preserve">346</w:t>
        </w:r>
      </w:hyperlink>
      <w:r>
        <w:t xml:space="preserve"> </w:t>
      </w:r>
      <w:r>
        <w:t xml:space="preserve">Though not previously studied, given the difficulty in assessing the predicted direction of bias, agreement on this aspect of the tools is likely to be lower still.</w:t>
      </w:r>
    </w:p>
    <w:p>
      <w:pPr>
        <w:pStyle w:val="BodyText"/>
      </w:pPr>
      <w:r>
        <w:t xml:space="preserve">A further issue in this regard is that rigourness of the tools may not be equivalent. This issue can be illustrated by the Ostergaard</w:t>
      </w:r>
      <w:r>
        <w:t xml:space="preserve"> </w:t>
      </w:r>
      <w:r>
        <w:rPr>
          <w:iCs/>
          <w:i/>
        </w:rPr>
        <w:t xml:space="preserve">et al.</w:t>
      </w:r>
      <w:r>
        <w:t xml:space="preserve"> </w:t>
      </w:r>
      <w:r>
        <w:t xml:space="preserve">study</w:t>
      </w:r>
      <w:hyperlink w:anchor="ref-ostergaard2015">
        <w:r>
          <w:rPr>
            <w:rStyle w:val="Hyperlink"/>
            <w:vertAlign w:val="superscript"/>
          </w:rPr>
          <w:t xml:space="preserve">69</w:t>
        </w:r>
      </w:hyperlink>
      <w:r>
        <w:t xml:space="preserve"> </w:t>
      </w:r>
      <w:r>
        <w:t xml:space="preserve">having low risk of bias across all domains and thus receiving a substantial proportion of the weight in the first case study (Figure</w:t>
      </w:r>
      <w:r>
        <w:t xml:space="preserve"> </w:t>
      </w:r>
      <w:r>
        <w:t xml:space="preserve">45</w:t>
      </w:r>
      <w:r>
        <w:t xml:space="preserve">). While the RoB suite of tools (RoB 2.0, ROBINS-I, ROBINS-E) were developed by an expert working group and have been widely used, the Mamluk</w:t>
      </w:r>
      <w:r>
        <w:t xml:space="preserve"> </w:t>
      </w:r>
      <w:r>
        <w:rPr>
          <w:iCs/>
          <w:i/>
        </w:rPr>
        <w:t xml:space="preserve">et al.</w:t>
      </w:r>
      <w:r>
        <w:t xml:space="preserve"> </w:t>
      </w:r>
      <w:r>
        <w:t xml:space="preserve">tool</w:t>
      </w:r>
      <w:hyperlink w:anchor="ref-mamluk2020">
        <w:r>
          <w:rPr>
            <w:rStyle w:val="Hyperlink"/>
            <w:vertAlign w:val="superscript"/>
          </w:rPr>
          <w:t xml:space="preserve">160</w:t>
        </w:r>
      </w:hyperlink>
      <w:r>
        <w:t xml:space="preserve"> </w:t>
      </w:r>
      <w:r>
        <w:t xml:space="preserve">used to assess risk of bias in Mendelian randomisation studies was designed by the authors for use in their own review. If the Mamluk tool is failing to adequately assess bias in Mendelian randomisation studies, then any analysis based on its assessments is likely to be subject to bias. This observation is particularly problematic given the default position of the ROBINS-I and ROBINS-E tool to require a</w:t>
      </w:r>
      <w:r>
        <w:t xml:space="preserve"> </w:t>
      </w:r>
      <w:r>
        <w:t xml:space="preserve">“</w:t>
      </w:r>
      <w:r>
        <w:t xml:space="preserve">Moderate</w:t>
      </w:r>
      <w:r>
        <w:t xml:space="preserve">”</w:t>
      </w:r>
      <w:r>
        <w:t xml:space="preserve"> </w:t>
      </w:r>
      <w:r>
        <w:t xml:space="preserve">judgement in the confounding domain. Under these conditions, it is possible that a well performed cohort study (low risk of bias across everything other that bias due to confounding) will be down-weighted versus a potentially poor MR study.</w:t>
      </w:r>
    </w:p>
    <w:p>
      <w:pPr>
        <w:pStyle w:val="BodyText"/>
      </w:pPr>
      <w:r>
        <w:t xml:space="preserve"> </w:t>
      </w:r>
    </w:p>
    <w:bookmarkEnd w:id="304"/>
    <w:bookmarkStart w:id="305" w:name="low-and-critical-risk-of-bias"/>
    <w:p>
      <w:pPr>
        <w:pStyle w:val="Heading4"/>
      </w:pPr>
      <w:r>
        <w:t xml:space="preserve">Low and critical risk of bias</w:t>
      </w:r>
    </w:p>
    <w:p>
      <w:pPr>
        <w:pStyle w:val="FirstParagraph"/>
      </w:pPr>
      <w:r>
        <w:t xml:space="preserve">As illustrated in Table</w:t>
      </w:r>
      <w:r>
        <w:t xml:space="preserve"> </w:t>
      </w:r>
      <w:r>
        <w:t xml:space="preserve">20</w:t>
      </w:r>
      <w:r>
        <w:t xml:space="preserve">, studies at critical risk of bias were not included in the analysis. While this is in line with best practice, there is theoretically no reason why studies with this extent of bias could not be included in the propsed framework. However, the estimation of an appropriate prior distribution for the effect of</w:t>
      </w:r>
      <w:r>
        <w:t xml:space="preserve"> </w:t>
      </w:r>
      <w:r>
        <w:t xml:space="preserve">“</w:t>
      </w:r>
      <w:r>
        <w:t xml:space="preserve">Critical</w:t>
      </w:r>
      <w:r>
        <w:t xml:space="preserve">”</w:t>
      </w:r>
      <w:r>
        <w:t xml:space="preserve"> </w:t>
      </w:r>
      <w:r>
        <w:t xml:space="preserve">bias would be substantially more challenging, and so was avoided here.</w:t>
      </w:r>
    </w:p>
    <w:p>
      <w:pPr>
        <w:pStyle w:val="BodyText"/>
      </w:pPr>
      <w:r>
        <w:t xml:space="preserve">A related issue is the</w:t>
      </w:r>
      <w:r>
        <w:t xml:space="preserve"> </w:t>
      </w:r>
      <w:r>
        <w:t xml:space="preserve">“</w:t>
      </w:r>
      <w:r>
        <w:t xml:space="preserve">Low</w:t>
      </w:r>
      <w:r>
        <w:t xml:space="preserve">”</w:t>
      </w:r>
      <w:r>
        <w:t xml:space="preserve"> </w:t>
      </w:r>
      <w:r>
        <w:t xml:space="preserve">risk of bias judgement. In this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if only minimally. In this case, defining the predicted direction of bias would be particularly challenging in the absence of obvious sources of bias.</w:t>
      </w:r>
    </w:p>
    <w:p>
      <w:pPr>
        <w:pStyle w:val="BodyText"/>
      </w:pPr>
      <w:r>
        <w:t xml:space="preserve"> </w:t>
      </w:r>
    </w:p>
    <w:bookmarkEnd w:id="305"/>
    <w:bookmarkStart w:id="306" w:name="combination-of-different-effect-measures"/>
    <w:p>
      <w:pPr>
        <w:pStyle w:val="Heading4"/>
      </w:pPr>
      <w:r>
        <w:t xml:space="preserve">Combination of different effect measures</w:t>
      </w:r>
    </w:p>
    <w:p>
      <w:pPr>
        <w:pStyle w:val="FirstParagraph"/>
      </w:pPr>
      <w:r>
        <w:t xml:space="preserve">A final limitation to this analysis is the synthesis of different effect estimates. As discussed in Section</w:t>
      </w:r>
      <w:r>
        <w:t xml:space="preserve"> </w:t>
      </w:r>
      <w:r>
        <w:t xml:space="preserve">??</w:t>
      </w:r>
      <w:r>
        <w:t xml:space="preserve">, hazard ratios are not directly comparable to odds ratios, as they inherently account for person time-at-risk.</w:t>
      </w:r>
      <w:hyperlink w:anchor="ref-mckenzie2019">
        <w:r>
          <w:rPr>
            <w:rStyle w:val="Hyperlink"/>
            <w:vertAlign w:val="superscript"/>
          </w:rPr>
          <w:t xml:space="preserve">163</w:t>
        </w:r>
      </w:hyperlink>
      <w:r>
        <w:t xml:space="preserve"> </w:t>
      </w:r>
      <w:r>
        <w:t xml:space="preserve">As non-randomised studies (NRSI/NRSI) of dementia outcomes report hazard ratios and Mendelian randomisation studies report odds ratios, the resulting synthesis may be biased by the integration of these two different effect measures.</w:t>
      </w:r>
    </w:p>
    <w:p>
      <w:pPr>
        <w:pStyle w:val="BodyText"/>
      </w:pPr>
      <w:r>
        <w:rPr>
          <w:bCs/>
          <w:b/>
        </w:rPr>
        <w:t xml:space="preserve">[Note: I would be particularly interested in your feedback here. It seems quantitative triangulation will frequently require integration of different effect measures if comparing e.g. NRSI reporting hazard ratios with MR reporting odds ratios. How should this be handled?]</w:t>
      </w:r>
    </w:p>
    <w:p>
      <w:pPr>
        <w:pStyle w:val="BodyText"/>
      </w:pPr>
      <w:r>
        <w:t xml:space="preserve"> </w:t>
      </w:r>
    </w:p>
    <w:bookmarkEnd w:id="306"/>
    <w:bookmarkEnd w:id="307"/>
    <w:bookmarkStart w:id="308" w:name="strengths-2"/>
    <w:p>
      <w:pPr>
        <w:pStyle w:val="Heading3"/>
      </w:pPr>
      <w:r>
        <w:t xml:space="preserve">Strengths</w:t>
      </w:r>
    </w:p>
    <w:p>
      <w:pPr>
        <w:pStyle w:val="FirstParagraph"/>
      </w:pPr>
      <w:r>
        <w:t xml:space="preserve">The core strength of this analysis is that it is based on a comprehensive systematic review, supplemented by two additional primary studies to fill in the identified evidence gaps. In general, triangulation of any sort should be considered a natural extension of evidence synthesis, and therefore should follow best practice in relation to finding and critically assessing all relevant information. Additionally, the approach presented here also builds on recent developments in bias assessment to</w:t>
      </w:r>
      <w:r>
        <w:t xml:space="preserve"> </w:t>
      </w:r>
      <w:r>
        <w:t xml:space="preserve">“</w:t>
      </w:r>
      <w:r>
        <w:t xml:space="preserve">explode out</w:t>
      </w:r>
      <w:r>
        <w:t xml:space="preserve">”</w:t>
      </w:r>
      <w:r>
        <w:t xml:space="preserve"> </w:t>
      </w:r>
      <w:r>
        <w:t xml:space="preserve">the component results of a meta-analysis, and consider the effects of bias/indirectness in each separately.</w:t>
      </w:r>
    </w:p>
    <w:p>
      <w:pPr>
        <w:pStyle w:val="BodyText"/>
      </w:pPr>
      <w:r>
        <w:t xml:space="preserve">A further advantage of this method comes from the ability to specify the prior distributions for each level of bias/indirectness in advance of performing the assessments. In previous attempts at bias-/indirectness-adjusted meta-analysis, the extent of bias in each study was assessed via a elicitation process using a panel of methodologists and topic experts.</w:t>
      </w:r>
      <w:hyperlink w:anchor="ref-turner2009">
        <w:r>
          <w:rPr>
            <w:rStyle w:val="Hyperlink"/>
            <w:vertAlign w:val="superscript"/>
          </w:rPr>
          <w:t xml:space="preserve">335</w:t>
        </w:r>
      </w:hyperlink>
      <w:r>
        <w:rPr>
          <w:vertAlign w:val="superscript"/>
        </w:rPr>
        <w:t xml:space="preserve">,</w:t>
      </w:r>
      <w:hyperlink w:anchor="ref-thompson2011">
        <w:r>
          <w:rPr>
            <w:rStyle w:val="Hyperlink"/>
            <w:vertAlign w:val="superscript"/>
          </w:rPr>
          <w:t xml:space="preserve">337</w:t>
        </w:r>
      </w:hyperlink>
      <w:r>
        <w:rPr>
          <w:vertAlign w:val="superscript"/>
        </w:rPr>
        <w:t xml:space="preserve">,</w:t>
      </w:r>
      <w:hyperlink w:anchor="ref-wilks2011">
        <w:r>
          <w:rPr>
            <w:rStyle w:val="Hyperlink"/>
            <w:vertAlign w:val="superscript"/>
          </w:rPr>
          <w:t xml:space="preserve">347</w:t>
        </w:r>
      </w:hyperlink>
      <w:r>
        <w:t xml:space="preserve"> </w:t>
      </w:r>
      <w:r>
        <w:t xml:space="preserve">However, this approach is potentially subject to differential misclassification of the impact of bias/indirectness on the basis of the results, as there is no way to ensure that results at a similar level of bias for confounding (for example) are being adjusted by the same amount across studies. As an illustrative example, if experts are influenced by the knowledge of the effect estimate in a study, then a result demonstrating a stronger protective effect may receive greater modification than a study at the same</w:t>
      </w:r>
      <w:r>
        <w:t xml:space="preserve"> </w:t>
      </w:r>
      <w:r>
        <w:t xml:space="preserve">“</w:t>
      </w:r>
      <w:r>
        <w:t xml:space="preserve">risk</w:t>
      </w:r>
      <w:r>
        <w:t xml:space="preserve">”</w:t>
      </w:r>
      <w:r>
        <w:t xml:space="preserve"> </w:t>
      </w:r>
      <w:r>
        <w:t xml:space="preserve">of confounding but with a more modest effect. This is likely to be part where experts have preconceived ideas about the true effectiveness of the intervention. In this case, separating the assessment of bias/indirectness from the assignment of modifying values to each judgement will limit the potential for this misclassification. Using the framework proposed, reasonable modifying distributions for each level of bias could be defined</w:t>
      </w:r>
      <w:r>
        <w:t xml:space="preserve"> </w:t>
      </w:r>
      <w:r>
        <w:rPr>
          <w:iCs/>
          <w:i/>
        </w:rPr>
        <w:t xml:space="preserve">a priori</w:t>
      </w:r>
      <w:r>
        <w:t xml:space="preserve"> </w:t>
      </w:r>
      <w:r>
        <w:t xml:space="preserve">by the study team using the elicitation procedure detailed previously,</w:t>
      </w:r>
      <w:hyperlink w:anchor="ref-turner2009">
        <w:r>
          <w:rPr>
            <w:rStyle w:val="Hyperlink"/>
            <w:vertAlign w:val="superscript"/>
          </w:rPr>
          <w:t xml:space="preserve">335</w:t>
        </w:r>
      </w:hyperlink>
      <w:r>
        <w:t xml:space="preserve"> </w:t>
      </w:r>
      <w:r>
        <w:t xml:space="preserve">similar to how important confounders and co-interventions are defined in advance when performing ROBINS-I/ROBINS-E assessments.</w:t>
      </w:r>
      <w:hyperlink w:anchor="ref-sterne2016">
        <w:r>
          <w:rPr>
            <w:rStyle w:val="Hyperlink"/>
            <w:vertAlign w:val="superscript"/>
          </w:rPr>
          <w:t xml:space="preserve">154</w:t>
        </w:r>
      </w:hyperlink>
    </w:p>
    <w:p>
      <w:pPr>
        <w:pStyle w:val="BodyText"/>
      </w:pPr>
      <w:r>
        <w:t xml:space="preserve">Finally, accounting for bias using an incorrect prior distribution is no less problematic that synthesising and drawing conclusions from effect estimates as if they were unbiased, a common occurrence in systematic reviews.</w:t>
      </w:r>
      <w:hyperlink w:anchor="ref-katikireddi2015">
        <w:r>
          <w:rPr>
            <w:rStyle w:val="Hyperlink"/>
            <w:vertAlign w:val="superscript"/>
          </w:rPr>
          <w:t xml:space="preserve">179</w:t>
        </w:r>
      </w:hyperlink>
      <w:r>
        <w:t xml:space="preserve"> </w:t>
      </w:r>
      <w:r>
        <w:t xml:space="preserve">While this analysis may be limited by the absence of empirically-derived adjustment distributions, it at the very least acknowledges the uncertainty of evidence due to bias/indirectness via a reduction in precision.</w:t>
      </w:r>
    </w:p>
    <w:p>
      <w:pPr>
        <w:pStyle w:val="BodyText"/>
      </w:pPr>
      <w:r>
        <w:t xml:space="preserve"> </w:t>
      </w:r>
    </w:p>
    <w:p>
      <w:r>
        <w:br w:type="page"/>
      </w:r>
    </w:p>
    <w:bookmarkEnd w:id="308"/>
    <w:bookmarkStart w:id="309" w:name="future-research"/>
    <w:p>
      <w:pPr>
        <w:pStyle w:val="Heading3"/>
      </w:pPr>
      <w:r>
        <w:t xml:space="preserve">Future research</w:t>
      </w:r>
    </w:p>
    <w:p>
      <w:pPr>
        <w:pStyle w:val="FirstParagraph"/>
      </w:pPr>
      <w:r>
        <w:t xml:space="preserve">An obvious avenue for future work in relation to quantitative triangulation is the identification of empirical prior distributions for the effect of bias/indirectness in non-randomised studies using meta-epidemiological approaches. This will be substantially more challenging than examining the effect of bias in RCTs,</w:t>
      </w:r>
      <w:hyperlink w:anchor="ref-savovic2018">
        <w:r>
          <w:rPr>
            <w:rStyle w:val="Hyperlink"/>
            <w:vertAlign w:val="superscript"/>
          </w:rPr>
          <w:t xml:space="preserve">343</w:t>
        </w:r>
      </w:hyperlink>
      <w:r>
        <w:t xml:space="preserve"> </w:t>
      </w:r>
      <w:r>
        <w:t xml:space="preserve">given the absence of an underlying database of meta-analysis of non-randomised studies.</w:t>
      </w:r>
    </w:p>
    <w:p>
      <w:pPr>
        <w:pStyle w:val="BodyText"/>
      </w:pPr>
      <w:r>
        <w:t xml:space="preserve">Future development of this framework should also account for bias at the analysis level in terms of missing evidence.</w:t>
      </w:r>
      <w:hyperlink w:anchor="ref-zotero-15123">
        <w:r>
          <w:rPr>
            <w:rStyle w:val="Hyperlink"/>
            <w:vertAlign w:val="superscript"/>
          </w:rPr>
          <w:t xml:space="preserve">162</w:t>
        </w:r>
      </w:hyperlink>
      <w:r>
        <w:t xml:space="preserve"> </w:t>
      </w:r>
      <w:r>
        <w:t xml:space="preserve">For example, there is at least one known study relevant to the vascular dementia case study that reported a non-significant result but provided insufficient details to be included in the analysis.</w:t>
      </w:r>
      <w:hyperlink w:anchor="ref-chiang2007">
        <w:r>
          <w:rPr>
            <w:rStyle w:val="Hyperlink"/>
            <w:vertAlign w:val="superscript"/>
          </w:rPr>
          <w:t xml:space="preserve">218</w:t>
        </w:r>
      </w:hyperlink>
      <w:r>
        <w:t xml:space="preserve"> </w:t>
      </w:r>
      <w:r>
        <w:t xml:space="preserve">Ideally, a quantitative triangulation framework would further account for this proportional meta-bias (as bias due to missing evidence is most likely to bias away from the null due to publication bias mechanisms), in addition to result-specific biases.</w:t>
      </w:r>
    </w:p>
    <w:p>
      <w:pPr>
        <w:pStyle w:val="BodyText"/>
      </w:pPr>
      <w:r>
        <w:t xml:space="preserve">Appreciation that both the risk-of-bias and indirectness of a result should be assessed is growing. Indeed, some existing for the assessment of diagnostic test accuracy</w:t>
      </w:r>
      <w:hyperlink w:anchor="ref-whiting2011">
        <w:r>
          <w:rPr>
            <w:rStyle w:val="Hyperlink"/>
            <w:vertAlign w:val="superscript"/>
          </w:rPr>
          <w:t xml:space="preserve">348</w:t>
        </w:r>
      </w:hyperlink>
      <w:r>
        <w:t xml:space="preserve"> </w:t>
      </w:r>
      <w:r>
        <w:t xml:space="preserve">and prediction models</w:t>
      </w:r>
      <w:hyperlink w:anchor="ref-moons2019">
        <w:r>
          <w:rPr>
            <w:rStyle w:val="Hyperlink"/>
            <w:vertAlign w:val="superscript"/>
          </w:rPr>
          <w:t xml:space="preserve">349</w:t>
        </w:r>
      </w:hyperlink>
      <w:r>
        <w:t xml:space="preserve"> </w:t>
      </w:r>
      <w:r>
        <w:t xml:space="preserve">consider indirectness (termed applicability in these tools) alongside the assessment of bias. Future iterations of the core risk-of-bias tools (RoB 2, ROBINS-I, ROBINS-E) could take this into account, though there is an competing argument that indirectness is already handled via tools such as the GRADE framework.</w:t>
      </w:r>
      <w:hyperlink w:anchor="ref-guyatt2011">
        <w:r>
          <w:rPr>
            <w:rStyle w:val="Hyperlink"/>
            <w:vertAlign w:val="superscript"/>
          </w:rPr>
          <w:t xml:space="preserve">336</w:t>
        </w:r>
      </w:hyperlink>
      <w:r>
        <w:t xml:space="preserve"> </w:t>
      </w:r>
      <w:r>
        <w:t xml:space="preserve">In addition, simple steps like harmonising the risk-of-bias judgements across tools and making the direction of bias question mandatory (even if users default to</w:t>
      </w:r>
      <w:r>
        <w:t xml:space="preserve"> </w:t>
      </w:r>
      <w:r>
        <w:t xml:space="preserve">“</w:t>
      </w:r>
      <w:r>
        <w:t xml:space="preserve">Unpredictable</w:t>
      </w:r>
      <w:r>
        <w:t xml:space="preserve">”</w:t>
      </w:r>
      <w:r>
        <w:t xml:space="preserve">) would represent an improvement in the tools and encourage users to think about how the biases assessed affect the corresponding result. Similarly, software that implements a risk-of-bias tool should allow for direction/extent of bias question and carefully consider how this data will be exported.</w:t>
      </w:r>
    </w:p>
    <w:p>
      <w:pPr>
        <w:pStyle w:val="BodyText"/>
      </w:pPr>
      <w:r>
        <w:t xml:space="preserve"> </w:t>
      </w:r>
    </w:p>
    <w:bookmarkEnd w:id="309"/>
    <w:bookmarkStart w:id="310" w:name="tri-software"/>
    <w:p>
      <w:pPr>
        <w:pStyle w:val="Heading3"/>
      </w:pPr>
      <w:r>
        <w:t xml:space="preserve">Outputs</w:t>
      </w:r>
    </w:p>
    <w:p>
      <w:pPr>
        <w:pStyle w:val="FirstParagraph"/>
      </w:pPr>
      <w:r>
        <w:t xml:space="preserve">There are two key outputs from this project. The first is the</w:t>
      </w:r>
      <w:r>
        <w:t xml:space="preserve"> </w:t>
      </w:r>
      <w:r>
        <w:rPr>
          <w:rStyle w:val="VerbatimChar"/>
        </w:rPr>
        <w:t xml:space="preserve">triangulate</w:t>
      </w:r>
      <w:r>
        <w:t xml:space="preserve"> </w:t>
      </w:r>
      <w:r>
        <w:t xml:space="preserve">R package. Personal communication with the authors of the original method resulted in the STATA code to implement the bias-/indirectness-adjusted model.</w:t>
      </w:r>
      <w:hyperlink w:anchor="ref-turner2009">
        <w:r>
          <w:rPr>
            <w:rStyle w:val="Hyperlink"/>
            <w:vertAlign w:val="superscript"/>
          </w:rPr>
          <w:t xml:space="preserve">335</w:t>
        </w:r>
      </w:hyperlink>
      <w:r>
        <w:t xml:space="preserve"> </w:t>
      </w:r>
      <w:r>
        <w:t xml:space="preserve">This has since been generalised as part of the</w:t>
      </w:r>
      <w:r>
        <w:t xml:space="preserve"> </w:t>
      </w:r>
      <w:r>
        <w:rPr>
          <w:rStyle w:val="VerbatimChar"/>
        </w:rPr>
        <w:t xml:space="preserve">triangulate</w:t>
      </w:r>
      <w:r>
        <w:t xml:space="preserve"> </w:t>
      </w:r>
      <w:r>
        <w:t xml:space="preserve">R package to enable other users to apply the approach detailed here. The package allows for preprocessing of domain-based risk-of-bias data to correctly identify the direction of the bias relative to the effect estimate, use of domain-specific prior distributions, production of bias direction plots (via the tool described in Appendix @ref(?), calculation of bias/indirectness-adjusted estimates for each result, and synthesis of these adjusted results in a standard random-effects meta-analysis.</w:t>
      </w:r>
    </w:p>
    <w:p>
      <w:pPr>
        <w:pStyle w:val="BodyText"/>
      </w:pPr>
      <w:r>
        <w:t xml:space="preserve">The second key output is an annotated example dataset for the LDL-c/Alzheimer’s disease causal question addressed in this chapter. Available via the</w:t>
      </w:r>
      <w:r>
        <w:t xml:space="preserve"> </w:t>
      </w:r>
      <w:r>
        <w:rPr>
          <w:rStyle w:val="VerbatimChar"/>
        </w:rPr>
        <w:t xml:space="preserve">triangulate</w:t>
      </w:r>
      <w:r>
        <w:t xml:space="preserve"> </w:t>
      </w:r>
      <w:r>
        <w:t xml:space="preserve">package, this data will provide developers of new triangulation methods with an example dataset on which to test new tools, something which seriously hindered development of this work.</w:t>
      </w:r>
    </w:p>
    <w:p>
      <w:pPr>
        <w:pStyle w:val="BodyText"/>
      </w:pPr>
      <w:r>
        <w:t xml:space="preserve"> </w:t>
      </w:r>
    </w:p>
    <w:bookmarkEnd w:id="310"/>
    <w:bookmarkEnd w:id="311"/>
    <w:bookmarkStart w:id="312" w:name="summary-6"/>
    <w:p>
      <w:pPr>
        <w:pStyle w:val="Heading2"/>
      </w:pPr>
      <w:r>
        <w:t xml:space="preserve">Summary</w:t>
      </w:r>
    </w:p>
    <w:p>
      <w:pPr>
        <w:numPr>
          <w:ilvl w:val="0"/>
          <w:numId w:val="1019"/>
        </w:numPr>
      </w:pPr>
      <w:r>
        <w:t xml:space="preserve">In this chapter, I narratively described the evidence identified or produced in previous chapters, and highlighted the issues with a qualitative approach to triangulation when there are several sources of evidence.</w:t>
      </w:r>
    </w:p>
    <w:p>
      <w:pPr>
        <w:numPr>
          <w:ilvl w:val="0"/>
          <w:numId w:val="1019"/>
        </w:numPr>
      </w:pPr>
      <w:r>
        <w:t xml:space="preserve">I then illustrated a proposed generalised framework for quantitative triangulation, exploiting existing methods in evidence synthesis and recent developments in the assessment of different risks of bias. I illustrated this method using two case studies: the effect of mid-life LDL-c on Alzheimer’s disease, and the effect of mid-life triglycerides on vascular dementia.</w:t>
      </w:r>
    </w:p>
    <w:p>
      <w:pPr>
        <w:numPr>
          <w:ilvl w:val="0"/>
          <w:numId w:val="1019"/>
        </w:numPr>
      </w:pPr>
      <w:r>
        <w:t xml:space="preserve">I discussed the limitations of this proposed method, given the absence of informative priors for the impact of bias/indirectness, and proposed future research (i.e. meta-epidemiological studies) that would address them.</w:t>
      </w:r>
    </w:p>
    <w:p>
      <w:pPr>
        <w:numPr>
          <w:ilvl w:val="0"/>
          <w:numId w:val="1019"/>
        </w:numPr>
      </w:pPr>
      <w:r>
        <w:t xml:space="preserve">In summary, quantitative triangulation is a promising field that should be considered a natural extension of evidence synthesis. The implications of the synthesised evidence presented here to clinical practice, public health and future research is considered in the following chapter.</w:t>
      </w:r>
    </w:p>
    <w:p>
      <w:r>
        <w:br w:type="page"/>
      </w:r>
    </w:p>
    <w:bookmarkEnd w:id="312"/>
    <w:bookmarkStart w:id="313" w:name="references-5"/>
    <w:p>
      <w:pPr>
        <w:pStyle w:val="Heading2"/>
      </w:pPr>
      <w:r>
        <w:t xml:space="preserve">References</w:t>
      </w:r>
    </w:p>
    <w:bookmarkEnd w:id="313"/>
    <w:bookmarkEnd w:id="314"/>
    <w:bookmarkStart w:id="340" w:name="discussion-heading"/>
    <w:p>
      <w:pPr>
        <w:pStyle w:val="Heading1"/>
      </w:pPr>
      <w:r>
        <w:t xml:space="preserve">Discussion</w:t>
      </w:r>
    </w:p>
    <w:p>
      <w:pPr>
        <w:pStyle w:val="FirstParagraph"/>
      </w:pPr>
    </w:p>
    <w:p>
      <w:pPr>
        <w:pStyle w:val="BodyText"/>
      </w:pPr>
      <w:r>
        <w:t xml:space="preserve"> </w:t>
      </w:r>
    </w:p>
    <w:bookmarkStart w:id="315" w:name="lay-summary-7"/>
    <w:p>
      <w:pPr>
        <w:pStyle w:val="Heading2"/>
      </w:pPr>
      <w:r>
        <w:t xml:space="preserve">Lay summary</w:t>
      </w:r>
    </w:p>
    <w:p>
      <w:pPr>
        <w:pStyle w:val="FirstParagraph"/>
      </w:pPr>
      <w:r>
        <w:t xml:space="preserve">TBC</w:t>
      </w:r>
    </w:p>
    <w:p>
      <w:r>
        <w:br w:type="page"/>
      </w:r>
    </w:p>
    <w:bookmarkEnd w:id="315"/>
    <w:bookmarkStart w:id="319" w:name="introduction-4"/>
    <w:p>
      <w:pPr>
        <w:pStyle w:val="Heading2"/>
      </w:pPr>
      <w:r>
        <w:t xml:space="preserve">Introduction</w:t>
      </w:r>
    </w:p>
    <w:p>
      <w:pPr>
        <w:pStyle w:val="FirstParagraph"/>
      </w:pPr>
      <w:r>
        <w:t xml:space="preserve">The aim of this thesis was to attempt to infer the causal effect of blood lipid levels on dementia outcomes. In this discussion, I will review the role of each chapter in the broader thesis, summarise the principal findings and contributions of this thesis, and discuss the implications of my findings for both clinical and public health policy. I consider the overall strengths and limitations of this thesis as a coherent body of work, and suggest avenues for impactful future research based on my findings and experiences.</w:t>
      </w:r>
    </w:p>
    <w:p>
      <w:r>
        <w:br w:type="page"/>
      </w:r>
    </w:p>
    <w:bookmarkStart w:id="316" w:name="chapter-summary"/>
    <w:p>
      <w:pPr>
        <w:pStyle w:val="Heading3"/>
      </w:pPr>
      <w:r>
        <w:t xml:space="preserve">Chapter summary</w:t>
      </w:r>
    </w:p>
    <w:p>
      <w:pPr>
        <w:pStyle w:val="FirstParagraph"/>
      </w:pPr>
      <w:r>
        <w:t xml:space="preserve">This thesis is comprised of a mix of informative, methodological and applied chapters.</w:t>
      </w:r>
    </w:p>
    <w:p>
      <w:pPr>
        <w:pStyle w:val="BodyText"/>
      </w:pPr>
      <w:r>
        <w:t xml:space="preserve">In Chapter</w:t>
      </w:r>
      <w:r>
        <w:t xml:space="preserve"> </w:t>
      </w:r>
      <w:r>
        <w:rPr>
          <w:bCs/>
          <w:b/>
        </w:rPr>
        <w:t xml:space="preserve">Chapter</w:t>
      </w:r>
      <w:r>
        <w:rPr>
          <w:bCs/>
          <w:b/>
        </w:rPr>
        <w:t xml:space="preserve"> </w:t>
      </w:r>
      <w:r>
        <w:rPr>
          <w:bCs/>
          <w:b/>
        </w:rPr>
        <w:t xml:space="preserve">2</w:t>
      </w:r>
      <w:r>
        <w:t xml:space="preserve">, I introduced the core concepts considered in thie</w:t>
      </w:r>
    </w:p>
    <w:p>
      <w:pPr>
        <w:pStyle w:val="BodyText"/>
      </w:pPr>
      <w:r>
        <w:t xml:space="preserve">In</w:t>
      </w:r>
      <w:r>
        <w:t xml:space="preserve"> </w:t>
      </w:r>
      <w:r>
        <w:rPr>
          <w:bCs/>
          <w:b/>
        </w:rPr>
        <w:t xml:space="preserve">Chapter</w:t>
      </w:r>
      <w:r>
        <w:rPr>
          <w:bCs/>
          <w:b/>
        </w:rPr>
        <w:t xml:space="preserve"> </w:t>
      </w:r>
      <w:r>
        <w:rPr>
          <w:bCs/>
          <w:b/>
        </w:rPr>
        <w:t xml:space="preserve">2</w:t>
      </w:r>
      <w:r>
        <w:t xml:space="preserve">, I presented a new tool for the systematic searching of health-related preprints, and detail</w:t>
      </w:r>
    </w:p>
    <w:p>
      <w:pPr>
        <w:pStyle w:val="BodyText"/>
      </w:pPr>
      <w:r>
        <w:t xml:space="preserve">In</w:t>
      </w:r>
      <w:r>
        <w:t xml:space="preserve"> </w:t>
      </w:r>
      <w:r>
        <w:rPr>
          <w:bCs/>
          <w:b/>
        </w:rPr>
        <w:t xml:space="preserve">Chapters</w:t>
      </w:r>
      <w:r>
        <w:rPr>
          <w:bCs/>
          <w:b/>
        </w:rPr>
        <w:t xml:space="preserve"> </w:t>
      </w:r>
      <w:r>
        <w:rPr>
          <w:bCs/>
          <w:b/>
        </w:rPr>
        <w:t xml:space="preserve">3</w:t>
      </w:r>
      <w:r>
        <w:t xml:space="preserve">, I describe the methods of a comprehensive systematic review of the relationship between dementia outcomes and blood lipids (and treatments that modify them). The results of this analysis are then presented in</w:t>
      </w:r>
      <w:r>
        <w:t xml:space="preserve"> </w:t>
      </w:r>
      <w:r>
        <w:rPr>
          <w:bCs/>
          <w:b/>
        </w:rPr>
        <w:t xml:space="preserve">Chapter</w:t>
      </w:r>
      <w:r>
        <w:rPr>
          <w:bCs/>
          <w:b/>
        </w:rPr>
        <w:t xml:space="preserve"> </w:t>
      </w:r>
      <w:r>
        <w:rPr>
          <w:bCs/>
          <w:b/>
        </w:rPr>
        <w:t xml:space="preserve">4</w:t>
      </w:r>
      <w:r>
        <w:t xml:space="preserve">.</w:t>
      </w:r>
    </w:p>
    <w:p>
      <w:pPr>
        <w:pStyle w:val="BodyText"/>
      </w:pPr>
      <w:r>
        <w:t xml:space="preserve">In</w:t>
      </w:r>
      <w:r>
        <w:t xml:space="preserve"> </w:t>
      </w:r>
      <w:r>
        <w:rPr>
          <w:bCs/>
          <w:b/>
        </w:rPr>
        <w:t xml:space="preserve">Chapter</w:t>
      </w:r>
      <w:r>
        <w:rPr>
          <w:bCs/>
          <w:b/>
        </w:rPr>
        <w:t xml:space="preserve"> </w:t>
      </w:r>
      <w:r>
        <w:rPr>
          <w:bCs/>
          <w:b/>
        </w:rPr>
        <w:t xml:space="preserve">??</w:t>
      </w:r>
      <w:r>
        <w:t xml:space="preserve">, I describe an analysis of lipid-regulating use and dementia outcomes in the CPRD, a large scale electronic health database. I make use of control outcomes to illustrate insufficiently controlled biases</w:t>
      </w:r>
    </w:p>
    <w:p>
      <w:pPr>
        <w:pStyle w:val="BodyText"/>
      </w:pPr>
      <w:r>
        <w:t xml:space="preserve">In</w:t>
      </w:r>
      <w:r>
        <w:t xml:space="preserve"> </w:t>
      </w:r>
      <w:r>
        <w:rPr>
          <w:bCs/>
          <w:b/>
        </w:rPr>
        <w:t xml:space="preserve">Chapter</w:t>
      </w:r>
      <w:r>
        <w:rPr>
          <w:bCs/>
          <w:b/>
        </w:rPr>
        <w:t xml:space="preserve"> </w:t>
      </w:r>
      <w:r>
        <w:rPr>
          <w:bCs/>
          <w:b/>
        </w:rPr>
        <w:t xml:space="preserve">6</w:t>
      </w:r>
      <w:r>
        <w:t xml:space="preserve">, I present an individual patient data meta-analysis, using previously unanalysed data accessed via the Dementia Platform UK to add to the evidence base on the association of blood lipids and dementia outcomes.</w:t>
      </w:r>
    </w:p>
    <w:p>
      <w:pPr>
        <w:pStyle w:val="BodyText"/>
      </w:pPr>
      <w:r>
        <w:t xml:space="preserve">Finally, in</w:t>
      </w:r>
      <w:r>
        <w:t xml:space="preserve"> </w:t>
      </w:r>
      <w:r>
        <w:rPr>
          <w:bCs/>
          <w:b/>
        </w:rPr>
        <w:t xml:space="preserve">Chapter</w:t>
      </w:r>
      <w:r>
        <w:rPr>
          <w:bCs/>
          <w:b/>
        </w:rPr>
        <w:t xml:space="preserve"> </w:t>
      </w:r>
      <w:r>
        <w:rPr>
          <w:bCs/>
          <w:b/>
        </w:rPr>
        <w:t xml:space="preserve">7</w:t>
      </w:r>
      <w:r>
        <w:t xml:space="preserve"> </w:t>
      </w:r>
      <w:r>
        <w:t xml:space="preserve">I propose a new method of systematically integration of multiple evidence sources as part of quantitative triangulation exercise. I illustrate the method by considering two causal questions (LDL-c and Alzheimer’s disease; triglycerides and vascular dementia), drawing on the evidence identified or produced by previous chapters.</w:t>
      </w:r>
    </w:p>
    <w:p>
      <w:pPr>
        <w:pStyle w:val="BodyText"/>
      </w:pPr>
      <w:r>
        <w:t xml:space="preserve"> </w:t>
      </w:r>
    </w:p>
    <w:p>
      <w:r>
        <w:br w:type="page"/>
      </w:r>
    </w:p>
    <w:bookmarkEnd w:id="316"/>
    <w:bookmarkStart w:id="317" w:name="lessons-learned"/>
    <w:p>
      <w:pPr>
        <w:pStyle w:val="Heading3"/>
      </w:pPr>
      <w:r>
        <w:t xml:space="preserve">Lessons learned</w:t>
      </w:r>
    </w:p>
    <w:p>
      <w:pPr>
        <w:pStyle w:val="FirstParagraph"/>
      </w:pPr>
      <w:r>
        <w:t xml:space="preserve">As a reflective process throughout the PhD, I maintained a catalogue of failures available in Appendix</w:t>
      </w:r>
      <w:r>
        <w:t xml:space="preserve"> </w:t>
      </w:r>
      <w:r>
        <w:t xml:space="preserve">10.8.1</w:t>
      </w:r>
      <w:r>
        <w:t xml:space="preserve">, describing . here I present a more general rel</w:t>
      </w:r>
    </w:p>
    <w:p>
      <w:pPr>
        <w:pStyle w:val="BodyText"/>
      </w:pPr>
      <w:r>
        <w:t xml:space="preserve">In hindsight, the decision to take a broad approach to inclusion of dementia outcomes potentially resulted in larger workload than anticipated, particularly when considered evidence from across different study designs. In a do-over, I would have considered a single dementia outcome.</w:t>
      </w:r>
    </w:p>
    <w:p>
      <w:pPr>
        <w:pStyle w:val="BodyText"/>
      </w:pPr>
      <w:r>
        <w:t xml:space="preserve">Additionally, in hindsight, I may have considered a more methodological thesis. The Chapter’s I enjoyed working on the most (Chapters @ref())</w:t>
      </w:r>
    </w:p>
    <w:p>
      <w:pPr>
        <w:pStyle w:val="BodyText"/>
      </w:pPr>
      <w:r>
        <w:t xml:space="preserve">Further, a more aggressive approach to , Potential approaches could have included sending emails via my supervisors</w:t>
      </w:r>
    </w:p>
    <w:p>
      <w:pPr>
        <w:pStyle w:val="BodyText"/>
      </w:pPr>
      <w:r>
        <w:t xml:space="preserve">However, normal opportunities to tie people down in person were suspended during COVID.</w:t>
      </w:r>
    </w:p>
    <w:p>
      <w:pPr>
        <w:pStyle w:val="BodyText"/>
      </w:pPr>
      <w:r>
        <w:t xml:space="preserve"> </w:t>
      </w:r>
    </w:p>
    <w:p>
      <w:r>
        <w:br w:type="page"/>
      </w:r>
    </w:p>
    <w:bookmarkEnd w:id="317"/>
    <w:bookmarkStart w:id="318" w:name="reproducible-research"/>
    <w:p>
      <w:pPr>
        <w:pStyle w:val="Heading3"/>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Unfortunately, given the. However, as discussed in other chapters of this thesis and elsewhere, sharing of analysis code is a useful step towards transparency when the underlying datasets are not readily available.</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p>
      <w:r>
        <w:br w:type="page"/>
      </w:r>
    </w:p>
    <w:bookmarkEnd w:id="318"/>
    <w:bookmarkEnd w:id="319"/>
    <w:bookmarkStart w:id="324" w:name="summary-of-clinical-findings"/>
    <w:p>
      <w:pPr>
        <w:pStyle w:val="Heading2"/>
      </w:pPr>
      <w:r>
        <w:t xml:space="preserve">Summary of clinical findings</w:t>
      </w:r>
    </w:p>
    <w:bookmarkStart w:id="320" w:name="Xb108035f3582b1a4ee1aecd219aac965395e6e6"/>
    <w:p>
      <w:pPr>
        <w:pStyle w:val="Heading3"/>
      </w:pPr>
      <w:r>
        <w:t xml:space="preserve">Effect of blood lipids on dementia outcomes</w:t>
      </w:r>
    </w:p>
    <w:p>
      <w:pPr>
        <w:pStyle w:val="FirstParagraph"/>
      </w:pPr>
      <w:r>
        <w:t xml:space="preserve">Overall, I did not identify a consistent effect of any blood lipid fraction (total cholesterol, LDL cholesterol, HDL cholesterol or triglycerides) on any dementia outcome (all-cause dementia, Alzheimer’s disease or vascular dementia).</w:t>
      </w:r>
      <w:r>
        <w:t xml:space="preserve"> </w:t>
      </w:r>
      <w:r>
        <w:t xml:space="preserve">While published non-randomised studies provided evidence for a protective effect of statin use on Alzheimer’s disease, this effect was not maintained when incorporated along with other sources of evidence in a quantitative triangulation framework. However, this equally may indicate that statins have a pleiotropic effects on Alzheimer’s disease, that is an effect other than through lipid-lowering. However, this observed effect could also be due to reporting biases, a</w:t>
      </w:r>
    </w:p>
    <w:p>
      <w:pPr>
        <w:pStyle w:val="BodyText"/>
      </w:pPr>
      <w:r>
        <w:t xml:space="preserve">The inclusion of preprints</w:t>
      </w:r>
    </w:p>
    <w:p>
      <w:pPr>
        <w:pStyle w:val="BodyText"/>
      </w:pPr>
      <w:r>
        <w:t xml:space="preserve">Statins were by far the most studied lipid-regulating agent in relation to dementia outcomes, a unsurprising finding given the large proportion of patients taking statins as indicated by my analysis of the CPRD data.</w:t>
      </w:r>
    </w:p>
    <w:p>
      <w:pPr>
        <w:pStyle w:val="BodyText"/>
      </w:pPr>
      <w:r>
        <w:t xml:space="preserve">The inclusion</w:t>
      </w:r>
    </w:p>
    <w:p>
      <w:pPr>
        <w:pStyle w:val="BodyText"/>
      </w:pPr>
      <w:r>
        <w:t xml:space="preserve"> </w:t>
      </w:r>
    </w:p>
    <w:p>
      <w:r>
        <w:br w:type="page"/>
      </w:r>
    </w:p>
    <w:bookmarkEnd w:id="320"/>
    <w:bookmarkStart w:id="321" w:name="comparison-with-new-evidence"/>
    <w:p>
      <w:pPr>
        <w:pStyle w:val="Heading3"/>
      </w:pPr>
      <w:r>
        <w:t xml:space="preserve">Comparison with new evidence</w:t>
      </w:r>
    </w:p>
    <w:p>
      <w:pPr>
        <w:pStyle w:val="FirstParagraph"/>
      </w:pPr>
      <w:r>
        <w:t xml:space="preserve">Since the systematic review described in this thesis was performed, there have been two notable analysis of large cohorts performed related to the central thesis question here. Two of these are discussed here notable studies are discussed here.</w:t>
      </w:r>
    </w:p>
    <w:p>
      <w:pPr>
        <w:pStyle w:val="BodyText"/>
      </w:pPr>
      <w:r>
        <w:t xml:space="preserve">The first a large scale analysis of blood lipids in the CPRD, which found a slight raised risk of dementia in CPRD patients () with higher LDL-c measured at mid-life, driven by the finding for Alzheimer’s disease.</w:t>
      </w:r>
      <w:hyperlink w:anchor="ref-iwagami2021">
        <w:r>
          <w:rPr>
            <w:rStyle w:val="Hyperlink"/>
            <w:vertAlign w:val="superscript"/>
          </w:rPr>
          <w:t xml:space="preserve">342</w:t>
        </w:r>
      </w:hyperlink>
      <w:r>
        <w:t xml:space="preserve"> </w:t>
      </w:r>
      <w:r>
        <w:t xml:space="preserve">These findings are consistent with the findings presented in this thesis, particularly given the lack of adjustment for confounding by ApoE4.</w:t>
      </w:r>
      <w:r>
        <w:t xml:space="preserve"> </w:t>
      </w:r>
    </w:p>
    <w:p>
      <w:pPr>
        <w:pStyle w:val="BodyText"/>
      </w:pPr>
      <w:r>
        <w:t xml:space="preserve">The UKBioBank is a</w:t>
      </w:r>
      <w:hyperlink w:anchor="ref-sudlow2015">
        <w:r>
          <w:rPr>
            <w:rStyle w:val="Hyperlink"/>
            <w:vertAlign w:val="superscript"/>
          </w:rPr>
          <w:t xml:space="preserve">350</w:t>
        </w:r>
      </w:hyperlink>
    </w:p>
    <w:p>
      <w:pPr>
        <w:pStyle w:val="BodyText"/>
      </w:pPr>
      <w:r>
        <w:t xml:space="preserve">A recent analysis of 502,226 participants of this found no association between lipids at mid-life and dementia outcomes (women: TC HR: 1.04, 95%CI: 0.99-1.09, HDL HR: 0.95, 95%CI: 0.83-1.10, LDL HR: 1.06, 95%CI: 1.00-1.13/men: TC HR: 0.98, 95%CI: 0.93-1.03, HDL HR: 1.10, 95%CI: 0.95-1.29, LDL HR: 0.97, 95%CI: 0.91-1.04).</w:t>
      </w:r>
      <w:hyperlink w:anchor="ref-gong2021">
        <w:r>
          <w:rPr>
            <w:rStyle w:val="Hyperlink"/>
            <w:vertAlign w:val="superscript"/>
          </w:rPr>
          <w:t xml:space="preserve">351</w:t>
        </w:r>
      </w:hyperlink>
      <w:r>
        <w:t xml:space="preserve"> </w:t>
      </w:r>
      <w:r>
        <w:t xml:space="preserve">Results were boardly similar between the all-cause dementia, Alzheimer’s disease and vascular dementia outcomes. This is comparable to my findings.</w:t>
      </w:r>
    </w:p>
    <w:p>
      <w:pPr>
        <w:pStyle w:val="BodyText"/>
      </w:pPr>
      <w:r>
        <w:t xml:space="preserve"> </w:t>
      </w:r>
      <w:r>
        <w:br/>
      </w:r>
    </w:p>
    <w:bookmarkEnd w:id="321"/>
    <w:bookmarkStart w:id="322" w:name="implications-for-clinical-practice"/>
    <w:p>
      <w:pPr>
        <w:pStyle w:val="Heading3"/>
      </w:pPr>
      <w:r>
        <w:t xml:space="preserve">Implications for clinical practice</w:t>
      </w:r>
    </w:p>
    <w:p>
      <w:pPr>
        <w:pStyle w:val="FirstParagraph"/>
      </w:pPr>
      <w:r>
        <w:t xml:space="preserve">This should focus on doctors being honesty with patients from the outset and describing what they know regarding the uncertainty of the evidence.</w:t>
      </w:r>
    </w:p>
    <w:p>
      <w:pPr>
        <w:pStyle w:val="BodyText"/>
      </w:pPr>
      <w:r>
        <w:t xml:space="preserve">While also recognising that the impact of statin or other LRA use on dementia is going to be secondary to their established effect on lipid-lowering. To even be at risk of developing dementia, patients must survive to old-age, something that is substantially less likely given uncontolled hypercholesterolaemia.</w:t>
      </w:r>
    </w:p>
    <w:p>
      <w:pPr>
        <w:pStyle w:val="BodyText"/>
      </w:pPr>
      <w:r>
        <w:t xml:space="preserve">The clinical recommendations that can be drawn from the work in this thesis are limited, due to the low strength of evidence. Across multiple sources of evidence, there was no consistent effect of blood lipids on dementia outcomes.</w:t>
      </w:r>
    </w:p>
    <w:p>
      <w:pPr>
        <w:pStyle w:val="BodyText"/>
      </w:pPr>
      <w:r>
        <w:t xml:space="preserve">However, even under the scenario that a strong protective effect was identified, whether or not to prescribed a statin at mid-life will always be guided by factors other than dementia prevention. Patients must live to a certain age in order to be at risk of dementia (with the exception of familial early onset dementias), which is substantially less likely if hypercholesterolemia is left unchecked.</w:t>
      </w:r>
    </w:p>
    <w:p>
      <w:pPr>
        <w:pStyle w:val="BodyText"/>
      </w:pPr>
      <w:r>
        <w:t xml:space="preserve">However, while this thesis did not provide any evidence for a protective effect of lipid-lowering, it similarly did not provide any evidence for a harmful effect of statin exposure on dementia outcomes.</w:t>
      </w:r>
    </w:p>
    <w:p>
      <w:pPr>
        <w:pStyle w:val="BodyText"/>
      </w:pPr>
      <w:r>
        <w:t xml:space="preserve">There was very we. Conversely however, there was an absence of evidence for a harmful effect of statins on. Given the reality that given the choice, given the conflicting evidence</w:t>
      </w:r>
    </w:p>
    <w:p>
      <w:pPr>
        <w:pStyle w:val="BodyText"/>
      </w:pPr>
      <w:r>
        <w:t xml:space="preserve">As with many many studies of dementia outcomes, a key limiting factor of any analysis is the absence of a detailed pathological mechanism for the condition. It could well be that statins do have a true effect independently of lipid levels, though based on the certainty of evidence in NRSI, this is unlikely.</w:t>
      </w:r>
    </w:p>
    <w:p>
      <w:pPr>
        <w:pStyle w:val="BodyText"/>
      </w:pPr>
      <w:r>
        <w:t xml:space="preserve"> </w:t>
      </w:r>
    </w:p>
    <w:p>
      <w:r>
        <w:br w:type="page"/>
      </w:r>
    </w:p>
    <w:bookmarkEnd w:id="322"/>
    <w:bookmarkStart w:id="323" w:name="implications-for-public-health"/>
    <w:p>
      <w:pPr>
        <w:pStyle w:val="Heading3"/>
      </w:pPr>
      <w:r>
        <w:t xml:space="preserve">Implications for public health</w:t>
      </w:r>
    </w:p>
    <w:p>
      <w:pPr>
        <w:pStyle w:val="FirstParagraph"/>
      </w:pPr>
      <w:r>
        <w:t xml:space="preserve">This section should</w:t>
      </w:r>
    </w:p>
    <w:p>
      <w:pPr>
        <w:pStyle w:val="BodyText"/>
      </w:pPr>
      <w:r>
        <w:t xml:space="preserve">The absence of an effect of blood lipids on dementia outcomes is an unh</w:t>
      </w:r>
    </w:p>
    <w:p>
      <w:pPr>
        <w:pStyle w:val="BodyText"/>
      </w:pPr>
      <w:r>
        <w:t xml:space="preserve">However, future work</w:t>
      </w:r>
    </w:p>
    <w:p>
      <w:pPr>
        <w:pStyle w:val="BodyText"/>
      </w:pPr>
      <w:r>
        <w:t xml:space="preserve"> </w:t>
      </w:r>
    </w:p>
    <w:p>
      <w:r>
        <w:br w:type="page"/>
      </w:r>
    </w:p>
    <w:bookmarkEnd w:id="323"/>
    <w:bookmarkEnd w:id="324"/>
    <w:bookmarkStart w:id="329" w:name="summary-of-methodological-findings"/>
    <w:p>
      <w:pPr>
        <w:pStyle w:val="Heading2"/>
      </w:pPr>
      <w:r>
        <w:t xml:space="preserve">Summary of methodological findings</w:t>
      </w:r>
    </w:p>
    <w:p>
      <w:pPr>
        <w:pStyle w:val="FirstParagraph"/>
      </w:pPr>
      <w:r>
        <w:t xml:space="preserve">The research described in this thesis represents a number of novel contributions to the the fields of evidence synthesis</w:t>
      </w:r>
    </w:p>
    <w:bookmarkStart w:id="325" w:name="preprint-search-tool"/>
    <w:p>
      <w:pPr>
        <w:pStyle w:val="Heading3"/>
      </w:pPr>
      <w:r>
        <w:t xml:space="preserve">Preprint search tool</w:t>
      </w:r>
    </w:p>
    <w:p>
      <w:r>
        <w:br w:type="page"/>
      </w:r>
    </w:p>
    <w:bookmarkEnd w:id="325"/>
    <w:bookmarkStart w:id="326" w:name="inclusion-of-preprints-1"/>
    <w:p>
      <w:pPr>
        <w:pStyle w:val="Heading3"/>
      </w:pPr>
      <w:r>
        <w:t xml:space="preserve">Inclusion of preprints</w:t>
      </w:r>
    </w:p>
    <w:p>
      <w:r>
        <w:br w:type="page"/>
      </w:r>
    </w:p>
    <w:bookmarkEnd w:id="326"/>
    <w:bookmarkStart w:id="327" w:name="risk-of-bias-visualisation"/>
    <w:p>
      <w:pPr>
        <w:pStyle w:val="Heading3"/>
      </w:pPr>
      <w:r>
        <w:t xml:space="preserve">Risk of bias visualisation</w:t>
      </w:r>
    </w:p>
    <w:p>
      <w:r>
        <w:br w:type="page"/>
      </w:r>
    </w:p>
    <w:bookmarkEnd w:id="327"/>
    <w:bookmarkStart w:id="328" w:name="triangulation-framework"/>
    <w:p>
      <w:pPr>
        <w:pStyle w:val="Heading3"/>
      </w:pPr>
      <w:r>
        <w:t xml:space="preserve">Triangulation framework</w:t>
      </w:r>
    </w:p>
    <w:p>
      <w:pPr>
        <w:pStyle w:val="FirstParagraph"/>
      </w:pPr>
      <w:r>
        <w:t xml:space="preserve"> </w:t>
      </w:r>
    </w:p>
    <w:p>
      <w:r>
        <w:br w:type="page"/>
      </w:r>
    </w:p>
    <w:bookmarkEnd w:id="328"/>
    <w:bookmarkEnd w:id="329"/>
    <w:bookmarkStart w:id="332" w:name="overall-strengths-and-limitations"/>
    <w:p>
      <w:pPr>
        <w:pStyle w:val="Heading2"/>
      </w:pPr>
      <w:r>
        <w:t xml:space="preserve">Overall strengths and limitations</w:t>
      </w:r>
    </w:p>
    <w:p>
      <w:pPr>
        <w:pStyle w:val="FirstParagraph"/>
      </w:pPr>
      <w:r>
        <w:t xml:space="preserve">The strengths a limitations of each component of this thesis have been discussed in the respective chapters. Here I highlight the strengths and weakness of the thesis as a body of work.</w:t>
      </w:r>
    </w:p>
    <w:p>
      <w:pPr>
        <w:pStyle w:val="BodyText"/>
      </w:pPr>
      <w:r>
        <w:t xml:space="preserve"> </w:t>
      </w:r>
    </w:p>
    <w:bookmarkStart w:id="330" w:name="strengths-3"/>
    <w:p>
      <w:pPr>
        <w:pStyle w:val="Heading3"/>
      </w:pPr>
      <w:r>
        <w:t xml:space="preserve">Strengths</w:t>
      </w:r>
    </w:p>
    <w:p>
      <w:pPr>
        <w:pStyle w:val="FirstParagraph"/>
      </w:pPr>
      <w:r>
        <w:t xml:space="preserve">This thesis has used multiple sources of evidence to examine the relationship between blood lipids levels and cholesterol risk in a systematic manner, including diverse sources of evidence, inclu</w:t>
      </w:r>
    </w:p>
    <w:p>
      <w:pPr>
        <w:pStyle w:val="BodyText"/>
      </w:pPr>
      <w:r>
        <w:t xml:space="preserve">It has highlighted the importance of including preprints in systematic review, and provided a tool to enable researchers to easily do so.</w:t>
      </w:r>
    </w:p>
    <w:p>
      <w:pPr>
        <w:pStyle w:val="BodyText"/>
      </w:pPr>
      <w:r>
        <w:t xml:space="preserve">It has provided new evidence on an understudied condition (vascular demenita), analysing three previously unexplored datasets to provide evinde</w:t>
      </w:r>
    </w:p>
    <w:p>
      <w:pPr>
        <w:numPr>
          <w:ilvl w:val="0"/>
          <w:numId w:val="1020"/>
        </w:numPr>
        <w:pStyle w:val="Compact"/>
      </w:pPr>
      <w:r>
        <w:t xml:space="preserve">New evidence sources for an under-studied condition</w:t>
      </w:r>
    </w:p>
    <w:p>
      <w:pPr>
        <w:numPr>
          <w:ilvl w:val="0"/>
          <w:numId w:val="1020"/>
        </w:numPr>
        <w:pStyle w:val="Compact"/>
      </w:pPr>
      <w:r>
        <w:t xml:space="preserve">Development of new methods and tool</w:t>
      </w:r>
    </w:p>
    <w:p>
      <w:pPr>
        <w:pStyle w:val="FirstParagraph"/>
      </w:pPr>
      <w:r>
        <w:t xml:space="preserve">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 </w:t>
      </w:r>
    </w:p>
    <w:p>
      <w:r>
        <w:br w:type="page"/>
      </w:r>
    </w:p>
    <w:bookmarkEnd w:id="330"/>
    <w:bookmarkStart w:id="331" w:name="weaknessess"/>
    <w:p>
      <w:pPr>
        <w:pStyle w:val="Heading3"/>
      </w:pPr>
      <w:r>
        <w:t xml:space="preserve">Weaknessess</w:t>
      </w:r>
    </w:p>
    <w:p>
      <w:pPr>
        <w:pStyle w:val="FirstParagraph"/>
      </w:pPr>
      <w:r>
        <w:t xml:space="preserve">However, the thesis as a whole is subject to some strong limitations.</w:t>
      </w:r>
    </w:p>
    <w:p>
      <w:pPr>
        <w:pStyle w:val="BodyText"/>
      </w:pPr>
      <w:r>
        <w:t xml:space="preserve">A general limitation of this thesis is the absence of known results/data. This occurred in both the systematic review, via the selection of reporting results and potential for publication bias. It was also observed.</w:t>
      </w:r>
    </w:p>
    <w:p>
      <w:pPr>
        <w:pStyle w:val="BodyText"/>
      </w:pPr>
      <w:r>
        <w:t xml:space="preserve">Similarly, missing evidence was a common theme across this thesis. In Chapters</w:t>
      </w:r>
      <w:r>
        <w:t xml:space="preserve"> </w:t>
      </w:r>
      <w:r>
        <w:t xml:space="preserve">??</w:t>
      </w:r>
      <w:r>
        <w:t xml:space="preserve">/</w:t>
      </w:r>
      <w:r>
        <w:t xml:space="preserve">??</w:t>
      </w:r>
      <w:r>
        <w:t xml:space="preserve">, several studies stated that they did not report the results of an analysis because the results were not significant. This was particularly common among non-randomised studies of exposure examining blood lipids directly. Fortunately, new tools such as the forthcoming ROB-ME.</w:t>
      </w:r>
    </w:p>
    <w:p>
      <w:pPr>
        <w:pStyle w:val="BodyText"/>
      </w:pPr>
      <w:r>
        <w:t xml:space="preserve">Similarly, an absence of evidence on vascular dementia limits the certainty. In both these cases, accounting for missing evidence will be an important part of future evidence snythesis work on this topic.</w:t>
      </w:r>
    </w:p>
    <w:p>
      <w:pPr>
        <w:pStyle w:val="BodyText"/>
      </w:pPr>
      <w:r>
        <w:t xml:space="preserve">Missing evidence in the form of a poor response to data access requests was also observed in the IPD analysis reported in Chapter</w:t>
      </w:r>
      <w:r>
        <w:t xml:space="preserve"> </w:t>
      </w:r>
      <w:r>
        <w:t xml:space="preserve">??</w:t>
      </w:r>
      <w:r>
        <w:t xml:space="preserve">.</w:t>
      </w:r>
    </w:p>
    <w:p>
      <w:pPr>
        <w:pStyle w:val="BodyText"/>
      </w:pPr>
      <w:r>
        <w:t xml:space="preserve">A final weakness of this thesis is the geographical focus. All primary analysis presented drew on data from the UK population (CPRD, CaPS, EPIC Norfolk, Whitehall II).</w:t>
      </w:r>
    </w:p>
    <w:p>
      <w:pPr>
        <w:pStyle w:val="BodyText"/>
      </w:pPr>
      <w:r>
        <w:t xml:space="preserve"> </w:t>
      </w:r>
    </w:p>
    <w:p>
      <w:r>
        <w:br w:type="page"/>
      </w:r>
    </w:p>
    <w:bookmarkEnd w:id="331"/>
    <w:bookmarkEnd w:id="332"/>
    <w:bookmarkStart w:id="338" w:name="future-work-1"/>
    <w:p>
      <w:pPr>
        <w:pStyle w:val="Heading2"/>
      </w:pPr>
      <w:r>
        <w:t xml:space="preserve">Future work</w:t>
      </w:r>
    </w:p>
    <w:p>
      <w:pPr>
        <w:pStyle w:val="FirstParagraph"/>
      </w:pPr>
      <w:r>
        <w:t xml:space="preserve">Several avenues for future research, building on the work presented here, are possible.</w:t>
      </w:r>
    </w:p>
    <w:p>
      <w:pPr>
        <w:pStyle w:val="BodyText"/>
      </w:pPr>
      <w:r>
        <w:t xml:space="preserve"> </w:t>
      </w:r>
    </w:p>
    <w:bookmarkStart w:id="333" w:name="inclusion-of-preprints-2"/>
    <w:p>
      <w:pPr>
        <w:pStyle w:val="Heading3"/>
      </w:pPr>
      <w:r>
        <w:t xml:space="preserve">Inclusion of preprints</w:t>
      </w:r>
    </w:p>
    <w:p>
      <w:pPr>
        <w:pStyle w:val="FirstParagraph"/>
      </w:pPr>
      <w:r>
        <w:t xml:space="preserve">Given the evidence that this thesis produced on the usefulness of including preprints, normalisation of inclusion of preprints in systematic reviews. Wider assessment of the evidence base that exists solely as preprinted literature ()</w:t>
      </w:r>
    </w:p>
    <w:p>
      <w:pPr>
        <w:pStyle w:val="BodyText"/>
      </w:pPr>
      <w:r>
        <w:t xml:space="preserve">Meta-epidemiological studies examining the factors which influence eventual publication would also help to quantify the extent and strength of publication bias</w:t>
      </w:r>
    </w:p>
    <w:p>
      <w:pPr>
        <w:pStyle w:val="BodyText"/>
      </w:pPr>
      <w:r>
        <w:t xml:space="preserve">Preprints also represent a key opportunity to assess the impact of peer review on qualitative changes within</w:t>
      </w:r>
    </w:p>
    <w:p>
      <w:pPr>
        <w:pStyle w:val="BodyText"/>
      </w:pPr>
      <w:r>
        <w:t xml:space="preserve">Future work should also address how to handle discrepancies between the preprinted and published versions of a paper, particularly if the results are subtantially different between the two versions.</w:t>
      </w:r>
    </w:p>
    <w:p>
      <w:pPr>
        <w:pStyle w:val="BodyText"/>
      </w:pPr>
      <w:r>
        <w:t xml:space="preserve"> </w:t>
      </w:r>
      <w:r>
        <w:br/>
      </w:r>
    </w:p>
    <w:bookmarkEnd w:id="333"/>
    <w:bookmarkStart w:id="334" w:name="evidence-on-vascular-dementia"/>
    <w:p>
      <w:pPr>
        <w:pStyle w:val="Heading3"/>
      </w:pPr>
      <w:r>
        <w:t xml:space="preserve">Evidence on vascular dementia</w:t>
      </w:r>
    </w:p>
    <w:p>
      <w:pPr>
        <w:pStyle w:val="FirstParagraph"/>
      </w:pPr>
      <w:r>
        <w:t xml:space="preserve">As discussed in an earlier section, there is an absence of evidence on vascular dementia across the evidence base</w:t>
      </w:r>
    </w:p>
    <w:p>
      <w:pPr>
        <w:pStyle w:val="BodyText"/>
      </w:pPr>
      <w:r>
        <w:t xml:space="preserve">Future work should aim to address this evidence gap.</w:t>
      </w:r>
    </w:p>
    <w:p>
      <w:pPr>
        <w:pStyle w:val="BodyText"/>
      </w:pPr>
      <w:r>
        <w:t xml:space="preserve">large-scale GWAS of vascular dementia should be performed, to identify associated loci that future Mendelian randomisation studies can make use of. While this is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and would allow for the assessment of many genetically driven risk factors beyond those considered in this thesis.</w:t>
      </w:r>
    </w:p>
    <w:p>
      <w:pPr>
        <w:pStyle w:val="BodyText"/>
      </w:pPr>
      <w:r>
        <w:t xml:space="preserve">This is particularly relevant given that there was some evidence for an association of hypertriglyceraemia with vascular dementia. Future research should explicitly examine this relationship as part of wider exploration of vascular disease.</w:t>
      </w:r>
    </w:p>
    <w:p>
      <w:pPr>
        <w:pStyle w:val="BodyText"/>
      </w:pPr>
      <w:r>
        <w:t xml:space="preserve"> </w:t>
      </w:r>
      <w:r>
        <w:br/>
      </w:r>
    </w:p>
    <w:bookmarkEnd w:id="334"/>
    <w:bookmarkStart w:id="335" w:name="Xd19ce5d822d2d7feaf108eb303985c32f1879c0"/>
    <w:p>
      <w:pPr>
        <w:pStyle w:val="Heading3"/>
      </w:pPr>
      <w:r>
        <w:t xml:space="preserve">Reviewing Mendelian randomisation studies</w:t>
      </w:r>
    </w:p>
    <w:p>
      <w:pPr>
        <w:pStyle w:val="FirstParagraph"/>
      </w:pPr>
      <w:r>
        <w:t xml:space="preserve">As noted in previous chapters, evidence synthesis theory and methods have not been sufficient developed for the inclusion of Mendelian randomisation studies.</w:t>
      </w:r>
    </w:p>
    <w:p>
      <w:pPr>
        <w:pStyle w:val="BodyText"/>
      </w:pPr>
      <w:r>
        <w:t xml:space="preserve">A key issue arises from the lack of an established risk of bias tool, limiting future work that requires systematic risk-of-bias assessment, such as the triangulation framework presented in Chapter</w:t>
      </w:r>
      <w:r>
        <w:t xml:space="preserve"> </w:t>
      </w:r>
      <w:r>
        <w:t xml:space="preserve">??</w:t>
      </w:r>
      <w:r>
        <w:t xml:space="preserve">. In addition, a lack of guidance around whether the inclusion of two-sample Mendelian randomisation studies using identical summary statistics. This was illustrated in detail in Chapter</w:t>
      </w:r>
      <w:r>
        <w:t xml:space="preserve"> </w:t>
      </w:r>
      <w:r>
        <w:t xml:space="preserve">??</w:t>
      </w:r>
      <w:r>
        <w:t xml:space="preserve">, where XXX studies using the same , and meta-analysing these as independent effect estimates would provide an overly precise result. Finally, future work should aim to validate search strategies for this study design, paying particular attention to the range of terms used to define it (e.g. genetic instrumental variable analysis).</w:t>
      </w:r>
    </w:p>
    <w:p>
      <w:pPr>
        <w:pStyle w:val="BodyText"/>
      </w:pPr>
      <w:r>
        <w:t xml:space="preserve">Synthesis of Mendelian randomisation studies is not helped by the varied (and often poor) reporting, though the recent release of the STROBE-MR reporting guidelines should go someway to addressing this.</w:t>
      </w:r>
    </w:p>
    <w:p>
      <w:pPr>
        <w:pStyle w:val="BodyText"/>
      </w:pPr>
      <w:r>
        <w:t xml:space="preserve"> </w:t>
      </w:r>
      <w:r>
        <w:br/>
      </w:r>
    </w:p>
    <w:bookmarkEnd w:id="335"/>
    <w:bookmarkStart w:id="336" w:name="empirical-estimates-of-bias"/>
    <w:p>
      <w:pPr>
        <w:pStyle w:val="Heading3"/>
      </w:pPr>
      <w:r>
        <w:t xml:space="preserve">Empirical estimates of bias</w:t>
      </w:r>
    </w:p>
    <w:p>
      <w:pPr>
        <w:pStyle w:val="FirstParagraph"/>
      </w:pPr>
      <w:r>
        <w:t xml:space="preserve">Finally, substantial future work should be directed towards the conduct of meta-epidemiological studies to assess the impact of different bias in non-observational studies. While frameworks such as the one employed in Chapter</w:t>
      </w:r>
      <w:r>
        <w:t xml:space="preserve"> </w:t>
      </w:r>
      <w:r>
        <w:t xml:space="preserve">7</w:t>
      </w:r>
      <w:r>
        <w:t xml:space="preserve"> </w:t>
      </w:r>
      <w:r>
        <w:t xml:space="preserve">exist to allow for the production of bias-adjusted and triangulated estimates.</w:t>
      </w:r>
    </w:p>
    <w:p>
      <w:pPr>
        <w:pStyle w:val="BodyText"/>
      </w:pPr>
      <w:r>
        <w:t xml:space="preserve"> </w:t>
      </w:r>
      <w:r>
        <w:br/>
      </w:r>
    </w:p>
    <w:p>
      <w:pPr>
        <w:pStyle w:val="BodyText"/>
      </w:pPr>
      <w:r>
        <w:t xml:space="preserve">It is customary at this point to recommend that a large scale. However, based on the evidence described. In addition, logistical challenges in relation</w:t>
      </w:r>
    </w:p>
    <w:p>
      <w:pPr>
        <w:pStyle w:val="BodyText"/>
      </w:pPr>
      <w:r>
        <w:t xml:space="preserve">Opportunistic follow-up of established trials.</w:t>
      </w:r>
    </w:p>
    <w:p>
      <w:pPr>
        <w:pStyle w:val="BodyText"/>
      </w:pPr>
      <w:r>
        <w:t xml:space="preserve"> </w:t>
      </w:r>
      <w:r>
        <w:br/>
      </w:r>
    </w:p>
    <w:bookmarkEnd w:id="336"/>
    <w:bookmarkStart w:id="337" w:name="triangulation"/>
    <w:p>
      <w:pPr>
        <w:pStyle w:val="Heading3"/>
      </w:pPr>
      <w:r>
        <w:t xml:space="preserve">Triangulation</w:t>
      </w:r>
    </w:p>
    <w:p>
      <w:pPr>
        <w:pStyle w:val="FirstParagraph"/>
      </w:pPr>
      <w:r>
        <w:t xml:space="preserve">In summary, there is a need to make better use of the existing evidence accounting for the</w:t>
      </w:r>
    </w:p>
    <w:p>
      <w:pPr>
        <w:pStyle w:val="BodyText"/>
      </w:pPr>
      <w:r>
        <w:t xml:space="preserve">The field of quantitative triangulation is one ripe for future work.</w:t>
      </w:r>
    </w:p>
    <w:p>
      <w:pPr>
        <w:pStyle w:val="BodyText"/>
      </w:pPr>
      <w:r>
        <w:t xml:space="preserve">In the first instance, guidance</w:t>
      </w:r>
    </w:p>
    <w:p>
      <w:pPr>
        <w:pStyle w:val="BodyText"/>
      </w:pPr>
      <w:r>
        <w:t xml:space="preserve">Finally, accounting for bias (and indirectness, if considering causal effects rather than a summary of the literature) is essentially in the interpretation of published literature. While this can take many forms, from the stratification of forest plots by overall risk of bias level, to the or to the more advance bias adjustment approach detailed here, it is insufficient to draw clinical recommendations from meta-analysis that treat effect estimates as if they were unbiased.</w:t>
      </w:r>
    </w:p>
    <w:p>
      <w:pPr>
        <w:pStyle w:val="BodyText"/>
      </w:pPr>
      <w:r>
        <w:t xml:space="preserve"> </w:t>
      </w:r>
      <w:r>
        <w:t xml:space="preserve"> </w:t>
      </w:r>
      <w:r>
        <w:t xml:space="preserve"> </w:t>
      </w:r>
    </w:p>
    <w:bookmarkEnd w:id="337"/>
    <w:bookmarkEnd w:id="338"/>
    <w:bookmarkStart w:id="339" w:name="overall-conclusions"/>
    <w:p>
      <w:pPr>
        <w:pStyle w:val="Heading2"/>
      </w:pPr>
      <w:r>
        <w:t xml:space="preserve">Overall conclusions</w:t>
      </w:r>
    </w:p>
    <w:p>
      <w:pPr>
        <w:pStyle w:val="FirstParagraph"/>
      </w:pPr>
      <w:r>
        <w:t xml:space="preserve">The</w:t>
      </w:r>
    </w:p>
    <w:p>
      <w:pPr>
        <w:pStyle w:val="BodyText"/>
      </w:pPr>
      <w:r>
        <w:t xml:space="preserve">In addition, I have created</w:t>
      </w:r>
    </w:p>
    <w:p>
      <w:pPr>
        <w:pStyle w:val="BodyText"/>
      </w:pPr>
      <w:r>
        <w:t xml:space="preserve">and proposed a novel combination of existing methods in pursuit of a generalised quantitative framework.</w:t>
      </w:r>
    </w:p>
    <w:p>
      <w:pPr>
        <w:pStyle w:val="BodyText"/>
      </w:pPr>
      <w:r>
        <w:t xml:space="preserve">This thesis has made unique and novel contributions to the</w:t>
      </w:r>
    </w:p>
    <w:p>
      <w:pPr>
        <w:pStyle w:val="BodyText"/>
      </w:pPr>
      <w:r>
        <w:t xml:space="preserve">Illustrating that commonly employed approaches to address</w:t>
      </w:r>
    </w:p>
    <w:p>
      <w:pPr>
        <w:pStyle w:val="BodyText"/>
      </w:pPr>
      <w:r>
        <w:t xml:space="preserve">Blood lipids</w:t>
      </w:r>
    </w:p>
    <w:bookmarkEnd w:id="339"/>
    <w:bookmarkEnd w:id="340"/>
    <w:bookmarkStart w:id="341" w:name="bibliography"/>
    <w:p>
      <w:pPr>
        <w:pStyle w:val="Heading1"/>
      </w:pPr>
      <w:r>
        <w:t xml:space="preserve">Bibliography</w:t>
      </w:r>
    </w:p>
    <w:bookmarkEnd w:id="341"/>
    <w:bookmarkStart w:id="753" w:name="bibliography-1"/>
    <w:p>
      <w:pPr>
        <w:pStyle w:val="Heading1"/>
      </w:pPr>
      <w:r>
        <w:t xml:space="preserve">Bibliography</w:t>
      </w:r>
    </w:p>
    <w:bookmarkStart w:id="752" w:name="refs"/>
    <w:bookmarkStart w:id="342" w:name="ref-edition2013"/>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342"/>
    <w:bookmarkStart w:id="343"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43"/>
    <w:bookmarkStart w:id="344"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44"/>
    <w:bookmarkStart w:id="345"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45"/>
    <w:bookmarkStart w:id="346"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46"/>
    <w:bookmarkStart w:id="347"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47"/>
    <w:bookmarkStart w:id="348"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48"/>
    <w:bookmarkStart w:id="349"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49"/>
    <w:bookmarkStart w:id="350"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50"/>
    <w:bookmarkStart w:id="351"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51"/>
    <w:bookmarkStart w:id="352" w:name="ref-roman1993"/>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352"/>
    <w:bookmarkStart w:id="353"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53"/>
    <w:bookmarkStart w:id="354"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54"/>
    <w:bookmarkStart w:id="355"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55"/>
    <w:bookmarkStart w:id="356" w:name="ref-wittenberg2019"/>
    <w:p>
      <w:pPr>
        <w:pStyle w:val="Bibliography"/>
      </w:pPr>
      <w:r>
        <w:t xml:space="preserve">15.</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56"/>
    <w:bookmarkStart w:id="357" w:name="ref-prince2014"/>
    <w:p>
      <w:pPr>
        <w:pStyle w:val="Bibliography"/>
      </w:pPr>
      <w:r>
        <w:t xml:space="preserve">16.</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357"/>
    <w:bookmarkStart w:id="358" w:name="ref-cummings2020"/>
    <w:p>
      <w:pPr>
        <w:pStyle w:val="Bibliography"/>
      </w:pPr>
      <w:r>
        <w:t xml:space="preserve">17.</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58"/>
    <w:bookmarkStart w:id="359" w:name="ref-hampel2018"/>
    <w:p>
      <w:pPr>
        <w:pStyle w:val="Bibliography"/>
      </w:pPr>
      <w:r>
        <w:t xml:space="preserve">18.</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59"/>
    <w:bookmarkStart w:id="360" w:name="ref-pariente2008"/>
    <w:p>
      <w:pPr>
        <w:pStyle w:val="Bibliography"/>
      </w:pPr>
      <w:r>
        <w:t xml:space="preserve">19.</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60"/>
    <w:bookmarkStart w:id="362" w:name="ref-marucci2020"/>
    <w:p>
      <w:pPr>
        <w:pStyle w:val="Bibliography"/>
      </w:pPr>
      <w:r>
        <w:t xml:space="preserve">20.</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61">
        <w:r>
          <w:rPr>
            <w:rStyle w:val="Hyperlink"/>
          </w:rPr>
          <w:t xml:space="preserve">10.1016/j.neuropharm.2020.108352</w:t>
        </w:r>
      </w:hyperlink>
    </w:p>
    <w:bookmarkEnd w:id="362"/>
    <w:bookmarkStart w:id="363" w:name="ref-francis2010"/>
    <w:p>
      <w:pPr>
        <w:pStyle w:val="Bibliography"/>
      </w:pPr>
      <w:r>
        <w:t xml:space="preserve">21.</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63"/>
    <w:bookmarkStart w:id="364" w:name="ref-winblad2016"/>
    <w:p>
      <w:pPr>
        <w:pStyle w:val="Bibliography"/>
      </w:pPr>
      <w:r>
        <w:t xml:space="preserve">22.</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364"/>
    <w:bookmarkStart w:id="365" w:name="ref-feingold2000"/>
    <w:p>
      <w:pPr>
        <w:pStyle w:val="Bibliography"/>
      </w:pPr>
      <w:r>
        <w:t xml:space="preserve">23.</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65"/>
    <w:bookmarkStart w:id="366" w:name="ref-peters2019"/>
    <w:p>
      <w:pPr>
        <w:pStyle w:val="Bibliography"/>
      </w:pPr>
      <w:r>
        <w:t xml:space="preserve">24.</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66"/>
    <w:bookmarkStart w:id="367" w:name="ref-anstey2019"/>
    <w:p>
      <w:pPr>
        <w:pStyle w:val="Bibliography"/>
      </w:pPr>
      <w:r>
        <w:t xml:space="preserve">25.</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67"/>
    <w:bookmarkStart w:id="368" w:name="ref-hughes2020"/>
    <w:p>
      <w:pPr>
        <w:pStyle w:val="Bibliography"/>
      </w:pPr>
      <w:r>
        <w:t xml:space="preserve">26.</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368"/>
    <w:bookmarkStart w:id="369" w:name="ref-norton2014potential"/>
    <w:p>
      <w:pPr>
        <w:pStyle w:val="Bibliography"/>
      </w:pPr>
      <w:r>
        <w:t xml:space="preserve">27.</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69"/>
    <w:bookmarkStart w:id="370" w:name="ref-pushpakom2019"/>
    <w:p>
      <w:pPr>
        <w:pStyle w:val="Bibliography"/>
      </w:pPr>
      <w:r>
        <w:t xml:space="preserve">28.</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370"/>
    <w:bookmarkStart w:id="371" w:name="ref-laufs2020"/>
    <w:p>
      <w:pPr>
        <w:pStyle w:val="Bibliography"/>
      </w:pPr>
      <w:r>
        <w:t xml:space="preserve">29.</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71"/>
    <w:bookmarkStart w:id="372" w:name="ref-zampelas2019"/>
    <w:p>
      <w:pPr>
        <w:pStyle w:val="Bibliography"/>
      </w:pPr>
      <w:r>
        <w:t xml:space="preserve">30.</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72"/>
    <w:bookmarkStart w:id="373" w:name="ref-friedewald1972"/>
    <w:p>
      <w:pPr>
        <w:pStyle w:val="Bibliography"/>
      </w:pPr>
      <w:r>
        <w:t xml:space="preserve">31.</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73"/>
    <w:bookmarkStart w:id="374" w:name="ref-national2002third"/>
    <w:p>
      <w:pPr>
        <w:pStyle w:val="Bibliography"/>
      </w:pPr>
      <w:r>
        <w:t xml:space="preserve">32.</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74"/>
    <w:bookmarkStart w:id="375" w:name="ref-nelson2013"/>
    <w:p>
      <w:pPr>
        <w:pStyle w:val="Bibliography"/>
      </w:pPr>
      <w:r>
        <w:t xml:space="preserve">33.</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75"/>
    <w:bookmarkStart w:id="376" w:name="ref-libby2019"/>
    <w:p>
      <w:pPr>
        <w:pStyle w:val="Bibliography"/>
      </w:pPr>
      <w:r>
        <w:t xml:space="preserve">34.</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76"/>
    <w:bookmarkStart w:id="377" w:name="ref-collins2016"/>
    <w:p>
      <w:pPr>
        <w:pStyle w:val="Bibliography"/>
      </w:pPr>
      <w:r>
        <w:t xml:space="preserve">35.</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77"/>
    <w:bookmarkStart w:id="378" w:name="ref-law2003"/>
    <w:p>
      <w:pPr>
        <w:pStyle w:val="Bibliography"/>
      </w:pPr>
      <w:r>
        <w:t xml:space="preserve">36.</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78"/>
    <w:bookmarkStart w:id="379" w:name="ref-schachter2005"/>
    <w:p>
      <w:pPr>
        <w:pStyle w:val="Bibliography"/>
      </w:pPr>
      <w:r>
        <w:t xml:space="preserve">37.</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79"/>
    <w:bookmarkStart w:id="380" w:name="ref-sierra2011"/>
    <w:p>
      <w:pPr>
        <w:pStyle w:val="Bibliography"/>
      </w:pPr>
      <w:r>
        <w:t xml:space="preserve">38.</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80"/>
    <w:bookmarkStart w:id="381" w:name="ref-kosoglou2005"/>
    <w:p>
      <w:pPr>
        <w:pStyle w:val="Bibliography"/>
      </w:pPr>
      <w:r>
        <w:t xml:space="preserve">39.</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81"/>
    <w:bookmarkStart w:id="382" w:name="ref-genest2006"/>
    <w:p>
      <w:pPr>
        <w:pStyle w:val="Bibliography"/>
      </w:pPr>
      <w:r>
        <w:t xml:space="preserve">40.</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82"/>
    <w:bookmarkStart w:id="383" w:name="ref-chaudhary2017"/>
    <w:p>
      <w:pPr>
        <w:pStyle w:val="Bibliography"/>
      </w:pPr>
      <w:r>
        <w:t xml:space="preserve">41.</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83"/>
    <w:bookmarkStart w:id="384" w:name="ref-mckenney2004"/>
    <w:p>
      <w:pPr>
        <w:pStyle w:val="Bibliography"/>
      </w:pPr>
      <w:r>
        <w:t xml:space="preserve">42.</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84"/>
    <w:bookmarkStart w:id="385" w:name="ref-skulas2019"/>
    <w:p>
      <w:pPr>
        <w:pStyle w:val="Bibliography"/>
      </w:pPr>
      <w:r>
        <w:t xml:space="preserve">43.</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85"/>
    <w:bookmarkStart w:id="386" w:name="ref-burns2003"/>
    <w:p>
      <w:pPr>
        <w:pStyle w:val="Bibliography"/>
      </w:pPr>
      <w:r>
        <w:t xml:space="preserve">44.</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86"/>
    <w:bookmarkStart w:id="387" w:name="ref-mizuno1999"/>
    <w:p>
      <w:pPr>
        <w:pStyle w:val="Bibliography"/>
      </w:pPr>
      <w:r>
        <w:t xml:space="preserve">45.</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87"/>
    <w:bookmarkStart w:id="388" w:name="ref-beecham2014"/>
    <w:p>
      <w:pPr>
        <w:pStyle w:val="Bibliography"/>
      </w:pPr>
      <w:r>
        <w:t xml:space="preserve">46.</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88"/>
    <w:bookmarkStart w:id="389" w:name="ref-harold2009"/>
    <w:p>
      <w:pPr>
        <w:pStyle w:val="Bibliography"/>
      </w:pPr>
      <w:r>
        <w:t xml:space="preserve">47.</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89"/>
    <w:bookmarkStart w:id="390" w:name="ref-meng2007"/>
    <w:p>
      <w:pPr>
        <w:pStyle w:val="Bibliography"/>
      </w:pPr>
      <w:r>
        <w:t xml:space="preserve">48.</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90"/>
    <w:bookmarkStart w:id="391" w:name="ref-kivipelto2002"/>
    <w:p>
      <w:pPr>
        <w:pStyle w:val="Bibliography"/>
      </w:pPr>
      <w:r>
        <w:t xml:space="preserve">49.</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91"/>
    <w:bookmarkStart w:id="392" w:name="ref-kivipelto2005"/>
    <w:p>
      <w:pPr>
        <w:pStyle w:val="Bibliography"/>
      </w:pPr>
      <w:r>
        <w:t xml:space="preserve">50.</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92"/>
    <w:bookmarkStart w:id="393" w:name="ref-schilling2017"/>
    <w:p>
      <w:pPr>
        <w:pStyle w:val="Bibliography"/>
      </w:pPr>
      <w:r>
        <w:t xml:space="preserve">51.</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93"/>
    <w:bookmarkStart w:id="394" w:name="ref-solomon2009"/>
    <w:p>
      <w:pPr>
        <w:pStyle w:val="Bibliography"/>
      </w:pPr>
      <w:r>
        <w:t xml:space="preserve">52.</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94"/>
    <w:bookmarkStart w:id="395" w:name="ref-whitmer2005"/>
    <w:p>
      <w:pPr>
        <w:pStyle w:val="Bibliography"/>
      </w:pPr>
      <w:r>
        <w:t xml:space="preserve">53.</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95"/>
    <w:bookmarkStart w:id="396" w:name="ref-li2005"/>
    <w:p>
      <w:pPr>
        <w:pStyle w:val="Bibliography"/>
      </w:pPr>
      <w:r>
        <w:t xml:space="preserve">54.</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96"/>
    <w:bookmarkStart w:id="397" w:name="ref-mainous2005"/>
    <w:p>
      <w:pPr>
        <w:pStyle w:val="Bibliography"/>
      </w:pPr>
      <w:r>
        <w:t xml:space="preserve">55.</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97"/>
    <w:bookmarkStart w:id="398" w:name="ref-mielke2010"/>
    <w:p>
      <w:pPr>
        <w:pStyle w:val="Bibliography"/>
      </w:pPr>
      <w:r>
        <w:t xml:space="preserve">56.</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98"/>
    <w:bookmarkStart w:id="399" w:name="ref-tan2003"/>
    <w:p>
      <w:pPr>
        <w:pStyle w:val="Bibliography"/>
      </w:pPr>
      <w:r>
        <w:t xml:space="preserve">57.</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 The</w:t>
      </w:r>
      <w:r>
        <w:t xml:space="preserve"> </w:t>
      </w:r>
      <w:r>
        <w:t xml:space="preserve">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399"/>
    <w:bookmarkStart w:id="400" w:name="ref-mielke2005"/>
    <w:p>
      <w:pPr>
        <w:pStyle w:val="Bibliography"/>
      </w:pPr>
      <w:r>
        <w:t xml:space="preserve">58.</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400"/>
    <w:bookmarkStart w:id="401" w:name="ref-reitz2004"/>
    <w:p>
      <w:pPr>
        <w:pStyle w:val="Bibliography"/>
      </w:pPr>
      <w:r>
        <w:t xml:space="preserve">59.</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401"/>
    <w:bookmarkStart w:id="402" w:name="ref-moroney1999"/>
    <w:p>
      <w:pPr>
        <w:pStyle w:val="Bibliography"/>
      </w:pPr>
      <w:r>
        <w:t xml:space="preserve">60.</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402"/>
    <w:bookmarkStart w:id="403" w:name="ref-ritchie2015"/>
    <w:p>
      <w:pPr>
        <w:pStyle w:val="Bibliography"/>
      </w:pPr>
      <w:r>
        <w:t xml:space="preserve">61.</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403"/>
    <w:bookmarkStart w:id="405" w:name="ref-mcguinness2016"/>
    <w:p>
      <w:pPr>
        <w:pStyle w:val="Bibliography"/>
      </w:pPr>
      <w:r>
        <w:t xml:space="preserve">62.</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404">
        <w:r>
          <w:rPr>
            <w:rStyle w:val="Hyperlink"/>
          </w:rPr>
          <w:t xml:space="preserve">10.1002/14651858.CD003160.pub3</w:t>
        </w:r>
      </w:hyperlink>
    </w:p>
    <w:bookmarkEnd w:id="405"/>
    <w:bookmarkStart w:id="406" w:name="ref-trompet2010"/>
    <w:p>
      <w:pPr>
        <w:pStyle w:val="Bibliography"/>
      </w:pPr>
      <w:r>
        <w:t xml:space="preserve">63.</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406"/>
    <w:bookmarkStart w:id="407" w:name="X49f9892f062f4edfe92b37e5c1639cb4f6c013f"/>
    <w:p>
      <w:pPr>
        <w:pStyle w:val="Bibliography"/>
      </w:pPr>
      <w:r>
        <w:t xml:space="preserve">64.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07"/>
    <w:bookmarkStart w:id="408" w:name="ref-daveysmith2014"/>
    <w:p>
      <w:pPr>
        <w:pStyle w:val="Bibliography"/>
      </w:pPr>
      <w:r>
        <w:t xml:space="preserve">65.</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408"/>
    <w:bookmarkStart w:id="409" w:name="ref-greenland2000"/>
    <w:p>
      <w:pPr>
        <w:pStyle w:val="Bibliography"/>
      </w:pPr>
      <w:r>
        <w:t xml:space="preserve">66.</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409"/>
    <w:bookmarkStart w:id="410" w:name="ref-davies2018"/>
    <w:p>
      <w:pPr>
        <w:pStyle w:val="Bibliography"/>
      </w:pPr>
      <w:r>
        <w:t xml:space="preserve">67.</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410"/>
    <w:bookmarkStart w:id="411" w:name="ref-larsson2017"/>
    <w:p>
      <w:pPr>
        <w:pStyle w:val="Bibliography"/>
      </w:pPr>
      <w:r>
        <w:t xml:space="preserve">68.</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(2017).</w:t>
      </w:r>
    </w:p>
    <w:bookmarkEnd w:id="411"/>
    <w:bookmarkStart w:id="412" w:name="ref-ostergaard2015"/>
    <w:p>
      <w:pPr>
        <w:pStyle w:val="Bibliography"/>
      </w:pPr>
      <w:r>
        <w:t xml:space="preserve">69.</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412"/>
    <w:bookmarkStart w:id="413" w:name="ref-kim2009"/>
    <w:p>
      <w:pPr>
        <w:pStyle w:val="Bibliography"/>
      </w:pPr>
      <w:r>
        <w:t xml:space="preserve">70.</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413"/>
    <w:bookmarkStart w:id="414" w:name="ref-benn2017"/>
    <w:p>
      <w:pPr>
        <w:pStyle w:val="Bibliography"/>
      </w:pPr>
      <w:r>
        <w:t xml:space="preserve">71.</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414"/>
    <w:bookmarkStart w:id="415" w:name="ref-donnelly2018"/>
    <w:p>
      <w:pPr>
        <w:pStyle w:val="Bibliography"/>
      </w:pPr>
      <w:r>
        <w:t xml:space="preserve">72.</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415"/>
    <w:bookmarkStart w:id="416" w:name="ref-chandler2019chapter"/>
    <w:p>
      <w:pPr>
        <w:pStyle w:val="Bibliography"/>
      </w:pPr>
      <w:r>
        <w:t xml:space="preserve">73.</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416"/>
    <w:bookmarkStart w:id="417" w:name="ref-conn2003"/>
    <w:p>
      <w:pPr>
        <w:pStyle w:val="Bibliography"/>
      </w:pPr>
      <w:r>
        <w:t xml:space="preserve">74.</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417"/>
    <w:bookmarkStart w:id="418" w:name="ref-mcauley2000"/>
    <w:p>
      <w:pPr>
        <w:pStyle w:val="Bibliography"/>
      </w:pPr>
      <w:r>
        <w:t xml:space="preserve">75.</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418"/>
    <w:bookmarkStart w:id="420" w:name="ref-hopewell2007"/>
    <w:p>
      <w:pPr>
        <w:pStyle w:val="Bibliography"/>
      </w:pPr>
      <w:r>
        <w:t xml:space="preserve">76.</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419">
        <w:r>
          <w:rPr>
            <w:rStyle w:val="Hyperlink"/>
          </w:rPr>
          <w:t xml:space="preserve">10.1002/14651858.MR000010.pub3</w:t>
        </w:r>
      </w:hyperlink>
    </w:p>
    <w:bookmarkEnd w:id="420"/>
    <w:bookmarkStart w:id="421" w:name="ref-lefebvre2019searching"/>
    <w:p>
      <w:pPr>
        <w:pStyle w:val="Bibliography"/>
      </w:pPr>
      <w:r>
        <w:t xml:space="preserve">77.</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421"/>
    <w:bookmarkStart w:id="422" w:name="ref-committeeonpublicationethicscope2018"/>
    <w:p>
      <w:pPr>
        <w:pStyle w:val="Bibliography"/>
      </w:pPr>
      <w:r>
        <w:t xml:space="preserve">78.</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22"/>
    <w:bookmarkStart w:id="423" w:name="ref-vale2016"/>
    <w:p>
      <w:pPr>
        <w:pStyle w:val="Bibliography"/>
      </w:pPr>
      <w:r>
        <w:t xml:space="preserve">79.</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23"/>
    <w:bookmarkStart w:id="425" w:name="ref-fraser2020preprinting"/>
    <w:p>
      <w:pPr>
        <w:pStyle w:val="Bibliography"/>
      </w:pPr>
      <w:r>
        <w:t xml:space="preserve">80.</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24">
        <w:r>
          <w:rPr>
            <w:rStyle w:val="Hyperlink"/>
          </w:rPr>
          <w:t xml:space="preserve">10.1101/2020.05.22.111294</w:t>
        </w:r>
      </w:hyperlink>
    </w:p>
    <w:bookmarkEnd w:id="425"/>
    <w:bookmarkStart w:id="426" w:name="ref-rosenthal1979"/>
    <w:p>
      <w:pPr>
        <w:pStyle w:val="Bibliography"/>
      </w:pPr>
      <w:r>
        <w:t xml:space="preserve">81.</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26"/>
    <w:bookmarkStart w:id="427" w:name="ref-maslove2018"/>
    <w:p>
      <w:pPr>
        <w:pStyle w:val="Bibliography"/>
      </w:pPr>
      <w:r>
        <w:t xml:space="preserve">82.</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27"/>
    <w:bookmarkStart w:id="428" w:name="ref-schalkwyk2020"/>
    <w:p>
      <w:pPr>
        <w:pStyle w:val="Bibliography"/>
      </w:pPr>
      <w:r>
        <w:t xml:space="preserve">83.</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28"/>
    <w:bookmarkStart w:id="429" w:name="ref-mahood2014"/>
    <w:p>
      <w:pPr>
        <w:pStyle w:val="Bibliography"/>
      </w:pPr>
      <w:r>
        <w:t xml:space="preserve">84.</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29"/>
    <w:bookmarkStart w:id="430" w:name="ref-shi2021"/>
    <w:p>
      <w:pPr>
        <w:pStyle w:val="Bibliography"/>
      </w:pPr>
      <w:r>
        <w:t xml:space="preserve">85.</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430"/>
    <w:bookmarkStart w:id="431" w:name="ref-klein2019"/>
    <w:p>
      <w:pPr>
        <w:pStyle w:val="Bibliography"/>
      </w:pPr>
      <w:r>
        <w:t xml:space="preserve">86.</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31"/>
    <w:bookmarkStart w:id="433" w:name="ref-nicholson2021"/>
    <w:p>
      <w:pPr>
        <w:pStyle w:val="Bibliography"/>
      </w:pPr>
      <w:r>
        <w:t xml:space="preserve">87.</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32">
        <w:r>
          <w:rPr>
            <w:rStyle w:val="Hyperlink"/>
          </w:rPr>
          <w:t xml:space="preserve">10.1101/2021.03.04.433874</w:t>
        </w:r>
      </w:hyperlink>
    </w:p>
    <w:bookmarkEnd w:id="433"/>
    <w:bookmarkStart w:id="434" w:name="ref-lawlor2016"/>
    <w:p>
      <w:pPr>
        <w:pStyle w:val="Bibliography"/>
      </w:pPr>
      <w:r>
        <w:t xml:space="preserve">88.</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434"/>
    <w:bookmarkStart w:id="435" w:name="ref-munafo2018"/>
    <w:p>
      <w:pPr>
        <w:pStyle w:val="Bibliography"/>
      </w:pPr>
      <w:r>
        <w:t xml:space="preserve">89.</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35"/>
    <w:bookmarkStart w:id="436" w:name="ref-page2021"/>
    <w:p>
      <w:pPr>
        <w:pStyle w:val="Bibliography"/>
      </w:pPr>
      <w:r>
        <w:t xml:space="preserve">90.</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36"/>
    <w:bookmarkStart w:id="437" w:name="ref-sterne2019"/>
    <w:p>
      <w:pPr>
        <w:pStyle w:val="Bibliography"/>
      </w:pPr>
      <w:r>
        <w:t xml:space="preserve">91.</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37"/>
    <w:bookmarkStart w:id="438" w:name="ref-mcguinness2018"/>
    <w:p>
      <w:pPr>
        <w:pStyle w:val="Bibliography"/>
      </w:pPr>
      <w:r>
        <w:t xml:space="preserve">92.</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438"/>
    <w:bookmarkStart w:id="439" w:name="ref-riley2010"/>
    <w:p>
      <w:pPr>
        <w:pStyle w:val="Bibliography"/>
      </w:pPr>
      <w:r>
        <w:t xml:space="preserve">93.</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39"/>
    <w:bookmarkStart w:id="440" w:name="ref-stewart1993"/>
    <w:p>
      <w:pPr>
        <w:pStyle w:val="Bibliography"/>
      </w:pPr>
      <w:r>
        <w:t xml:space="preserve">94.</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40"/>
    <w:bookmarkStart w:id="441" w:name="ref-arain2009"/>
    <w:p>
      <w:pPr>
        <w:pStyle w:val="Bibliography"/>
      </w:pPr>
      <w:r>
        <w:t xml:space="preserve">95.</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41"/>
    <w:bookmarkStart w:id="442" w:name="ref-clayton2018"/>
    <w:p>
      <w:pPr>
        <w:pStyle w:val="Bibliography"/>
      </w:pPr>
      <w:r>
        <w:t xml:space="preserve">96.</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42"/>
    <w:bookmarkStart w:id="443" w:name="ref-mccartney2016"/>
    <w:p>
      <w:pPr>
        <w:pStyle w:val="Bibliography"/>
      </w:pPr>
      <w:r>
        <w:t xml:space="preserve">97.</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43"/>
    <w:bookmarkStart w:id="444" w:name="ref-letenneur1999"/>
    <w:p>
      <w:pPr>
        <w:pStyle w:val="Bibliography"/>
      </w:pPr>
      <w:r>
        <w:t xml:space="preserve">98.</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44"/>
    <w:bookmarkStart w:id="445" w:name="ref-riley2020"/>
    <w:p>
      <w:pPr>
        <w:pStyle w:val="Bibliography"/>
      </w:pPr>
      <w:r>
        <w:t xml:space="preserve">99.</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45"/>
    <w:bookmarkStart w:id="446" w:name="ref-stewart2002"/>
    <w:p>
      <w:pPr>
        <w:pStyle w:val="Bibliography"/>
      </w:pPr>
      <w:r>
        <w:t xml:space="preserve">100.</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46"/>
    <w:bookmarkStart w:id="447" w:name="ref-tugwell2010"/>
    <w:p>
      <w:pPr>
        <w:pStyle w:val="Bibliography"/>
      </w:pPr>
      <w:r>
        <w:t xml:space="preserve">101.</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47"/>
    <w:bookmarkStart w:id="448" w:name="ref-nevitt2017"/>
    <w:p>
      <w:pPr>
        <w:pStyle w:val="Bibliography"/>
      </w:pPr>
      <w:r>
        <w:t xml:space="preserve">102.</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BMJ</w:t>
      </w:r>
      <w:r>
        <w:t xml:space="preserve"> </w:t>
      </w:r>
      <w:r>
        <w:rPr>
          <w:bCs/>
          <w:b/>
        </w:rPr>
        <w:t xml:space="preserve">357</w:t>
      </w:r>
      <w:r>
        <w:t xml:space="preserve">, j1390 (2017).</w:t>
      </w:r>
    </w:p>
    <w:bookmarkEnd w:id="448"/>
    <w:bookmarkStart w:id="449" w:name="ref-ventresca2020"/>
    <w:p>
      <w:pPr>
        <w:pStyle w:val="Bibliography"/>
      </w:pPr>
      <w:r>
        <w:t xml:space="preserve">103.</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49"/>
    <w:bookmarkStart w:id="450" w:name="ref-alsheikh-ali2011"/>
    <w:p>
      <w:pPr>
        <w:pStyle w:val="Bibliography"/>
      </w:pPr>
      <w:r>
        <w:t xml:space="preserve">104.</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50"/>
    <w:bookmarkStart w:id="451" w:name="ref-federer2018"/>
    <w:p>
      <w:pPr>
        <w:pStyle w:val="Bibliography"/>
      </w:pPr>
      <w:r>
        <w:t xml:space="preserve">105.</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 An 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451"/>
    <w:bookmarkStart w:id="452" w:name="ref-vines2014"/>
    <w:p>
      <w:pPr>
        <w:pStyle w:val="Bibliography"/>
      </w:pPr>
      <w:r>
        <w:t xml:space="preserve">106.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52"/>
    <w:bookmarkStart w:id="453" w:name="ref-vanpanhuis2014"/>
    <w:p>
      <w:pPr>
        <w:pStyle w:val="Bibliography"/>
      </w:pPr>
      <w:r>
        <w:t xml:space="preserve">107.</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453"/>
    <w:bookmarkStart w:id="454" w:name="ref-wartenberg2010"/>
    <w:p>
      <w:pPr>
        <w:pStyle w:val="Bibliography"/>
      </w:pPr>
      <w:r>
        <w:t xml:space="preserve">108.</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54"/>
    <w:bookmarkStart w:id="455" w:name="ref-bauermeister2020"/>
    <w:p>
      <w:pPr>
        <w:pStyle w:val="Bibliography"/>
      </w:pPr>
      <w:r>
        <w:t xml:space="preserve">109.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55"/>
    <w:bookmarkStart w:id="456" w:name="ref-rawlinson2019"/>
    <w:p>
      <w:pPr>
        <w:pStyle w:val="Bibliography"/>
      </w:pPr>
      <w:r>
        <w:t xml:space="preserve">110.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56"/>
    <w:bookmarkStart w:id="458" w:name="ref-sever2019"/>
    <w:p>
      <w:pPr>
        <w:pStyle w:val="Bibliography"/>
      </w:pPr>
      <w:r>
        <w:t xml:space="preserve">111.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57">
        <w:r>
          <w:rPr>
            <w:rStyle w:val="Hyperlink"/>
          </w:rPr>
          <w:t xml:space="preserve">10.1101/833400</w:t>
        </w:r>
      </w:hyperlink>
    </w:p>
    <w:bookmarkEnd w:id="458"/>
    <w:bookmarkStart w:id="459" w:name="ref-bramer2018"/>
    <w:p>
      <w:pPr>
        <w:pStyle w:val="Bibliography"/>
      </w:pPr>
      <w:r>
        <w:t xml:space="preserve">112.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59"/>
    <w:bookmarkStart w:id="460" w:name="ref-gusenbauer2020"/>
    <w:p>
      <w:pPr>
        <w:pStyle w:val="Bibliography"/>
      </w:pPr>
      <w:r>
        <w:t xml:space="preserve">113.</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60"/>
    <w:bookmarkStart w:id="461" w:name="ref-zotero-15029"/>
    <w:p>
      <w:pPr>
        <w:pStyle w:val="Bibliography"/>
      </w:pPr>
      <w:r>
        <w:t xml:space="preserve">114.</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61"/>
    <w:bookmarkStart w:id="462" w:name="ref-wateridge1995"/>
    <w:p>
      <w:pPr>
        <w:pStyle w:val="Bibliography"/>
      </w:pPr>
      <w:r>
        <w:t xml:space="preserve">115.</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62"/>
    <w:bookmarkStart w:id="463" w:name="ref-abdill2019"/>
    <w:p>
      <w:pPr>
        <w:pStyle w:val="Bibliography"/>
      </w:pPr>
      <w:r>
        <w:t xml:space="preserve">116.</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63"/>
    <w:bookmarkStart w:id="464" w:name="ref-zotero-15027"/>
    <w:p>
      <w:pPr>
        <w:pStyle w:val="Bibliography"/>
      </w:pPr>
      <w:r>
        <w:t xml:space="preserve">117.</w:t>
      </w:r>
      <w:r>
        <w:t xml:space="preserve"> </w:t>
      </w:r>
      <w:r>
        <w:t xml:space="preserve">	</w:t>
      </w:r>
      <w:r>
        <w:t xml:space="preserve">Rxivist: Explore popular biology preprints.</w:t>
      </w:r>
    </w:p>
    <w:bookmarkEnd w:id="464"/>
    <w:bookmarkStart w:id="465" w:name="ref-iwema2016"/>
    <w:p>
      <w:pPr>
        <w:pStyle w:val="Bibliography"/>
      </w:pPr>
      <w:r>
        <w:t xml:space="preserve">118.</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65"/>
    <w:bookmarkStart w:id="467" w:name="ref-shaw2002"/>
    <w:p>
      <w:pPr>
        <w:pStyle w:val="Bibliography"/>
      </w:pPr>
      <w:r>
        <w:t xml:space="preserve">119.</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66">
        <w:r>
          <w:rPr>
            <w:rStyle w:val="Hyperlink"/>
          </w:rPr>
          <w:t xml:space="preserve">10.1145/582128.582152</w:t>
        </w:r>
      </w:hyperlink>
    </w:p>
    <w:bookmarkEnd w:id="467"/>
    <w:bookmarkStart w:id="468" w:name="ref-laprie1992"/>
    <w:p>
      <w:pPr>
        <w:pStyle w:val="Bibliography"/>
      </w:pPr>
      <w:r>
        <w:t xml:space="preserve">120.</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68"/>
    <w:bookmarkStart w:id="469" w:name="ref-rcoreteam2019"/>
    <w:p>
      <w:pPr>
        <w:pStyle w:val="Bibliography"/>
      </w:pPr>
      <w:r>
        <w:t xml:space="preserve">121.</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69"/>
    <w:bookmarkStart w:id="470" w:name="ref-zotero-15031"/>
    <w:p>
      <w:pPr>
        <w:pStyle w:val="Bibliography"/>
      </w:pPr>
      <w:r>
        <w:t xml:space="preserve">122.</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70"/>
    <w:bookmarkStart w:id="471" w:name="ref-rethlefsen2021prisma"/>
    <w:p>
      <w:pPr>
        <w:pStyle w:val="Bibliography"/>
      </w:pPr>
      <w:r>
        <w:t xml:space="preserve">123.</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71"/>
    <w:bookmarkStart w:id="473" w:name="ref-kodvanj2020"/>
    <w:p>
      <w:pPr>
        <w:pStyle w:val="Bibliography"/>
      </w:pPr>
      <w:r>
        <w:t xml:space="preserve">124.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72">
        <w:r>
          <w:rPr>
            <w:rStyle w:val="Hyperlink"/>
          </w:rPr>
          <w:t xml:space="preserve">10.1101/2020.11.23.394577</w:t>
        </w:r>
      </w:hyperlink>
    </w:p>
    <w:bookmarkEnd w:id="473"/>
    <w:bookmarkStart w:id="474" w:name="ref-noone2020"/>
    <w:p>
      <w:pPr>
        <w:pStyle w:val="Bibliography"/>
      </w:pPr>
      <w:r>
        <w:t xml:space="preserve">125.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74"/>
    <w:bookmarkStart w:id="475" w:name="ref-grassly2020"/>
    <w:p>
      <w:pPr>
        <w:pStyle w:val="Bibliography"/>
      </w:pPr>
      <w:r>
        <w:t xml:space="preserve">126.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75"/>
    <w:bookmarkStart w:id="477" w:name="ref-mcguinness2020DAScomparison"/>
    <w:p>
      <w:pPr>
        <w:pStyle w:val="Bibliography"/>
      </w:pPr>
      <w:r>
        <w:t xml:space="preserve">127.</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476">
        <w:r>
          <w:rPr>
            <w:rStyle w:val="Hyperlink"/>
          </w:rPr>
          <w:t xml:space="preserve">10.31222/osf.io/p75xe</w:t>
        </w:r>
      </w:hyperlink>
    </w:p>
    <w:bookmarkEnd w:id="477"/>
    <w:bookmarkStart w:id="478" w:name="ref-boettiger2015"/>
    <w:p>
      <w:pPr>
        <w:pStyle w:val="Bibliography"/>
      </w:pPr>
      <w:r>
        <w:t xml:space="preserve">128.</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78"/>
    <w:bookmarkStart w:id="479" w:name="ref-mcguinness2020medrxivr"/>
    <w:p>
      <w:pPr>
        <w:pStyle w:val="Bibliography"/>
      </w:pPr>
      <w:r>
        <w:t xml:space="preserve">129.</w:t>
      </w:r>
      <w:r>
        <w:t xml:space="preserve"> </w:t>
      </w:r>
      <w:r>
        <w:t xml:space="preserve">	</w:t>
      </w:r>
      <w:r>
        <w:t xml:space="preserve">McGuinness, L.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479"/>
    <w:bookmarkStart w:id="480" w:name="ref-zotero-15016"/>
    <w:p>
      <w:pPr>
        <w:pStyle w:val="Bibliography"/>
      </w:pPr>
      <w:r>
        <w:t xml:space="preserve">130.</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80"/>
    <w:bookmarkStart w:id="481" w:name="ref-abdill2019popularity"/>
    <w:p>
      <w:pPr>
        <w:pStyle w:val="Bibliography"/>
      </w:pPr>
      <w:r>
        <w:t xml:space="preserve">131.</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81"/>
    <w:bookmarkStart w:id="483" w:name="ref-bong2019"/>
    <w:p>
      <w:pPr>
        <w:pStyle w:val="Bibliography"/>
      </w:pPr>
      <w:r>
        <w:t xml:space="preserve">132.</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82">
        <w:r>
          <w:rPr>
            <w:rStyle w:val="Hyperlink"/>
          </w:rPr>
          <w:t xml:space="preserve">10.1101/19000265</w:t>
        </w:r>
      </w:hyperlink>
    </w:p>
    <w:bookmarkEnd w:id="483"/>
    <w:bookmarkStart w:id="484" w:name="ref-song2010"/>
    <w:p>
      <w:pPr>
        <w:pStyle w:val="Bibliography"/>
      </w:pPr>
      <w:r>
        <w:t xml:space="preserve">133.</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84"/>
    <w:bookmarkStart w:id="486" w:name="ref-goldacre2019"/>
    <w:p>
      <w:pPr>
        <w:pStyle w:val="Bibliography"/>
      </w:pPr>
      <w:r>
        <w:t xml:space="preserve">134.</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485">
        <w:r>
          <w:rPr>
            <w:rStyle w:val="Hyperlink"/>
          </w:rPr>
          <w:t xml:space="preserve">10.1136/bmj.l6365</w:t>
        </w:r>
      </w:hyperlink>
    </w:p>
    <w:bookmarkEnd w:id="486"/>
    <w:bookmarkStart w:id="487" w:name="ref-mckiernan2016"/>
    <w:p>
      <w:pPr>
        <w:pStyle w:val="Bibliography"/>
      </w:pPr>
      <w:r>
        <w:t xml:space="preserve">135.</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487"/>
    <w:bookmarkStart w:id="488" w:name="ref-fraser2020rbiorixv"/>
    <w:p>
      <w:pPr>
        <w:pStyle w:val="Bibliography"/>
      </w:pPr>
      <w:r>
        <w:t xml:space="preserve">136.</w:t>
      </w:r>
      <w:r>
        <w:t xml:space="preserve"> </w:t>
      </w:r>
      <w:r>
        <w:t xml:space="preserve">	</w:t>
      </w:r>
      <w:r>
        <w:t xml:space="preserve">Fraser, N.</w:t>
      </w:r>
      <w:r>
        <w:t xml:space="preserve"> </w:t>
      </w:r>
      <w:r>
        <w:rPr>
          <w:iCs/>
          <w:i/>
        </w:rPr>
        <w:t xml:space="preserve">Rbiorxiv: Client for the ’</w:t>
      </w:r>
      <w:r>
        <w:rPr>
          <w:iCs/>
          <w:i/>
        </w:rPr>
        <w:t xml:space="preserve">bioRxiv</w:t>
      </w:r>
      <w:r>
        <w:rPr>
          <w:iCs/>
          <w:i/>
        </w:rPr>
        <w:t xml:space="preserve">’</w:t>
      </w:r>
      <w:r>
        <w:rPr>
          <w:iCs/>
          <w:i/>
        </w:rPr>
        <w:t xml:space="preserve"> </w:t>
      </w:r>
      <w:r>
        <w:rPr>
          <w:iCs/>
          <w:i/>
        </w:rPr>
        <w:t xml:space="preserve">API</w:t>
      </w:r>
      <w:r>
        <w:t xml:space="preserve">. (2020).</w:t>
      </w:r>
    </w:p>
    <w:bookmarkEnd w:id="488"/>
    <w:bookmarkStart w:id="490" w:name="ref-vuorre2020"/>
    <w:p>
      <w:pPr>
        <w:pStyle w:val="Bibliography"/>
      </w:pPr>
      <w:r>
        <w:t xml:space="preserve">137.</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89">
        <w:r>
          <w:rPr>
            <w:rStyle w:val="Hyperlink"/>
          </w:rPr>
          <w:t xml:space="preserve">10.3758/s13428-020-01436-x</w:t>
        </w:r>
      </w:hyperlink>
    </w:p>
    <w:bookmarkEnd w:id="490"/>
    <w:bookmarkStart w:id="492" w:name="ref-mcguinnessluke2020"/>
    <w:p>
      <w:pPr>
        <w:pStyle w:val="Bibliography"/>
      </w:pPr>
      <w:r>
        <w:t xml:space="preserve">138.</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91">
        <w:r>
          <w:rPr>
            <w:rStyle w:val="Hyperlink"/>
          </w:rPr>
          <w:t xml:space="preserve">10.17605/OSF.IO/VTW5Y</w:t>
        </w:r>
      </w:hyperlink>
    </w:p>
    <w:bookmarkEnd w:id="492"/>
    <w:bookmarkStart w:id="493" w:name="ref-organizationwho1993"/>
    <w:p>
      <w:pPr>
        <w:pStyle w:val="Bibliography"/>
      </w:pPr>
      <w:r>
        <w:t xml:space="preserve">139.</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93"/>
    <w:bookmarkStart w:id="495" w:name="ref-tennant2021"/>
    <w:p>
      <w:pPr>
        <w:pStyle w:val="Bibliography"/>
      </w:pPr>
      <w:r>
        <w:t xml:space="preserve">140.</w:t>
      </w:r>
      <w:r>
        <w:t xml:space="preserve"> </w:t>
      </w:r>
      <w:r>
        <w:t xml:space="preserve">	</w:t>
      </w:r>
      <w:r>
        <w:t xml:space="preserve">Tennant, P. W. G., Arnold, K. F., Ellison, G. T. H. &amp; Gilthorpe, M. S. Analyses of</w:t>
      </w:r>
      <w:r>
        <w:t xml:space="preserve"> </w:t>
      </w:r>
      <w:r>
        <w:t xml:space="preserve">“change scores”</w:t>
      </w:r>
      <w:r>
        <w:t xml:space="preserve"> </w:t>
      </w:r>
      <w:r>
        <w:t xml:space="preserve">do not estimate causal effects in observational data.</w:t>
      </w:r>
      <w:r>
        <w:t xml:space="preserve"> </w:t>
      </w:r>
      <w:r>
        <w:rPr>
          <w:iCs/>
          <w:i/>
        </w:rPr>
        <w:t xml:space="preserve">International Journal of Epidemiology</w:t>
      </w:r>
      <w:r>
        <w:t xml:space="preserve"> </w:t>
      </w:r>
      <w:r>
        <w:t xml:space="preserve">(2021). doi:</w:t>
      </w:r>
      <w:hyperlink r:id="rId494">
        <w:r>
          <w:rPr>
            <w:rStyle w:val="Hyperlink"/>
          </w:rPr>
          <w:t xml:space="preserve">10.1093/ije/dyab050</w:t>
        </w:r>
      </w:hyperlink>
    </w:p>
    <w:bookmarkEnd w:id="495"/>
    <w:bookmarkStart w:id="496" w:name="ref-greenhalgh2005"/>
    <w:p>
      <w:pPr>
        <w:pStyle w:val="Bibliography"/>
      </w:pPr>
      <w:r>
        <w:t xml:space="preserve">141.</w:t>
      </w:r>
      <w:r>
        <w:t xml:space="preserve"> </w:t>
      </w:r>
      <w:r>
        <w:t xml:space="preserve">	</w:t>
      </w:r>
      <w:r>
        <w:t xml:space="preserve">Greenhalgh, T. &amp; Peacock, R. Effectiveness and efficiency of search methods in systematic reviews of complex evidence: Audit of primary sources.</w:t>
      </w:r>
      <w:r>
        <w:t xml:space="preserve"> </w:t>
      </w:r>
      <w:r>
        <w:rPr>
          <w:iCs/>
          <w:i/>
        </w:rPr>
        <w:t xml:space="preserve">BMJ : British Medical Journal</w:t>
      </w:r>
      <w:r>
        <w:t xml:space="preserve"> </w:t>
      </w:r>
      <w:r>
        <w:rPr>
          <w:bCs/>
          <w:b/>
        </w:rPr>
        <w:t xml:space="preserve">331</w:t>
      </w:r>
      <w:r>
        <w:t xml:space="preserve">, 1064–1065 (2005).</w:t>
      </w:r>
    </w:p>
    <w:bookmarkEnd w:id="496"/>
    <w:bookmarkStart w:id="498" w:name="ref-wohlin2014"/>
    <w:p>
      <w:pPr>
        <w:pStyle w:val="Bibliography"/>
      </w:pPr>
      <w:r>
        <w:t xml:space="preserve">142.</w:t>
      </w:r>
      <w:r>
        <w:t xml:space="preserve"> </w:t>
      </w:r>
      <w:r>
        <w:t xml:space="preserve">	</w:t>
      </w:r>
      <w:r>
        <w:t xml:space="preserve">Wohlin, C. Guidelines for snowballing in systematic literature studies and a replication in software engineering. in</w:t>
      </w:r>
      <w:r>
        <w:t xml:space="preserve"> </w:t>
      </w:r>
      <w:r>
        <w:rPr>
          <w:iCs/>
          <w:i/>
        </w:rPr>
        <w:t xml:space="preserve">Proceedings of the 18th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Evaluation</w:t>
      </w:r>
      <w:r>
        <w:rPr>
          <w:iCs/>
          <w:i/>
        </w:rPr>
        <w:t xml:space="preserve"> </w:t>
      </w:r>
      <w:r>
        <w:rPr>
          <w:iCs/>
          <w:i/>
        </w:rPr>
        <w:t xml:space="preserve">and</w:t>
      </w:r>
      <w:r>
        <w:rPr>
          <w:iCs/>
          <w:i/>
        </w:rPr>
        <w:t xml:space="preserve"> </w:t>
      </w:r>
      <w:r>
        <w:rPr>
          <w:iCs/>
          <w:i/>
        </w:rPr>
        <w:t xml:space="preserve">Assessment</w:t>
      </w:r>
      <w:r>
        <w:rPr>
          <w:iCs/>
          <w:i/>
        </w:rPr>
        <w:t xml:space="preserve"> </w:t>
      </w:r>
      <w:r>
        <w:rPr>
          <w:iCs/>
          <w:i/>
        </w:rPr>
        <w:t xml:space="preserve">in</w:t>
      </w:r>
      <w:r>
        <w:rPr>
          <w:iCs/>
          <w:i/>
        </w:rPr>
        <w:t xml:space="preserve"> </w:t>
      </w:r>
      <w:r>
        <w:rPr>
          <w:iCs/>
          <w:i/>
        </w:rPr>
        <w:t xml:space="preserve">Software Engineering</w:t>
      </w:r>
      <w:r>
        <w:rPr>
          <w:iCs/>
          <w:i/>
        </w:rPr>
        <w:t xml:space="preserve"> </w:t>
      </w:r>
      <w:r>
        <w:rPr>
          <w:iCs/>
          <w:i/>
        </w:rPr>
        <w:t xml:space="preserve">-</w:t>
      </w:r>
      <w:r>
        <w:rPr>
          <w:iCs/>
          <w:i/>
        </w:rPr>
        <w:t xml:space="preserve"> </w:t>
      </w:r>
      <w:r>
        <w:rPr>
          <w:iCs/>
          <w:i/>
        </w:rPr>
        <w:t xml:space="preserve">EASE</w:t>
      </w:r>
      <w:r>
        <w:rPr>
          <w:iCs/>
          <w:i/>
        </w:rPr>
        <w:t xml:space="preserve"> </w:t>
      </w:r>
      <w:r>
        <w:rPr>
          <w:iCs/>
          <w:i/>
        </w:rPr>
        <w:t xml:space="preserve">’14</w:t>
      </w:r>
      <w:r>
        <w:t xml:space="preserve"> </w:t>
      </w:r>
      <w:r>
        <w:t xml:space="preserve">1–10 (</w:t>
      </w:r>
      <w:r>
        <w:t xml:space="preserve">ACM Press</w:t>
      </w:r>
      <w:r>
        <w:t xml:space="preserve">, 2014). doi:</w:t>
      </w:r>
      <w:hyperlink r:id="rId497">
        <w:r>
          <w:rPr>
            <w:rStyle w:val="Hyperlink"/>
          </w:rPr>
          <w:t xml:space="preserve">10.1145/2601248.2601268</w:t>
        </w:r>
      </w:hyperlink>
    </w:p>
    <w:bookmarkEnd w:id="498"/>
    <w:bookmarkStart w:id="499" w:name="ref-bramer2016"/>
    <w:p>
      <w:pPr>
        <w:pStyle w:val="Bibliography"/>
      </w:pPr>
      <w:r>
        <w:t xml:space="preserve">143.</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99"/>
    <w:bookmarkStart w:id="500" w:name="ref-hupe2019"/>
    <w:p>
      <w:pPr>
        <w:pStyle w:val="Bibliography"/>
      </w:pPr>
      <w:r>
        <w:t xml:space="preserve">144.</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500"/>
    <w:bookmarkStart w:id="501" w:name="ref-ouzzani2016"/>
    <w:p>
      <w:pPr>
        <w:pStyle w:val="Bibliography"/>
      </w:pPr>
      <w:r>
        <w:t xml:space="preserve">145.</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501"/>
    <w:bookmarkStart w:id="502" w:name="ref-gwet2008"/>
    <w:p>
      <w:pPr>
        <w:pStyle w:val="Bibliography"/>
      </w:pPr>
      <w:r>
        <w:t xml:space="preserve">146.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502"/>
    <w:bookmarkStart w:id="503" w:name="ref-cohen1960"/>
    <w:p>
      <w:pPr>
        <w:pStyle w:val="Bibliography"/>
      </w:pPr>
      <w:r>
        <w:t xml:space="preserve">147.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503"/>
    <w:bookmarkStart w:id="504" w:name="ref-wongpakaran2013"/>
    <w:p>
      <w:pPr>
        <w:pStyle w:val="Bibliography"/>
      </w:pPr>
      <w:r>
        <w:t xml:space="preserve">148.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504"/>
    <w:bookmarkStart w:id="505" w:name="ref-brennan1992"/>
    <w:p>
      <w:pPr>
        <w:pStyle w:val="Bibliography"/>
      </w:pPr>
      <w:r>
        <w:t xml:space="preserve">149.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505"/>
    <w:bookmarkStart w:id="506" w:name="ref-mchugh2012"/>
    <w:p>
      <w:pPr>
        <w:pStyle w:val="Bibliography"/>
      </w:pPr>
      <w:r>
        <w:t xml:space="preserve">150.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506"/>
    <w:bookmarkStart w:id="507" w:name="ref-higgins2019"/>
    <w:p>
      <w:pPr>
        <w:pStyle w:val="Bibliography"/>
      </w:pPr>
      <w:r>
        <w:t xml:space="preserve">151.</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07"/>
    <w:bookmarkStart w:id="508" w:name="ref-rugge2011"/>
    <w:p>
      <w:pPr>
        <w:pStyle w:val="Bibliography"/>
      </w:pPr>
      <w:r>
        <w:t xml:space="preserve">152.</w:t>
      </w:r>
      <w:r>
        <w:t xml:space="preserve"> </w:t>
      </w:r>
      <w:r>
        <w:t xml:space="preserve">	</w:t>
      </w:r>
      <w:r>
        <w:t xml:space="preserve">Rugge, B.</w:t>
      </w:r>
      <w:r>
        <w:t xml:space="preserve"> </w:t>
      </w:r>
      <w:r>
        <w:rPr>
          <w:iCs/>
          <w:i/>
        </w:rPr>
        <w:t xml:space="preserve">et al.</w:t>
      </w:r>
      <w:r>
        <w:t xml:space="preserve"> Appendix</w:t>
      </w:r>
      <w:r>
        <w:t xml:space="preserve"> </w:t>
      </w:r>
      <w:r>
        <w:t xml:space="preserve">A</w:t>
      </w:r>
      <w:r>
        <w:t xml:space="preserve">: Lipid</w:t>
      </w:r>
      <w:r>
        <w:t xml:space="preserve"> </w:t>
      </w:r>
      <w:r>
        <w:t xml:space="preserve">Conversion Factors</w:t>
      </w:r>
      <w:r>
        <w:t xml:space="preserve">. in</w:t>
      </w:r>
      <w:r>
        <w:t xml:space="preserve"> </w:t>
      </w:r>
      <w:r>
        <w:rPr>
          <w:iCs/>
          <w:i/>
        </w:rPr>
        <w:t xml:space="preserve">Screening and</w:t>
      </w:r>
      <w:r>
        <w:rPr>
          <w:iCs/>
          <w:i/>
        </w:rPr>
        <w:t xml:space="preserve"> </w:t>
      </w:r>
      <w:r>
        <w:rPr>
          <w:iCs/>
          <w:i/>
        </w:rPr>
        <w:t xml:space="preserve">Treatment</w:t>
      </w:r>
      <w:r>
        <w:rPr>
          <w:iCs/>
          <w:i/>
        </w:rPr>
        <w:t xml:space="preserve"> </w:t>
      </w:r>
      <w:r>
        <w:rPr>
          <w:iCs/>
          <w:i/>
        </w:rPr>
        <w:t xml:space="preserve">of</w:t>
      </w:r>
      <w:r>
        <w:rPr>
          <w:iCs/>
          <w:i/>
        </w:rPr>
        <w:t xml:space="preserve"> </w:t>
      </w:r>
      <w:r>
        <w:rPr>
          <w:iCs/>
          <w:i/>
        </w:rPr>
        <w:t xml:space="preserve">Subclinical Hypothyroidism</w:t>
      </w:r>
      <w:r>
        <w:rPr>
          <w:iCs/>
          <w:i/>
        </w:rPr>
        <w:t xml:space="preserve"> </w:t>
      </w:r>
      <w:r>
        <w:rPr>
          <w:iCs/>
          <w:i/>
        </w:rPr>
        <w:t xml:space="preserve">or</w:t>
      </w:r>
      <w:r>
        <w:rPr>
          <w:iCs/>
          <w:i/>
        </w:rPr>
        <w:t xml:space="preserve"> </w:t>
      </w:r>
      <w:r>
        <w:rPr>
          <w:iCs/>
          <w:i/>
        </w:rPr>
        <w:t xml:space="preserve">Hyperthyroidism</w:t>
      </w:r>
      <w:r>
        <w:t xml:space="preserve"> </w:t>
      </w:r>
      <w:r>
        <w:t xml:space="preserve">(</w:t>
      </w:r>
      <w:r>
        <w:t xml:space="preserve">Agency for Healthcare Research and Quality (US)</w:t>
      </w:r>
      <w:r>
        <w:t xml:space="preserve">, 2011).</w:t>
      </w:r>
    </w:p>
    <w:bookmarkEnd w:id="508"/>
    <w:bookmarkStart w:id="509" w:name="ref-reynders2019"/>
    <w:p>
      <w:pPr>
        <w:pStyle w:val="Bibliography"/>
      </w:pPr>
      <w:r>
        <w:t xml:space="preserve">153.</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09"/>
    <w:bookmarkStart w:id="510" w:name="ref-sterne2016"/>
    <w:p>
      <w:pPr>
        <w:pStyle w:val="Bibliography"/>
      </w:pPr>
      <w:r>
        <w:t xml:space="preserve">154.</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510"/>
    <w:bookmarkStart w:id="511" w:name="ref-campbell1957"/>
    <w:p>
      <w:pPr>
        <w:pStyle w:val="Bibliography"/>
      </w:pPr>
      <w:r>
        <w:t xml:space="preserve">155.</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511"/>
    <w:bookmarkStart w:id="512" w:name="ref-juni2001"/>
    <w:p>
      <w:pPr>
        <w:pStyle w:val="Bibliography"/>
      </w:pPr>
      <w:r>
        <w:t xml:space="preserve">156.</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512"/>
    <w:bookmarkStart w:id="513" w:name="ref-morganr2020"/>
    <w:p>
      <w:pPr>
        <w:pStyle w:val="Bibliography"/>
      </w:pPr>
      <w:r>
        <w:t xml:space="preserve">157.</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513"/>
    <w:bookmarkStart w:id="514" w:name="ref-french2019"/>
    <w:p>
      <w:pPr>
        <w:pStyle w:val="Bibliography"/>
      </w:pPr>
      <w:r>
        <w:t xml:space="preserve">158.</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514"/>
    <w:bookmarkStart w:id="515" w:name="ref-wells2000"/>
    <w:p>
      <w:pPr>
        <w:pStyle w:val="Bibliography"/>
      </w:pPr>
      <w:r>
        <w:t xml:space="preserve">159.</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515"/>
    <w:bookmarkStart w:id="516" w:name="ref-mamluk2020"/>
    <w:p>
      <w:pPr>
        <w:pStyle w:val="Bibliography"/>
      </w:pPr>
      <w:r>
        <w:t xml:space="preserve">160.</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516"/>
    <w:bookmarkStart w:id="518" w:name="ref-spiga2021"/>
    <w:p>
      <w:pPr>
        <w:pStyle w:val="Bibliography"/>
      </w:pPr>
      <w:r>
        <w:t xml:space="preserve">161.</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517">
        <w:r>
          <w:rPr>
            <w:rStyle w:val="Hyperlink"/>
          </w:rPr>
          <w:t xml:space="preserve">10.1101/2021.10.21.21265126</w:t>
        </w:r>
      </w:hyperlink>
    </w:p>
    <w:bookmarkEnd w:id="518"/>
    <w:bookmarkStart w:id="519" w:name="ref-zotero-15123"/>
    <w:p>
      <w:pPr>
        <w:pStyle w:val="Bibliography"/>
      </w:pPr>
      <w:r>
        <w:t xml:space="preserve">162.</w:t>
      </w:r>
      <w:r>
        <w:t xml:space="preserve"> </w:t>
      </w:r>
      <w:r>
        <w:t xml:space="preserve">	</w:t>
      </w:r>
      <w:r>
        <w:t xml:space="preserve">Matthew J Page</w:t>
      </w:r>
      <w:r>
        <w:t xml:space="preserve"> </w:t>
      </w:r>
      <w:r>
        <w:rPr>
          <w:iCs/>
          <w:i/>
        </w:rPr>
        <w:t xml:space="preserve">et al.</w:t>
      </w:r>
      <w:r>
        <w:t xml:space="preserve"> </w:t>
      </w:r>
      <w:r>
        <w:rPr>
          <w:iCs/>
          <w:i/>
        </w:rPr>
        <w:t xml:space="preserve">Risk</w:t>
      </w:r>
      <w:r>
        <w:rPr>
          <w:iCs/>
          <w:i/>
        </w:rPr>
        <w:t xml:space="preserve"> </w:t>
      </w:r>
      <w:r>
        <w:rPr>
          <w:iCs/>
          <w:i/>
        </w:rPr>
        <w:t xml:space="preserve">Of Bias</w:t>
      </w:r>
      <w:r>
        <w:rPr>
          <w:iCs/>
          <w:i/>
        </w:rPr>
        <w:t xml:space="preserve"> </w:t>
      </w:r>
      <w:r>
        <w:rPr>
          <w:iCs/>
          <w:i/>
        </w:rPr>
        <w:t xml:space="preserve">due to</w:t>
      </w:r>
      <w:r>
        <w:rPr>
          <w:iCs/>
          <w:i/>
        </w:rPr>
        <w:t xml:space="preserve"> </w:t>
      </w:r>
      <w:r>
        <w:rPr>
          <w:iCs/>
          <w:i/>
        </w:rPr>
        <w:t xml:space="preserve">Missing Evidence</w:t>
      </w:r>
      <w:r>
        <w:rPr>
          <w:iCs/>
          <w:i/>
        </w:rPr>
        <w:t xml:space="preserve"> </w:t>
      </w:r>
      <w:r>
        <w:rPr>
          <w:iCs/>
          <w:i/>
        </w:rPr>
        <w:t xml:space="preserve">(</w:t>
      </w:r>
      <w:r>
        <w:rPr>
          <w:iCs/>
          <w:i/>
        </w:rPr>
        <w:t xml:space="preserve">ROB</w:t>
      </w:r>
      <w:r>
        <w:rPr>
          <w:iCs/>
          <w:i/>
        </w:rPr>
        <w:t xml:space="preserve">-</w:t>
      </w:r>
      <w:r>
        <w:rPr>
          <w:iCs/>
          <w:i/>
        </w:rPr>
        <w:t xml:space="preserve">ME</w:t>
      </w:r>
      <w:r>
        <w:rPr>
          <w:iCs/>
          <w:i/>
        </w:rPr>
        <w:t xml:space="preserve">): A new tool for assessing risk of non-reporting biases in evidence syntheses -</w:t>
      </w:r>
      <w:r>
        <w:rPr>
          <w:iCs/>
          <w:i/>
        </w:rPr>
        <w:t xml:space="preserve"> </w:t>
      </w:r>
      <w:r>
        <w:rPr>
          <w:iCs/>
          <w:i/>
        </w:rPr>
        <w:t xml:space="preserve">Detailed</w:t>
      </w:r>
      <w:r>
        <w:rPr>
          <w:iCs/>
          <w:i/>
        </w:rPr>
        <w:t xml:space="preserve"> </w:t>
      </w:r>
      <w:r>
        <w:rPr>
          <w:iCs/>
          <w:i/>
        </w:rPr>
        <w:t xml:space="preserve">guidance</w:t>
      </w:r>
      <w:r>
        <w:t xml:space="preserve">.</w:t>
      </w:r>
    </w:p>
    <w:bookmarkEnd w:id="519"/>
    <w:bookmarkStart w:id="520" w:name="ref-mckenzie2019"/>
    <w:p>
      <w:pPr>
        <w:pStyle w:val="Bibliography"/>
      </w:pPr>
      <w:r>
        <w:t xml:space="preserve">163.</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20"/>
    <w:bookmarkStart w:id="521" w:name="ref-vanderweele2020"/>
    <w:p>
      <w:pPr>
        <w:pStyle w:val="Bibliography"/>
      </w:pPr>
      <w:r>
        <w:t xml:space="preserve">164.</w:t>
      </w:r>
      <w:r>
        <w:t xml:space="preserve"> </w:t>
      </w:r>
      <w:r>
        <w:t xml:space="preserve">	</w:t>
      </w:r>
      <w:r>
        <w:t xml:space="preserve">VanderWeele, T. J. Optimal approximate conversions of odds ratios and hazard ratios to risk ratios.</w:t>
      </w:r>
      <w:r>
        <w:t xml:space="preserve"> </w:t>
      </w:r>
      <w:r>
        <w:rPr>
          <w:iCs/>
          <w:i/>
        </w:rPr>
        <w:t xml:space="preserve">Biometrics</w:t>
      </w:r>
      <w:r>
        <w:t xml:space="preserve"> </w:t>
      </w:r>
      <w:r>
        <w:rPr>
          <w:bCs/>
          <w:b/>
        </w:rPr>
        <w:t xml:space="preserve">76</w:t>
      </w:r>
      <w:r>
        <w:t xml:space="preserve">, 746–752 (2020).</w:t>
      </w:r>
    </w:p>
    <w:bookmarkEnd w:id="521"/>
    <w:bookmarkStart w:id="522" w:name="ref-hedges1998"/>
    <w:p>
      <w:pPr>
        <w:pStyle w:val="Bibliography"/>
      </w:pPr>
      <w:r>
        <w:t xml:space="preserve">165.</w:t>
      </w:r>
      <w:r>
        <w:t xml:space="preserve"> </w:t>
      </w:r>
      <w:r>
        <w:t xml:space="preserve">	</w:t>
      </w:r>
      <w:r>
        <w:t xml:space="preserve">Hedges, L. V. &amp; Vevea, J. L. Fixed-and random-effects models in meta-analysis.</w:t>
      </w:r>
      <w:r>
        <w:t xml:space="preserve"> </w:t>
      </w:r>
      <w:r>
        <w:rPr>
          <w:iCs/>
          <w:i/>
        </w:rPr>
        <w:t xml:space="preserve">Psychological methods</w:t>
      </w:r>
      <w:r>
        <w:t xml:space="preserve"> </w:t>
      </w:r>
      <w:r>
        <w:rPr>
          <w:bCs/>
          <w:b/>
        </w:rPr>
        <w:t xml:space="preserve">3</w:t>
      </w:r>
      <w:r>
        <w:t xml:space="preserve">, 486 (1998).</w:t>
      </w:r>
    </w:p>
    <w:bookmarkEnd w:id="522"/>
    <w:bookmarkStart w:id="523" w:name="ref-dersimonian1986"/>
    <w:p>
      <w:pPr>
        <w:pStyle w:val="Bibliography"/>
      </w:pPr>
      <w:r>
        <w:t xml:space="preserve">166.</w:t>
      </w:r>
      <w:r>
        <w:t xml:space="preserve"> </w:t>
      </w:r>
      <w:r>
        <w:t xml:space="preserve">	</w:t>
      </w:r>
      <w:r>
        <w:t xml:space="preserve">DerSimonian, R. &amp; Laird, N. Meta-analysis in clinical trials.</w:t>
      </w:r>
      <w:r>
        <w:t xml:space="preserve"> </w:t>
      </w:r>
      <w:r>
        <w:rPr>
          <w:iCs/>
          <w:i/>
        </w:rPr>
        <w:t xml:space="preserve">Controlled Clinical Trials</w:t>
      </w:r>
      <w:r>
        <w:t xml:space="preserve"> </w:t>
      </w:r>
      <w:r>
        <w:rPr>
          <w:bCs/>
          <w:b/>
        </w:rPr>
        <w:t xml:space="preserve">7</w:t>
      </w:r>
      <w:r>
        <w:t xml:space="preserve">, 177–188 (1986).</w:t>
      </w:r>
    </w:p>
    <w:bookmarkEnd w:id="523"/>
    <w:bookmarkStart w:id="524" w:name="ref-deeks2019"/>
    <w:p>
      <w:pPr>
        <w:pStyle w:val="Bibliography"/>
      </w:pPr>
      <w:r>
        <w:t xml:space="preserve">167.</w:t>
      </w:r>
      <w:r>
        <w:t xml:space="preserve"> </w:t>
      </w:r>
      <w:r>
        <w:t xml:space="preserve">	</w:t>
      </w:r>
      <w:r>
        <w:t xml:space="preserve">Deeks, J. J., Altman, D. G. &amp; Higgins, J. P. T. Section 10.11.4: Meta-regression.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24"/>
    <w:bookmarkStart w:id="525" w:name="ref-R-metafor"/>
    <w:p>
      <w:pPr>
        <w:pStyle w:val="Bibliography"/>
      </w:pPr>
      <w:r>
        <w:t xml:space="preserve">168.</w:t>
      </w:r>
      <w:r>
        <w:t xml:space="preserve"> </w:t>
      </w:r>
      <w:r>
        <w:t xml:space="preserve">	</w:t>
      </w:r>
      <w:r>
        <w:t xml:space="preserve">Viechtbauer, W.</w:t>
      </w:r>
      <w:r>
        <w:t xml:space="preserve"> </w:t>
      </w:r>
      <w:r>
        <w:rPr>
          <w:iCs/>
          <w:i/>
        </w:rPr>
        <w:t xml:space="preserve">Metafor: Meta-analysis package for r</w:t>
      </w:r>
      <w:r>
        <w:t xml:space="preserve">. (2021).</w:t>
      </w:r>
    </w:p>
    <w:bookmarkEnd w:id="525"/>
    <w:bookmarkStart w:id="526" w:name="ref-greenland1992"/>
    <w:p>
      <w:pPr>
        <w:pStyle w:val="Bibliography"/>
      </w:pPr>
      <w:r>
        <w:t xml:space="preserve">169.</w:t>
      </w:r>
      <w:r>
        <w:t xml:space="preserve"> </w:t>
      </w:r>
      <w:r>
        <w:t xml:space="preserve">	</w:t>
      </w:r>
      <w:r>
        <w:t xml:space="preserve">Greenland, S. &amp; Longnecker, M. P. Methods for</w:t>
      </w:r>
      <w:r>
        <w:t xml:space="preserve"> </w:t>
      </w:r>
      <w:r>
        <w:t xml:space="preserve">Trend Estimation</w:t>
      </w:r>
      <w:r>
        <w:t xml:space="preserve"> </w:t>
      </w:r>
      <w:r>
        <w:t xml:space="preserve">from</w:t>
      </w:r>
      <w:r>
        <w:t xml:space="preserve"> </w:t>
      </w:r>
      <w:r>
        <w:t xml:space="preserve">Summarized Dose</w:t>
      </w:r>
      <w:r>
        <w:t xml:space="preserve">-</w:t>
      </w:r>
      <w:r>
        <w:t xml:space="preserve">Response Data</w:t>
      </w:r>
      <w:r>
        <w:t xml:space="preserve">, with</w:t>
      </w:r>
      <w:r>
        <w:t xml:space="preserve"> </w:t>
      </w:r>
      <w:r>
        <w:t xml:space="preserve">Applications</w:t>
      </w:r>
      <w:r>
        <w:t xml:space="preserve"> </w:t>
      </w:r>
      <w:r>
        <w:t xml:space="preserve">to</w:t>
      </w:r>
      <w:r>
        <w:t xml:space="preserve"> </w:t>
      </w:r>
      <w:r>
        <w:t xml:space="preserve">Meta</w:t>
      </w:r>
      <w:r>
        <w:t xml:space="preserve">-</w:t>
      </w:r>
      <w:r>
        <w:t xml:space="preserve">Analysis</w:t>
      </w:r>
      <w:r>
        <w:t xml:space="preserve">.</w:t>
      </w:r>
      <w:r>
        <w:t xml:space="preserve"> </w:t>
      </w:r>
      <w:r>
        <w:rPr>
          <w:iCs/>
          <w:i/>
        </w:rPr>
        <w:t xml:space="preserve">American Journal of Epidemiology</w:t>
      </w:r>
      <w:r>
        <w:t xml:space="preserve"> </w:t>
      </w:r>
      <w:r>
        <w:rPr>
          <w:bCs/>
          <w:b/>
        </w:rPr>
        <w:t xml:space="preserve">135</w:t>
      </w:r>
      <w:r>
        <w:t xml:space="preserve">, 1301–1309 (1992).</w:t>
      </w:r>
    </w:p>
    <w:bookmarkEnd w:id="526"/>
    <w:bookmarkStart w:id="527" w:name="ref-durrleman1989"/>
    <w:p>
      <w:pPr>
        <w:pStyle w:val="Bibliography"/>
      </w:pPr>
      <w:r>
        <w:t xml:space="preserve">170.</w:t>
      </w:r>
      <w:r>
        <w:t xml:space="preserve"> </w:t>
      </w:r>
      <w:r>
        <w:t xml:space="preserve">	</w:t>
      </w:r>
      <w:r>
        <w:t xml:space="preserve">Durrleman, S. &amp; Simon, R. Flexible regression models with cubic splines.</w:t>
      </w:r>
      <w:r>
        <w:t xml:space="preserve"> </w:t>
      </w:r>
      <w:r>
        <w:rPr>
          <w:iCs/>
          <w:i/>
        </w:rPr>
        <w:t xml:space="preserve">Statistics in Medicine</w:t>
      </w:r>
      <w:r>
        <w:t xml:space="preserve"> </w:t>
      </w:r>
      <w:r>
        <w:rPr>
          <w:bCs/>
          <w:b/>
        </w:rPr>
        <w:t xml:space="preserve">8</w:t>
      </w:r>
      <w:r>
        <w:t xml:space="preserve">, 551–561 (1989).</w:t>
      </w:r>
    </w:p>
    <w:bookmarkEnd w:id="527"/>
    <w:bookmarkStart w:id="528" w:name="ref-liu2009"/>
    <w:p>
      <w:pPr>
        <w:pStyle w:val="Bibliography"/>
      </w:pPr>
      <w:r>
        <w:t xml:space="preserve">171.</w:t>
      </w:r>
      <w:r>
        <w:t xml:space="preserve"> </w:t>
      </w:r>
      <w:r>
        <w:t xml:space="preserve">	</w:t>
      </w:r>
      <w:r>
        <w:t xml:space="preserve">Liu, Q., Cook, N. R., Bergström, A. &amp; Hsieh, C.-C. A two-stage hierarchical regression model for meta-analysis of epidemiologic nonlinear dose</w:t>
      </w:r>
      <w:r>
        <w:t xml:space="preserve">response data.</w:t>
      </w:r>
      <w:r>
        <w:t xml:space="preserve"> </w:t>
      </w:r>
      <w:r>
        <w:rPr>
          <w:iCs/>
          <w:i/>
        </w:rPr>
        <w:t xml:space="preserve">Computational Statistics &amp; Data Analysis</w:t>
      </w:r>
      <w:r>
        <w:t xml:space="preserve"> </w:t>
      </w:r>
      <w:r>
        <w:rPr>
          <w:bCs/>
          <w:b/>
        </w:rPr>
        <w:t xml:space="preserve">53</w:t>
      </w:r>
      <w:r>
        <w:t xml:space="preserve">, 4157–4167 (2009).</w:t>
      </w:r>
    </w:p>
    <w:bookmarkEnd w:id="528"/>
    <w:bookmarkStart w:id="529" w:name="ref-gauthier2020"/>
    <w:p>
      <w:pPr>
        <w:pStyle w:val="Bibliography"/>
      </w:pPr>
      <w:r>
        <w:t xml:space="preserve">172.</w:t>
      </w:r>
      <w:r>
        <w:t xml:space="preserve"> </w:t>
      </w:r>
      <w:r>
        <w:t xml:space="preserve">	</w:t>
      </w:r>
      <w:r>
        <w:t xml:space="preserve">Gauthier, J., Wu, Q. V. &amp; Gooley, T. A. Cubic splines to model relationships between continuous variables and outcomes: A guide for clinicians.</w:t>
      </w:r>
      <w:r>
        <w:t xml:space="preserve"> </w:t>
      </w:r>
      <w:r>
        <w:rPr>
          <w:iCs/>
          <w:i/>
        </w:rPr>
        <w:t xml:space="preserve">Bone Marrow Transplantation</w:t>
      </w:r>
      <w:r>
        <w:t xml:space="preserve"> </w:t>
      </w:r>
      <w:r>
        <w:rPr>
          <w:bCs/>
          <w:b/>
        </w:rPr>
        <w:t xml:space="preserve">55</w:t>
      </w:r>
      <w:r>
        <w:t xml:space="preserve">, 675–680 (2020).</w:t>
      </w:r>
    </w:p>
    <w:bookmarkEnd w:id="529"/>
    <w:bookmarkStart w:id="530" w:name="ref-white2009"/>
    <w:p>
      <w:pPr>
        <w:pStyle w:val="Bibliography"/>
      </w:pPr>
      <w:r>
        <w:t xml:space="preserve">173.</w:t>
      </w:r>
      <w:r>
        <w:t xml:space="preserve"> </w:t>
      </w:r>
      <w:r>
        <w:t xml:space="preserve">	</w:t>
      </w:r>
      <w:r>
        <w:t xml:space="preserve">White, I. R. Multivariate random-effects meta-analysis.</w:t>
      </w:r>
      <w:r>
        <w:t xml:space="preserve"> </w:t>
      </w:r>
      <w:r>
        <w:rPr>
          <w:iCs/>
          <w:i/>
        </w:rPr>
        <w:t xml:space="preserve">The Stata Journal</w:t>
      </w:r>
      <w:r>
        <w:t xml:space="preserve"> </w:t>
      </w:r>
      <w:r>
        <w:rPr>
          <w:bCs/>
          <w:b/>
        </w:rPr>
        <w:t xml:space="preserve">9</w:t>
      </w:r>
      <w:r>
        <w:t xml:space="preserve">, 40–56 (2009).</w:t>
      </w:r>
    </w:p>
    <w:bookmarkEnd w:id="530"/>
    <w:bookmarkStart w:id="531" w:name="ref-gasparrini2012"/>
    <w:p>
      <w:pPr>
        <w:pStyle w:val="Bibliography"/>
      </w:pPr>
      <w:r>
        <w:t xml:space="preserve">174.</w:t>
      </w:r>
      <w:r>
        <w:t xml:space="preserve"> </w:t>
      </w:r>
      <w:r>
        <w:t xml:space="preserve">	</w:t>
      </w:r>
      <w:r>
        <w:t xml:space="preserve">Gasparrini, A., Armstrong, B. &amp; Kenward, M. G. Multivariate meta-analysis for non-linear and other multi-parameter associations.</w:t>
      </w:r>
      <w:r>
        <w:t xml:space="preserve"> </w:t>
      </w:r>
      <w:r>
        <w:rPr>
          <w:iCs/>
          <w:i/>
        </w:rPr>
        <w:t xml:space="preserve">Statistics in Medicine</w:t>
      </w:r>
      <w:r>
        <w:t xml:space="preserve"> </w:t>
      </w:r>
      <w:r>
        <w:rPr>
          <w:bCs/>
          <w:b/>
        </w:rPr>
        <w:t xml:space="preserve">31</w:t>
      </w:r>
      <w:r>
        <w:t xml:space="preserve">, 3821–3839 (2012).</w:t>
      </w:r>
    </w:p>
    <w:bookmarkEnd w:id="531"/>
    <w:bookmarkStart w:id="532" w:name="ref-crippa2016"/>
    <w:p>
      <w:pPr>
        <w:pStyle w:val="Bibliography"/>
      </w:pPr>
      <w:r>
        <w:t xml:space="preserve">175.</w:t>
      </w:r>
      <w:r>
        <w:t xml:space="preserve"> </w:t>
      </w:r>
      <w:r>
        <w:t xml:space="preserve">	</w:t>
      </w:r>
      <w:r>
        <w:t xml:space="preserve">Crippa, A. &amp; Orsini, N. Multivariate dose-response meta-analysis: The dosresmeta</w:t>
      </w:r>
      <w:r>
        <w:t xml:space="preserve"> </w:t>
      </w:r>
      <w:r>
        <w:t xml:space="preserve">R</w:t>
      </w:r>
      <w:r>
        <w:t xml:space="preserve"> </w:t>
      </w:r>
      <w:r>
        <w:t xml:space="preserve">package.</w:t>
      </w:r>
      <w:r>
        <w:t xml:space="preserve"> </w:t>
      </w:r>
      <w:r>
        <w:rPr>
          <w:iCs/>
          <w:i/>
        </w:rPr>
        <w:t xml:space="preserve">Journal of Statistical Software, Code Snippets</w:t>
      </w:r>
      <w:r>
        <w:t xml:space="preserve"> </w:t>
      </w:r>
      <w:r>
        <w:rPr>
          <w:bCs/>
          <w:b/>
        </w:rPr>
        <w:t xml:space="preserve">72</w:t>
      </w:r>
      <w:r>
        <w:t xml:space="preserve">, 1–15 (2016).</w:t>
      </w:r>
    </w:p>
    <w:bookmarkEnd w:id="532"/>
    <w:bookmarkStart w:id="533" w:name="ref-sterne2011"/>
    <w:p>
      <w:pPr>
        <w:pStyle w:val="Bibliography"/>
      </w:pPr>
      <w:r>
        <w:t xml:space="preserve">176.</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33"/>
    <w:bookmarkStart w:id="534" w:name="ref-saran2018"/>
    <w:p>
      <w:pPr>
        <w:pStyle w:val="Bibliography"/>
      </w:pPr>
      <w:r>
        <w:t xml:space="preserve">177.</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534"/>
    <w:bookmarkStart w:id="535" w:name="ref-marusic2020"/>
    <w:p>
      <w:pPr>
        <w:pStyle w:val="Bibliography"/>
      </w:pPr>
      <w:r>
        <w:t xml:space="preserve">178.</w:t>
      </w:r>
      <w:r>
        <w:t xml:space="preserve"> </w:t>
      </w:r>
      <w:r>
        <w:t xml:space="preserve">	</w:t>
      </w:r>
      <w:r>
        <w:t xml:space="preserve">Marušić, M. F.</w:t>
      </w:r>
      <w:r>
        <w:t xml:space="preserve"> </w:t>
      </w:r>
      <w:r>
        <w:rPr>
          <w:iCs/>
          <w:i/>
        </w:rPr>
        <w:t xml:space="preserve">et al.</w:t>
      </w:r>
      <w:r>
        <w:t xml:space="preserve"> Methodological tools and sensitivity analysis for assessing quality or risk of bias used in systematic reviews published in the high-impact anesthesiology journals.</w:t>
      </w:r>
      <w:r>
        <w:t xml:space="preserve"> </w:t>
      </w:r>
      <w:r>
        <w:rPr>
          <w:iCs/>
          <w:i/>
        </w:rPr>
        <w:t xml:space="preserve">BMC Medical Research Methodology</w:t>
      </w:r>
      <w:r>
        <w:t xml:space="preserve"> </w:t>
      </w:r>
      <w:r>
        <w:rPr>
          <w:bCs/>
          <w:b/>
        </w:rPr>
        <w:t xml:space="preserve">20</w:t>
      </w:r>
      <w:r>
        <w:t xml:space="preserve">, 121 (2020).</w:t>
      </w:r>
    </w:p>
    <w:bookmarkEnd w:id="535"/>
    <w:bookmarkStart w:id="536" w:name="ref-katikireddi2015"/>
    <w:p>
      <w:pPr>
        <w:pStyle w:val="Bibliography"/>
      </w:pPr>
      <w:r>
        <w:t xml:space="preserve">179.</w:t>
      </w:r>
      <w:r>
        <w:t xml:space="preserve"> </w:t>
      </w:r>
      <w:r>
        <w:t xml:space="preserve">	</w:t>
      </w:r>
      <w:r>
        <w:t xml:space="preserve">Katikireddi, S. V., Egan, M. &amp; Petticrew, M. How do systematic reviews incorporate risk of bias assessments into the synthesis of evidence? A methodological study.</w:t>
      </w:r>
      <w:r>
        <w:t xml:space="preserve"> </w:t>
      </w:r>
      <w:r>
        <w:rPr>
          <w:iCs/>
          <w:i/>
        </w:rPr>
        <w:t xml:space="preserve">Journal of Epidemiology and Community Health</w:t>
      </w:r>
      <w:r>
        <w:t xml:space="preserve"> </w:t>
      </w:r>
      <w:r>
        <w:rPr>
          <w:bCs/>
          <w:b/>
        </w:rPr>
        <w:t xml:space="preserve">69</w:t>
      </w:r>
      <w:r>
        <w:t xml:space="preserve">, 189–195 (2015).</w:t>
      </w:r>
    </w:p>
    <w:bookmarkEnd w:id="536"/>
    <w:bookmarkStart w:id="537" w:name="ref-mcguinness2020robvisPaper"/>
    <w:p>
      <w:pPr>
        <w:pStyle w:val="Bibliography"/>
      </w:pPr>
      <w:r>
        <w:t xml:space="preserve">180.</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537"/>
    <w:bookmarkStart w:id="538" w:name="ref-zotero-14999"/>
    <w:p>
      <w:pPr>
        <w:pStyle w:val="Bibliography"/>
      </w:pPr>
      <w:r>
        <w:t xml:space="preserve">181.</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538"/>
    <w:bookmarkStart w:id="539" w:name="ref-feinstein1990"/>
    <w:p>
      <w:pPr>
        <w:pStyle w:val="Bibliography"/>
      </w:pPr>
      <w:r>
        <w:t xml:space="preserve">182.</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539"/>
    <w:bookmarkStart w:id="540" w:name="ref-ridker2008"/>
    <w:p>
      <w:pPr>
        <w:pStyle w:val="Bibliography"/>
      </w:pPr>
      <w:r>
        <w:t xml:space="preserve">183.</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540"/>
    <w:bookmarkStart w:id="541" w:name="ref-ancelin2012"/>
    <w:p>
      <w:pPr>
        <w:pStyle w:val="Bibliography"/>
      </w:pPr>
      <w:r>
        <w:t xml:space="preserve">184.</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541"/>
    <w:bookmarkStart w:id="542" w:name="ref-arvanitakis2008"/>
    <w:p>
      <w:pPr>
        <w:pStyle w:val="Bibliography"/>
      </w:pPr>
      <w:r>
        <w:t xml:space="preserve">185.</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542"/>
    <w:bookmarkStart w:id="543" w:name="ref-bettermann2012"/>
    <w:p>
      <w:pPr>
        <w:pStyle w:val="Bibliography"/>
      </w:pPr>
      <w:r>
        <w:t xml:space="preserve">186.</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543"/>
    <w:bookmarkStart w:id="544" w:name="ref-beydoun2011"/>
    <w:p>
      <w:pPr>
        <w:pStyle w:val="Bibliography"/>
      </w:pPr>
      <w:r>
        <w:t xml:space="preserve">187.</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544"/>
    <w:bookmarkStart w:id="545" w:name="ref-chao2015"/>
    <w:p>
      <w:pPr>
        <w:pStyle w:val="Bibliography"/>
      </w:pPr>
      <w:r>
        <w:t xml:space="preserve">188.</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545"/>
    <w:bookmarkStart w:id="546" w:name="ref-chen2014"/>
    <w:p>
      <w:pPr>
        <w:pStyle w:val="Bibliography"/>
      </w:pPr>
      <w:r>
        <w:t xml:space="preserve">189.</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546"/>
    <w:bookmarkStart w:id="547" w:name="ref-chitnis2015"/>
    <w:p>
      <w:pPr>
        <w:pStyle w:val="Bibliography"/>
      </w:pPr>
      <w:r>
        <w:t xml:space="preserve">190.</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547"/>
    <w:bookmarkStart w:id="548" w:name="ref-chou2014"/>
    <w:p>
      <w:pPr>
        <w:pStyle w:val="Bibliography"/>
      </w:pPr>
      <w:r>
        <w:t xml:space="preserve">191.</w:t>
      </w:r>
      <w:r>
        <w:t xml:space="preserve"> </w:t>
      </w:r>
      <w:r>
        <w:t xml:space="preserve">	</w:t>
      </w:r>
      <w:r>
        <w:t xml:space="preserve">Chou, C.-Y., Chou, Y.-C., Chou, Y.-J., Yang, Y.-F.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548"/>
    <w:bookmarkStart w:id="549" w:name="ref-chuang2015"/>
    <w:p>
      <w:pPr>
        <w:pStyle w:val="Bibliography"/>
      </w:pPr>
      <w:r>
        <w:t xml:space="preserve">192.</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49"/>
    <w:bookmarkStart w:id="550" w:name="ref-cramer2008"/>
    <w:p>
      <w:pPr>
        <w:pStyle w:val="Bibliography"/>
      </w:pPr>
      <w:r>
        <w:t xml:space="preserve">193.</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50"/>
    <w:bookmarkStart w:id="551" w:name="ref-gnjidic2016"/>
    <w:p>
      <w:pPr>
        <w:pStyle w:val="Bibliography"/>
      </w:pPr>
      <w:r>
        <w:t xml:space="preserve">194.</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51"/>
    <w:bookmarkStart w:id="552" w:name="ref-haag2009"/>
    <w:p>
      <w:pPr>
        <w:pStyle w:val="Bibliography"/>
      </w:pPr>
      <w:r>
        <w:t xml:space="preserve">195.</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52"/>
    <w:bookmarkStart w:id="553" w:name="ref-hendrie2015"/>
    <w:p>
      <w:pPr>
        <w:pStyle w:val="Bibliography"/>
      </w:pPr>
      <w:r>
        <w:t xml:space="preserve">196.</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53"/>
    <w:bookmarkStart w:id="554" w:name="ref-hippisley-cox2010"/>
    <w:p>
      <w:pPr>
        <w:pStyle w:val="Bibliography"/>
      </w:pPr>
      <w:r>
        <w:t xml:space="preserve">197.</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554"/>
    <w:bookmarkStart w:id="555" w:name="ref-jick2000"/>
    <w:p>
      <w:pPr>
        <w:pStyle w:val="Bibliography"/>
      </w:pPr>
      <w:r>
        <w:t xml:space="preserve">198.</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55"/>
    <w:bookmarkStart w:id="556" w:name="ref-li2004"/>
    <w:p>
      <w:pPr>
        <w:pStyle w:val="Bibliography"/>
      </w:pPr>
      <w:r>
        <w:t xml:space="preserve">199.</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56"/>
    <w:bookmarkStart w:id="557" w:name="ref-li2010"/>
    <w:p>
      <w:pPr>
        <w:pStyle w:val="Bibliography"/>
      </w:pPr>
      <w:r>
        <w:t xml:space="preserve">200.</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57"/>
    <w:bookmarkStart w:id="558" w:name="ref-liao2013"/>
    <w:p>
      <w:pPr>
        <w:pStyle w:val="Bibliography"/>
      </w:pPr>
      <w:r>
        <w:t xml:space="preserve">201.</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58"/>
    <w:bookmarkStart w:id="559" w:name="ref-liu2019"/>
    <w:p>
      <w:pPr>
        <w:pStyle w:val="Bibliography"/>
      </w:pPr>
      <w:r>
        <w:t xml:space="preserve">202.</w:t>
      </w:r>
      <w:r>
        <w:t xml:space="preserve"> </w:t>
      </w:r>
      <w:r>
        <w:t xml:space="preserve">	</w:t>
      </w:r>
      <w:r>
        <w:t xml:space="preserve">Liu, D.</w:t>
      </w:r>
      <w:r>
        <w:t xml:space="preserve"> </w:t>
      </w:r>
      <w:r>
        <w:rPr>
          <w:iCs/>
          <w:i/>
        </w:rPr>
        <w:t xml:space="preserve">et al.</w:t>
      </w:r>
      <w:r>
        <w:t xml:space="preserve"> Incentive schemes to increase dementia diagnoses in primary care in</w:t>
      </w:r>
      <w:r>
        <w:t xml:space="preserve"> </w:t>
      </w:r>
      <w:r>
        <w:t xml:space="preserve">England</w:t>
      </w:r>
      <w:r>
        <w:t xml:space="preserve">: A retrospective cohort study of unintended consequences.</w:t>
      </w:r>
      <w:r>
        <w:t xml:space="preserve"> </w:t>
      </w:r>
      <w:r>
        <w:rPr>
          <w:iCs/>
          <w:i/>
        </w:rPr>
        <w:t xml:space="preserve">British Journal of General Practice</w:t>
      </w:r>
      <w:r>
        <w:t xml:space="preserve"> </w:t>
      </w:r>
      <w:r>
        <w:rPr>
          <w:bCs/>
          <w:b/>
        </w:rPr>
        <w:t xml:space="preserve">69</w:t>
      </w:r>
      <w:r>
        <w:t xml:space="preserve">, e154–e163 (2019).</w:t>
      </w:r>
    </w:p>
    <w:bookmarkEnd w:id="559"/>
    <w:bookmarkStart w:id="560" w:name="ref-pan2018"/>
    <w:p>
      <w:pPr>
        <w:pStyle w:val="Bibliography"/>
      </w:pPr>
      <w:r>
        <w:t xml:space="preserve">203.</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60"/>
    <w:bookmarkStart w:id="561" w:name="ref-parikh2011"/>
    <w:p>
      <w:pPr>
        <w:pStyle w:val="Bibliography"/>
      </w:pPr>
      <w:r>
        <w:t xml:space="preserve">204.</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61"/>
    <w:bookmarkStart w:id="562" w:name="ref-rea2005"/>
    <w:p>
      <w:pPr>
        <w:pStyle w:val="Bibliography"/>
      </w:pPr>
      <w:r>
        <w:t xml:space="preserve">205.</w:t>
      </w:r>
      <w:r>
        <w:t xml:space="preserve"> </w:t>
      </w:r>
      <w:r>
        <w:t xml:space="preserve">	</w:t>
      </w:r>
      <w:r>
        <w:t xml:space="preserve">Rea, T. D.</w:t>
      </w:r>
      <w:r>
        <w:t xml:space="preserve"> </w:t>
      </w:r>
      <w:r>
        <w:rPr>
          <w:iCs/>
          <w:i/>
        </w:rPr>
        <w:t xml:space="preserve">et al.</w:t>
      </w:r>
      <w:r>
        <w:t xml:space="preserve"> Statin</w:t>
      </w:r>
      <w:r>
        <w:t xml:space="preserve"> </w:t>
      </w:r>
      <w:r>
        <w:t xml:space="preserve">Use</w:t>
      </w:r>
      <w:r>
        <w:t xml:space="preserve"> </w:t>
      </w:r>
      <w:r>
        <w:t xml:space="preserve">and the</w:t>
      </w:r>
      <w:r>
        <w:t xml:space="preserve"> </w:t>
      </w:r>
      <w:r>
        <w:t xml:space="preserve">Risk</w:t>
      </w:r>
      <w:r>
        <w:t xml:space="preserve"> </w:t>
      </w:r>
      <w:r>
        <w:t xml:space="preserve">of</w:t>
      </w:r>
      <w:r>
        <w:t xml:space="preserve"> </w:t>
      </w:r>
      <w:r>
        <w:t xml:space="preserve">Incident Dementia</w:t>
      </w:r>
      <w:r>
        <w:t xml:space="preserve">: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62"/>
    <w:bookmarkStart w:id="563" w:name="ref-redelmeier2019"/>
    <w:p>
      <w:pPr>
        <w:pStyle w:val="Bibliography"/>
      </w:pPr>
      <w:r>
        <w:t xml:space="preserve">206.</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63"/>
    <w:bookmarkStart w:id="564" w:name="ref-reitz2010"/>
    <w:p>
      <w:pPr>
        <w:pStyle w:val="Bibliography"/>
      </w:pPr>
      <w:r>
        <w:t xml:space="preserve">207.</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64"/>
    <w:bookmarkStart w:id="565" w:name="ref-smeeth2009"/>
    <w:p>
      <w:pPr>
        <w:pStyle w:val="Bibliography"/>
      </w:pPr>
      <w:r>
        <w:t xml:space="preserve">208.</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65"/>
    <w:bookmarkStart w:id="566" w:name="ref-solomon2007"/>
    <w:p>
      <w:pPr>
        <w:pStyle w:val="Bibliography"/>
      </w:pPr>
      <w:r>
        <w:t xml:space="preserve">209.</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66"/>
    <w:bookmarkStart w:id="567" w:name="ref-sparks2008"/>
    <w:p>
      <w:pPr>
        <w:pStyle w:val="Bibliography"/>
      </w:pPr>
      <w:r>
        <w:t xml:space="preserve">210.</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67"/>
    <w:bookmarkStart w:id="568" w:name="ref-szwast2007"/>
    <w:p>
      <w:pPr>
        <w:pStyle w:val="Bibliography"/>
      </w:pPr>
      <w:r>
        <w:t xml:space="preserve">211.</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68"/>
    <w:bookmarkStart w:id="569" w:name="ref-yang2015"/>
    <w:p>
      <w:pPr>
        <w:pStyle w:val="Bibliography"/>
      </w:pPr>
      <w:r>
        <w:t xml:space="preserve">212.</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69"/>
    <w:bookmarkStart w:id="570" w:name="ref-zamrini2004"/>
    <w:p>
      <w:pPr>
        <w:pStyle w:val="Bibliography"/>
      </w:pPr>
      <w:r>
        <w:t xml:space="preserve">213.</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70"/>
    <w:bookmarkStart w:id="571" w:name="ref-zandi2005"/>
    <w:p>
      <w:pPr>
        <w:pStyle w:val="Bibliography"/>
      </w:pPr>
      <w:r>
        <w:t xml:space="preserve">214.</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71"/>
    <w:bookmarkStart w:id="572" w:name="ref-ancelin2013"/>
    <w:p>
      <w:pPr>
        <w:pStyle w:val="Bibliography"/>
      </w:pPr>
      <w:r>
        <w:t xml:space="preserve">215.</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72"/>
    <w:bookmarkStart w:id="573" w:name="ref-batty2014"/>
    <w:p>
      <w:pPr>
        <w:pStyle w:val="Bibliography"/>
      </w:pPr>
      <w:r>
        <w:t xml:space="preserve">216.</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73"/>
    <w:bookmarkStart w:id="574" w:name="ref-bruce2017"/>
    <w:p>
      <w:pPr>
        <w:pStyle w:val="Bibliography"/>
      </w:pPr>
      <w:r>
        <w:t xml:space="preserve">217.</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74"/>
    <w:bookmarkStart w:id="575" w:name="ref-chiang2007"/>
    <w:p>
      <w:pPr>
        <w:pStyle w:val="Bibliography"/>
      </w:pPr>
      <w:r>
        <w:t xml:space="preserve">218.</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75"/>
    <w:bookmarkStart w:id="576" w:name="ref-dodge2011"/>
    <w:p>
      <w:pPr>
        <w:pStyle w:val="Bibliography"/>
      </w:pPr>
      <w:r>
        <w:t xml:space="preserve">219.</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76"/>
    <w:bookmarkStart w:id="577" w:name="ref-forti2010"/>
    <w:p>
      <w:pPr>
        <w:pStyle w:val="Bibliography"/>
      </w:pPr>
      <w:r>
        <w:t xml:space="preserve">220.</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77"/>
    <w:bookmarkStart w:id="578" w:name="ref-gottesman2017"/>
    <w:p>
      <w:pPr>
        <w:pStyle w:val="Bibliography"/>
      </w:pPr>
      <w:r>
        <w:t xml:space="preserve">221.</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78"/>
    <w:bookmarkStart w:id="579" w:name="ref-gustafson2012"/>
    <w:p>
      <w:pPr>
        <w:pStyle w:val="Bibliography"/>
      </w:pPr>
      <w:r>
        <w:t xml:space="preserve">222.</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79"/>
    <w:bookmarkStart w:id="580" w:name="ref-hayden2006"/>
    <w:p>
      <w:pPr>
        <w:pStyle w:val="Bibliography"/>
      </w:pPr>
      <w:r>
        <w:t xml:space="preserve">223.</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80"/>
    <w:bookmarkStart w:id="581" w:name="ref-kimm2011"/>
    <w:p>
      <w:pPr>
        <w:pStyle w:val="Bibliography"/>
      </w:pPr>
      <w:r>
        <w:t xml:space="preserve">224.</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81"/>
    <w:bookmarkStart w:id="582" w:name="ref-kivipelto2001"/>
    <w:p>
      <w:pPr>
        <w:pStyle w:val="Bibliography"/>
      </w:pPr>
      <w:r>
        <w:t xml:space="preserve">225.</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82"/>
    <w:bookmarkStart w:id="583" w:name="ref-kuo2015"/>
    <w:p>
      <w:pPr>
        <w:pStyle w:val="Bibliography"/>
      </w:pPr>
      <w:r>
        <w:t xml:space="preserve">226.</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83"/>
    <w:bookmarkStart w:id="584" w:name="ref-mielke2011"/>
    <w:p>
      <w:pPr>
        <w:pStyle w:val="Bibliography"/>
      </w:pPr>
      <w:r>
        <w:t xml:space="preserve">227.</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84"/>
    <w:bookmarkStart w:id="585" w:name="ref-muller2007"/>
    <w:p>
      <w:pPr>
        <w:pStyle w:val="Bibliography"/>
      </w:pPr>
      <w:r>
        <w:t xml:space="preserve">228.</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85"/>
    <w:bookmarkStart w:id="586" w:name="ref-noale2013"/>
    <w:p>
      <w:pPr>
        <w:pStyle w:val="Bibliography"/>
      </w:pPr>
      <w:r>
        <w:t xml:space="preserve">229.</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86"/>
    <w:bookmarkStart w:id="587" w:name="ref-notkola1998"/>
    <w:p>
      <w:pPr>
        <w:pStyle w:val="Bibliography"/>
      </w:pPr>
      <w:r>
        <w:t xml:space="preserve">230.</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87"/>
    <w:bookmarkStart w:id="588" w:name="ref-peters2009"/>
    <w:p>
      <w:pPr>
        <w:pStyle w:val="Bibliography"/>
      </w:pPr>
      <w:r>
        <w:t xml:space="preserve">231.</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88"/>
    <w:bookmarkStart w:id="589" w:name="ref-raffaitin2009"/>
    <w:p>
      <w:pPr>
        <w:pStyle w:val="Bibliography"/>
      </w:pPr>
      <w:r>
        <w:t xml:space="preserve">232.</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89"/>
    <w:bookmarkStart w:id="590" w:name="ref-rantanen2017"/>
    <w:p>
      <w:pPr>
        <w:pStyle w:val="Bibliography"/>
      </w:pPr>
      <w:r>
        <w:t xml:space="preserve">233.</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90"/>
    <w:bookmarkStart w:id="591" w:name="ref-ronnemaa2011"/>
    <w:p>
      <w:pPr>
        <w:pStyle w:val="Bibliography"/>
      </w:pPr>
      <w:r>
        <w:t xml:space="preserve">234.</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91"/>
    <w:bookmarkStart w:id="592" w:name="ref-solomon2010"/>
    <w:p>
      <w:pPr>
        <w:pStyle w:val="Bibliography"/>
      </w:pPr>
      <w:r>
        <w:t xml:space="preserve">235.</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92"/>
    <w:bookmarkStart w:id="593" w:name="ref-strand2013"/>
    <w:p>
      <w:pPr>
        <w:pStyle w:val="Bibliography"/>
      </w:pPr>
      <w:r>
        <w:t xml:space="preserve">236.</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93"/>
    <w:bookmarkStart w:id="594" w:name="ref-su2017"/>
    <w:p>
      <w:pPr>
        <w:pStyle w:val="Bibliography"/>
      </w:pPr>
      <w:r>
        <w:t xml:space="preserve">237.</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94"/>
    <w:bookmarkStart w:id="595" w:name="ref-svensson2019"/>
    <w:p>
      <w:pPr>
        <w:pStyle w:val="Bibliography"/>
      </w:pPr>
      <w:r>
        <w:t xml:space="preserve">238.</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95"/>
    <w:bookmarkStart w:id="596" w:name="ref-tynkkynen2016"/>
    <w:p>
      <w:pPr>
        <w:pStyle w:val="Bibliography"/>
      </w:pPr>
      <w:r>
        <w:t xml:space="preserve">239.</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96"/>
    <w:bookmarkStart w:id="597" w:name="ref-tynkkynen2018"/>
    <w:p>
      <w:pPr>
        <w:pStyle w:val="Bibliography"/>
      </w:pPr>
      <w:r>
        <w:t xml:space="preserve">240.</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97"/>
    <w:bookmarkStart w:id="598" w:name="ref-wang2012"/>
    <w:p>
      <w:pPr>
        <w:pStyle w:val="Bibliography"/>
      </w:pPr>
      <w:r>
        <w:t xml:space="preserve">241.</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98"/>
    <w:bookmarkStart w:id="599" w:name="ref-yamada2009"/>
    <w:p>
      <w:pPr>
        <w:pStyle w:val="Bibliography"/>
      </w:pPr>
      <w:r>
        <w:t xml:space="preserve">242.</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99"/>
    <w:bookmarkStart w:id="600" w:name="ref-yoshitake1995"/>
    <w:p>
      <w:pPr>
        <w:pStyle w:val="Bibliography"/>
      </w:pPr>
      <w:r>
        <w:t xml:space="preserve">243.</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600"/>
    <w:bookmarkStart w:id="601" w:name="ref-zimetbaum1992"/>
    <w:p>
      <w:pPr>
        <w:pStyle w:val="Bibliography"/>
      </w:pPr>
      <w:r>
        <w:t xml:space="preserve">244.</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601"/>
    <w:bookmarkStart w:id="602" w:name="ref-andrews2021"/>
    <w:p>
      <w:pPr>
        <w:pStyle w:val="Bibliography"/>
      </w:pPr>
      <w:r>
        <w:t xml:space="preserve">245.</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602"/>
    <w:bookmarkStart w:id="603" w:name="ref-burgess2017"/>
    <w:p>
      <w:pPr>
        <w:pStyle w:val="Bibliography"/>
      </w:pPr>
      <w:r>
        <w:t xml:space="preserve">246.</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603"/>
    <w:bookmarkStart w:id="604" w:name="ref-mukherjee2013"/>
    <w:p>
      <w:pPr>
        <w:pStyle w:val="Bibliography"/>
      </w:pPr>
      <w:r>
        <w:t xml:space="preserve">247.</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604"/>
    <w:bookmarkStart w:id="606" w:name="ref-so2017"/>
    <w:p>
      <w:pPr>
        <w:pStyle w:val="Bibliography"/>
      </w:pPr>
      <w:r>
        <w:t xml:space="preserve">248.</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605">
        <w:r>
          <w:rPr>
            <w:rStyle w:val="Hyperlink"/>
          </w:rPr>
          <w:t xml:space="preserve">10.1101/170241</w:t>
        </w:r>
      </w:hyperlink>
    </w:p>
    <w:bookmarkEnd w:id="606"/>
    <w:bookmarkStart w:id="607" w:name="ref-zhu2018"/>
    <w:p>
      <w:pPr>
        <w:pStyle w:val="Bibliography"/>
      </w:pPr>
      <w:r>
        <w:t xml:space="preserve">249.</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607"/>
    <w:bookmarkStart w:id="609" w:name="ref-andrews2019"/>
    <w:p>
      <w:pPr>
        <w:pStyle w:val="Bibliography"/>
      </w:pPr>
      <w:r>
        <w:t xml:space="preserve">250.</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608">
        <w:r>
          <w:rPr>
            <w:rStyle w:val="Hyperlink"/>
          </w:rPr>
          <w:t xml:space="preserve">10.1101/689752</w:t>
        </w:r>
      </w:hyperlink>
    </w:p>
    <w:bookmarkEnd w:id="609"/>
    <w:bookmarkStart w:id="611" w:name="ref-zhu2017"/>
    <w:p>
      <w:pPr>
        <w:pStyle w:val="Bibliography"/>
      </w:pPr>
      <w:r>
        <w:t xml:space="preserve">251.</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610">
        <w:r>
          <w:rPr>
            <w:rStyle w:val="Hyperlink"/>
          </w:rPr>
          <w:t xml:space="preserve">10.1101/168674</w:t>
        </w:r>
      </w:hyperlink>
    </w:p>
    <w:bookmarkEnd w:id="611"/>
    <w:bookmarkStart w:id="612" w:name="ref-shepherd2002"/>
    <w:p>
      <w:pPr>
        <w:pStyle w:val="Bibliography"/>
      </w:pPr>
      <w:r>
        <w:t xml:space="preserve">252.</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Lancet (London, England)</w:t>
      </w:r>
      <w:r>
        <w:t xml:space="preserve"> </w:t>
      </w:r>
      <w:r>
        <w:rPr>
          <w:bCs/>
          <w:b/>
        </w:rPr>
        <w:t xml:space="preserve">360</w:t>
      </w:r>
      <w:r>
        <w:t xml:space="preserve">, 1623–1630 (2002).</w:t>
      </w:r>
    </w:p>
    <w:bookmarkEnd w:id="612"/>
    <w:bookmarkStart w:id="613" w:name="ref-yamada2009conf"/>
    <w:p>
      <w:pPr>
        <w:pStyle w:val="Bibliography"/>
      </w:pPr>
      <w:r>
        <w:t xml:space="preserve">253.</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613"/>
    <w:bookmarkStart w:id="614" w:name="ref-chu2018"/>
    <w:p>
      <w:pPr>
        <w:pStyle w:val="Bibliography"/>
      </w:pPr>
      <w:r>
        <w:t xml:space="preserve">254.</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614"/>
    <w:bookmarkStart w:id="615" w:name="ref-yang2020"/>
    <w:p>
      <w:pPr>
        <w:pStyle w:val="Bibliography"/>
      </w:pPr>
      <w:r>
        <w:t xml:space="preserve">255.</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615"/>
    <w:bookmarkStart w:id="617" w:name="ref-muangpaisan2010"/>
    <w:p>
      <w:pPr>
        <w:pStyle w:val="Bibliography"/>
      </w:pPr>
      <w:r>
        <w:t xml:space="preserve">256.</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616">
        <w:r>
          <w:rPr>
            <w:rStyle w:val="Hyperlink"/>
          </w:rPr>
          <w:t xml:space="preserve">10.1111/j.1447-0594.2009.00579.x</w:t>
        </w:r>
      </w:hyperlink>
    </w:p>
    <w:bookmarkEnd w:id="617"/>
    <w:bookmarkStart w:id="618" w:name="ref-poly2020"/>
    <w:p>
      <w:pPr>
        <w:pStyle w:val="Bibliography"/>
      </w:pPr>
      <w:r>
        <w:t xml:space="preserve">257.</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618"/>
    <w:bookmarkStart w:id="619" w:name="ref-kuzma2018stroke"/>
    <w:p>
      <w:pPr>
        <w:pStyle w:val="Bibliography"/>
      </w:pPr>
      <w:r>
        <w:t xml:space="preserve">258.</w:t>
      </w:r>
      <w:r>
        <w:t xml:space="preserve"> </w:t>
      </w:r>
      <w:r>
        <w:t xml:space="preserve">	</w:t>
      </w:r>
      <w:r>
        <w:t xml:space="preserve">Kuźma, E.</w:t>
      </w:r>
      <w:r>
        <w:t xml:space="preserve"> </w:t>
      </w:r>
      <w:r>
        <w:rPr>
          <w:iCs/>
          <w:i/>
        </w:rPr>
        <w:t xml:space="preserve">et al.</w:t>
      </w:r>
      <w:r>
        <w:t xml:space="preserve"> Stroke and dementia risk: A systematic review and meta-analysis.</w:t>
      </w:r>
      <w:r>
        <w:t xml:space="preserve"> </w:t>
      </w:r>
      <w:r>
        <w:rPr>
          <w:iCs/>
          <w:i/>
        </w:rPr>
        <w:t xml:space="preserve">Alzheimer’s &amp; dementia : the journal of the Alzheimer’s Association</w:t>
      </w:r>
      <w:r>
        <w:t xml:space="preserve"> </w:t>
      </w:r>
      <w:r>
        <w:rPr>
          <w:bCs/>
          <w:b/>
        </w:rPr>
        <w:t xml:space="preserve">14</w:t>
      </w:r>
      <w:r>
        <w:t xml:space="preserve">, 1416–1426 (2018).</w:t>
      </w:r>
    </w:p>
    <w:bookmarkEnd w:id="619"/>
    <w:bookmarkStart w:id="620" w:name="ref-kuzma2018risk"/>
    <w:p>
      <w:pPr>
        <w:pStyle w:val="Bibliography"/>
      </w:pPr>
      <w:r>
        <w:t xml:space="preserve">259.</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620"/>
    <w:bookmarkStart w:id="621" w:name="ref-power2015"/>
    <w:p>
      <w:pPr>
        <w:pStyle w:val="Bibliography"/>
      </w:pPr>
      <w:r>
        <w:t xml:space="preserve">260.</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621"/>
    <w:bookmarkStart w:id="622" w:name="ref-aromataris2015"/>
    <w:p>
      <w:pPr>
        <w:pStyle w:val="Bibliography"/>
      </w:pPr>
      <w:r>
        <w:t xml:space="preserve">261.</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622"/>
    <w:bookmarkStart w:id="623" w:name="ref-smith2011"/>
    <w:p>
      <w:pPr>
        <w:pStyle w:val="Bibliography"/>
      </w:pPr>
      <w:r>
        <w:t xml:space="preserve">262.</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623"/>
    <w:bookmarkStart w:id="624" w:name="ref-skrivankova2021"/>
    <w:p>
      <w:pPr>
        <w:pStyle w:val="Bibliography"/>
      </w:pPr>
      <w:r>
        <w:t xml:space="preserve">263.</w:t>
      </w:r>
      <w:r>
        <w:t xml:space="preserve"> </w:t>
      </w:r>
      <w:r>
        <w:t xml:space="preserve">	</w:t>
      </w:r>
      <w:r>
        <w:t xml:space="preserve">Skrivankova, V. W.</w:t>
      </w:r>
      <w:r>
        <w:t xml:space="preserve"> </w:t>
      </w:r>
      <w:r>
        <w:rPr>
          <w:iCs/>
          <w:i/>
        </w:rPr>
        <w:t xml:space="preserve">et al.</w:t>
      </w:r>
      <w:r>
        <w:t xml:space="preserve"> Strengthening the reporting of observational studies in epidemiology using mendelian randomisation (</w:t>
      </w:r>
      <w:r>
        <w:t xml:space="preserve">STROBE</w:t>
      </w:r>
      <w:r>
        <w:t xml:space="preserve">-</w:t>
      </w:r>
      <w:r>
        <w:t xml:space="preserve">MR</w:t>
      </w:r>
      <w:r>
        <w:t xml:space="preserve">): Explanation and elaboration.</w:t>
      </w:r>
      <w:r>
        <w:t xml:space="preserve"> </w:t>
      </w:r>
      <w:r>
        <w:rPr>
          <w:iCs/>
          <w:i/>
        </w:rPr>
        <w:t xml:space="preserve">BMJ</w:t>
      </w:r>
      <w:r>
        <w:t xml:space="preserve"> </w:t>
      </w:r>
      <w:r>
        <w:rPr>
          <w:bCs/>
          <w:b/>
        </w:rPr>
        <w:t xml:space="preserve">375</w:t>
      </w:r>
      <w:r>
        <w:t xml:space="preserve">, n2233 (2021).</w:t>
      </w:r>
    </w:p>
    <w:bookmarkEnd w:id="624"/>
    <w:bookmarkStart w:id="625" w:name="ref-sohani2015"/>
    <w:p>
      <w:pPr>
        <w:pStyle w:val="Bibliography"/>
      </w:pPr>
      <w:r>
        <w:t xml:space="preserve">264.</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625"/>
    <w:bookmarkStart w:id="626" w:name="ref-waffenschmidt2020"/>
    <w:p>
      <w:pPr>
        <w:pStyle w:val="Bibliography"/>
      </w:pPr>
      <w:r>
        <w:t xml:space="preserve">265.</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626"/>
    <w:bookmarkStart w:id="627" w:name="ref-wagner2020"/>
    <w:p>
      <w:pPr>
        <w:pStyle w:val="Bibliography"/>
      </w:pPr>
      <w:r>
        <w:t xml:space="preserve">266.</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627"/>
    <w:bookmarkStart w:id="628" w:name="ref-benn2017comment"/>
    <w:p>
      <w:pPr>
        <w:pStyle w:val="Bibliography"/>
      </w:pPr>
      <w:r>
        <w:t xml:space="preserve">267.</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628"/>
    <w:bookmarkStart w:id="629" w:name="ref-meursingereynders2019"/>
    <w:p>
      <w:pPr>
        <w:pStyle w:val="Bibliography"/>
      </w:pPr>
      <w:r>
        <w:t xml:space="preserve">268.</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629"/>
    <w:bookmarkStart w:id="630" w:name="ref-cooper2019"/>
    <w:p>
      <w:pPr>
        <w:pStyle w:val="Bibliography"/>
      </w:pPr>
      <w:r>
        <w:t xml:space="preserve">269.</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630"/>
    <w:bookmarkStart w:id="631" w:name="ref-hennessy2021"/>
    <w:p>
      <w:pPr>
        <w:pStyle w:val="Bibliography"/>
      </w:pPr>
      <w:r>
        <w:t xml:space="preserve">270.</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8">
        <w:r>
          <w:rPr>
            <w:rStyle w:val="Hyperlink"/>
          </w:rPr>
          <w:t xml:space="preserve">10.1007/s11121-021-01279-8</w:t>
        </w:r>
      </w:hyperlink>
    </w:p>
    <w:bookmarkEnd w:id="631"/>
    <w:bookmarkStart w:id="632" w:name="ref-hsieh2019"/>
    <w:p>
      <w:pPr>
        <w:pStyle w:val="Bibliography"/>
      </w:pPr>
      <w:r>
        <w:t xml:space="preserve">271.</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632"/>
    <w:bookmarkStart w:id="633" w:name="ref-mcguinness2019validity"/>
    <w:p>
      <w:pPr>
        <w:pStyle w:val="Bibliography"/>
      </w:pPr>
      <w:r>
        <w:t xml:space="preserve">272.</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633"/>
    <w:bookmarkStart w:id="634" w:name="ref-wilkinson2018"/>
    <w:p>
      <w:pPr>
        <w:pStyle w:val="Bibliography"/>
      </w:pPr>
      <w:r>
        <w:t xml:space="preserve">273.</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634"/>
    <w:bookmarkStart w:id="635" w:name="ref-jeyaraman2020"/>
    <w:p>
      <w:pPr>
        <w:pStyle w:val="Bibliography"/>
      </w:pPr>
      <w:r>
        <w:t xml:space="preserve">274.</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635"/>
    <w:bookmarkStart w:id="636" w:name="ref-suissa2008"/>
    <w:p>
      <w:pPr>
        <w:pStyle w:val="Bibliography"/>
      </w:pPr>
      <w:r>
        <w:t xml:space="preserve">275.</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36"/>
    <w:bookmarkStart w:id="637" w:name="ref-walker2016"/>
    <w:p>
      <w:pPr>
        <w:pStyle w:val="Bibliography"/>
      </w:pPr>
      <w:r>
        <w:t xml:space="preserve">276.</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37"/>
    <w:bookmarkStart w:id="638" w:name="ref-vonelm2008"/>
    <w:p>
      <w:pPr>
        <w:pStyle w:val="Bibliography"/>
      </w:pPr>
      <w:r>
        <w:t xml:space="preserve">277.</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638"/>
    <w:bookmarkStart w:id="639" w:name="ref-herrett2015"/>
    <w:p>
      <w:pPr>
        <w:pStyle w:val="Bibliography"/>
      </w:pPr>
      <w:r>
        <w:t xml:space="preserve">278.</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39"/>
    <w:bookmarkStart w:id="640" w:name="ref-williams2012"/>
    <w:p>
      <w:pPr>
        <w:pStyle w:val="Bibliography"/>
      </w:pPr>
      <w:r>
        <w:t xml:space="preserve">279.</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40"/>
    <w:bookmarkStart w:id="641" w:name="ref-wood2001revitalizing"/>
    <w:p>
      <w:pPr>
        <w:pStyle w:val="Bibliography"/>
      </w:pPr>
      <w:r>
        <w:t xml:space="preserve">280.</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41"/>
    <w:bookmarkStart w:id="642" w:name="ref-mathur2014"/>
    <w:p>
      <w:pPr>
        <w:pStyle w:val="Bibliography"/>
      </w:pPr>
      <w:r>
        <w:t xml:space="preserve">281.</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42"/>
    <w:bookmarkStart w:id="643" w:name="ref-booth1994"/>
    <w:p>
      <w:pPr>
        <w:pStyle w:val="Bibliography"/>
      </w:pPr>
      <w:r>
        <w:t xml:space="preserve">282.</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43"/>
    <w:bookmarkStart w:id="644" w:name="ref-wolf2019"/>
    <w:p>
      <w:pPr>
        <w:pStyle w:val="Bibliography"/>
      </w:pPr>
      <w:r>
        <w:t xml:space="preserve">283.</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44"/>
    <w:bookmarkStart w:id="645" w:name="ref-wishart2017"/>
    <w:p>
      <w:pPr>
        <w:pStyle w:val="Bibliography"/>
      </w:pPr>
      <w:r>
        <w:t xml:space="preserve">284.</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45"/>
    <w:bookmarkStart w:id="646" w:name="ref-charlson1987new"/>
    <w:p>
      <w:pPr>
        <w:pStyle w:val="Bibliography"/>
      </w:pPr>
      <w:r>
        <w:t xml:space="preserve">285.</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46"/>
    <w:bookmarkStart w:id="647" w:name="ref-wells2013strategies"/>
    <w:p>
      <w:pPr>
        <w:pStyle w:val="Bibliography"/>
      </w:pPr>
      <w:r>
        <w:t xml:space="preserve">286.</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47"/>
    <w:bookmarkStart w:id="648" w:name="ref-sterne2009"/>
    <w:p>
      <w:pPr>
        <w:pStyle w:val="Bibliography"/>
      </w:pPr>
      <w:r>
        <w:t xml:space="preserve">287.</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48"/>
    <w:bookmarkStart w:id="649" w:name="ref-moons2006"/>
    <w:p>
      <w:pPr>
        <w:pStyle w:val="Bibliography"/>
      </w:pPr>
      <w:r>
        <w:t xml:space="preserve">288.</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49"/>
    <w:bookmarkStart w:id="650" w:name="ref-levesque2010"/>
    <w:p>
      <w:pPr>
        <w:pStyle w:val="Bibliography"/>
      </w:pPr>
      <w:r>
        <w:t xml:space="preserve">289.</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50"/>
    <w:bookmarkStart w:id="651" w:name="ref-lamarca1998"/>
    <w:p>
      <w:pPr>
        <w:pStyle w:val="Bibliography"/>
      </w:pPr>
      <w:r>
        <w:t xml:space="preserve">290.</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51"/>
    <w:bookmarkStart w:id="652" w:name="ref-gail2009"/>
    <w:p>
      <w:pPr>
        <w:pStyle w:val="Bibliography"/>
      </w:pPr>
      <w:r>
        <w:t xml:space="preserve">291.</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52"/>
    <w:bookmarkStart w:id="653" w:name="ref-pencina2007"/>
    <w:p>
      <w:pPr>
        <w:pStyle w:val="Bibliography"/>
      </w:pPr>
      <w:r>
        <w:t xml:space="preserve">292.</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53"/>
    <w:bookmarkStart w:id="654" w:name="ref-pigott2001"/>
    <w:p>
      <w:pPr>
        <w:pStyle w:val="Bibliography"/>
      </w:pPr>
      <w:r>
        <w:t xml:space="preserve">293.</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54"/>
    <w:bookmarkStart w:id="655" w:name="ref-hughes2019"/>
    <w:p>
      <w:pPr>
        <w:pStyle w:val="Bibliography"/>
      </w:pPr>
      <w:r>
        <w:t xml:space="preserve">294.</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55"/>
    <w:bookmarkStart w:id="656" w:name="ref-lipsitch2010"/>
    <w:p>
      <w:pPr>
        <w:pStyle w:val="Bibliography"/>
      </w:pPr>
      <w:r>
        <w:t xml:space="preserve">295.</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56"/>
    <w:bookmarkStart w:id="657" w:name="ref-selva-ocallaghan2018"/>
    <w:p>
      <w:pPr>
        <w:pStyle w:val="Bibliography"/>
      </w:pPr>
      <w:r>
        <w:t xml:space="preserve">296.</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57"/>
    <w:bookmarkStart w:id="658" w:name="ref-herrett2021"/>
    <w:p>
      <w:pPr>
        <w:pStyle w:val="Bibliography"/>
      </w:pPr>
      <w:r>
        <w:t xml:space="preserve">297.</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58"/>
    <w:bookmarkStart w:id="659" w:name="ref-macedo2014"/>
    <w:p>
      <w:pPr>
        <w:pStyle w:val="Bibliography"/>
      </w:pPr>
      <w:r>
        <w:t xml:space="preserve">298.</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59"/>
    <w:bookmarkStart w:id="660" w:name="ref-smit2020"/>
    <w:p>
      <w:pPr>
        <w:pStyle w:val="Bibliography"/>
      </w:pPr>
      <w:r>
        <w:t xml:space="preserve">299.</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60"/>
    <w:bookmarkStart w:id="661" w:name="ref-karalis2016"/>
    <w:p>
      <w:pPr>
        <w:pStyle w:val="Bibliography"/>
      </w:pPr>
      <w:r>
        <w:t xml:space="preserve">300.</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61"/>
    <w:bookmarkStart w:id="662" w:name="ref-carbonari2015"/>
    <w:p>
      <w:pPr>
        <w:pStyle w:val="Bibliography"/>
      </w:pPr>
      <w:r>
        <w:t xml:space="preserve">301.</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62"/>
    <w:bookmarkStart w:id="663" w:name="ref-salas1999"/>
    <w:p>
      <w:pPr>
        <w:pStyle w:val="Bibliography"/>
      </w:pPr>
      <w:r>
        <w:t xml:space="preserve">302.</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63"/>
    <w:bookmarkStart w:id="664" w:name="ref-suttorp2015"/>
    <w:p>
      <w:pPr>
        <w:pStyle w:val="Bibliography"/>
      </w:pPr>
      <w:r>
        <w:t xml:space="preserve">303.</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64"/>
    <w:bookmarkStart w:id="665" w:name="ref-boruzs2016"/>
    <w:p>
      <w:pPr>
        <w:pStyle w:val="Bibliography"/>
      </w:pPr>
      <w:r>
        <w:t xml:space="preserve">304.</w:t>
      </w:r>
      <w:r>
        <w:t xml:space="preserve"> </w:t>
      </w:r>
      <w:r>
        <w:t xml:space="preserve">	</w:t>
      </w:r>
      <w:r>
        <w:t xml:space="preserve">Boruzs, K., Juhász, A., Nagy, C., Ádány, R. &amp; Bíró, K. Relationship between</w:t>
      </w:r>
      <w:r>
        <w:t xml:space="preserve"> </w:t>
      </w:r>
      <w:r>
        <w:t xml:space="preserve">Statin Utilization</w:t>
      </w:r>
      <w:r>
        <w:t xml:space="preserve"> </w:t>
      </w:r>
      <w:r>
        <w:t xml:space="preserve">and</w:t>
      </w:r>
      <w:r>
        <w:t xml:space="preserve"> </w:t>
      </w:r>
      <w:r>
        <w:t xml:space="preserve">Socioeconomic Deprivation</w:t>
      </w:r>
      <w:r>
        <w:t xml:space="preserve"> </w:t>
      </w:r>
      <w:r>
        <w:t xml:space="preserve">in</w:t>
      </w:r>
      <w:r>
        <w:t xml:space="preserve"> </w:t>
      </w:r>
      <w:r>
        <w:t xml:space="preserve">Hungary</w:t>
      </w:r>
      <w:r>
        <w:t xml:space="preserve">.</w:t>
      </w:r>
      <w:r>
        <w:t xml:space="preserve"> </w:t>
      </w:r>
      <w:r>
        <w:rPr>
          <w:iCs/>
          <w:i/>
        </w:rPr>
        <w:t xml:space="preserve">Frontiers in Pharmacology</w:t>
      </w:r>
      <w:r>
        <w:t xml:space="preserve"> </w:t>
      </w:r>
      <w:r>
        <w:rPr>
          <w:bCs/>
          <w:b/>
        </w:rPr>
        <w:t xml:space="preserve">7</w:t>
      </w:r>
      <w:r>
        <w:t xml:space="preserve">, 66 (2016).</w:t>
      </w:r>
    </w:p>
    <w:bookmarkEnd w:id="665"/>
    <w:bookmarkStart w:id="666" w:name="ref-ikeda2019"/>
    <w:p>
      <w:pPr>
        <w:pStyle w:val="Bibliography"/>
      </w:pPr>
      <w:r>
        <w:t xml:space="preserve">305.</w:t>
      </w:r>
      <w:r>
        <w:t xml:space="preserve"> </w:t>
      </w:r>
      <w:r>
        <w:t xml:space="preserve">	</w:t>
      </w:r>
      <w:r>
        <w:t xml:space="preserve">Ikeda, T.</w:t>
      </w:r>
      <w:r>
        <w:t xml:space="preserve"> </w:t>
      </w:r>
      <w:r>
        <w:rPr>
          <w:iCs/>
          <w:i/>
        </w:rPr>
        <w:t xml:space="preserve">et al.</w:t>
      </w:r>
      <w:r>
        <w:t xml:space="preserve"> Socioeconomic inequalities in low back pain among older people: The</w:t>
      </w:r>
      <w:r>
        <w:t xml:space="preserve"> </w:t>
      </w:r>
      <w:r>
        <w:t xml:space="preserve">JAGES</w:t>
      </w:r>
      <w:r>
        <w:t xml:space="preserve"> </w:t>
      </w:r>
      <w:r>
        <w:t xml:space="preserve">cross-sectional study.</w:t>
      </w:r>
      <w:r>
        <w:t xml:space="preserve"> </w:t>
      </w:r>
      <w:r>
        <w:rPr>
          <w:iCs/>
          <w:i/>
        </w:rPr>
        <w:t xml:space="preserve">International Journal for Equity in Health</w:t>
      </w:r>
      <w:r>
        <w:t xml:space="preserve"> </w:t>
      </w:r>
      <w:r>
        <w:rPr>
          <w:bCs/>
          <w:b/>
        </w:rPr>
        <w:t xml:space="preserve">18</w:t>
      </w:r>
      <w:r>
        <w:t xml:space="preserve">, 15 (2019).</w:t>
      </w:r>
    </w:p>
    <w:bookmarkEnd w:id="666"/>
    <w:bookmarkStart w:id="667" w:name="ref-danaei2013"/>
    <w:p>
      <w:pPr>
        <w:pStyle w:val="Bibliography"/>
      </w:pPr>
      <w:r>
        <w:t xml:space="preserve">306.</w:t>
      </w:r>
      <w:r>
        <w:t xml:space="preserve"> </w:t>
      </w:r>
      <w:r>
        <w:t xml:space="preserve">	</w:t>
      </w:r>
      <w:r>
        <w:t xml:space="preserve">Danaei, G., Rodríguez, L. A. G., Cantero, O. F., Logan, R. &amp; Hernán, M. A. Observational data for comparative effectiveness research: An emulation of randomised trials of statins and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67"/>
    <w:bookmarkStart w:id="668" w:name="ref-taylor2013"/>
    <w:p>
      <w:pPr>
        <w:pStyle w:val="Bibliography"/>
      </w:pPr>
      <w:r>
        <w:t xml:space="preserve">307.</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68"/>
    <w:bookmarkStart w:id="669" w:name="ref-newman2019"/>
    <w:p>
      <w:pPr>
        <w:pStyle w:val="Bibliography"/>
      </w:pPr>
      <w:r>
        <w:t xml:space="preserve">308.</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69"/>
    <w:bookmarkStart w:id="670" w:name="ref-shepardson2011"/>
    <w:p>
      <w:pPr>
        <w:pStyle w:val="Bibliography"/>
      </w:pPr>
      <w:r>
        <w:t xml:space="preserve">309.</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70"/>
    <w:bookmarkStart w:id="671" w:name="ref-porta2014"/>
    <w:p>
      <w:pPr>
        <w:pStyle w:val="Bibliography"/>
      </w:pPr>
      <w:r>
        <w:t xml:space="preserve">310.</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71"/>
    <w:bookmarkStart w:id="672" w:name="ref-bennet2007"/>
    <w:p>
      <w:pPr>
        <w:pStyle w:val="Bibliography"/>
      </w:pPr>
      <w:r>
        <w:t xml:space="preserve">311.</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72"/>
    <w:bookmarkStart w:id="673" w:name="ref-thompson2005"/>
    <w:p>
      <w:pPr>
        <w:pStyle w:val="Bibliography"/>
      </w:pPr>
      <w:r>
        <w:t xml:space="preserve">312.</w:t>
      </w:r>
      <w:r>
        <w:t xml:space="preserve"> </w:t>
      </w:r>
      <w:r>
        <w:t xml:space="preserve">	</w:t>
      </w:r>
      <w:r>
        <w:t xml:space="preserve">Thompson, S. G. &amp; Higgins, J. P. T. Treating individuals 4: Can meta-analysis help target interventions at individuals most likely to benefit?</w:t>
      </w:r>
      <w:r>
        <w:t xml:space="preserve"> </w:t>
      </w:r>
      <w:r>
        <w:rPr>
          <w:iCs/>
          <w:i/>
        </w:rPr>
        <w:t xml:space="preserve">Lancet (London, England)</w:t>
      </w:r>
      <w:r>
        <w:t xml:space="preserve"> </w:t>
      </w:r>
      <w:r>
        <w:rPr>
          <w:bCs/>
          <w:b/>
        </w:rPr>
        <w:t xml:space="preserve">365</w:t>
      </w:r>
      <w:r>
        <w:t xml:space="preserve">, 341–346 (2005).</w:t>
      </w:r>
    </w:p>
    <w:bookmarkEnd w:id="673"/>
    <w:bookmarkStart w:id="674" w:name="ref-hingorani2013"/>
    <w:p>
      <w:pPr>
        <w:pStyle w:val="Bibliography"/>
      </w:pPr>
      <w:r>
        <w:t xml:space="preserve">313.</w:t>
      </w:r>
      <w:r>
        <w:t xml:space="preserve"> </w:t>
      </w:r>
      <w:r>
        <w:t xml:space="preserve">	</w:t>
      </w:r>
      <w:r>
        <w:t xml:space="preserve">Hingorani, A. D.</w:t>
      </w:r>
      <w:r>
        <w:t xml:space="preserve"> </w:t>
      </w:r>
      <w:r>
        <w:rPr>
          <w:iCs/>
          <w:i/>
        </w:rPr>
        <w:t xml:space="preserve">et al.</w:t>
      </w:r>
      <w:r>
        <w:t xml:space="preserve"> Prognosis research strategy (</w:t>
      </w:r>
      <w:r>
        <w:t xml:space="preserve">PROGRESS</w:t>
      </w:r>
      <w:r>
        <w:t xml:space="preserve">) 4: Stratified medicine research.</w:t>
      </w:r>
      <w:r>
        <w:t xml:space="preserve"> </w:t>
      </w:r>
      <w:r>
        <w:rPr>
          <w:iCs/>
          <w:i/>
        </w:rPr>
        <w:t xml:space="preserve">The BMJ</w:t>
      </w:r>
      <w:r>
        <w:t xml:space="preserve"> </w:t>
      </w:r>
      <w:r>
        <w:rPr>
          <w:bCs/>
          <w:b/>
        </w:rPr>
        <w:t xml:space="preserve">346</w:t>
      </w:r>
      <w:r>
        <w:t xml:space="preserve">, e5793 (2013).</w:t>
      </w:r>
    </w:p>
    <w:bookmarkEnd w:id="674"/>
    <w:bookmarkStart w:id="675" w:name="ref-ensor2018"/>
    <w:p>
      <w:pPr>
        <w:pStyle w:val="Bibliography"/>
      </w:pPr>
      <w:r>
        <w:t xml:space="preserve">314.</w:t>
      </w:r>
      <w:r>
        <w:t xml:space="preserve"> </w:t>
      </w:r>
      <w:r>
        <w:t xml:space="preserve">	</w:t>
      </w:r>
      <w:r>
        <w:t xml:space="preserve">Ensor, J., Burke, D. L., Snell, K. I. E., Hemming, K. &amp; Riley, R. D. Simulation-based power calculations for planning a two-stage individual participant data meta-analysis.</w:t>
      </w:r>
      <w:r>
        <w:t xml:space="preserve"> </w:t>
      </w:r>
      <w:r>
        <w:rPr>
          <w:iCs/>
          <w:i/>
        </w:rPr>
        <w:t xml:space="preserve">BMC Medical Research Methodology</w:t>
      </w:r>
      <w:r>
        <w:t xml:space="preserve"> </w:t>
      </w:r>
      <w:r>
        <w:rPr>
          <w:bCs/>
          <w:b/>
        </w:rPr>
        <w:t xml:space="preserve">18</w:t>
      </w:r>
      <w:r>
        <w:t xml:space="preserve">, 41 (2018).</w:t>
      </w:r>
    </w:p>
    <w:bookmarkEnd w:id="675"/>
    <w:bookmarkStart w:id="676" w:name="ref-wickham2016func"/>
    <w:p>
      <w:pPr>
        <w:pStyle w:val="Bibliography"/>
      </w:pPr>
      <w:r>
        <w:t xml:space="preserve">315.</w:t>
      </w:r>
      <w:r>
        <w:t xml:space="preserve"> </w:t>
      </w:r>
      <w:r>
        <w:t xml:space="preserve">	</w:t>
      </w:r>
      <w:r>
        <w:t xml:space="preserve">Wickham, H. &amp; Grolemund, G.</w:t>
      </w:r>
      <w:r>
        <w:t xml:space="preserve"> </w:t>
      </w:r>
      <w:r>
        <w:rPr>
          <w:iCs/>
          <w:i/>
        </w:rPr>
        <w:t xml:space="preserve">Chapter 21: Iteration |</w:t>
      </w:r>
      <w:r>
        <w:rPr>
          <w:iCs/>
          <w:i/>
        </w:rPr>
        <w:t xml:space="preserve"> </w:t>
      </w:r>
      <w:r>
        <w:rPr>
          <w:iCs/>
          <w:i/>
        </w:rPr>
        <w:t xml:space="preserve">R</w:t>
      </w:r>
      <w:r>
        <w:rPr>
          <w:iCs/>
          <w:i/>
        </w:rPr>
        <w:t xml:space="preserve"> </w:t>
      </w:r>
      <w:r>
        <w:rPr>
          <w:iCs/>
          <w:i/>
        </w:rPr>
        <w:t xml:space="preserve">for data science: Import, tidy, transform, visualize, and model data</w:t>
      </w:r>
      <w:r>
        <w:t xml:space="preserve">. (</w:t>
      </w:r>
      <w:r>
        <w:t xml:space="preserve">O’Reilly</w:t>
      </w:r>
      <w:r>
        <w:t xml:space="preserve">, 2016).</w:t>
      </w:r>
    </w:p>
    <w:bookmarkEnd w:id="676"/>
    <w:bookmarkStart w:id="677" w:name="ref-levis2021"/>
    <w:p>
      <w:pPr>
        <w:pStyle w:val="Bibliography"/>
      </w:pPr>
      <w:r>
        <w:t xml:space="preserve">316.</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77"/>
    <w:bookmarkStart w:id="678" w:name="ref-fibrinogenstudiescollaboration2009"/>
    <w:p>
      <w:pPr>
        <w:pStyle w:val="Bibliography"/>
      </w:pPr>
      <w:r>
        <w:t xml:space="preserve">317.</w:t>
      </w:r>
      <w:r>
        <w:t xml:space="preserve"> </w:t>
      </w:r>
      <w:r>
        <w:t xml:space="preserve">	</w:t>
      </w:r>
      <w:r>
        <w:t xml:space="preserve">Fibrinogen Studies Collaboration. Systematically missing confounders in individual participant data meta-analysis of observational cohort studies.</w:t>
      </w:r>
      <w:r>
        <w:t xml:space="preserve"> </w:t>
      </w:r>
      <w:r>
        <w:rPr>
          <w:iCs/>
          <w:i/>
        </w:rPr>
        <w:t xml:space="preserve">Statistics in Medicine</w:t>
      </w:r>
      <w:r>
        <w:t xml:space="preserve"> </w:t>
      </w:r>
      <w:r>
        <w:rPr>
          <w:bCs/>
          <w:b/>
        </w:rPr>
        <w:t xml:space="preserve">28</w:t>
      </w:r>
      <w:r>
        <w:t xml:space="preserve">, 1218–1237 (2009).</w:t>
      </w:r>
    </w:p>
    <w:bookmarkEnd w:id="678"/>
    <w:bookmarkStart w:id="679" w:name="ref-abo-zaid2013"/>
    <w:p>
      <w:pPr>
        <w:pStyle w:val="Bibliography"/>
      </w:pPr>
      <w:r>
        <w:t xml:space="preserve">318.</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79"/>
    <w:bookmarkStart w:id="680" w:name="ref-burke2017"/>
    <w:p>
      <w:pPr>
        <w:pStyle w:val="Bibliography"/>
      </w:pPr>
      <w:r>
        <w:t xml:space="preserve">319.</w:t>
      </w:r>
      <w:r>
        <w:t xml:space="preserve"> </w:t>
      </w:r>
      <w:r>
        <w:t xml:space="preserve">	</w:t>
      </w:r>
      <w:r>
        <w:t xml:space="preserve">Burke, D. L., Ensor, J. &amp; Riley, R. D. Meta-analysis using individual participant data: One-stage and two-stage approaches, and why they may differ.</w:t>
      </w:r>
      <w:r>
        <w:t xml:space="preserve"> </w:t>
      </w:r>
      <w:r>
        <w:rPr>
          <w:iCs/>
          <w:i/>
        </w:rPr>
        <w:t xml:space="preserve">Statistics in Medicine</w:t>
      </w:r>
      <w:r>
        <w:t xml:space="preserve"> </w:t>
      </w:r>
      <w:r>
        <w:rPr>
          <w:bCs/>
          <w:b/>
        </w:rPr>
        <w:t xml:space="preserve">36</w:t>
      </w:r>
      <w:r>
        <w:t xml:space="preserve">, 855–875 (2017).</w:t>
      </w:r>
    </w:p>
    <w:bookmarkEnd w:id="680"/>
    <w:bookmarkStart w:id="681" w:name="ref-fisher2017"/>
    <w:p>
      <w:pPr>
        <w:pStyle w:val="Bibliography"/>
      </w:pPr>
      <w:r>
        <w:t xml:space="preserve">320.</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681"/>
    <w:bookmarkStart w:id="682" w:name="ref-zotero-15398"/>
    <w:p>
      <w:pPr>
        <w:pStyle w:val="Bibliography"/>
      </w:pPr>
      <w:r>
        <w:t xml:space="preserve">321.</w:t>
      </w:r>
      <w:r>
        <w:t xml:space="preserve"> </w:t>
      </w:r>
      <w:r>
        <w:t xml:space="preserve">	</w:t>
      </w:r>
      <w:r>
        <w:t xml:space="preserve">Caerphilly</w:t>
      </w:r>
      <w:r>
        <w:t xml:space="preserve"> </w:t>
      </w:r>
      <w:r>
        <w:t xml:space="preserve">Prospective Study</w:t>
      </w:r>
      <w:r>
        <w:t xml:space="preserve"> </w:t>
      </w:r>
      <w:r>
        <w:t xml:space="preserve">-</w:t>
      </w:r>
      <w:r>
        <w:t xml:space="preserve"> </w:t>
      </w:r>
      <w:r>
        <w:t xml:space="preserve">About</w:t>
      </w:r>
      <w:r>
        <w:t xml:space="preserve">.</w:t>
      </w:r>
    </w:p>
    <w:bookmarkEnd w:id="682"/>
    <w:bookmarkStart w:id="683" w:name="ref-elwood2013"/>
    <w:p>
      <w:pPr>
        <w:pStyle w:val="Bibliography"/>
      </w:pPr>
      <w:r>
        <w:t xml:space="preserve">322.</w:t>
      </w:r>
      <w:r>
        <w:t xml:space="preserve"> </w:t>
      </w:r>
      <w:r>
        <w:t xml:space="preserve">	</w:t>
      </w:r>
      <w:r>
        <w:t xml:space="preserve">Elwood, P.</w:t>
      </w:r>
      <w:r>
        <w:t xml:space="preserve"> </w:t>
      </w:r>
      <w:r>
        <w:rPr>
          <w:iCs/>
          <w:i/>
        </w:rPr>
        <w:t xml:space="preserve">et al.</w:t>
      </w:r>
      <w:r>
        <w:t xml:space="preserve"> Healthy</w:t>
      </w:r>
      <w:r>
        <w:t xml:space="preserve"> </w:t>
      </w:r>
      <w:r>
        <w:t xml:space="preserve">Lifestyles Reduce</w:t>
      </w:r>
      <w:r>
        <w:t xml:space="preserve"> </w:t>
      </w:r>
      <w:r>
        <w:t xml:space="preserve">the</w:t>
      </w:r>
      <w:r>
        <w:t xml:space="preserve"> </w:t>
      </w:r>
      <w:r>
        <w:t xml:space="preserve">Incidence</w:t>
      </w:r>
      <w:r>
        <w:t xml:space="preserve"> </w:t>
      </w:r>
      <w:r>
        <w:t xml:space="preserve">of</w:t>
      </w:r>
      <w:r>
        <w:t xml:space="preserve"> </w:t>
      </w:r>
      <w:r>
        <w:t xml:space="preserve">Chronic Diseases</w:t>
      </w:r>
      <w:r>
        <w:t xml:space="preserve"> </w:t>
      </w:r>
      <w:r>
        <w:t xml:space="preserve">and</w:t>
      </w:r>
      <w:r>
        <w:t xml:space="preserve"> </w:t>
      </w:r>
      <w:r>
        <w:t xml:space="preserve">Dementia</w:t>
      </w:r>
      <w:r>
        <w:t xml:space="preserve">: Evidence from the</w:t>
      </w:r>
      <w:r>
        <w:t xml:space="preserve"> </w:t>
      </w:r>
      <w:r>
        <w:t xml:space="preserve">Caerphilly Cohort Study</w:t>
      </w:r>
      <w:r>
        <w:t xml:space="preserve">.</w:t>
      </w:r>
      <w:r>
        <w:t xml:space="preserve"> </w:t>
      </w:r>
      <w:r>
        <w:rPr>
          <w:iCs/>
          <w:i/>
        </w:rPr>
        <w:t xml:space="preserve">PLOS ONE</w:t>
      </w:r>
      <w:r>
        <w:t xml:space="preserve"> </w:t>
      </w:r>
      <w:r>
        <w:rPr>
          <w:bCs/>
          <w:b/>
        </w:rPr>
        <w:t xml:space="preserve">8</w:t>
      </w:r>
      <w:r>
        <w:t xml:space="preserve">, e81877 (2013).</w:t>
      </w:r>
    </w:p>
    <w:bookmarkEnd w:id="683"/>
    <w:bookmarkStart w:id="684" w:name="ref-riboli1997"/>
    <w:p>
      <w:pPr>
        <w:pStyle w:val="Bibliography"/>
      </w:pPr>
      <w:r>
        <w:t xml:space="preserve">323.</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84"/>
    <w:bookmarkStart w:id="685" w:name="ref-riboli2002"/>
    <w:p>
      <w:pPr>
        <w:pStyle w:val="Bibliography"/>
      </w:pPr>
      <w:r>
        <w:t xml:space="preserve">324.</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85"/>
    <w:bookmarkStart w:id="686" w:name="ref-marmot2005"/>
    <w:p>
      <w:pPr>
        <w:pStyle w:val="Bibliography"/>
      </w:pPr>
      <w:r>
        <w:t xml:space="preserve">325.</w:t>
      </w:r>
      <w:r>
        <w:t xml:space="preserve"> </w:t>
      </w:r>
      <w:r>
        <w:t xml:space="preserve">	</w:t>
      </w:r>
      <w:r>
        <w:t xml:space="preserve">Marmot, M. &amp; Brunner, E. Cohort</w:t>
      </w:r>
      <w:r>
        <w:t xml:space="preserve"> </w:t>
      </w:r>
      <w:r>
        <w:t xml:space="preserve">Profile</w:t>
      </w:r>
      <w:r>
        <w:t xml:space="preserve">: The</w:t>
      </w:r>
      <w:r>
        <w:t xml:space="preserve"> </w:t>
      </w:r>
      <w:r>
        <w:t xml:space="preserve">Whitehall II</w:t>
      </w:r>
      <w:r>
        <w:t xml:space="preserve"> </w:t>
      </w:r>
      <w:r>
        <w:t xml:space="preserve">study.</w:t>
      </w:r>
      <w:r>
        <w:t xml:space="preserve"> </w:t>
      </w:r>
      <w:r>
        <w:rPr>
          <w:iCs/>
          <w:i/>
        </w:rPr>
        <w:t xml:space="preserve">International Journal of Epidemiology</w:t>
      </w:r>
      <w:r>
        <w:t xml:space="preserve"> </w:t>
      </w:r>
      <w:r>
        <w:rPr>
          <w:bCs/>
          <w:b/>
        </w:rPr>
        <w:t xml:space="preserve">34</w:t>
      </w:r>
      <w:r>
        <w:t xml:space="preserve">, 251–256 (2005).</w:t>
      </w:r>
    </w:p>
    <w:bookmarkEnd w:id="686"/>
    <w:bookmarkStart w:id="687" w:name="ref-zotero-15403"/>
    <w:p>
      <w:pPr>
        <w:pStyle w:val="Bibliography"/>
      </w:pPr>
      <w:r>
        <w:t xml:space="preserve">326.</w:t>
      </w:r>
      <w:r>
        <w:t xml:space="preserve"> </w:t>
      </w:r>
      <w:r>
        <w:t xml:space="preserve">	</w:t>
      </w:r>
      <w:r>
        <w:t xml:space="preserve">Hospital</w:t>
      </w:r>
      <w:r>
        <w:t xml:space="preserve"> </w:t>
      </w:r>
      <w:r>
        <w:t xml:space="preserve">Episode Statistics</w:t>
      </w:r>
      <w:r>
        <w:t xml:space="preserve"> </w:t>
      </w:r>
      <w:r>
        <w:t xml:space="preserve">(</w:t>
      </w:r>
      <w:r>
        <w:t xml:space="preserve">HES</w:t>
      </w:r>
      <w:r>
        <w:t xml:space="preserve">).</w:t>
      </w:r>
      <w:r>
        <w:t xml:space="preserve"> </w:t>
      </w:r>
      <w:r>
        <w:rPr>
          <w:iCs/>
          <w:i/>
        </w:rPr>
        <w:t xml:space="preserve">NHS Digital</w:t>
      </w:r>
    </w:p>
    <w:bookmarkEnd w:id="687"/>
    <w:bookmarkStart w:id="688" w:name="ref-ahmed2012"/>
    <w:p>
      <w:pPr>
        <w:pStyle w:val="Bibliography"/>
      </w:pPr>
      <w:r>
        <w:t xml:space="preserve">327.</w:t>
      </w:r>
      <w:r>
        <w:t xml:space="preserve"> </w:t>
      </w:r>
      <w:r>
        <w:t xml:space="preserve">	</w:t>
      </w:r>
      <w:r>
        <w:t xml:space="preserve">Ahmed, I., Sutton, A. J. &amp; Riley, R. D. Assessment of publication bias, selection bias, and unavailable data in meta-analyses using individual participant data: A database survey.</w:t>
      </w:r>
      <w:r>
        <w:t xml:space="preserve"> </w:t>
      </w:r>
      <w:r>
        <w:rPr>
          <w:iCs/>
          <w:i/>
        </w:rPr>
        <w:t xml:space="preserve">BMJ</w:t>
      </w:r>
      <w:r>
        <w:t xml:space="preserve"> </w:t>
      </w:r>
      <w:r>
        <w:rPr>
          <w:bCs/>
          <w:b/>
        </w:rPr>
        <w:t xml:space="preserve">344</w:t>
      </w:r>
      <w:r>
        <w:t xml:space="preserve">, d7762 (2012).</w:t>
      </w:r>
    </w:p>
    <w:bookmarkEnd w:id="688"/>
    <w:bookmarkStart w:id="689" w:name="ref-jaspers2014"/>
    <w:p>
      <w:pPr>
        <w:pStyle w:val="Bibliography"/>
      </w:pPr>
      <w:r>
        <w:t xml:space="preserve">328.</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89"/>
    <w:bookmarkStart w:id="690" w:name="ref-danko2019"/>
    <w:p>
      <w:pPr>
        <w:pStyle w:val="Bibliography"/>
      </w:pPr>
      <w:r>
        <w:t xml:space="preserve">329.</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90"/>
    <w:bookmarkStart w:id="691" w:name="ref-safieh2019"/>
    <w:p>
      <w:pPr>
        <w:pStyle w:val="Bibliography"/>
      </w:pPr>
      <w:r>
        <w:t xml:space="preserve">330.</w:t>
      </w:r>
      <w:r>
        <w:t xml:space="preserve"> </w:t>
      </w:r>
      <w:r>
        <w:t xml:space="preserve">	</w:t>
      </w:r>
      <w:r>
        <w:t xml:space="preserve">Safieh, M., Korczyn, A. D. &amp; Michaelson, D. M.</w:t>
      </w:r>
      <w:r>
        <w:t xml:space="preserve"> </w:t>
      </w:r>
      <w:r>
        <w:t xml:space="preserve">ApoE4</w:t>
      </w:r>
      <w:r>
        <w:t xml:space="preserve">: An emerging therapeutic target for</w:t>
      </w:r>
      <w:r>
        <w:t xml:space="preserve"> </w:t>
      </w:r>
      <w:r>
        <w:t xml:space="preserve">Alzheimer</w:t>
      </w:r>
      <w:r>
        <w:t xml:space="preserve">’s disease.</w:t>
      </w:r>
      <w:r>
        <w:t xml:space="preserve"> </w:t>
      </w:r>
      <w:r>
        <w:rPr>
          <w:iCs/>
          <w:i/>
        </w:rPr>
        <w:t xml:space="preserve">BMC Medicine</w:t>
      </w:r>
      <w:r>
        <w:t xml:space="preserve"> </w:t>
      </w:r>
      <w:r>
        <w:rPr>
          <w:bCs/>
          <w:b/>
        </w:rPr>
        <w:t xml:space="preserve">17</w:t>
      </w:r>
      <w:r>
        <w:t xml:space="preserve">, 64 (2019).</w:t>
      </w:r>
    </w:p>
    <w:bookmarkEnd w:id="691"/>
    <w:bookmarkStart w:id="692" w:name="ref-nature2009"/>
    <w:p>
      <w:pPr>
        <w:pStyle w:val="Bibliography"/>
      </w:pPr>
      <w:r>
        <w:t xml:space="preserve">331.</w:t>
      </w:r>
      <w:r>
        <w:t xml:space="preserve"> </w:t>
      </w:r>
      <w:r>
        <w:t xml:space="preserve">	</w:t>
      </w:r>
      <w:r>
        <w:t xml:space="preserve">Credit where credit is due.</w:t>
      </w:r>
      <w:r>
        <w:t xml:space="preserve"> </w:t>
      </w:r>
      <w:r>
        <w:rPr>
          <w:iCs/>
          <w:i/>
        </w:rPr>
        <w:t xml:space="preserve">Nature</w:t>
      </w:r>
      <w:r>
        <w:t xml:space="preserve"> </w:t>
      </w:r>
      <w:r>
        <w:rPr>
          <w:bCs/>
          <w:b/>
        </w:rPr>
        <w:t xml:space="preserve">462</w:t>
      </w:r>
      <w:r>
        <w:t xml:space="preserve">, 825–825 (2009).</w:t>
      </w:r>
    </w:p>
    <w:bookmarkEnd w:id="692"/>
    <w:bookmarkStart w:id="693" w:name="ref-hill1965"/>
    <w:p>
      <w:pPr>
        <w:pStyle w:val="Bibliography"/>
      </w:pPr>
      <w:r>
        <w:t xml:space="preserve">332.</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93"/>
    <w:bookmarkStart w:id="694" w:name="ref-dubroff2018"/>
    <w:p>
      <w:pPr>
        <w:pStyle w:val="Bibliography"/>
      </w:pPr>
      <w:r>
        <w:t xml:space="preserve">333.</w:t>
      </w:r>
      <w:r>
        <w:t xml:space="preserve"> </w:t>
      </w:r>
      <w:r>
        <w:t xml:space="preserve">	</w:t>
      </w:r>
      <w:r>
        <w:t xml:space="preserve">DuBroff, R. Confirmation bias, conflicts of interest and cholesterol guidance: Can we trust expert opinions?</w:t>
      </w:r>
      <w:r>
        <w:t xml:space="preserve"> </w:t>
      </w:r>
      <w:r>
        <w:rPr>
          <w:iCs/>
          <w:i/>
        </w:rPr>
        <w:t xml:space="preserve">QJM: An International Journal of Medicine</w:t>
      </w:r>
      <w:r>
        <w:t xml:space="preserve"> </w:t>
      </w:r>
      <w:r>
        <w:rPr>
          <w:bCs/>
          <w:b/>
        </w:rPr>
        <w:t xml:space="preserve">111</w:t>
      </w:r>
      <w:r>
        <w:t xml:space="preserve">, 687–689 (2018).</w:t>
      </w:r>
    </w:p>
    <w:bookmarkEnd w:id="694"/>
    <w:bookmarkStart w:id="695" w:name="ref-ference2014"/>
    <w:p>
      <w:pPr>
        <w:pStyle w:val="Bibliography"/>
      </w:pPr>
      <w:r>
        <w:t xml:space="preserve">334.</w:t>
      </w:r>
      <w:r>
        <w:t xml:space="preserve"> </w:t>
      </w:r>
      <w:r>
        <w:t xml:space="preserve">	</w:t>
      </w:r>
      <w:r>
        <w:t xml:space="preserve">Ference, B. A.</w:t>
      </w:r>
      <w:r>
        <w:t xml:space="preserve"> </w:t>
      </w:r>
      <w:r>
        <w:rPr>
          <w:iCs/>
          <w:i/>
        </w:rPr>
        <w:t xml:space="preserve">et al.</w:t>
      </w:r>
      <w:r>
        <w:t xml:space="preserve"> Clinical effect of naturally random allocation to lower systolic blood pressure beginning before the development of hypertension.</w:t>
      </w:r>
      <w:r>
        <w:t xml:space="preserve"> </w:t>
      </w:r>
      <w:r>
        <w:rPr>
          <w:iCs/>
          <w:i/>
        </w:rPr>
        <w:t xml:space="preserve">Hypertension (Dallas, Tex.: 1979)</w:t>
      </w:r>
      <w:r>
        <w:t xml:space="preserve"> </w:t>
      </w:r>
      <w:r>
        <w:rPr>
          <w:bCs/>
          <w:b/>
        </w:rPr>
        <w:t xml:space="preserve">63</w:t>
      </w:r>
      <w:r>
        <w:t xml:space="preserve">, 1182–1188 (2014).</w:t>
      </w:r>
    </w:p>
    <w:bookmarkEnd w:id="695"/>
    <w:bookmarkStart w:id="696" w:name="ref-turner2009"/>
    <w:p>
      <w:pPr>
        <w:pStyle w:val="Bibliography"/>
      </w:pPr>
      <w:r>
        <w:t xml:space="preserve">335.</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96"/>
    <w:bookmarkStart w:id="697" w:name="ref-guyatt2011"/>
    <w:p>
      <w:pPr>
        <w:pStyle w:val="Bibliography"/>
      </w:pPr>
      <w:r>
        <w:t xml:space="preserve">336.</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 - indirectness.</w:t>
      </w:r>
      <w:r>
        <w:t xml:space="preserve"> </w:t>
      </w:r>
      <w:r>
        <w:rPr>
          <w:iCs/>
          <w:i/>
        </w:rPr>
        <w:t xml:space="preserve">Journal of Clinical Epidemiology</w:t>
      </w:r>
      <w:r>
        <w:t xml:space="preserve"> </w:t>
      </w:r>
      <w:r>
        <w:rPr>
          <w:bCs/>
          <w:b/>
        </w:rPr>
        <w:t xml:space="preserve">64</w:t>
      </w:r>
      <w:r>
        <w:t xml:space="preserve">, 1311–1316 (2011).</w:t>
      </w:r>
    </w:p>
    <w:bookmarkEnd w:id="697"/>
    <w:bookmarkStart w:id="698" w:name="ref-thompson2011"/>
    <w:p>
      <w:pPr>
        <w:pStyle w:val="Bibliography"/>
      </w:pPr>
      <w:r>
        <w:t xml:space="preserve">337.</w:t>
      </w:r>
      <w:r>
        <w:t xml:space="preserve"> </w:t>
      </w:r>
      <w:r>
        <w:t xml:space="preserve">	</w:t>
      </w:r>
      <w:r>
        <w:t xml:space="preserve">Thompson, S.</w:t>
      </w:r>
      <w:r>
        <w:t xml:space="preserve"> </w:t>
      </w:r>
      <w:r>
        <w:rPr>
          <w:iCs/>
          <w:i/>
        </w:rPr>
        <w:t xml:space="preserve">et al.</w:t>
      </w:r>
      <w:r>
        <w:t xml:space="preserve"> A proposed method of bias adjustment for meta-analyses of published observational studies.</w:t>
      </w:r>
      <w:r>
        <w:t xml:space="preserve"> </w:t>
      </w:r>
      <w:r>
        <w:rPr>
          <w:iCs/>
          <w:i/>
        </w:rPr>
        <w:t xml:space="preserve">International Journal of Epidemiology</w:t>
      </w:r>
      <w:r>
        <w:t xml:space="preserve"> </w:t>
      </w:r>
      <w:r>
        <w:rPr>
          <w:bCs/>
          <w:b/>
        </w:rPr>
        <w:t xml:space="preserve">40</w:t>
      </w:r>
      <w:r>
        <w:t xml:space="preserve">, 765–777 (2011).</w:t>
      </w:r>
    </w:p>
    <w:bookmarkEnd w:id="698"/>
    <w:bookmarkStart w:id="699" w:name="ref-higgins2003"/>
    <w:p>
      <w:pPr>
        <w:pStyle w:val="Bibliography"/>
      </w:pPr>
      <w:r>
        <w:t xml:space="preserve">338.</w:t>
      </w:r>
      <w:r>
        <w:t xml:space="preserve"> </w:t>
      </w:r>
      <w:r>
        <w:t xml:space="preserve">	</w:t>
      </w:r>
      <w:r>
        <w:t xml:space="preserve">Higgins, J. P. T., Thompson, S. G., Deeks, J. J. &amp; Altman, D. G. Measuring inconsistency in meta-analyses.</w:t>
      </w:r>
      <w:r>
        <w:t xml:space="preserve"> </w:t>
      </w:r>
      <w:r>
        <w:rPr>
          <w:iCs/>
          <w:i/>
        </w:rPr>
        <w:t xml:space="preserve">BMJ : British Medical Journal</w:t>
      </w:r>
      <w:r>
        <w:t xml:space="preserve"> </w:t>
      </w:r>
      <w:r>
        <w:rPr>
          <w:bCs/>
          <w:b/>
        </w:rPr>
        <w:t xml:space="preserve">327</w:t>
      </w:r>
      <w:r>
        <w:t xml:space="preserve">, 557–560 (2003).</w:t>
      </w:r>
    </w:p>
    <w:bookmarkEnd w:id="699"/>
    <w:bookmarkStart w:id="700" w:name="ref-higgins2008"/>
    <w:p>
      <w:pPr>
        <w:pStyle w:val="Bibliography"/>
      </w:pPr>
      <w:r>
        <w:t xml:space="preserve">339.</w:t>
      </w:r>
      <w:r>
        <w:t xml:space="preserve"> </w:t>
      </w:r>
      <w:r>
        <w:t xml:space="preserve">	</w:t>
      </w:r>
      <w:r>
        <w:t xml:space="preserve">Higgins, J. P. T. Commentary: Heterogeneity in meta-analysis should be expected and appropriately quantified.</w:t>
      </w:r>
      <w:r>
        <w:t xml:space="preserve"> </w:t>
      </w:r>
      <w:r>
        <w:rPr>
          <w:iCs/>
          <w:i/>
        </w:rPr>
        <w:t xml:space="preserve">International Journal of Epidemiology</w:t>
      </w:r>
      <w:r>
        <w:t xml:space="preserve"> </w:t>
      </w:r>
      <w:r>
        <w:rPr>
          <w:bCs/>
          <w:b/>
        </w:rPr>
        <w:t xml:space="preserve">37</w:t>
      </w:r>
      <w:r>
        <w:t xml:space="preserve">, 1158–1160 (2008).</w:t>
      </w:r>
    </w:p>
    <w:bookmarkEnd w:id="700"/>
    <w:bookmarkStart w:id="701" w:name="ref-amer2021"/>
    <w:p>
      <w:pPr>
        <w:pStyle w:val="Bibliography"/>
      </w:pPr>
      <w:r>
        <w:t xml:space="preserve">340.</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701"/>
    <w:bookmarkStart w:id="702" w:name="ref-page2016"/>
    <w:p>
      <w:pPr>
        <w:pStyle w:val="Bibliography"/>
      </w:pPr>
      <w:r>
        <w:t xml:space="preserve">341.</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702"/>
    <w:bookmarkStart w:id="703" w:name="ref-iwagami2021"/>
    <w:p>
      <w:pPr>
        <w:pStyle w:val="Bibliography"/>
      </w:pPr>
      <w:r>
        <w:t xml:space="preserve">342.</w:t>
      </w:r>
      <w:r>
        <w:t xml:space="preserve"> </w:t>
      </w:r>
      <w:r>
        <w:t xml:space="preserve">	</w:t>
      </w:r>
      <w:r>
        <w:t xml:space="preserve">Iwagami, M.</w:t>
      </w:r>
      <w:r>
        <w:t xml:space="preserve"> </w:t>
      </w:r>
      <w:r>
        <w:rPr>
          <w:iCs/>
          <w:i/>
        </w:rPr>
        <w:t xml:space="preserve">et al.</w:t>
      </w:r>
      <w:r>
        <w:t xml:space="preserve"> Blood cholesterol and risk of dementia in more than 1</w:t>
      </w:r>
      <m:oMath>
        <m:r>
          <m:rPr>
            <m:sty m:val="p"/>
          </m:rPr>
          <m:t>⋅</m:t>
        </m:r>
      </m:oMath>
      <w:r>
        <w:t xml:space="preserve">8 million people over two decades: A retrospective cohort study.</w:t>
      </w:r>
      <w:r>
        <w:t xml:space="preserve"> </w:t>
      </w:r>
      <w:r>
        <w:rPr>
          <w:iCs/>
          <w:i/>
        </w:rPr>
        <w:t xml:space="preserve">The Lancet Healthy Longevity</w:t>
      </w:r>
      <w:r>
        <w:t xml:space="preserve"> </w:t>
      </w:r>
      <w:r>
        <w:rPr>
          <w:bCs/>
          <w:b/>
        </w:rPr>
        <w:t xml:space="preserve">2</w:t>
      </w:r>
      <w:r>
        <w:t xml:space="preserve">, e498–e506 (2021).</w:t>
      </w:r>
    </w:p>
    <w:bookmarkEnd w:id="703"/>
    <w:bookmarkStart w:id="704" w:name="ref-savovic2018"/>
    <w:p>
      <w:pPr>
        <w:pStyle w:val="Bibliography"/>
      </w:pPr>
      <w:r>
        <w:t xml:space="preserve">343.</w:t>
      </w:r>
      <w:r>
        <w:t xml:space="preserve"> </w:t>
      </w:r>
      <w:r>
        <w:t xml:space="preserve">	</w:t>
      </w:r>
      <w:r>
        <w:t xml:space="preserve">Savović, J.</w:t>
      </w:r>
      <w:r>
        <w:t xml:space="preserve"> </w:t>
      </w:r>
      <w:r>
        <w:rPr>
          <w:iCs/>
          <w:i/>
        </w:rPr>
        <w:t xml:space="preserve">et al.</w:t>
      </w:r>
      <w:r>
        <w:t xml:space="preserve"> Association</w:t>
      </w:r>
      <w:r>
        <w:t xml:space="preserve"> </w:t>
      </w:r>
      <w:r>
        <w:t xml:space="preserve">Between Risk</w:t>
      </w:r>
      <w:r>
        <w:t xml:space="preserve">-of-</w:t>
      </w:r>
      <w:r>
        <w:t xml:space="preserve">Bias Assessments</w:t>
      </w:r>
      <w:r>
        <w:t xml:space="preserve"> </w:t>
      </w:r>
      <w:r>
        <w:t xml:space="preserve">and</w:t>
      </w:r>
      <w:r>
        <w:t xml:space="preserve"> </w:t>
      </w:r>
      <w:r>
        <w:t xml:space="preserve">Results</w:t>
      </w:r>
      <w:r>
        <w:t xml:space="preserve"> </w:t>
      </w:r>
      <w:r>
        <w:t xml:space="preserve">of</w:t>
      </w:r>
      <w:r>
        <w:t xml:space="preserve"> </w:t>
      </w:r>
      <w:r>
        <w:t xml:space="preserve">Randomized Trials</w:t>
      </w:r>
      <w:r>
        <w:t xml:space="preserve"> </w:t>
      </w:r>
      <w:r>
        <w:t xml:space="preserve">in</w:t>
      </w:r>
      <w:r>
        <w:t xml:space="preserve"> </w:t>
      </w:r>
      <w:r>
        <w:t xml:space="preserve">Cochrane Reviews</w:t>
      </w:r>
      <w:r>
        <w:t xml:space="preserve">: The</w:t>
      </w:r>
      <w:r>
        <w:t xml:space="preserve"> </w:t>
      </w:r>
      <w:r>
        <w:t xml:space="preserve">ROBES Meta</w:t>
      </w:r>
      <w:r>
        <w:t xml:space="preserve">-</w:t>
      </w:r>
      <w:r>
        <w:t xml:space="preserve">Epidemiologic Study</w:t>
      </w:r>
      <w:r>
        <w:t xml:space="preserve">.</w:t>
      </w:r>
      <w:r>
        <w:t xml:space="preserve"> </w:t>
      </w:r>
      <w:r>
        <w:rPr>
          <w:iCs/>
          <w:i/>
        </w:rPr>
        <w:t xml:space="preserve">American Journal of Epidemiology</w:t>
      </w:r>
      <w:r>
        <w:t xml:space="preserve"> </w:t>
      </w:r>
      <w:r>
        <w:rPr>
          <w:bCs/>
          <w:b/>
        </w:rPr>
        <w:t xml:space="preserve">187</w:t>
      </w:r>
      <w:r>
        <w:t xml:space="preserve">, 1113–1122 (2018).</w:t>
      </w:r>
    </w:p>
    <w:bookmarkEnd w:id="704"/>
    <w:bookmarkStart w:id="705" w:name="ref-hartling2011"/>
    <w:p>
      <w:pPr>
        <w:pStyle w:val="Bibliography"/>
      </w:pPr>
      <w:r>
        <w:t xml:space="preserve">344.</w:t>
      </w:r>
      <w:r>
        <w:t xml:space="preserve"> </w:t>
      </w:r>
      <w:r>
        <w:t xml:space="preserve">	</w:t>
      </w:r>
      <w:r>
        <w:t xml:space="preserve">Hartling, L.</w:t>
      </w:r>
      <w:r>
        <w:t xml:space="preserve"> </w:t>
      </w:r>
      <w:r>
        <w:rPr>
          <w:iCs/>
          <w:i/>
        </w:rPr>
        <w:t xml:space="preserve">et al.</w:t>
      </w:r>
      <w:r>
        <w:t xml:space="preserve"> Applying the</w:t>
      </w:r>
      <w:r>
        <w:t xml:space="preserve"> </w:t>
      </w:r>
      <w:r>
        <w:t xml:space="preserve">Risk</w:t>
      </w:r>
      <w:r>
        <w:t xml:space="preserve"> </w:t>
      </w:r>
      <w:r>
        <w:t xml:space="preserve">of</w:t>
      </w:r>
      <w:r>
        <w:t xml:space="preserve"> </w:t>
      </w:r>
      <w:r>
        <w:t xml:space="preserve">Bias Tool</w:t>
      </w:r>
      <w:r>
        <w:t xml:space="preserve"> </w:t>
      </w:r>
      <w:r>
        <w:t xml:space="preserve">in a</w:t>
      </w:r>
      <w:r>
        <w:t xml:space="preserve"> </w:t>
      </w:r>
      <w:r>
        <w:t xml:space="preserve">Systematic Review</w:t>
      </w:r>
      <w:r>
        <w:t xml:space="preserve"> </w:t>
      </w:r>
      <w:r>
        <w:t xml:space="preserve">of</w:t>
      </w:r>
      <w:r>
        <w:t xml:space="preserve"> </w:t>
      </w:r>
      <w:r>
        <w:t xml:space="preserve">Combination Long</w:t>
      </w:r>
      <w:r>
        <w:t xml:space="preserve">-</w:t>
      </w:r>
      <w:r>
        <w:t xml:space="preserve">Acting Beta</w:t>
      </w:r>
      <w:r>
        <w:t xml:space="preserve">-</w:t>
      </w:r>
      <w:r>
        <w:t xml:space="preserve">Agonists</w:t>
      </w:r>
      <w:r>
        <w:t xml:space="preserve"> </w:t>
      </w:r>
      <w:r>
        <w:t xml:space="preserve">and</w:t>
      </w:r>
      <w:r>
        <w:t xml:space="preserve"> </w:t>
      </w:r>
      <w:r>
        <w:t xml:space="preserve">Inhaled Corticosteroids</w:t>
      </w:r>
      <w:r>
        <w:t xml:space="preserve"> </w:t>
      </w:r>
      <w:r>
        <w:t xml:space="preserve">for</w:t>
      </w:r>
      <w:r>
        <w:t xml:space="preserve"> </w:t>
      </w:r>
      <w:r>
        <w:t xml:space="preserve">Persistent Asthma</w:t>
      </w:r>
      <w:r>
        <w:t xml:space="preserve">.</w:t>
      </w:r>
      <w:r>
        <w:t xml:space="preserve"> </w:t>
      </w:r>
      <w:r>
        <w:rPr>
          <w:iCs/>
          <w:i/>
        </w:rPr>
        <w:t xml:space="preserve">PLOS ONE</w:t>
      </w:r>
      <w:r>
        <w:t xml:space="preserve"> </w:t>
      </w:r>
      <w:r>
        <w:rPr>
          <w:bCs/>
          <w:b/>
        </w:rPr>
        <w:t xml:space="preserve">6</w:t>
      </w:r>
      <w:r>
        <w:t xml:space="preserve">, e17242 (2011).</w:t>
      </w:r>
    </w:p>
    <w:bookmarkEnd w:id="705"/>
    <w:bookmarkStart w:id="706" w:name="ref-minozzi2019"/>
    <w:p>
      <w:pPr>
        <w:pStyle w:val="Bibliography"/>
      </w:pPr>
      <w:r>
        <w:t xml:space="preserve">345.</w:t>
      </w:r>
      <w:r>
        <w:t xml:space="preserve"> </w:t>
      </w:r>
      <w:r>
        <w:t xml:space="preserve">	</w:t>
      </w:r>
      <w:r>
        <w:t xml:space="preserve">Minozzi, S.</w:t>
      </w:r>
      <w:r>
        <w:t xml:space="preserve"> </w:t>
      </w:r>
      <w:r>
        <w:rPr>
          <w:iCs/>
          <w:i/>
        </w:rPr>
        <w:t xml:space="preserve">et al.</w:t>
      </w:r>
      <w:r>
        <w:t xml:space="preserve"> Risk of bias in nonrandomized studies of interventions showed low inter-rater reliability and challenges in its application.</w:t>
      </w:r>
      <w:r>
        <w:t xml:space="preserve"> </w:t>
      </w:r>
      <w:r>
        <w:rPr>
          <w:iCs/>
          <w:i/>
        </w:rPr>
        <w:t xml:space="preserve">Journal of Clinical Epidemiology</w:t>
      </w:r>
      <w:r>
        <w:t xml:space="preserve"> </w:t>
      </w:r>
      <w:r>
        <w:rPr>
          <w:bCs/>
          <w:b/>
        </w:rPr>
        <w:t xml:space="preserve">112</w:t>
      </w:r>
      <w:r>
        <w:t xml:space="preserve">, 28–35 (2019).</w:t>
      </w:r>
    </w:p>
    <w:bookmarkEnd w:id="706"/>
    <w:bookmarkStart w:id="707" w:name="ref-minozzi2020"/>
    <w:p>
      <w:pPr>
        <w:pStyle w:val="Bibliography"/>
      </w:pPr>
      <w:r>
        <w:t xml:space="preserve">346.</w:t>
      </w:r>
      <w:r>
        <w:t xml:space="preserve"> </w:t>
      </w:r>
      <w:r>
        <w:t xml:space="preserve">	</w:t>
      </w:r>
      <w:r>
        <w:t xml:space="preserve">Minozzi, S., Cinquini, M., Gianola, S., Gonzalez-Lorenzo, M. &amp; Banzi, R. The revised</w:t>
      </w:r>
      <w:r>
        <w:t xml:space="preserve"> </w:t>
      </w:r>
      <w:r>
        <w:t xml:space="preserve">Cochrane</w:t>
      </w:r>
      <w:r>
        <w:t xml:space="preserve"> </w:t>
      </w:r>
      <w:r>
        <w:t xml:space="preserve">risk of bias tool for randomized trials (</w:t>
      </w:r>
      <w:r>
        <w:t xml:space="preserve">RoB</w:t>
      </w:r>
      <w:r>
        <w:t xml:space="preserve"> </w:t>
      </w:r>
      <w:r>
        <w:t xml:space="preserve">2) showed low interrater reliability and challenges in its application.</w:t>
      </w:r>
      <w:r>
        <w:t xml:space="preserve"> </w:t>
      </w:r>
      <w:r>
        <w:rPr>
          <w:iCs/>
          <w:i/>
        </w:rPr>
        <w:t xml:space="preserve">Journal of Clinical Epidemiology</w:t>
      </w:r>
      <w:r>
        <w:t xml:space="preserve"> </w:t>
      </w:r>
      <w:r>
        <w:rPr>
          <w:bCs/>
          <w:b/>
        </w:rPr>
        <w:t xml:space="preserve">126</w:t>
      </w:r>
      <w:r>
        <w:t xml:space="preserve">, 37–44 (2020).</w:t>
      </w:r>
    </w:p>
    <w:bookmarkEnd w:id="707"/>
    <w:bookmarkStart w:id="708" w:name="ref-wilks2011"/>
    <w:p>
      <w:pPr>
        <w:pStyle w:val="Bibliography"/>
      </w:pPr>
      <w:r>
        <w:t xml:space="preserve">347.</w:t>
      </w:r>
      <w:r>
        <w:t xml:space="preserve"> </w:t>
      </w:r>
      <w:r>
        <w:t xml:space="preserve">	</w:t>
      </w:r>
      <w:r>
        <w:t xml:space="preserve">Wilks, D. C.</w:t>
      </w:r>
      <w:r>
        <w:t xml:space="preserve"> </w:t>
      </w:r>
      <w:r>
        <w:rPr>
          <w:iCs/>
          <w:i/>
        </w:rPr>
        <w:t xml:space="preserve">et al.</w:t>
      </w:r>
      <w:r>
        <w:t xml:space="preserve"> Objectively</w:t>
      </w:r>
      <w:r>
        <w:t xml:space="preserve"> </w:t>
      </w:r>
      <w:r>
        <w:t xml:space="preserve">Measured Physical Activity</w:t>
      </w:r>
      <w:r>
        <w:t xml:space="preserve"> </w:t>
      </w:r>
      <w:r>
        <w:t xml:space="preserve">and</w:t>
      </w:r>
      <w:r>
        <w:t xml:space="preserve"> </w:t>
      </w:r>
      <w:r>
        <w:t xml:space="preserve">Fat Mass</w:t>
      </w:r>
      <w:r>
        <w:t xml:space="preserve"> </w:t>
      </w:r>
      <w:r>
        <w:t xml:space="preserve">in</w:t>
      </w:r>
      <w:r>
        <w:t xml:space="preserve"> </w:t>
      </w:r>
      <w:r>
        <w:t xml:space="preserve">Children</w:t>
      </w:r>
      <w:r>
        <w:t xml:space="preserve">: A</w:t>
      </w:r>
      <w:r>
        <w:t xml:space="preserve"> </w:t>
      </w:r>
      <w:r>
        <w:t xml:space="preserve">Bias</w:t>
      </w:r>
      <w:r>
        <w:t xml:space="preserve">-</w:t>
      </w:r>
      <w:r>
        <w:t xml:space="preserve">Adjusted Meta</w:t>
      </w:r>
      <w:r>
        <w:t xml:space="preserve">-</w:t>
      </w:r>
      <w:r>
        <w:t xml:space="preserve">Analysis</w:t>
      </w:r>
      <w:r>
        <w:t xml:space="preserve"> </w:t>
      </w:r>
      <w:r>
        <w:t xml:space="preserve">of</w:t>
      </w:r>
      <w:r>
        <w:t xml:space="preserve"> </w:t>
      </w:r>
      <w:r>
        <w:t xml:space="preserve">Prospective Studies</w:t>
      </w:r>
      <w:r>
        <w:t xml:space="preserve">.</w:t>
      </w:r>
      <w:r>
        <w:t xml:space="preserve"> </w:t>
      </w:r>
      <w:r>
        <w:rPr>
          <w:iCs/>
          <w:i/>
        </w:rPr>
        <w:t xml:space="preserve">PLOS ONE</w:t>
      </w:r>
      <w:r>
        <w:t xml:space="preserve"> </w:t>
      </w:r>
      <w:r>
        <w:rPr>
          <w:bCs/>
          <w:b/>
        </w:rPr>
        <w:t xml:space="preserve">6</w:t>
      </w:r>
      <w:r>
        <w:t xml:space="preserve">, e17205 (2011).</w:t>
      </w:r>
    </w:p>
    <w:bookmarkEnd w:id="708"/>
    <w:bookmarkStart w:id="709" w:name="ref-whiting2011"/>
    <w:p>
      <w:pPr>
        <w:pStyle w:val="Bibliography"/>
      </w:pPr>
      <w:r>
        <w:t xml:space="preserve">348.</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709"/>
    <w:bookmarkStart w:id="710" w:name="ref-moons2019"/>
    <w:p>
      <w:pPr>
        <w:pStyle w:val="Bibliography"/>
      </w:pPr>
      <w:r>
        <w:t xml:space="preserve">349.</w:t>
      </w:r>
      <w:r>
        <w:t xml:space="preserve"> </w:t>
      </w:r>
      <w:r>
        <w:t xml:space="preserve">	</w:t>
      </w:r>
      <w:r>
        <w:t xml:space="preserve">Moons, K. G. M.</w:t>
      </w:r>
      <w:r>
        <w:t xml:space="preserve"> </w:t>
      </w:r>
      <w:r>
        <w:rPr>
          <w:iCs/>
          <w:i/>
        </w:rPr>
        <w:t xml:space="preserve">et al.</w:t>
      </w:r>
      <w:r>
        <w:t xml:space="preserve"> </w:t>
      </w:r>
      <w:r>
        <w:t xml:space="preserve">PROBAST</w:t>
      </w:r>
      <w:r>
        <w:t xml:space="preserve">: A</w:t>
      </w:r>
      <w:r>
        <w:t xml:space="preserve"> </w:t>
      </w:r>
      <w:r>
        <w:t xml:space="preserve">Tool</w:t>
      </w:r>
      <w:r>
        <w:t xml:space="preserve"> </w:t>
      </w:r>
      <w:r>
        <w:t xml:space="preserve">to</w:t>
      </w:r>
      <w:r>
        <w:t xml:space="preserve"> </w:t>
      </w:r>
      <w:r>
        <w:t xml:space="preserve">Assess Risk</w:t>
      </w:r>
      <w:r>
        <w:t xml:space="preserve"> </w:t>
      </w:r>
      <w:r>
        <w:t xml:space="preserve">of</w:t>
      </w:r>
      <w:r>
        <w:t xml:space="preserve"> </w:t>
      </w:r>
      <w:r>
        <w:t xml:space="preserve">Bias</w:t>
      </w:r>
      <w:r>
        <w:t xml:space="preserve"> </w:t>
      </w:r>
      <w:r>
        <w:t xml:space="preserve">and</w:t>
      </w:r>
      <w:r>
        <w:t xml:space="preserve"> </w:t>
      </w:r>
      <w:r>
        <w:t xml:space="preserve">Applicability</w:t>
      </w:r>
      <w:r>
        <w:t xml:space="preserve"> </w:t>
      </w:r>
      <w:r>
        <w:t xml:space="preserve">of</w:t>
      </w:r>
      <w:r>
        <w:t xml:space="preserve"> </w:t>
      </w:r>
      <w:r>
        <w:t xml:space="preserve">Prediction Model Studies</w:t>
      </w:r>
      <w:r>
        <w:t xml:space="preserve">: Explanation and</w:t>
      </w:r>
      <w:r>
        <w:t xml:space="preserve"> </w:t>
      </w:r>
      <w:r>
        <w:t xml:space="preserve">Elaboration</w:t>
      </w:r>
      <w:r>
        <w:t xml:space="preserve">.</w:t>
      </w:r>
      <w:r>
        <w:t xml:space="preserve"> </w:t>
      </w:r>
      <w:r>
        <w:rPr>
          <w:iCs/>
          <w:i/>
        </w:rPr>
        <w:t xml:space="preserve">Annals of Internal Medicine</w:t>
      </w:r>
      <w:r>
        <w:t xml:space="preserve"> </w:t>
      </w:r>
      <w:r>
        <w:rPr>
          <w:bCs/>
          <w:b/>
        </w:rPr>
        <w:t xml:space="preserve">170</w:t>
      </w:r>
      <w:r>
        <w:t xml:space="preserve">, W1–W33 (2019).</w:t>
      </w:r>
    </w:p>
    <w:bookmarkEnd w:id="710"/>
    <w:bookmarkStart w:id="711" w:name="ref-sudlow2015"/>
    <w:p>
      <w:pPr>
        <w:pStyle w:val="Bibliography"/>
      </w:pPr>
      <w:r>
        <w:t xml:space="preserve">350.</w:t>
      </w:r>
      <w:r>
        <w:t xml:space="preserve"> </w:t>
      </w:r>
      <w:r>
        <w:t xml:space="preserve">	</w:t>
      </w:r>
      <w:r>
        <w:t xml:space="preserve">Sudlow, C.</w:t>
      </w:r>
      <w:r>
        <w:t xml:space="preserve"> </w:t>
      </w:r>
      <w:r>
        <w:rPr>
          <w:iCs/>
          <w:i/>
        </w:rPr>
        <w:t xml:space="preserve">et al.</w:t>
      </w:r>
      <w:r>
        <w:t xml:space="preserve"> </w:t>
      </w:r>
      <w:r>
        <w:t xml:space="preserve">UK Biobank</w:t>
      </w:r>
      <w:r>
        <w:t xml:space="preserve">: An</w:t>
      </w:r>
      <w:r>
        <w:t xml:space="preserve"> </w:t>
      </w:r>
      <w:r>
        <w:t xml:space="preserve">Open Access Resource</w:t>
      </w:r>
      <w:r>
        <w:t xml:space="preserve"> </w:t>
      </w:r>
      <w:r>
        <w:t xml:space="preserve">for</w:t>
      </w:r>
      <w:r>
        <w:t xml:space="preserve"> </w:t>
      </w:r>
      <w:r>
        <w:t xml:space="preserve">Identifying</w:t>
      </w:r>
      <w:r>
        <w:t xml:space="preserve"> </w:t>
      </w:r>
      <w:r>
        <w:t xml:space="preserve">the</w:t>
      </w:r>
      <w:r>
        <w:t xml:space="preserve"> </w:t>
      </w:r>
      <w:r>
        <w:t xml:space="preserve">Causes</w:t>
      </w:r>
      <w:r>
        <w:t xml:space="preserve"> </w:t>
      </w:r>
      <w:r>
        <w:t xml:space="preserve">of a</w:t>
      </w:r>
      <w:r>
        <w:t xml:space="preserve"> </w:t>
      </w:r>
      <w:r>
        <w:t xml:space="preserve">Wide Range</w:t>
      </w:r>
      <w:r>
        <w:t xml:space="preserve"> </w:t>
      </w:r>
      <w:r>
        <w:t xml:space="preserve">of</w:t>
      </w:r>
      <w:r>
        <w:t xml:space="preserve"> </w:t>
      </w:r>
      <w:r>
        <w:t xml:space="preserve">Complex Diseases</w:t>
      </w:r>
      <w:r>
        <w:t xml:space="preserve"> </w:t>
      </w:r>
      <w:r>
        <w:t xml:space="preserve">of</w:t>
      </w:r>
      <w:r>
        <w:t xml:space="preserve"> </w:t>
      </w:r>
      <w:r>
        <w:t xml:space="preserve">Middle</w:t>
      </w:r>
      <w:r>
        <w:t xml:space="preserve"> </w:t>
      </w:r>
      <w:r>
        <w:t xml:space="preserve">and</w:t>
      </w:r>
      <w:r>
        <w:t xml:space="preserve"> </w:t>
      </w:r>
      <w:r>
        <w:t xml:space="preserve">Old Age</w:t>
      </w:r>
      <w:r>
        <w:t xml:space="preserve">.</w:t>
      </w:r>
      <w:r>
        <w:t xml:space="preserve"> </w:t>
      </w:r>
      <w:r>
        <w:rPr>
          <w:iCs/>
          <w:i/>
        </w:rPr>
        <w:t xml:space="preserve">PLOS Medicine</w:t>
      </w:r>
      <w:r>
        <w:t xml:space="preserve"> </w:t>
      </w:r>
      <w:r>
        <w:rPr>
          <w:bCs/>
          <w:b/>
        </w:rPr>
        <w:t xml:space="preserve">12</w:t>
      </w:r>
      <w:r>
        <w:t xml:space="preserve">, e1001779 (2015).</w:t>
      </w:r>
    </w:p>
    <w:bookmarkEnd w:id="711"/>
    <w:bookmarkStart w:id="712" w:name="ref-gong2021"/>
    <w:p>
      <w:pPr>
        <w:pStyle w:val="Bibliography"/>
      </w:pPr>
      <w:r>
        <w:t xml:space="preserve">351.</w:t>
      </w:r>
      <w:r>
        <w:t xml:space="preserve"> </w:t>
      </w:r>
      <w:r>
        <w:t xml:space="preserve">	</w:t>
      </w:r>
      <w:r>
        <w:t xml:space="preserve">Gong, J., Harris, K., Peters, S. A. E. &amp; Woodward, M. Sex differences in the association between major cardiovascular risk factors in midlife and dementia: A cohort study using data from the</w:t>
      </w:r>
      <w:r>
        <w:t xml:space="preserve"> </w:t>
      </w:r>
      <w:r>
        <w:t xml:space="preserve">UK Biobank</w:t>
      </w:r>
      <w:r>
        <w:t xml:space="preserve">.</w:t>
      </w:r>
      <w:r>
        <w:t xml:space="preserve"> </w:t>
      </w:r>
      <w:r>
        <w:rPr>
          <w:iCs/>
          <w:i/>
        </w:rPr>
        <w:t xml:space="preserve">BMC Medicine</w:t>
      </w:r>
      <w:r>
        <w:t xml:space="preserve"> </w:t>
      </w:r>
      <w:r>
        <w:rPr>
          <w:bCs/>
          <w:b/>
        </w:rPr>
        <w:t xml:space="preserve">19</w:t>
      </w:r>
      <w:r>
        <w:t xml:space="preserve">, 110 (2021).</w:t>
      </w:r>
    </w:p>
    <w:bookmarkEnd w:id="712"/>
    <w:bookmarkStart w:id="714" w:name="ref-sterne2013"/>
    <w:p>
      <w:pPr>
        <w:pStyle w:val="Bibliography"/>
      </w:pPr>
      <w:r>
        <w:t xml:space="preserve">352.</w:t>
      </w:r>
      <w:r>
        <w:t xml:space="preserve"> </w:t>
      </w:r>
      <w:r>
        <w:t xml:space="preserve">	</w:t>
      </w:r>
      <w:r>
        <w:t xml:space="preserve">Sterne, J. A. Why the</w:t>
      </w:r>
      <w:r>
        <w:t xml:space="preserve"> </w:t>
      </w:r>
      <w:r>
        <w:t xml:space="preserve">Cochrane Risk</w:t>
      </w:r>
      <w:r>
        <w:t xml:space="preserve"> </w:t>
      </w:r>
      <w:r>
        <w:t xml:space="preserve">of</w:t>
      </w:r>
      <w:r>
        <w:t xml:space="preserve"> </w:t>
      </w:r>
      <w:r>
        <w:t xml:space="preserve">Bias Tool Should</w:t>
      </w:r>
      <w:r>
        <w:t xml:space="preserve"> </w:t>
      </w:r>
      <w:r>
        <w:t xml:space="preserve">not</w:t>
      </w:r>
      <w:r>
        <w:t xml:space="preserve"> </w:t>
      </w:r>
      <w:r>
        <w:t xml:space="preserve">Include Funding Source</w:t>
      </w:r>
      <w:r>
        <w:t xml:space="preserve"> </w:t>
      </w:r>
      <w:r>
        <w:t xml:space="preserve">as a</w:t>
      </w:r>
      <w:r>
        <w:t xml:space="preserve"> </w:t>
      </w:r>
      <w:r>
        <w:t xml:space="preserve">Standard Item</w:t>
      </w:r>
      <w:r>
        <w:t xml:space="preserve">.</w:t>
      </w:r>
      <w:r>
        <w:t xml:space="preserve"> </w:t>
      </w:r>
      <w:r>
        <w:rPr>
          <w:iCs/>
          <w:i/>
        </w:rPr>
        <w:t xml:space="preserve">Cochrane Database of Systematic Reviews</w:t>
      </w:r>
      <w:r>
        <w:t xml:space="preserve"> </w:t>
      </w:r>
      <w:r>
        <w:t xml:space="preserve">(2013). doi:</w:t>
      </w:r>
      <w:hyperlink r:id="rId713">
        <w:r>
          <w:rPr>
            <w:rStyle w:val="Hyperlink"/>
          </w:rPr>
          <w:t xml:space="preserve">10.1002/14651858.ED000076</w:t>
        </w:r>
      </w:hyperlink>
    </w:p>
    <w:bookmarkEnd w:id="714"/>
    <w:bookmarkStart w:id="715" w:name="ref-R-base"/>
    <w:p>
      <w:pPr>
        <w:pStyle w:val="Bibliography"/>
      </w:pPr>
      <w:r>
        <w:t xml:space="preserve">353.</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715"/>
    <w:bookmarkStart w:id="716" w:name="ref-R-bookdown"/>
    <w:p>
      <w:pPr>
        <w:pStyle w:val="Bibliography"/>
      </w:pPr>
      <w:r>
        <w:t xml:space="preserve">354.</w:t>
      </w:r>
      <w:r>
        <w:t xml:space="preserve"> </w:t>
      </w:r>
      <w:r>
        <w:t xml:space="preserve">	</w:t>
      </w:r>
      <w:r>
        <w:t xml:space="preserve">Xie, Y.</w:t>
      </w:r>
      <w:r>
        <w:t xml:space="preserve"> </w:t>
      </w:r>
      <w:r>
        <w:rPr>
          <w:iCs/>
          <w:i/>
        </w:rPr>
        <w:t xml:space="preserve">Bookdown: Authoring books and technical documents with r markdown</w:t>
      </w:r>
      <w:r>
        <w:t xml:space="preserve">. (2021).</w:t>
      </w:r>
    </w:p>
    <w:bookmarkEnd w:id="716"/>
    <w:bookmarkStart w:id="717" w:name="ref-R-dagitty"/>
    <w:p>
      <w:pPr>
        <w:pStyle w:val="Bibliography"/>
      </w:pPr>
      <w:r>
        <w:t xml:space="preserve">355.</w:t>
      </w:r>
      <w:r>
        <w:t xml:space="preserve"> </w:t>
      </w:r>
      <w:r>
        <w:t xml:space="preserve">	</w:t>
      </w:r>
      <w:r>
        <w:t xml:space="preserve">Textor, J., der Zander, B. van &amp; Ankan, A.</w:t>
      </w:r>
      <w:r>
        <w:t xml:space="preserve"> </w:t>
      </w:r>
      <w:r>
        <w:rPr>
          <w:iCs/>
          <w:i/>
        </w:rPr>
        <w:t xml:space="preserve">Dagitty: Graphical analysis of structural causal models</w:t>
      </w:r>
      <w:r>
        <w:t xml:space="preserve">. (2021).</w:t>
      </w:r>
    </w:p>
    <w:bookmarkEnd w:id="717"/>
    <w:bookmarkStart w:id="718" w:name="ref-R-data.table"/>
    <w:p>
      <w:pPr>
        <w:pStyle w:val="Bibliography"/>
      </w:pPr>
      <w:r>
        <w:t xml:space="preserve">356.</w:t>
      </w:r>
      <w:r>
        <w:t xml:space="preserve"> </w:t>
      </w:r>
      <w:r>
        <w:t xml:space="preserve">	</w:t>
      </w:r>
      <w:r>
        <w:t xml:space="preserve">Dowle, M. &amp; Srinivasan, A.</w:t>
      </w:r>
      <w:r>
        <w:t xml:space="preserve"> </w:t>
      </w:r>
      <w:r>
        <w:rPr>
          <w:iCs/>
          <w:i/>
        </w:rPr>
        <w:t xml:space="preserve">Data.table: Extension of ‘data.frame‘</w:t>
      </w:r>
      <w:r>
        <w:t xml:space="preserve">. (2021).</w:t>
      </w:r>
    </w:p>
    <w:bookmarkEnd w:id="718"/>
    <w:bookmarkStart w:id="719" w:name="ref-R-DiagrammeR"/>
    <w:p>
      <w:pPr>
        <w:pStyle w:val="Bibliography"/>
      </w:pPr>
      <w:r>
        <w:t xml:space="preserve">357.</w:t>
      </w:r>
      <w:r>
        <w:t xml:space="preserve"> </w:t>
      </w:r>
      <w:r>
        <w:t xml:space="preserve">	</w:t>
      </w:r>
      <w:r>
        <w:t xml:space="preserve">Iannone, R.</w:t>
      </w:r>
      <w:r>
        <w:t xml:space="preserve"> </w:t>
      </w:r>
      <w:r>
        <w:rPr>
          <w:iCs/>
          <w:i/>
        </w:rPr>
        <w:t xml:space="preserve">DiagrammeR</w:t>
      </w:r>
      <w:r>
        <w:rPr>
          <w:iCs/>
          <w:i/>
        </w:rPr>
        <w:t xml:space="preserve">: Graph/</w:t>
      </w:r>
      <w:r>
        <w:rPr>
          <w:iCs/>
          <w:i/>
        </w:rPr>
        <w:t xml:space="preserve">Network</w:t>
      </w:r>
      <w:r>
        <w:rPr>
          <w:iCs/>
          <w:i/>
        </w:rPr>
        <w:t xml:space="preserve"> </w:t>
      </w:r>
      <w:r>
        <w:rPr>
          <w:iCs/>
          <w:i/>
        </w:rPr>
        <w:t xml:space="preserve">visualization</w:t>
      </w:r>
      <w:r>
        <w:t xml:space="preserve">. (2020).</w:t>
      </w:r>
    </w:p>
    <w:bookmarkEnd w:id="719"/>
    <w:bookmarkStart w:id="720" w:name="ref-R-dplyr"/>
    <w:p>
      <w:pPr>
        <w:pStyle w:val="Bibliography"/>
      </w:pPr>
      <w:r>
        <w:t xml:space="preserve">358.</w:t>
      </w:r>
      <w:r>
        <w:t xml:space="preserve"> </w:t>
      </w:r>
      <w:r>
        <w:t xml:space="preserve">	</w:t>
      </w:r>
      <w:r>
        <w:t xml:space="preserve">Wickham, H., François, R., Henry, L. &amp; Müller, K.</w:t>
      </w:r>
      <w:r>
        <w:t xml:space="preserve"> </w:t>
      </w:r>
      <w:r>
        <w:rPr>
          <w:iCs/>
          <w:i/>
        </w:rPr>
        <w:t xml:space="preserve">Dplyr: A grammar of data manipulation</w:t>
      </w:r>
      <w:r>
        <w:t xml:space="preserve">. (2021).</w:t>
      </w:r>
    </w:p>
    <w:bookmarkEnd w:id="720"/>
    <w:bookmarkStart w:id="721" w:name="ref-R-flextable"/>
    <w:p>
      <w:pPr>
        <w:pStyle w:val="Bibliography"/>
      </w:pPr>
      <w:r>
        <w:t xml:space="preserve">359.</w:t>
      </w:r>
      <w:r>
        <w:t xml:space="preserve"> </w:t>
      </w:r>
      <w:r>
        <w:t xml:space="preserve">	</w:t>
      </w:r>
      <w:r>
        <w:t xml:space="preserve">Gohel, D.</w:t>
      </w:r>
      <w:r>
        <w:t xml:space="preserve"> </w:t>
      </w:r>
      <w:r>
        <w:rPr>
          <w:iCs/>
          <w:i/>
        </w:rPr>
        <w:t xml:space="preserve">Flextable: Functions for tabular reporting</w:t>
      </w:r>
      <w:r>
        <w:t xml:space="preserve">. (2021).</w:t>
      </w:r>
    </w:p>
    <w:bookmarkEnd w:id="721"/>
    <w:bookmarkStart w:id="722" w:name="ref-R-ggdag"/>
    <w:p>
      <w:pPr>
        <w:pStyle w:val="Bibliography"/>
      </w:pPr>
      <w:r>
        <w:t xml:space="preserve">360.</w:t>
      </w:r>
      <w:r>
        <w:t xml:space="preserve"> </w:t>
      </w:r>
      <w:r>
        <w:t xml:space="preserve">	</w:t>
      </w:r>
      <w:r>
        <w:t xml:space="preserve">Barrett, M.</w:t>
      </w:r>
      <w:r>
        <w:t xml:space="preserve"> </w:t>
      </w:r>
      <w:r>
        <w:rPr>
          <w:iCs/>
          <w:i/>
        </w:rPr>
        <w:t xml:space="preserve">Ggdag: Analyze and create elegant directed acyclic graphs</w:t>
      </w:r>
      <w:r>
        <w:t xml:space="preserve">. (2021).</w:t>
      </w:r>
    </w:p>
    <w:bookmarkEnd w:id="722"/>
    <w:bookmarkStart w:id="723" w:name="ref-R-ggplot2"/>
    <w:p>
      <w:pPr>
        <w:pStyle w:val="Bibliography"/>
      </w:pPr>
      <w:r>
        <w:t xml:space="preserve">361.</w:t>
      </w:r>
      <w:r>
        <w:t xml:space="preserve"> </w:t>
      </w:r>
      <w:r>
        <w:t xml:space="preserve">	</w:t>
      </w:r>
      <w:r>
        <w:t xml:space="preserve">Wickham, H.</w:t>
      </w:r>
      <w:r>
        <w:t xml:space="preserve"> </w:t>
      </w:r>
      <w:r>
        <w:rPr>
          <w:iCs/>
          <w:i/>
        </w:rPr>
        <w:t xml:space="preserve">et al.</w:t>
      </w:r>
      <w:r>
        <w:t xml:space="preserve"> </w:t>
      </w:r>
      <w:r>
        <w:rPr>
          <w:iCs/>
          <w:i/>
        </w:rPr>
        <w:t xml:space="preserve">Ggplot2: Create elegant data visualisations using the grammar of graphics</w:t>
      </w:r>
      <w:r>
        <w:t xml:space="preserve">. (2021).</w:t>
      </w:r>
    </w:p>
    <w:bookmarkEnd w:id="723"/>
    <w:bookmarkStart w:id="724" w:name="ref-R-kableExtra"/>
    <w:p>
      <w:pPr>
        <w:pStyle w:val="Bibliography"/>
      </w:pPr>
      <w:r>
        <w:t xml:space="preserve">362.</w:t>
      </w:r>
      <w:r>
        <w:t xml:space="preserve"> </w:t>
      </w:r>
      <w:r>
        <w:t xml:space="preserve">	</w:t>
      </w:r>
      <w:r>
        <w:t xml:space="preserve">Zhu, H.</w:t>
      </w:r>
      <w:r>
        <w:t xml:space="preserve"> </w:t>
      </w:r>
      <w:r>
        <w:rPr>
          <w:iCs/>
          <w:i/>
        </w:rPr>
        <w:t xml:space="preserve">kableExtra</w:t>
      </w:r>
      <w:r>
        <w:rPr>
          <w:iCs/>
          <w:i/>
        </w:rPr>
        <w:t xml:space="preserve">: Construct complex table with kable and pipe syntax</w:t>
      </w:r>
      <w:r>
        <w:t xml:space="preserve">. (2020).</w:t>
      </w:r>
    </w:p>
    <w:bookmarkEnd w:id="724"/>
    <w:bookmarkStart w:id="725" w:name="ref-R-knitr"/>
    <w:p>
      <w:pPr>
        <w:pStyle w:val="Bibliography"/>
      </w:pPr>
      <w:r>
        <w:t xml:space="preserve">363.</w:t>
      </w:r>
      <w:r>
        <w:t xml:space="preserve"> </w:t>
      </w:r>
      <w:r>
        <w:t xml:space="preserve">	</w:t>
      </w:r>
      <w:r>
        <w:t xml:space="preserve">Xie, Y.</w:t>
      </w:r>
      <w:r>
        <w:t xml:space="preserve"> </w:t>
      </w:r>
      <w:r>
        <w:rPr>
          <w:iCs/>
          <w:i/>
        </w:rPr>
        <w:t xml:space="preserve">Knitr: A general-purpose package for dynamic report generation in r</w:t>
      </w:r>
      <w:r>
        <w:t xml:space="preserve">. (2021).</w:t>
      </w:r>
    </w:p>
    <w:bookmarkEnd w:id="725"/>
    <w:bookmarkStart w:id="726" w:name="ref-R-koRpus"/>
    <w:p>
      <w:pPr>
        <w:pStyle w:val="Bibliography"/>
      </w:pPr>
      <w:r>
        <w:t xml:space="preserve">364.</w:t>
      </w:r>
      <w:r>
        <w:t xml:space="preserve"> </w:t>
      </w:r>
      <w:r>
        <w:t xml:space="preserve">	</w:t>
      </w:r>
      <w:r>
        <w:t xml:space="preserve">Michalke, M.</w:t>
      </w:r>
      <w:r>
        <w:t xml:space="preserve"> </w:t>
      </w:r>
      <w:r>
        <w:rPr>
          <w:iCs/>
          <w:i/>
        </w:rPr>
        <w:t xml:space="preserve">koRpus</w:t>
      </w:r>
      <w:r>
        <w:rPr>
          <w:iCs/>
          <w:i/>
        </w:rPr>
        <w:t xml:space="preserve">: An r package for text analysis</w:t>
      </w:r>
      <w:r>
        <w:t xml:space="preserve">. (2018).</w:t>
      </w:r>
    </w:p>
    <w:bookmarkEnd w:id="726"/>
    <w:bookmarkStart w:id="727" w:name="ref-R-koRpus.lang.en"/>
    <w:p>
      <w:pPr>
        <w:pStyle w:val="Bibliography"/>
      </w:pPr>
      <w:r>
        <w:t xml:space="preserve">365.</w:t>
      </w:r>
      <w:r>
        <w:t xml:space="preserve"> </w:t>
      </w:r>
      <w:r>
        <w:t xml:space="preserve">	</w:t>
      </w:r>
      <w:r>
        <w:t xml:space="preserve">Michalke, M.</w:t>
      </w:r>
      <w:r>
        <w:t xml:space="preserve"> </w:t>
      </w:r>
      <w:r>
        <w:rPr>
          <w:iCs/>
          <w:i/>
        </w:rPr>
        <w:t xml:space="preserve">koRpus</w:t>
      </w:r>
      <w:r>
        <w:rPr>
          <w:iCs/>
          <w:i/>
        </w:rPr>
        <w:t xml:space="preserve">.lang.en: Language support for</w:t>
      </w:r>
      <w:r>
        <w:rPr>
          <w:iCs/>
          <w:i/>
        </w:rPr>
        <w:t xml:space="preserve"> </w:t>
      </w:r>
      <w:r>
        <w:rPr>
          <w:iCs/>
          <w:i/>
        </w:rPr>
        <w:t xml:space="preserve">koRpus</w:t>
      </w:r>
      <w:r>
        <w:rPr>
          <w:iCs/>
          <w:i/>
        </w:rPr>
        <w:t xml:space="preserve"> </w:t>
      </w:r>
      <w:r>
        <w:rPr>
          <w:iCs/>
          <w:i/>
        </w:rPr>
        <w:t xml:space="preserve">package: english</w:t>
      </w:r>
      <w:r>
        <w:t xml:space="preserve">. (2019).</w:t>
      </w:r>
    </w:p>
    <w:bookmarkEnd w:id="727"/>
    <w:bookmarkStart w:id="728" w:name="ref-R-magrittr"/>
    <w:p>
      <w:pPr>
        <w:pStyle w:val="Bibliography"/>
      </w:pPr>
      <w:r>
        <w:t xml:space="preserve">366.</w:t>
      </w:r>
      <w:r>
        <w:t xml:space="preserve"> </w:t>
      </w:r>
      <w:r>
        <w:t xml:space="preserve">	</w:t>
      </w:r>
      <w:r>
        <w:t xml:space="preserve">Bache, S. M. &amp; Wickham, H.</w:t>
      </w:r>
      <w:r>
        <w:t xml:space="preserve"> </w:t>
      </w:r>
      <w:r>
        <w:rPr>
          <w:iCs/>
          <w:i/>
        </w:rPr>
        <w:t xml:space="preserve">Magrittr: A forward-pipe operator for r</w:t>
      </w:r>
      <w:r>
        <w:t xml:space="preserve">. (2020).</w:t>
      </w:r>
    </w:p>
    <w:bookmarkEnd w:id="728"/>
    <w:bookmarkStart w:id="729" w:name="ref-R-Matrix"/>
    <w:p>
      <w:pPr>
        <w:pStyle w:val="Bibliography"/>
      </w:pPr>
      <w:r>
        <w:t xml:space="preserve">367.</w:t>
      </w:r>
      <w:r>
        <w:t xml:space="preserve"> </w:t>
      </w:r>
      <w:r>
        <w:t xml:space="preserve">	</w:t>
      </w:r>
      <w:r>
        <w:t xml:space="preserve">Bates, D. &amp; Maechler, M.</w:t>
      </w:r>
      <w:r>
        <w:t xml:space="preserve"> </w:t>
      </w:r>
      <w:r>
        <w:rPr>
          <w:iCs/>
          <w:i/>
        </w:rPr>
        <w:t xml:space="preserve">Matrix: Sparse and dense matrix classes and methods</w:t>
      </w:r>
      <w:r>
        <w:t xml:space="preserve">. (2019).</w:t>
      </w:r>
    </w:p>
    <w:bookmarkEnd w:id="729"/>
    <w:bookmarkStart w:id="730" w:name="ref-R-medrxivr"/>
    <w:p>
      <w:pPr>
        <w:pStyle w:val="Bibliography"/>
      </w:pPr>
      <w:r>
        <w:t xml:space="preserve">368.</w:t>
      </w:r>
      <w:r>
        <w:t xml:space="preserve"> </w:t>
      </w:r>
      <w:r>
        <w:t xml:space="preserve">	</w:t>
      </w:r>
      <w:r>
        <w:t xml:space="preserve">McGuinness, L. &amp; Schmidt, L.</w:t>
      </w:r>
      <w:r>
        <w:t xml:space="preserve"> </w:t>
      </w:r>
      <w:r>
        <w:rPr>
          <w:iCs/>
          <w:i/>
        </w:rPr>
        <w:t xml:space="preserve">Medrxivr: Access and search</w:t>
      </w:r>
      <w:r>
        <w:rPr>
          <w:iCs/>
          <w:i/>
        </w:rPr>
        <w:t xml:space="preserve"> </w:t>
      </w:r>
      <w:r>
        <w:rPr>
          <w:iCs/>
          <w:i/>
        </w:rPr>
        <w:t xml:space="preserve">MedRxiv</w:t>
      </w:r>
      <w:r>
        <w:rPr>
          <w:iCs/>
          <w:i/>
        </w:rPr>
        <w:t xml:space="preserve"> </w:t>
      </w:r>
      <w:r>
        <w:rPr>
          <w:iCs/>
          <w:i/>
        </w:rPr>
        <w:t xml:space="preserve">and</w:t>
      </w:r>
      <w:r>
        <w:rPr>
          <w:iCs/>
          <w:i/>
        </w:rPr>
        <w:t xml:space="preserve"> </w:t>
      </w:r>
      <w:r>
        <w:rPr>
          <w:iCs/>
          <w:i/>
        </w:rPr>
        <w:t xml:space="preserve">BioRxiv</w:t>
      </w:r>
      <w:r>
        <w:rPr>
          <w:iCs/>
          <w:i/>
        </w:rPr>
        <w:t xml:space="preserve"> </w:t>
      </w:r>
      <w:r>
        <w:rPr>
          <w:iCs/>
          <w:i/>
        </w:rPr>
        <w:t xml:space="preserve">preprint data</w:t>
      </w:r>
      <w:r>
        <w:t xml:space="preserve">. (2021).</w:t>
      </w:r>
    </w:p>
    <w:bookmarkEnd w:id="730"/>
    <w:bookmarkStart w:id="731" w:name="ref-R-networkD3"/>
    <w:p>
      <w:pPr>
        <w:pStyle w:val="Bibliography"/>
      </w:pPr>
      <w:r>
        <w:t xml:space="preserve">369.</w:t>
      </w:r>
      <w:r>
        <w:t xml:space="preserve"> </w:t>
      </w:r>
      <w:r>
        <w:t xml:space="preserve">	</w:t>
      </w:r>
      <w:r>
        <w:t xml:space="preserve">Allaire, J. J., Gandrud, C., Russell, K. &amp; Yetman, C.</w:t>
      </w:r>
      <w:r>
        <w:t xml:space="preserve"> </w:t>
      </w:r>
      <w:r>
        <w:rPr>
          <w:iCs/>
          <w:i/>
        </w:rPr>
        <w:t xml:space="preserve">networkD3</w:t>
      </w:r>
      <w:r>
        <w:rPr>
          <w:iCs/>
          <w:i/>
        </w:rPr>
        <w:t xml:space="preserve">: D3</w:t>
      </w:r>
      <w:r>
        <w:rPr>
          <w:iCs/>
          <w:i/>
        </w:rPr>
        <w:t xml:space="preserve"> </w:t>
      </w:r>
      <w:r>
        <w:rPr>
          <w:iCs/>
          <w:i/>
        </w:rPr>
        <w:t xml:space="preserve">JavaScript</w:t>
      </w:r>
      <w:r>
        <w:rPr>
          <w:iCs/>
          <w:i/>
        </w:rPr>
        <w:t xml:space="preserve"> </w:t>
      </w:r>
      <w:r>
        <w:rPr>
          <w:iCs/>
          <w:i/>
        </w:rPr>
        <w:t xml:space="preserve">network graphs from r</w:t>
      </w:r>
      <w:r>
        <w:t xml:space="preserve">. (2017).</w:t>
      </w:r>
    </w:p>
    <w:bookmarkEnd w:id="731"/>
    <w:bookmarkStart w:id="732" w:name="ref-R-patchwork"/>
    <w:p>
      <w:pPr>
        <w:pStyle w:val="Bibliography"/>
      </w:pPr>
      <w:r>
        <w:t xml:space="preserve">370.</w:t>
      </w:r>
      <w:r>
        <w:t xml:space="preserve"> </w:t>
      </w:r>
      <w:r>
        <w:t xml:space="preserve">	</w:t>
      </w:r>
      <w:r>
        <w:t xml:space="preserve">Pedersen, T. L.</w:t>
      </w:r>
      <w:r>
        <w:t xml:space="preserve"> </w:t>
      </w:r>
      <w:r>
        <w:rPr>
          <w:iCs/>
          <w:i/>
        </w:rPr>
        <w:t xml:space="preserve">Patchwork: The composer of plots</w:t>
      </w:r>
      <w:r>
        <w:t xml:space="preserve">. (2020).</w:t>
      </w:r>
    </w:p>
    <w:bookmarkEnd w:id="732"/>
    <w:bookmarkStart w:id="733" w:name="ref-R-png"/>
    <w:p>
      <w:pPr>
        <w:pStyle w:val="Bibliography"/>
      </w:pPr>
      <w:r>
        <w:t xml:space="preserve">371.</w:t>
      </w:r>
      <w:r>
        <w:t xml:space="preserve"> </w:t>
      </w:r>
      <w:r>
        <w:t xml:space="preserve">	</w:t>
      </w:r>
      <w:r>
        <w:t xml:space="preserve">Urbanek, S.</w:t>
      </w:r>
      <w:r>
        <w:t xml:space="preserve"> </w:t>
      </w:r>
      <w:r>
        <w:rPr>
          <w:iCs/>
          <w:i/>
        </w:rPr>
        <w:t xml:space="preserve">Png: Read and write</w:t>
      </w:r>
      <w:r>
        <w:rPr>
          <w:iCs/>
          <w:i/>
        </w:rPr>
        <w:t xml:space="preserve"> </w:t>
      </w:r>
      <w:r>
        <w:rPr>
          <w:iCs/>
          <w:i/>
        </w:rPr>
        <w:t xml:space="preserve">PNG</w:t>
      </w:r>
      <w:r>
        <w:rPr>
          <w:iCs/>
          <w:i/>
        </w:rPr>
        <w:t xml:space="preserve"> </w:t>
      </w:r>
      <w:r>
        <w:rPr>
          <w:iCs/>
          <w:i/>
        </w:rPr>
        <w:t xml:space="preserve">images</w:t>
      </w:r>
      <w:r>
        <w:t xml:space="preserve">. (2013).</w:t>
      </w:r>
    </w:p>
    <w:bookmarkEnd w:id="733"/>
    <w:bookmarkStart w:id="734" w:name="ref-R-readxl"/>
    <w:p>
      <w:pPr>
        <w:pStyle w:val="Bibliography"/>
      </w:pPr>
      <w:r>
        <w:t xml:space="preserve">372.</w:t>
      </w:r>
      <w:r>
        <w:t xml:space="preserve"> </w:t>
      </w:r>
      <w:r>
        <w:t xml:space="preserve">	</w:t>
      </w:r>
      <w:r>
        <w:t xml:space="preserve">Wickham, H. &amp; Bryan, J.</w:t>
      </w:r>
      <w:r>
        <w:t xml:space="preserve"> </w:t>
      </w:r>
      <w:r>
        <w:rPr>
          <w:iCs/>
          <w:i/>
        </w:rPr>
        <w:t xml:space="preserve">Readxl: Read excel files</w:t>
      </w:r>
      <w:r>
        <w:t xml:space="preserve">. (2019).</w:t>
      </w:r>
    </w:p>
    <w:bookmarkEnd w:id="734"/>
    <w:bookmarkStart w:id="735" w:name="ref-R-robvis"/>
    <w:p>
      <w:pPr>
        <w:pStyle w:val="Bibliography"/>
      </w:pPr>
      <w:r>
        <w:t xml:space="preserve">373.</w:t>
      </w:r>
      <w:r>
        <w:t xml:space="preserve"> </w:t>
      </w:r>
      <w:r>
        <w:t xml:space="preserve">	</w:t>
      </w:r>
      <w:r>
        <w:t xml:space="preserve">McGuinness, L.</w:t>
      </w:r>
      <w:r>
        <w:t xml:space="preserve"> </w:t>
      </w:r>
      <w:r>
        <w:rPr>
          <w:iCs/>
          <w:i/>
        </w:rPr>
        <w:t xml:space="preserve">Robvis: Visualize the results of risk-of-bias (</w:t>
      </w:r>
      <w:r>
        <w:rPr>
          <w:iCs/>
          <w:i/>
        </w:rPr>
        <w:t xml:space="preserve">ROB</w:t>
      </w:r>
      <w:r>
        <w:rPr>
          <w:iCs/>
          <w:i/>
        </w:rPr>
        <w:t xml:space="preserve">) assessments</w:t>
      </w:r>
      <w:r>
        <w:t xml:space="preserve">. (2021).</w:t>
      </w:r>
    </w:p>
    <w:bookmarkEnd w:id="735"/>
    <w:bookmarkStart w:id="736" w:name="ref-R-sf"/>
    <w:p>
      <w:pPr>
        <w:pStyle w:val="Bibliography"/>
      </w:pPr>
      <w:r>
        <w:t xml:space="preserve">374.</w:t>
      </w:r>
      <w:r>
        <w:t xml:space="preserve"> </w:t>
      </w:r>
      <w:r>
        <w:t xml:space="preserve">	</w:t>
      </w:r>
      <w:r>
        <w:t xml:space="preserve">Pebesma, E.</w:t>
      </w:r>
      <w:r>
        <w:t xml:space="preserve"> </w:t>
      </w:r>
      <w:r>
        <w:rPr>
          <w:iCs/>
          <w:i/>
        </w:rPr>
        <w:t xml:space="preserve">Sf: Simple features for r</w:t>
      </w:r>
      <w:r>
        <w:t xml:space="preserve">. (2021).</w:t>
      </w:r>
    </w:p>
    <w:bookmarkEnd w:id="736"/>
    <w:bookmarkStart w:id="737" w:name="ref-R-sylly"/>
    <w:p>
      <w:pPr>
        <w:pStyle w:val="Bibliography"/>
      </w:pPr>
      <w:r>
        <w:t xml:space="preserve">375.</w:t>
      </w:r>
      <w:r>
        <w:t xml:space="preserve"> </w:t>
      </w:r>
      <w:r>
        <w:t xml:space="preserve">	</w:t>
      </w:r>
      <w:r>
        <w:t xml:space="preserve">Michalke, M.</w:t>
      </w:r>
      <w:r>
        <w:t xml:space="preserve"> </w:t>
      </w:r>
      <w:r>
        <w:rPr>
          <w:iCs/>
          <w:i/>
        </w:rPr>
        <w:t xml:space="preserve">Sylly: Hyphenation and syllable counting for text analysis</w:t>
      </w:r>
      <w:r>
        <w:t xml:space="preserve">. (2018).</w:t>
      </w:r>
    </w:p>
    <w:bookmarkEnd w:id="737"/>
    <w:bookmarkStart w:id="738" w:name="ref-bookdown2016"/>
    <w:p>
      <w:pPr>
        <w:pStyle w:val="Bibliography"/>
      </w:pPr>
      <w:r>
        <w:t xml:space="preserve">376.</w:t>
      </w:r>
      <w:r>
        <w:t xml:space="preserve"> </w:t>
      </w:r>
      <w:r>
        <w:t xml:space="preserve">	</w:t>
      </w:r>
      <w:r>
        <w:t xml:space="preserve">Xie, Y.</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w:t>
      </w:r>
      <w:r>
        <w:t xml:space="preserve">Chapman and Hall/CRC</w:t>
      </w:r>
      <w:r>
        <w:t xml:space="preserve">, 2016).</w:t>
      </w:r>
    </w:p>
    <w:bookmarkEnd w:id="738"/>
    <w:bookmarkStart w:id="739" w:name="ref-dagitty2016"/>
    <w:p>
      <w:pPr>
        <w:pStyle w:val="Bibliography"/>
      </w:pPr>
      <w:r>
        <w:t xml:space="preserve">377.</w:t>
      </w:r>
      <w:r>
        <w:t xml:space="preserve"> </w:t>
      </w:r>
      <w:r>
        <w:t xml:space="preserve">	</w:t>
      </w:r>
      <w:r>
        <w:t xml:space="preserve">Textor, J., der Zander, B. van, Gilthorpe, M. S., Liśkiewicz, M. &amp; Ellison, G. T. Robust causal inference using directed acyclic graphs: The</w:t>
      </w:r>
      <w:r>
        <w:t xml:space="preserve"> </w:t>
      </w:r>
      <w:r>
        <w:t xml:space="preserve">R</w:t>
      </w:r>
      <w:r>
        <w:t xml:space="preserve"> </w:t>
      </w:r>
      <w:r>
        <w:t xml:space="preserve">package ’dagitty’.</w:t>
      </w:r>
      <w:r>
        <w:t xml:space="preserve"> </w:t>
      </w:r>
      <w:r>
        <w:rPr>
          <w:iCs/>
          <w:i/>
        </w:rPr>
        <w:t xml:space="preserve">International Journal of Epidemiology</w:t>
      </w:r>
      <w:r>
        <w:t xml:space="preserve"> </w:t>
      </w:r>
      <w:r>
        <w:rPr>
          <w:bCs/>
          <w:b/>
        </w:rPr>
        <w:t xml:space="preserve">45</w:t>
      </w:r>
      <w:r>
        <w:t xml:space="preserve">, 1887–1894 (2016).</w:t>
      </w:r>
    </w:p>
    <w:bookmarkEnd w:id="739"/>
    <w:bookmarkStart w:id="740" w:name="ref-ggplot22016"/>
    <w:p>
      <w:pPr>
        <w:pStyle w:val="Bibliography"/>
      </w:pPr>
      <w:r>
        <w:t xml:space="preserve">378.</w:t>
      </w:r>
      <w:r>
        <w:t xml:space="preserve"> </w:t>
      </w:r>
      <w:r>
        <w:t xml:space="preserve">	</w:t>
      </w:r>
      <w:r>
        <w:t xml:space="preserve">Wickham, H.</w:t>
      </w:r>
      <w:r>
        <w:t xml:space="preserve"> </w:t>
      </w:r>
      <w:r>
        <w:rPr>
          <w:iCs/>
          <w:i/>
        </w:rPr>
        <w:t xml:space="preserve">Ggplot2: Elegant graphics for data analysis</w:t>
      </w:r>
      <w:r>
        <w:t xml:space="preserve">. (</w:t>
      </w:r>
      <w:r>
        <w:t xml:space="preserve">Springer-Verlag New York</w:t>
      </w:r>
      <w:r>
        <w:t xml:space="preserve">, 2016).</w:t>
      </w:r>
    </w:p>
    <w:bookmarkEnd w:id="740"/>
    <w:bookmarkStart w:id="741" w:name="ref-knitr2015"/>
    <w:p>
      <w:pPr>
        <w:pStyle w:val="Bibliography"/>
      </w:pPr>
      <w:r>
        <w:t xml:space="preserve">379.</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741"/>
    <w:bookmarkStart w:id="742" w:name="ref-knitr2014"/>
    <w:p>
      <w:pPr>
        <w:pStyle w:val="Bibliography"/>
      </w:pPr>
      <w:r>
        <w:t xml:space="preserve">380.</w:t>
      </w:r>
      <w:r>
        <w:t xml:space="preserve"> </w:t>
      </w:r>
      <w:r>
        <w:t xml:space="preserve">	</w:t>
      </w:r>
      <w:r>
        <w:t xml:space="preserve">Xie, Y. Knitr: A comprehensive tool for reproducible research in</w:t>
      </w:r>
      <w:r>
        <w:t xml:space="preserve"> </w:t>
      </w:r>
      <w:r>
        <w:t xml:space="preserve">R</w:t>
      </w:r>
      <w:r>
        <w:t xml:space="preserve">. in</w:t>
      </w:r>
      <w:r>
        <w:t xml:space="preserve"> </w:t>
      </w:r>
      <w:r>
        <w:rPr>
          <w:iCs/>
          <w:i/>
        </w:rPr>
        <w:t xml:space="preserve">Implementing reproducible computational research</w:t>
      </w:r>
      <w:r>
        <w:t xml:space="preserve"> </w:t>
      </w:r>
      <w:r>
        <w:t xml:space="preserve">(eds. Stodden, V., Leisch, F. &amp; Peng, R. D.) (</w:t>
      </w:r>
      <w:r>
        <w:t xml:space="preserve">Chapman and Hall/CRC</w:t>
      </w:r>
      <w:r>
        <w:t xml:space="preserve">, 2014).</w:t>
      </w:r>
    </w:p>
    <w:bookmarkEnd w:id="742"/>
    <w:bookmarkStart w:id="743" w:name="ref-koRpus2018"/>
    <w:p>
      <w:pPr>
        <w:pStyle w:val="Bibliography"/>
      </w:pPr>
      <w:r>
        <w:t xml:space="preserve">381.</w:t>
      </w:r>
      <w:r>
        <w:t xml:space="preserve"> </w:t>
      </w:r>
      <w:r>
        <w:t xml:space="preserve">	</w:t>
      </w:r>
      <w:r>
        <w:t xml:space="preserve">Michalke, M.</w:t>
      </w:r>
      <w:r>
        <w:t xml:space="preserve"> </w:t>
      </w:r>
      <w:r>
        <w:rPr>
          <w:iCs/>
          <w:i/>
        </w:rPr>
        <w:t xml:space="preserve">koRpus</w:t>
      </w:r>
      <w:r>
        <w:rPr>
          <w:iCs/>
          <w:i/>
        </w:rPr>
        <w:t xml:space="preserve">: An r package for text analysis</w:t>
      </w:r>
      <w:r>
        <w:t xml:space="preserve">. (2018).</w:t>
      </w:r>
    </w:p>
    <w:bookmarkEnd w:id="743"/>
    <w:bookmarkStart w:id="744" w:name="ref-koRpus.lang.en2019"/>
    <w:p>
      <w:pPr>
        <w:pStyle w:val="Bibliography"/>
      </w:pPr>
      <w:r>
        <w:t xml:space="preserve">382.</w:t>
      </w:r>
      <w:r>
        <w:t xml:space="preserve"> </w:t>
      </w:r>
      <w:r>
        <w:t xml:space="preserve">	</w:t>
      </w:r>
      <w:r>
        <w:t xml:space="preserve">Michalke, M.</w:t>
      </w:r>
      <w:r>
        <w:t xml:space="preserve"> </w:t>
      </w:r>
      <w:r>
        <w:rPr>
          <w:iCs/>
          <w:i/>
        </w:rPr>
        <w:t xml:space="preserve">koRpus</w:t>
      </w:r>
      <w:r>
        <w:rPr>
          <w:iCs/>
          <w:i/>
        </w:rPr>
        <w:t xml:space="preserve">.lang.en: Language support for ’</w:t>
      </w:r>
      <w:r>
        <w:rPr>
          <w:iCs/>
          <w:i/>
        </w:rPr>
        <w:t xml:space="preserve">koRpus</w:t>
      </w:r>
      <w:r>
        <w:rPr>
          <w:iCs/>
          <w:i/>
        </w:rPr>
        <w:t xml:space="preserve">’ package: english</w:t>
      </w:r>
      <w:r>
        <w:t xml:space="preserve">. (2019).</w:t>
      </w:r>
    </w:p>
    <w:bookmarkEnd w:id="744"/>
    <w:bookmarkStart w:id="745" w:name="ref-medrxivr2020"/>
    <w:p>
      <w:pPr>
        <w:pStyle w:val="Bibliography"/>
      </w:pPr>
      <w:r>
        <w:t xml:space="preserve">383.</w:t>
      </w:r>
      <w:r>
        <w:t xml:space="preserve"> </w:t>
      </w:r>
      <w:r>
        <w:t xml:space="preserve">	</w:t>
      </w:r>
      <w:r>
        <w:t xml:space="preserve">McGuinness, L. A.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745"/>
    <w:bookmarkStart w:id="746" w:name="ref-metafor2010"/>
    <w:p>
      <w:pPr>
        <w:pStyle w:val="Bibliography"/>
      </w:pPr>
      <w:r>
        <w:t xml:space="preserve">384.</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rPr>
          <w:bCs/>
          <w:b/>
        </w:rPr>
        <w:t xml:space="preserve">36</w:t>
      </w:r>
      <w:r>
        <w:t xml:space="preserve">, 1–48 (2010).</w:t>
      </w:r>
    </w:p>
    <w:bookmarkEnd w:id="746"/>
    <w:bookmarkStart w:id="747" w:name="ref-robvis2020"/>
    <w:p>
      <w:pPr>
        <w:pStyle w:val="Bibliography"/>
      </w:pPr>
      <w:r>
        <w:t xml:space="preserve">385.</w:t>
      </w:r>
      <w:r>
        <w:t xml:space="preserve"> </w:t>
      </w:r>
      <w:r>
        <w:t xml:space="preserve">	</w:t>
      </w:r>
      <w:r>
        <w:t xml:space="preserve">McGuinness, L. A. &amp; Higgins, J. P.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49">
        <w:r>
          <w:rPr>
            <w:rStyle w:val="Hyperlink"/>
          </w:rPr>
          <w:t xml:space="preserve">10.1002/jrsm.1411</w:t>
        </w:r>
      </w:hyperlink>
    </w:p>
    <w:bookmarkEnd w:id="747"/>
    <w:bookmarkStart w:id="748" w:name="ref-sf2018"/>
    <w:p>
      <w:pPr>
        <w:pStyle w:val="Bibliography"/>
      </w:pPr>
      <w:r>
        <w:t xml:space="preserve">386.</w:t>
      </w:r>
      <w:r>
        <w:t xml:space="preserve"> </w:t>
      </w:r>
      <w:r>
        <w:t xml:space="preserve">	</w:t>
      </w:r>
      <w:r>
        <w:t xml:space="preserve">Pebesma, E. Simple features for r: Standardized support for spatial vector data.</w:t>
      </w:r>
      <w:r>
        <w:t xml:space="preserve"> </w:t>
      </w:r>
      <w:r>
        <w:rPr>
          <w:iCs/>
          <w:i/>
        </w:rPr>
        <w:t xml:space="preserve">The R Journal</w:t>
      </w:r>
      <w:r>
        <w:t xml:space="preserve"> </w:t>
      </w:r>
      <w:r>
        <w:rPr>
          <w:bCs/>
          <w:b/>
        </w:rPr>
        <w:t xml:space="preserve">10</w:t>
      </w:r>
      <w:r>
        <w:t xml:space="preserve">, 439–446 (2018).</w:t>
      </w:r>
    </w:p>
    <w:bookmarkEnd w:id="748"/>
    <w:bookmarkStart w:id="749" w:name="ref-sylly2018"/>
    <w:p>
      <w:pPr>
        <w:pStyle w:val="Bibliography"/>
      </w:pPr>
      <w:r>
        <w:t xml:space="preserve">387.</w:t>
      </w:r>
      <w:r>
        <w:t xml:space="preserve"> </w:t>
      </w:r>
      <w:r>
        <w:t xml:space="preserve">	</w:t>
      </w:r>
      <w:r>
        <w:t xml:space="preserve">Michalke, M.</w:t>
      </w:r>
      <w:r>
        <w:t xml:space="preserve"> </w:t>
      </w:r>
      <w:r>
        <w:rPr>
          <w:iCs/>
          <w:i/>
        </w:rPr>
        <w:t xml:space="preserve">Sylly: Hyphenation and syllable counting for text analysis</w:t>
      </w:r>
      <w:r>
        <w:t xml:space="preserve">. (2018).</w:t>
      </w:r>
    </w:p>
    <w:bookmarkEnd w:id="749"/>
    <w:bookmarkStart w:id="750" w:name="ref-wilson2014"/>
    <w:p>
      <w:pPr>
        <w:pStyle w:val="Bibliography"/>
      </w:pPr>
      <w:r>
        <w:t xml:space="preserve">388.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750"/>
    <w:bookmarkStart w:id="751" w:name="ref-wilson2017"/>
    <w:p>
      <w:pPr>
        <w:pStyle w:val="Bibliography"/>
      </w:pPr>
      <w:r>
        <w:t xml:space="preserve">389.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751"/>
    <w:bookmarkEnd w:id="752"/>
    <w:bookmarkEnd w:id="753"/>
    <w:bookmarkStart w:id="754" w:name="appendix"/>
    <w:p>
      <w:pPr>
        <w:pStyle w:val="Heading1"/>
      </w:pPr>
      <w:r>
        <w:t xml:space="preserve">Appendix</w:t>
      </w:r>
    </w:p>
    <w:bookmarkEnd w:id="754"/>
    <w:bookmarkStart w:id="780" w:name="chapter-appendix-heading"/>
    <w:p>
      <w:pPr>
        <w:pStyle w:val="Heading1"/>
      </w:pPr>
      <w:r>
        <w:t xml:space="preserve">By Chapter</w:t>
      </w:r>
    </w:p>
    <w:bookmarkStart w:id="757" w:name="appendix-into"/>
    <w:p>
      <w:pPr>
        <w:pStyle w:val="Heading2"/>
      </w:pPr>
      <w:r>
        <w:t xml:space="preserve">Chapter</w:t>
      </w:r>
      <w:r>
        <w:t xml:space="preserve"> </w:t>
      </w:r>
      <w:r>
        <w:t xml:space="preserve">1</w:t>
      </w:r>
    </w:p>
    <w:bookmarkStart w:id="755" w:name="appendix-publications"/>
    <w:p>
      <w:pPr>
        <w:pStyle w:val="Heading3"/>
      </w:pPr>
      <w:r>
        <w:t xml:space="preserve">Publications beyond the scope of this thesis</w:t>
      </w:r>
    </w:p>
    <w:p>
      <w:pPr>
        <w:pStyle w:val="FirstParagraph"/>
      </w:pPr>
      <w:r>
        <w:rPr>
          <w:bCs/>
          <w:b/>
        </w:rPr>
        <w:t xml:space="preserve">Peer reviewed</w:t>
      </w:r>
    </w:p>
    <w:p>
      <w:pPr>
        <w:numPr>
          <w:ilvl w:val="0"/>
          <w:numId w:val="1021"/>
        </w:numPr>
      </w:pPr>
      <w:r>
        <w:t xml:space="preserve">PRISMA main paper</w:t>
      </w:r>
    </w:p>
    <w:p>
      <w:pPr>
        <w:numPr>
          <w:ilvl w:val="0"/>
          <w:numId w:val="1021"/>
        </w:numPr>
      </w:pPr>
      <w:r>
        <w:t xml:space="preserve">PRISMA E&amp;E</w:t>
      </w:r>
    </w:p>
    <w:p>
      <w:pPr>
        <w:numPr>
          <w:ilvl w:val="0"/>
          <w:numId w:val="1021"/>
        </w:numPr>
      </w:pPr>
      <w:r>
        <w:t xml:space="preserve">PRISMA 2020 software</w:t>
      </w:r>
    </w:p>
    <w:p>
      <w:pPr>
        <w:numPr>
          <w:ilvl w:val="0"/>
          <w:numId w:val="1021"/>
        </w:numPr>
      </w:pPr>
      <w:r>
        <w:t xml:space="preserve">COVID Suicide Living Review</w:t>
      </w:r>
    </w:p>
    <w:p>
      <w:pPr>
        <w:numPr>
          <w:ilvl w:val="0"/>
          <w:numId w:val="1021"/>
        </w:numPr>
      </w:pPr>
      <w:r>
        <w:t xml:space="preserve">Data extraction tools systematic review</w:t>
      </w:r>
    </w:p>
    <w:p>
      <w:pPr>
        <w:pStyle w:val="FirstParagraph"/>
      </w:pPr>
      <w:r>
        <w:rPr>
          <w:bCs/>
          <w:b/>
        </w:rPr>
        <w:t xml:space="preserve">Under review/Preprints</w:t>
      </w:r>
    </w:p>
    <w:p>
      <w:pPr>
        <w:numPr>
          <w:ilvl w:val="0"/>
          <w:numId w:val="1022"/>
        </w:numPr>
      </w:pPr>
      <w:r>
        <w:t xml:space="preserve">MSc Paper on systematic reviews of this thesis topic</w:t>
      </w:r>
    </w:p>
    <w:bookmarkEnd w:id="755"/>
    <w:bookmarkStart w:id="756"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756"/>
    <w:bookmarkEnd w:id="757"/>
    <w:bookmarkStart w:id="759" w:name="appendix-sys-rev-tools"/>
    <w:p>
      <w:pPr>
        <w:pStyle w:val="Heading2"/>
      </w:pPr>
      <w:r>
        <w:t xml:space="preserve">Chapter</w:t>
      </w:r>
      <w:r>
        <w:t xml:space="preserve"> </w:t>
      </w:r>
      <w:r>
        <w:t xml:space="preserve">2</w:t>
      </w:r>
    </w:p>
    <w:bookmarkStart w:id="758"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758"/>
    <w:bookmarkEnd w:id="759"/>
    <w:bookmarkStart w:id="766" w:name="appendix-sys-rev"/>
    <w:p>
      <w:pPr>
        <w:pStyle w:val="Heading2"/>
      </w:pPr>
      <w:r>
        <w:t xml:space="preserve">Chapter</w:t>
      </w:r>
      <w:r>
        <w:t xml:space="preserve"> </w:t>
      </w:r>
      <w:r>
        <w:t xml:space="preserve">3</w:t>
      </w:r>
    </w:p>
    <w:bookmarkStart w:id="760" w:name="deviations-from-protocol"/>
    <w:p>
      <w:pPr>
        <w:pStyle w:val="Heading3"/>
      </w:pPr>
      <w:r>
        <w:t xml:space="preserve">Deviations from protocol</w:t>
      </w:r>
    </w:p>
    <w:p>
      <w:pPr>
        <w:numPr>
          <w:ilvl w:val="0"/>
          <w:numId w:val="1023"/>
        </w:numPr>
      </w:pPr>
      <w:r>
        <w:t xml:space="preserve">MR tool, actually used Mamluk</w:t>
      </w:r>
    </w:p>
    <w:p>
      <w:pPr>
        <w:numPr>
          <w:ilvl w:val="0"/>
          <w:numId w:val="1023"/>
        </w:numPr>
      </w:pPr>
      <w:r>
        <w:t xml:space="preserve">ROB-ME</w:t>
      </w:r>
    </w:p>
    <w:p>
      <w:pPr>
        <w:numPr>
          <w:ilvl w:val="0"/>
          <w:numId w:val="1023"/>
        </w:numPr>
      </w:pPr>
      <w:r>
        <w:t xml:space="preserve">No MCI, given size of dementia findings</w:t>
      </w:r>
    </w:p>
    <w:p>
      <w:pPr>
        <w:numPr>
          <w:ilvl w:val="0"/>
          <w:numId w:val="1023"/>
        </w:numPr>
      </w:pPr>
      <w:r>
        <w:t xml:space="preserve">Sources of funding: Given that any bias introduced by sources of funding would operate , conflicts of interest and bias were considered seperate things here.</w:t>
      </w:r>
      <w:hyperlink w:anchor="ref-sterne2013">
        <w:r>
          <w:rPr>
            <w:rStyle w:val="Hyperlink"/>
            <w:vertAlign w:val="superscript"/>
          </w:rPr>
          <w:t xml:space="preserve">352</w:t>
        </w:r>
      </w:hyperlink>
    </w:p>
    <w:p>
      <w:pPr>
        <w:numPr>
          <w:ilvl w:val="0"/>
          <w:numId w:val="1023"/>
        </w:numPr>
      </w:pPr>
      <w:r>
        <w:t xml:space="preserve">Dose response</w:t>
      </w:r>
    </w:p>
    <w:bookmarkEnd w:id="760"/>
    <w:bookmarkStart w:id="761" w:name="appendix-search-strategy"/>
    <w:p>
      <w:pPr>
        <w:pStyle w:val="Heading3"/>
      </w:pPr>
      <w:r>
        <w:t xml:space="preserve">Search strategy</w:t>
      </w:r>
    </w:p>
    <w:p>
      <w:pPr>
        <w:pStyle w:val="FirstParagraph"/>
      </w:pPr>
      <w:r>
        <w:t xml:space="preserve"> </w:t>
      </w:r>
    </w:p>
    <w:p>
      <w:pPr>
        <w:pStyle w:val="TableCaption"/>
      </w:pPr>
      <w:r>
        <w:t xml:space="preserve">Table 23:</w:t>
      </w:r>
      <w:r>
        <w:t xml:space="preserve"> </w:t>
      </w:r>
      <w:bookmarkStart w:id="69731257-cb93-44ae-8376-073daf1494ae" w:name="tab:searchHits-table"/>
      <w:r>
        <w:t xml:space="preserve">Overview of the full Medline search strategy.</w:t>
      </w:r>
      <w:bookmarkEnd w:id="69731257-cb93-44ae-8376-073daf1494a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761"/>
    <w:bookmarkStart w:id="762" w:name="appendix-wos-databases"/>
    <w:p>
      <w:pPr>
        <w:pStyle w:val="Heading3"/>
      </w:pPr>
      <w:r>
        <w:t xml:space="preserve">Web of Science Databases Searched</w:t>
      </w:r>
    </w:p>
    <w:p>
      <w:pPr>
        <w:pStyle w:val="FirstParagraph"/>
      </w:pPr>
      <w:r>
        <w:t xml:space="preserve"> </w:t>
      </w:r>
    </w:p>
    <w:p>
      <w:pPr>
        <w:pStyle w:val="BodyText"/>
      </w:pPr>
      <w:r>
        <w:t xml:space="preserve">Table 24: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762"/>
    <w:bookmarkStart w:id="763"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763"/>
    <w:bookmarkStart w:id="764"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12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13</m:t>
          </m:r>
          <m:r>
            <m:rPr>
              <m:sty m:val="p"/>
            </m:rPr>
            <m:t>)</m:t>
          </m:r>
        </m:oMath>
      </m:oMathPara>
    </w:p>
    <w:bookmarkEnd w:id="764"/>
    <w:bookmarkStart w:id="765" w:name="appendix-mr-rob"/>
    <w:p>
      <w:pPr>
        <w:pStyle w:val="Heading3"/>
      </w:pPr>
      <w:r>
        <w:t xml:space="preserve">MR risk of bias tool</w:t>
      </w:r>
    </w:p>
    <w:p>
      <w:pPr>
        <w:pStyle w:val="FirstParagraph"/>
      </w:pPr>
      <w:r>
        <w:t xml:space="preserve">Table 25: Tool used to assess risk of bias in Mendelian randomisation studies, adapted from that developed by Mamluk et al.</w:t>
      </w:r>
      <w:hyperlink w:anchor="ref-mamluk2020">
        <w:r>
          <w:rPr>
            <w:rStyle w:val="Hyperlink"/>
            <w:vertAlign w:val="superscript"/>
          </w:rPr>
          <w:t xml:space="preserve">160</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765"/>
    <w:bookmarkEnd w:id="766"/>
    <w:bookmarkStart w:id="770" w:name="chapter-4"/>
    <w:p>
      <w:pPr>
        <w:pStyle w:val="Heading2"/>
      </w:pPr>
      <w:r>
        <w:t xml:space="preserve">Chapter</w:t>
      </w:r>
      <w:r>
        <w:t xml:space="preserve"> </w:t>
      </w:r>
      <w:r>
        <w:t xml:space="preserve">4</w:t>
      </w:r>
    </w:p>
    <w:bookmarkStart w:id="769" w:name="dose-response-plots-by-fraction"/>
    <w:p>
      <w:pPr>
        <w:pStyle w:val="Heading3"/>
      </w:pPr>
      <w:r>
        <w:t xml:space="preserve">Dose response plots by fraction</w:t>
      </w:r>
    </w:p>
    <w:p>
      <w:pPr>
        <w:pStyle w:val="FirstParagraph"/>
      </w:pPr>
      <w:r>
        <w:drawing>
          <wp:inline>
            <wp:extent cx="5943600" cy="5943600"/>
            <wp:effectExtent b="0" l="0" r="0" t="0"/>
            <wp:docPr descr="Figure 50: Dose-response meta-analysis of total cholesterol on all-cause dementia" title="" id="1" name="Picture"/>
            <a:graphic>
              <a:graphicData uri="http://schemas.openxmlformats.org/drawingml/2006/picture">
                <pic:pic>
                  <pic:nvPicPr>
                    <pic:cNvPr descr="figures/sys-rev/dr_Dementia_TC.png" id="0" name="Picture"/>
                    <pic:cNvPicPr>
                      <a:picLocks noChangeArrowheads="1" noChangeAspect="1"/>
                    </pic:cNvPicPr>
                  </pic:nvPicPr>
                  <pic:blipFill>
                    <a:blip r:embed="rId76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drawing>
          <wp:inline>
            <wp:extent cx="5943600" cy="5943600"/>
            <wp:effectExtent b="0" l="0" r="0" t="0"/>
            <wp:docPr descr="Figure 51: Dose-response meta-analysis of low-density lipoprotein cholesterol on Alzheimer’s disease" title="" id="1" name="Picture"/>
            <a:graphic>
              <a:graphicData uri="http://schemas.openxmlformats.org/drawingml/2006/picture">
                <pic:pic>
                  <pic:nvPicPr>
                    <pic:cNvPr descr="figures/sys-rev/dr_AD_LDL.png" id="0" name="Picture"/>
                    <pic:cNvPicPr>
                      <a:picLocks noChangeArrowheads="1" noChangeAspect="1"/>
                    </pic:cNvPicPr>
                  </pic:nvPicPr>
                  <pic:blipFill>
                    <a:blip r:embed="rId76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bookmarkEnd w:id="769"/>
    <w:bookmarkEnd w:id="770"/>
    <w:bookmarkStart w:id="772" w:name="appendix-cprd-analysis"/>
    <w:p>
      <w:pPr>
        <w:pStyle w:val="Heading2"/>
      </w:pPr>
      <w:r>
        <w:t xml:space="preserve">Chapter</w:t>
      </w:r>
      <w:r>
        <w:t xml:space="preserve"> </w:t>
      </w:r>
      <w:r>
        <w:t xml:space="preserve">5</w:t>
      </w:r>
    </w:p>
    <w:bookmarkStart w:id="771" w:name="appendix-cprd-amendments"/>
    <w:p>
      <w:pPr>
        <w:pStyle w:val="Heading3"/>
      </w:pPr>
      <w:r>
        <w:t xml:space="preserve">Amendments to protocol</w:t>
      </w:r>
    </w:p>
    <w:bookmarkEnd w:id="771"/>
    <w:bookmarkEnd w:id="772"/>
    <w:bookmarkStart w:id="775" w:name="appendix-tri-analysis"/>
    <w:p>
      <w:pPr>
        <w:pStyle w:val="Heading2"/>
      </w:pPr>
      <w:r>
        <w:t xml:space="preserve">Chapter</w:t>
      </w:r>
      <w:r>
        <w:t xml:space="preserve"> </w:t>
      </w:r>
      <w:r>
        <w:t xml:space="preserve">7</w:t>
      </w:r>
    </w:p>
    <w:bookmarkStart w:id="773" w:name="X9e92eeae05a353be19236349a0611371c7c7944"/>
    <w:p>
      <w:pPr>
        <w:pStyle w:val="Heading3"/>
      </w:pPr>
      <w:r>
        <w:t xml:space="preserve">Calculation of average adjustment from expert elicitation</w:t>
      </w:r>
    </w:p>
    <w:bookmarkEnd w:id="773"/>
    <w:bookmarkStart w:id="774" w:name="code-lists"/>
    <w:p>
      <w:pPr>
        <w:pStyle w:val="Heading3"/>
      </w:pPr>
      <w:r>
        <w:t xml:space="preserve">Code lists</w:t>
      </w:r>
    </w:p>
    <w:bookmarkEnd w:id="774"/>
    <w:bookmarkEnd w:id="775"/>
    <w:bookmarkStart w:id="777" w:name="appendix-ipd-analysis"/>
    <w:p>
      <w:pPr>
        <w:pStyle w:val="Heading2"/>
      </w:pPr>
      <w:r>
        <w:t xml:space="preserve">Chapter</w:t>
      </w:r>
      <w:r>
        <w:t xml:space="preserve"> </w:t>
      </w:r>
      <w:r>
        <w:t xml:space="preserve">6</w:t>
      </w:r>
    </w:p>
    <w:bookmarkStart w:id="776" w:name="ipd-email-collab"/>
    <w:p>
      <w:pPr>
        <w:pStyle w:val="Heading3"/>
      </w:pPr>
      <w:r>
        <w:t xml:space="preserve">Email and documents sent to potental collaborators</w:t>
      </w:r>
    </w:p>
    <w:bookmarkEnd w:id="776"/>
    <w:bookmarkEnd w:id="777"/>
    <w:bookmarkStart w:id="779" w:name="chapter-8"/>
    <w:p>
      <w:pPr>
        <w:pStyle w:val="Heading2"/>
      </w:pPr>
      <w:r>
        <w:t xml:space="preserve">Chapter</w:t>
      </w:r>
      <w:r>
        <w:t xml:space="preserve"> </w:t>
      </w:r>
      <w:r>
        <w:t xml:space="preserve">8</w:t>
      </w:r>
    </w:p>
    <w:bookmarkStart w:id="778" w:name="appendix-catalogue-failures"/>
    <w:p>
      <w:pPr>
        <w:pStyle w:val="Heading3"/>
      </w:pPr>
      <w:r>
        <w:t xml:space="preserve">Catalogue of failures</w:t>
      </w:r>
    </w:p>
    <w:p>
      <w:pPr>
        <w:pStyle w:val="FirstParagraph"/>
      </w:pPr>
      <w:r>
        <w:t xml:space="preserve">Short section detailing the things I tried to do but which did not work:</w:t>
      </w:r>
    </w:p>
    <w:p>
      <w:pPr>
        <w:pStyle w:val="BodyText"/>
      </w:pPr>
      <w:r>
        <w:t xml:space="preserve">Failing to properly scope the literature and correctly estimate the number of studies returned by the search</w:t>
      </w:r>
    </w:p>
    <w:p>
      <w:pPr>
        <w:pStyle w:val="BodyText"/>
      </w:pPr>
      <w:r>
        <w:t xml:space="preserve">failing to realise that the initial code list used for the positive control outcome of IHD in the CPRD analysis (Chapter</w:t>
      </w:r>
      <w:r>
        <w:t xml:space="preserve"> </w:t>
      </w:r>
      <w:r>
        <w:t xml:space="preserve">??</w:t>
      </w:r>
      <w:r>
        <w:t xml:space="preserve">)</w:t>
      </w:r>
    </w:p>
    <w:bookmarkEnd w:id="778"/>
    <w:bookmarkEnd w:id="779"/>
    <w:bookmarkEnd w:id="780"/>
    <w:bookmarkStart w:id="784" w:name="other-appendix-heading"/>
    <w:p>
      <w:pPr>
        <w:pStyle w:val="Heading1"/>
      </w:pPr>
      <w:r>
        <w:t xml:space="preserve">Other Appendix</w:t>
      </w:r>
    </w:p>
    <w:bookmarkStart w:id="781"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metafor">
        <w:r>
          <w:rPr>
            <w:rStyle w:val="Hyperlink"/>
            <w:vertAlign w:val="superscript"/>
          </w:rPr>
          <w:t xml:space="preserve">168</w:t>
        </w:r>
      </w:hyperlink>
      <w:r>
        <w:rPr>
          <w:vertAlign w:val="superscript"/>
        </w:rPr>
        <w:t xml:space="preserve">,</w:t>
      </w:r>
      <w:hyperlink w:anchor="ref-R-base">
        <w:r>
          <w:rPr>
            <w:rStyle w:val="Hyperlink"/>
            <w:vertAlign w:val="superscript"/>
          </w:rPr>
          <w:t xml:space="preserve">353</w:t>
        </w:r>
      </w:hyperlink>
      <w:r>
        <w:rPr>
          <w:vertAlign w:val="superscript"/>
        </w:rPr>
        <w:t xml:space="preserve">–</w:t>
      </w:r>
      <w:hyperlink w:anchor="ref-sylly2018">
        <w:r>
          <w:rPr>
            <w:rStyle w:val="Hyperlink"/>
            <w:vertAlign w:val="superscript"/>
          </w:rPr>
          <w:t xml:space="preserve">387</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388</w:t>
        </w:r>
      </w:hyperlink>
      <w:r>
        <w:rPr>
          <w:vertAlign w:val="superscript"/>
        </w:rPr>
        <w:t xml:space="preserve">,</w:t>
      </w:r>
      <w:hyperlink w:anchor="ref-wilson2017">
        <w:r>
          <w:rPr>
            <w:rStyle w:val="Hyperlink"/>
            <w:vertAlign w:val="superscript"/>
          </w:rPr>
          <w:t xml:space="preserve">389</w:t>
        </w:r>
      </w:hyperlink>
    </w:p>
    <w:bookmarkEnd w:id="781"/>
    <w:bookmarkStart w:id="782" w:name="appendix-robvis"/>
    <w:p>
      <w:pPr>
        <w:pStyle w:val="Heading2"/>
      </w:pPr>
      <w:r>
        <w:t xml:space="preserve">Producing risk-of-bias visualisations with</w:t>
      </w:r>
      <w:r>
        <w:t xml:space="preserve"> </w:t>
      </w:r>
      <w:r>
        <w:rPr>
          <w:rStyle w:val="VerbatimChar"/>
        </w:rPr>
        <w:t xml:space="preserve">robvis</w:t>
      </w:r>
    </w:p>
    <w:p>
      <w:r>
        <w:br w:type="page"/>
      </w:r>
    </w:p>
    <w:bookmarkEnd w:id="782"/>
    <w:bookmarkStart w:id="783"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783"/>
    <w:bookmarkEnd w:id="78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191" Target="media/rId191.png" /><Relationship Type="http://schemas.openxmlformats.org/officeDocument/2006/relationships/image" Id="rId174" Target="media/rId174.png" /><Relationship Type="http://schemas.openxmlformats.org/officeDocument/2006/relationships/image" Id="rId202" Target="media/rId202.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194" Target="media/rId194.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200" Target="media/rId200.png" /><Relationship Type="http://schemas.openxmlformats.org/officeDocument/2006/relationships/image" Id="rId179" Target="media/rId179.png" /><Relationship Type="http://schemas.openxmlformats.org/officeDocument/2006/relationships/image" Id="rId212" Target="media/rId212.png" /><Relationship Type="http://schemas.openxmlformats.org/officeDocument/2006/relationships/image" Id="rId183" Target="media/rId183.png" /><Relationship Type="http://schemas.openxmlformats.org/officeDocument/2006/relationships/image" Id="rId215" Target="media/rId215.png" /><Relationship Type="http://schemas.openxmlformats.org/officeDocument/2006/relationships/image" Id="rId240" Target="media/rId240.png" /><Relationship Type="http://schemas.openxmlformats.org/officeDocument/2006/relationships/image" Id="rId252" Target="media/rId252.png" /><Relationship Type="http://schemas.openxmlformats.org/officeDocument/2006/relationships/image" Id="rId254" Target="media/rId254.png" /><Relationship Type="http://schemas.openxmlformats.org/officeDocument/2006/relationships/image" Id="rId253" Target="media/rId253.png" /><Relationship Type="http://schemas.openxmlformats.org/officeDocument/2006/relationships/image" Id="rId248" Target="media/rId248.png" /><Relationship Type="http://schemas.openxmlformats.org/officeDocument/2006/relationships/image" Id="rId250" Target="media/rId250.png" /><Relationship Type="http://schemas.openxmlformats.org/officeDocument/2006/relationships/image" Id="rId249" Target="media/rId249.png" /><Relationship Type="http://schemas.openxmlformats.org/officeDocument/2006/relationships/image" Id="rId256" Target="media/rId256.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121" Target="media/rId121.png" /><Relationship Type="http://schemas.openxmlformats.org/officeDocument/2006/relationships/image" Id="rId768" Target="media/rId768.png" /><Relationship Type="http://schemas.openxmlformats.org/officeDocument/2006/relationships/image" Id="rId149" Target="media/rId149.png" /><Relationship Type="http://schemas.openxmlformats.org/officeDocument/2006/relationships/image" Id="rId767" Target="media/rId767.png" /><Relationship Type="http://schemas.openxmlformats.org/officeDocument/2006/relationships/image" Id="rId134" Target="media/rId134.png" /><Relationship Type="http://schemas.openxmlformats.org/officeDocument/2006/relationships/image" Id="rId137" Target="media/rId137.pdf" /><Relationship Type="http://schemas.openxmlformats.org/officeDocument/2006/relationships/image" Id="rId130" Target="media/rId130.pdf"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25" Target="media/rId125.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36" Target="media/rId136.png" /><Relationship Type="http://schemas.openxmlformats.org/officeDocument/2006/relationships/image" Id="rId129" Target="media/rId129.png" /><Relationship Type="http://schemas.openxmlformats.org/officeDocument/2006/relationships/image" Id="rId143" Target="media/rId143.png" /><Relationship Type="http://schemas.openxmlformats.org/officeDocument/2006/relationships/image" Id="rId124" Target="media/rId124.png" /><Relationship Type="http://schemas.openxmlformats.org/officeDocument/2006/relationships/image" Id="rId157" Target="media/rId157.png" /><Relationship Type="http://schemas.openxmlformats.org/officeDocument/2006/relationships/image" Id="rId138" Target="media/rId138.png" /><Relationship Type="http://schemas.openxmlformats.org/officeDocument/2006/relationships/image" Id="rId159" Target="media/rId159.png" /><Relationship Type="http://schemas.openxmlformats.org/officeDocument/2006/relationships/image" Id="rId118" Target="media/rId118.png" /><Relationship Type="http://schemas.openxmlformats.org/officeDocument/2006/relationships/image" Id="rId154" Target="media/rId154.png" /><Relationship Type="http://schemas.openxmlformats.org/officeDocument/2006/relationships/image" Id="rId278" Target="media/rId278.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7" Target="media/rId297.png" /><Relationship Type="http://schemas.openxmlformats.org/officeDocument/2006/relationships/image" Id="rId298" Target="media/rId298.png" /><Relationship Type="http://schemas.openxmlformats.org/officeDocument/2006/relationships/image" Id="rId292" Target="media/rId292.png" /><Relationship Type="http://schemas.openxmlformats.org/officeDocument/2006/relationships/image" Id="rId290" Target="media/rId290.png" /><Relationship Type="http://schemas.openxmlformats.org/officeDocument/2006/relationships/image" Id="rId296" Target="media/rId296.png" /><Relationship Type="http://schemas.openxmlformats.org/officeDocument/2006/relationships/hyperlink" Id="rId60" Target="https://docs.ropensci.org/medrxivr/" TargetMode="External" /><Relationship Type="http://schemas.openxmlformats.org/officeDocument/2006/relationships/hyperlink" Id="rId404" Target="https://doi.org/10.1002/14651858.CD003160.pub3" TargetMode="External" /><Relationship Type="http://schemas.openxmlformats.org/officeDocument/2006/relationships/hyperlink" Id="rId713" Target="https://doi.org/10.1002/14651858.ED000076" TargetMode="External" /><Relationship Type="http://schemas.openxmlformats.org/officeDocument/2006/relationships/hyperlink" Id="rId419"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61" Target="https://doi.org/10.1016/j.neuropharm.2020.108352" TargetMode="External" /><Relationship Type="http://schemas.openxmlformats.org/officeDocument/2006/relationships/hyperlink" Id="rId494" Target="https://doi.org/10.1093/ije/dyab050" TargetMode="External" /><Relationship Type="http://schemas.openxmlformats.org/officeDocument/2006/relationships/hyperlink" Id="rId610" Target="https://doi.org/10.1101/168674" TargetMode="External" /><Relationship Type="http://schemas.openxmlformats.org/officeDocument/2006/relationships/hyperlink" Id="rId605" Target="https://doi.org/10.1101/170241" TargetMode="External" /><Relationship Type="http://schemas.openxmlformats.org/officeDocument/2006/relationships/hyperlink" Id="rId482" Target="https://doi.org/10.1101/19000265" TargetMode="External" /><Relationship Type="http://schemas.openxmlformats.org/officeDocument/2006/relationships/hyperlink" Id="rId424" Target="https://doi.org/10.1101/2020.05.22.111294" TargetMode="External" /><Relationship Type="http://schemas.openxmlformats.org/officeDocument/2006/relationships/hyperlink" Id="rId472" Target="https://doi.org/10.1101/2020.11.23.394577" TargetMode="External" /><Relationship Type="http://schemas.openxmlformats.org/officeDocument/2006/relationships/hyperlink" Id="rId432" Target="https://doi.org/10.1101/2021.03.04.433874" TargetMode="External" /><Relationship Type="http://schemas.openxmlformats.org/officeDocument/2006/relationships/hyperlink" Id="rId517" Target="https://doi.org/10.1101/2021.10.21.21265126" TargetMode="External" /><Relationship Type="http://schemas.openxmlformats.org/officeDocument/2006/relationships/hyperlink" Id="rId608" Target="https://doi.org/10.1101/689752" TargetMode="External" /><Relationship Type="http://schemas.openxmlformats.org/officeDocument/2006/relationships/hyperlink" Id="rId457" Target="https://doi.org/10.1101/833400" TargetMode="External" /><Relationship Type="http://schemas.openxmlformats.org/officeDocument/2006/relationships/hyperlink" Id="rId616" Target="https://doi.org/10.1111/j.1447-0594.2009.00579.x" TargetMode="External" /><Relationship Type="http://schemas.openxmlformats.org/officeDocument/2006/relationships/hyperlink" Id="rId485" Target="https://doi.org/10.1136/bmj.l6365" TargetMode="External" /><Relationship Type="http://schemas.openxmlformats.org/officeDocument/2006/relationships/hyperlink" Id="rId497" Target="https://doi.org/10.1145/2601248.2601268" TargetMode="External" /><Relationship Type="http://schemas.openxmlformats.org/officeDocument/2006/relationships/hyperlink" Id="rId466"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91"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476" Target="https://doi.org/10.31222/osf.io/p75xe" TargetMode="External" /><Relationship Type="http://schemas.openxmlformats.org/officeDocument/2006/relationships/hyperlink" Id="rId489" Target="https://doi.org/10.3758/s13428-020-01436-x" TargetMode="External" /><Relationship Type="http://schemas.openxmlformats.org/officeDocument/2006/relationships/hyperlink" Id="rId59" Target="https://github.com/ropensci/medrxivr" TargetMode="External" /></Relationships>
</file>

<file path=word/_rels/footnotes.xml.rels><?xml version="1.0" encoding="UTF-8"?>
<Relationships xmlns="http://schemas.openxmlformats.org/package/2006/relationships"><Relationship Type="http://schemas.openxmlformats.org/officeDocument/2006/relationships/hyperlink" Id="rId60" Target="https://docs.ropensci.org/medrxivr/" TargetMode="External" /><Relationship Type="http://schemas.openxmlformats.org/officeDocument/2006/relationships/hyperlink" Id="rId404" Target="https://doi.org/10.1002/14651858.CD003160.pub3" TargetMode="External" /><Relationship Type="http://schemas.openxmlformats.org/officeDocument/2006/relationships/hyperlink" Id="rId713" Target="https://doi.org/10.1002/14651858.ED000076" TargetMode="External" /><Relationship Type="http://schemas.openxmlformats.org/officeDocument/2006/relationships/hyperlink" Id="rId419"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61" Target="https://doi.org/10.1016/j.neuropharm.2020.108352" TargetMode="External" /><Relationship Type="http://schemas.openxmlformats.org/officeDocument/2006/relationships/hyperlink" Id="rId494" Target="https://doi.org/10.1093/ije/dyab050" TargetMode="External" /><Relationship Type="http://schemas.openxmlformats.org/officeDocument/2006/relationships/hyperlink" Id="rId610" Target="https://doi.org/10.1101/168674" TargetMode="External" /><Relationship Type="http://schemas.openxmlformats.org/officeDocument/2006/relationships/hyperlink" Id="rId605" Target="https://doi.org/10.1101/170241" TargetMode="External" /><Relationship Type="http://schemas.openxmlformats.org/officeDocument/2006/relationships/hyperlink" Id="rId482" Target="https://doi.org/10.1101/19000265" TargetMode="External" /><Relationship Type="http://schemas.openxmlformats.org/officeDocument/2006/relationships/hyperlink" Id="rId424" Target="https://doi.org/10.1101/2020.05.22.111294" TargetMode="External" /><Relationship Type="http://schemas.openxmlformats.org/officeDocument/2006/relationships/hyperlink" Id="rId472" Target="https://doi.org/10.1101/2020.11.23.394577" TargetMode="External" /><Relationship Type="http://schemas.openxmlformats.org/officeDocument/2006/relationships/hyperlink" Id="rId432" Target="https://doi.org/10.1101/2021.03.04.433874" TargetMode="External" /><Relationship Type="http://schemas.openxmlformats.org/officeDocument/2006/relationships/hyperlink" Id="rId517" Target="https://doi.org/10.1101/2021.10.21.21265126" TargetMode="External" /><Relationship Type="http://schemas.openxmlformats.org/officeDocument/2006/relationships/hyperlink" Id="rId608" Target="https://doi.org/10.1101/689752" TargetMode="External" /><Relationship Type="http://schemas.openxmlformats.org/officeDocument/2006/relationships/hyperlink" Id="rId457" Target="https://doi.org/10.1101/833400" TargetMode="External" /><Relationship Type="http://schemas.openxmlformats.org/officeDocument/2006/relationships/hyperlink" Id="rId616" Target="https://doi.org/10.1111/j.1447-0594.2009.00579.x" TargetMode="External" /><Relationship Type="http://schemas.openxmlformats.org/officeDocument/2006/relationships/hyperlink" Id="rId485" Target="https://doi.org/10.1136/bmj.l6365" TargetMode="External" /><Relationship Type="http://schemas.openxmlformats.org/officeDocument/2006/relationships/hyperlink" Id="rId497" Target="https://doi.org/10.1145/2601248.2601268" TargetMode="External" /><Relationship Type="http://schemas.openxmlformats.org/officeDocument/2006/relationships/hyperlink" Id="rId466"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91"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476" Target="https://doi.org/10.31222/osf.io/p75xe" TargetMode="External" /><Relationship Type="http://schemas.openxmlformats.org/officeDocument/2006/relationships/hyperlink" Id="rId489" Target="https://doi.org/10.3758/s13428-020-01436-x" TargetMode="External" /><Relationship Type="http://schemas.openxmlformats.org/officeDocument/2006/relationships/hyperlink" Id="rId59" Target="https://github.com/ropensci/medrxiv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2021-12-02T01:00:17Z</dcterms:created>
  <dcterms:modified xsi:type="dcterms:W3CDTF">2021-12-02T01:00:17Z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Identification of causal relationships between modifiable targets and risk of dementia is central to the development of evidence-based prevention strategies. Blood lipid levels have been implicated in the aetiology of dementia by genetic linkage and functional cell biology studies, but current epidemiological evidence has yet to reach a consensus on their role in dementia risk. This thesis sought to triangulate the causal effects of lipid levels on dementia (all-cause dementia, Alzheimer’s disease and vascular dementia) risk using existing and new evidence.I conducted four distinct analyses as part of this thesis. Firstly, a systematic review of 81 published and preprinted studies was used to summarise the existing evidence base. Preprinted studies were identified using a research tool developed as part of this thesis. I then supplemented the existing evidence via two primary studies: i) a cohort study of the association of lipid regulating agents and dementia incidence in the Clinical Practice Research Datalink (CPRD), and ii) an individual patient data meta-analysis of the association of blood lipids with dementia incidence in previously unanalysed cohorts accessed through the Dementia Platform UK. Finally, I used a novel quantitative triangulation framework to incorporate the results produced by the diverse methodological approaches while attempting to account for their respective biases and indirectness.Overall I identified no consistent effect of any lipid fraction on any dementia outcome across the evidence sources presented in this thesis, through there was some suggestion of a protective effect of LDL-c lowering (via statin use) on all-cause dementia and Alzheimer’s disease, and a harmful effect of raised triglyceride levels on vascular dementia. However, when assessed through the triangulation framework, both of these effects attenuated to the null. There was a noticeable absence of existing studies considering vascular dementia as an outcome, andFuture work should focus on defining</vt:lpwstr>
  </property>
  <property fmtid="{D5CDD505-2E9C-101B-9397-08002B2CF9AE}" pid="4" name="abstractseparate">
    <vt:lpwstr>True</vt:lpwstr>
  </property>
  <property fmtid="{D5CDD505-2E9C-101B-9397-08002B2CF9AE}" pid="5" name="acknowledgements">
    <vt:lpwstr>ProfessionalThere are so many people without those input this work would have been severly diminised:SupervisorsSharen O’Keffe, Neal Haddaway, Martin Westgate, Emily Hennessy, Randall Boyes, Alex J Fowler,robvis contributors: (there are at least 3)Annual reviewers: Rupert Payne and Emma AndersonThose who contributed their time to dual marking papers and data extracting with me,Thanks to those researchers, namely Francesca for sharing advance copy of her review of tools to assess Mendelian randomisation studies, and Rebecca Turner for pointing me towards the code underpinning the quantitative triangulation framework.I am a NIHR Doctoral Research Fellow, supported by grant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GourlayPersonalThanks to the Canygne hall crew, for keeping me sane during write-up.Finally, thanks to parents andFinally, thanks to my fianceÃ© and project-manager-extordinaire,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46127</vt:lpwstr>
  </property>
</Properties>
</file>