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1967" w14:textId="77777777" w:rsidR="00BE714A" w:rsidRDefault="00BE714A" w:rsidP="00BE714A">
      <w:pPr>
        <w:pStyle w:val="Title"/>
      </w:pPr>
      <w:bookmarkStart w:id="0" w:name="other-appendix-heading"/>
      <w:bookmarkStart w:id="1" w:name="appendix-robvis"/>
      <w:bookmarkStart w:id="2" w:name="reception-and-future-plans-1"/>
      <w:r>
        <w:t>Lipids and dementia:</w:t>
      </w:r>
      <w:r>
        <w:br/>
        <w:t>An investigation of their relationship</w:t>
      </w:r>
    </w:p>
    <w:p w14:paraId="1E6C653A" w14:textId="77777777" w:rsidR="00BE714A" w:rsidRDefault="00BE714A" w:rsidP="00BE714A">
      <w:pPr>
        <w:pStyle w:val="Author"/>
      </w:pPr>
      <w:r>
        <w:t>Luke A McGuinness</w:t>
      </w:r>
    </w:p>
    <w:p w14:paraId="3F742F9F" w14:textId="77777777" w:rsidR="00BE714A" w:rsidRDefault="00BE714A" w:rsidP="00BE714A">
      <w:pPr>
        <w:pStyle w:val="Abstract"/>
      </w:pPr>
      <w:r>
        <w:rPr>
          <w:b/>
          <w:bCs/>
        </w:rPr>
        <w:t>Background</w:t>
      </w:r>
      <w:r>
        <w:br/>
        <w:t>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w:t>
      </w:r>
    </w:p>
    <w:sdt>
      <w:sdtPr>
        <w:rPr>
          <w:rFonts w:asciiTheme="minorHAnsi" w:hAnsiTheme="minorHAnsi" w:cstheme="minorBidi"/>
          <w:b w:val="0"/>
          <w:bCs w:val="0"/>
          <w:sz w:val="24"/>
          <w:szCs w:val="24"/>
        </w:rPr>
        <w:id w:val="1967007273"/>
        <w:docPartObj>
          <w:docPartGallery w:val="Table of Contents"/>
          <w:docPartUnique/>
        </w:docPartObj>
      </w:sdtPr>
      <w:sdtContent>
        <w:p w14:paraId="6753C086" w14:textId="77777777" w:rsidR="00BE714A" w:rsidRDefault="00BE714A" w:rsidP="00BE714A">
          <w:pPr>
            <w:pStyle w:val="TOCHeading"/>
          </w:pPr>
          <w:r>
            <w:t>Table of Contents</w:t>
          </w:r>
        </w:p>
        <w:p w14:paraId="130DC5C0" w14:textId="77777777" w:rsidR="00BE714A" w:rsidRDefault="00BE714A" w:rsidP="00BE714A">
          <w:r>
            <w:fldChar w:fldCharType="begin"/>
          </w:r>
          <w:r>
            <w:instrText>TOC \o "1-2" \h \z \u</w:instrText>
          </w:r>
          <w:r>
            <w:fldChar w:fldCharType="separate"/>
          </w:r>
          <w:r>
            <w:fldChar w:fldCharType="end"/>
          </w:r>
        </w:p>
      </w:sdtContent>
    </w:sdt>
    <w:p w14:paraId="12680DE6" w14:textId="77777777" w:rsidR="00BE714A" w:rsidRDefault="00BE714A" w:rsidP="00BE714A">
      <w:pPr>
        <w:pStyle w:val="Heading1"/>
      </w:pPr>
      <w:bookmarkStart w:id="3" w:name="covering-material"/>
      <w:r>
        <w:t>Covering material</w:t>
      </w:r>
    </w:p>
    <w:p w14:paraId="3CE9FE68" w14:textId="77777777" w:rsidR="00BE714A" w:rsidRDefault="00BE714A" w:rsidP="00BE714A">
      <w:pPr>
        <w:pStyle w:val="FirstParagraph"/>
      </w:pPr>
      <w:r>
        <w:t>Word count: 19047</w:t>
      </w:r>
    </w:p>
    <w:p w14:paraId="77D1AB0D" w14:textId="77777777" w:rsidR="00BE714A" w:rsidRDefault="00BE714A" w:rsidP="00BE714A">
      <w:pPr>
        <w:pStyle w:val="BodyText"/>
      </w:pPr>
      <w:r>
        <w:t>Days: 178</w:t>
      </w:r>
    </w:p>
    <w:p w14:paraId="419C18AB" w14:textId="77777777" w:rsidR="00BE714A" w:rsidRDefault="00BE714A" w:rsidP="00BE714A">
      <w:pPr>
        <w:pStyle w:val="BodyText"/>
      </w:pPr>
      <w:r>
        <w:t>Words behind: -3799</w:t>
      </w:r>
    </w:p>
    <w:p w14:paraId="1C6B3735" w14:textId="77777777" w:rsidR="00BE714A" w:rsidRDefault="00BE714A" w:rsidP="00BE714A">
      <w:pPr>
        <w:pStyle w:val="BodyText"/>
      </w:pPr>
      <w:r>
        <w:t>Words today: 541</w:t>
      </w:r>
    </w:p>
    <w:p w14:paraId="5831B2FC" w14:textId="77777777" w:rsidR="00BE714A" w:rsidRDefault="00BE714A" w:rsidP="00BE714A">
      <w:pPr>
        <w:pStyle w:val="BodyText"/>
      </w:pPr>
      <w:r>
        <w:t> </w:t>
      </w:r>
    </w:p>
    <w:p w14:paraId="05AC595F" w14:textId="77777777" w:rsidR="00BE714A" w:rsidRDefault="00BE714A" w:rsidP="00BE714A">
      <w:pPr>
        <w:pStyle w:val="BodyText"/>
      </w:pPr>
      <w:r>
        <w:t> </w:t>
      </w:r>
    </w:p>
    <w:p w14:paraId="3FED5399" w14:textId="77777777" w:rsidR="00BE714A" w:rsidRDefault="00BE714A" w:rsidP="00BE714A">
      <w:pPr>
        <w:pStyle w:val="BodyText"/>
      </w:pPr>
      <w:r>
        <w:rPr>
          <w:noProof/>
        </w:rPr>
        <w:lastRenderedPageBreak/>
        <w:drawing>
          <wp:inline distT="0" distB="0" distL="0" distR="0" wp14:anchorId="0866CB86" wp14:editId="6A9A9624">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word-count-fig-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0EACF65E" w14:textId="77777777" w:rsidR="00BE714A" w:rsidRDefault="00BE714A" w:rsidP="00BE714A">
      <w:pPr>
        <w:pStyle w:val="Heading1"/>
      </w:pPr>
      <w:bookmarkStart w:id="4" w:name="intro-heading"/>
      <w:bookmarkEnd w:id="3"/>
      <w:r>
        <w:t>Introduction</w:t>
      </w:r>
    </w:p>
    <w:p w14:paraId="1C742933" w14:textId="77777777" w:rsidR="00BE714A" w:rsidRDefault="00BE714A" w:rsidP="00BE714A">
      <w:pPr>
        <w:pStyle w:val="FirstParagraph"/>
      </w:pPr>
    </w:p>
    <w:p w14:paraId="2F5D5415" w14:textId="77777777" w:rsidR="00BE714A" w:rsidRDefault="00BE714A" w:rsidP="00BE714A">
      <w:pPr>
        <w:pStyle w:val="Heading2"/>
      </w:pPr>
      <w:bookmarkStart w:id="5" w:name="additional-ideas"/>
      <w:r>
        <w:t>Additional ideas</w:t>
      </w:r>
    </w:p>
    <w:p w14:paraId="2A6F7934" w14:textId="77777777" w:rsidR="00BE714A" w:rsidRDefault="00BE714A" w:rsidP="00BE714A">
      <w:pPr>
        <w:pStyle w:val="Heading3"/>
      </w:pPr>
      <w:bookmarkStart w:id="6" w:name="general"/>
      <w:r>
        <w:t>General</w:t>
      </w:r>
    </w:p>
    <w:p w14:paraId="118995FD" w14:textId="77777777" w:rsidR="00BE714A" w:rsidRDefault="00BE714A" w:rsidP="00BE714A">
      <w:pPr>
        <w:numPr>
          <w:ilvl w:val="0"/>
          <w:numId w:val="26"/>
        </w:numPr>
      </w:pPr>
      <w:r>
        <w:t>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14:paraId="664BB312" w14:textId="77777777" w:rsidR="00BE714A" w:rsidRDefault="00BE714A" w:rsidP="00BE714A">
      <w:pPr>
        <w:numPr>
          <w:ilvl w:val="0"/>
          <w:numId w:val="26"/>
        </w:numPr>
      </w:pPr>
      <w:r>
        <w:t>Compare and contrast the codes used to find the AzD cases in the previous study and in this study, potentially with a view to contrasting misclassification between the two.</w:t>
      </w:r>
    </w:p>
    <w:p w14:paraId="0121A12B" w14:textId="77777777" w:rsidR="00BE714A" w:rsidRDefault="00BE714A" w:rsidP="00BE714A">
      <w:pPr>
        <w:pStyle w:val="Heading3"/>
      </w:pPr>
      <w:bookmarkStart w:id="7" w:name="background"/>
      <w:bookmarkEnd w:id="6"/>
      <w:r>
        <w:t>Background</w:t>
      </w:r>
    </w:p>
    <w:p w14:paraId="0230AA1E" w14:textId="77777777" w:rsidR="00BE714A" w:rsidRDefault="00BE714A" w:rsidP="00BE714A">
      <w:pPr>
        <w:pStyle w:val="Heading3"/>
      </w:pPr>
      <w:bookmarkStart w:id="8" w:name="medrxivr"/>
      <w:bookmarkEnd w:id="7"/>
      <w:r>
        <w:t>medrxivr</w:t>
      </w:r>
    </w:p>
    <w:p w14:paraId="1FFAFCEB" w14:textId="77777777" w:rsidR="00BE714A" w:rsidRDefault="00BE714A" w:rsidP="00BE714A">
      <w:pPr>
        <w:pStyle w:val="Heading3"/>
      </w:pPr>
      <w:bookmarkStart w:id="9" w:name="section"/>
      <w:bookmarkEnd w:id="8"/>
    </w:p>
    <w:p w14:paraId="7AC5954D" w14:textId="77777777" w:rsidR="00BE714A" w:rsidRDefault="00BE714A" w:rsidP="00BE714A">
      <w:pPr>
        <w:pStyle w:val="FirstParagraph"/>
      </w:pPr>
      <w:r>
        <w:t> </w:t>
      </w:r>
    </w:p>
    <w:p w14:paraId="08FD98EF" w14:textId="77777777" w:rsidR="00BE714A" w:rsidRDefault="00BE714A" w:rsidP="00BE714A">
      <w:pPr>
        <w:pStyle w:val="Heading1"/>
      </w:pPr>
      <w:bookmarkStart w:id="10" w:name="background-heading"/>
      <w:bookmarkEnd w:id="4"/>
      <w:bookmarkEnd w:id="5"/>
      <w:bookmarkEnd w:id="9"/>
      <w:r>
        <w:lastRenderedPageBreak/>
        <w:t>Background, Theoretical framework, Aims &amp; Objectives</w:t>
      </w:r>
    </w:p>
    <w:p w14:paraId="03E0BE8D" w14:textId="77777777" w:rsidR="00BE714A" w:rsidRDefault="00BE714A" w:rsidP="00BE714A">
      <w:pPr>
        <w:pStyle w:val="FirstParagraph"/>
      </w:pPr>
    </w:p>
    <w:p w14:paraId="5FFAE3C3" w14:textId="77777777" w:rsidR="00BE714A" w:rsidRDefault="00BE714A" w:rsidP="00BE714A">
      <w:pPr>
        <w:pStyle w:val="Heading2"/>
      </w:pPr>
      <w:bookmarkStart w:id="11" w:name="lay-summary"/>
      <w:r>
        <w:t>Lay summary</w:t>
      </w:r>
    </w:p>
    <w:p w14:paraId="3700A70D" w14:textId="77777777" w:rsidR="00BE714A" w:rsidRDefault="00BE714A" w:rsidP="00BE714A">
      <w:pPr>
        <w:pStyle w:val="FirstParagraph"/>
      </w:pPr>
      <w:r>
        <w:t>[Note: see Section 2.7.3 for details on the layout of each chapter.]</w:t>
      </w:r>
    </w:p>
    <w:p w14:paraId="2F157730" w14:textId="77777777" w:rsidR="00BE714A" w:rsidRDefault="00BE714A" w:rsidP="00BE714A">
      <w:pPr>
        <w:pStyle w:val="BodyText"/>
      </w:pPr>
      <w:r>
        <w:t>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14:paraId="658A41A1" w14:textId="77777777" w:rsidR="00BE714A" w:rsidRDefault="00BE714A" w:rsidP="00BE714A">
      <w:pPr>
        <w:pStyle w:val="BodyText"/>
      </w:pPr>
      <w:r>
        <w:t>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p w14:paraId="0404AB7D" w14:textId="77777777" w:rsidR="00BE714A" w:rsidRDefault="00BE714A" w:rsidP="00BE714A">
      <w:pPr>
        <w:pStyle w:val="Heading2"/>
      </w:pPr>
      <w:bookmarkStart w:id="12" w:name="introduction"/>
      <w:bookmarkEnd w:id="11"/>
      <w:r>
        <w:t>Introduction</w:t>
      </w:r>
    </w:p>
    <w:p w14:paraId="42338066" w14:textId="77777777" w:rsidR="00BE714A" w:rsidRDefault="00BE714A" w:rsidP="00BE714A">
      <w:pPr>
        <w:pStyle w:val="FirstParagraph"/>
      </w:pPr>
      <w:r>
        <w:t>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existing evidence on the effect of these exposures on dementia outcomes.</w:t>
      </w:r>
    </w:p>
    <w:p w14:paraId="4CD1A66A" w14:textId="77777777" w:rsidR="00BE714A" w:rsidRDefault="00BE714A" w:rsidP="00BE714A">
      <w:pPr>
        <w:pStyle w:val="BodyText"/>
      </w:pPr>
      <w:r>
        <w:t>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p w14:paraId="21EA16C9" w14:textId="77777777" w:rsidR="00BE714A" w:rsidRDefault="00BE714A" w:rsidP="00BE714A">
      <w:pPr>
        <w:pStyle w:val="Heading2"/>
      </w:pPr>
      <w:bookmarkStart w:id="13" w:name="dementia"/>
      <w:bookmarkEnd w:id="12"/>
      <w:r>
        <w:t>Dementia</w:t>
      </w:r>
    </w:p>
    <w:p w14:paraId="2C78F48A" w14:textId="77777777" w:rsidR="00BE714A" w:rsidRDefault="00BE714A" w:rsidP="00BE714A">
      <w:pPr>
        <w:pStyle w:val="Heading3"/>
      </w:pPr>
      <w:bookmarkStart w:id="14" w:name="underlying-pathologies"/>
      <w:r>
        <w:t>Definition and underlying pathologies</w:t>
      </w:r>
    </w:p>
    <w:p w14:paraId="374A0B9B" w14:textId="77777777" w:rsidR="00BE714A" w:rsidRDefault="00BE714A" w:rsidP="00BE714A">
      <w:pPr>
        <w:pStyle w:val="FirstParagraph"/>
      </w:pPr>
      <w:r>
        <w:t>Defined by the Diagnostic and Statistical Manual of Mental Disorders as a “major neurocognitive disorder”, dementia is a progressive disease which impairs cognitive functions including speech, memory and executive reasoning.</w:t>
      </w:r>
      <w:hyperlink w:anchor="ref-edition2013diagnostic">
        <w:r>
          <w:rPr>
            <w:rStyle w:val="Hyperlink"/>
            <w:vertAlign w:val="superscript"/>
          </w:rPr>
          <w:t>1</w:t>
        </w:r>
      </w:hyperlink>
      <w:r>
        <w:t xml:space="preserve"> At advanced stage, the condition causes severe behavioral and personality changes,</w:t>
      </w:r>
      <w:hyperlink w:anchor="ref-cerejeira2012">
        <w:r>
          <w:rPr>
            <w:rStyle w:val="Hyperlink"/>
            <w:vertAlign w:val="superscript"/>
          </w:rPr>
          <w:t>2</w:t>
        </w:r>
      </w:hyperlink>
      <w:r>
        <w:t xml:space="preserve"> cumulating in reduced motor </w:t>
      </w:r>
      <w:r>
        <w:lastRenderedPageBreak/>
        <w:t>control that affects patients ability to swallow or breathe.</w:t>
      </w:r>
      <w:hyperlink w:anchor="ref-kumar2013">
        <w:r>
          <w:rPr>
            <w:rStyle w:val="Hyperlink"/>
            <w:vertAlign w:val="superscript"/>
          </w:rPr>
          <w:t>3</w:t>
        </w:r>
      </w:hyperlink>
      <w:r>
        <w:t xml:space="preserve"> The condition has several distinct underlying causes, including Alzheimer’s disease and vascular dementia.</w:t>
      </w:r>
      <w:hyperlink w:anchor="ref-burns2009">
        <w:r>
          <w:rPr>
            <w:rStyle w:val="Hyperlink"/>
            <w:vertAlign w:val="superscript"/>
          </w:rPr>
          <w:t>4</w:t>
        </w:r>
      </w:hyperlink>
    </w:p>
    <w:p w14:paraId="2EABF900" w14:textId="77777777" w:rsidR="00BE714A" w:rsidRDefault="00BE714A" w:rsidP="00BE714A">
      <w:pPr>
        <w:pStyle w:val="BodyText"/>
      </w:pPr>
      <w:r>
        <w:t>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5</w:t>
        </w:r>
      </w:hyperlink>
      <w:r>
        <w:t xml:space="preserve"> Much remains unknown about Alzheimer’s pathogenesis, despite research implicating the “amyloid hypothesis”,</w:t>
      </w:r>
      <w:hyperlink w:anchor="ref-robinson2015">
        <w:r>
          <w:rPr>
            <w:rStyle w:val="Hyperlink"/>
            <w:vertAlign w:val="superscript"/>
          </w:rPr>
          <w:t>5</w:t>
        </w:r>
      </w:hyperlink>
      <w:r>
        <w:t xml:space="preserve"> as a potential mechanism of disease. Under this hypothesis, the build-up of amlyoid plaques (composed mainly of amlyoid-</w:t>
      </w:r>
      <m:oMath>
        <m:r>
          <w:rPr>
            <w:rFonts w:ascii="Cambria Math" w:hAnsi="Cambria Math"/>
          </w:rPr>
          <m:t>β</m:t>
        </m:r>
      </m:oMath>
      <w:r>
        <w:t xml:space="preserve"> 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5</w:t>
        </w:r>
      </w:hyperlink>
    </w:p>
    <w:p w14:paraId="167C379D" w14:textId="77777777" w:rsidR="00BE714A" w:rsidRDefault="00BE714A" w:rsidP="00BE714A">
      <w:pPr>
        <w:pStyle w:val="BodyText"/>
      </w:pPr>
      <w:r>
        <w:t>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6</w:t>
        </w:r>
      </w:hyperlink>
      <w:r>
        <w:t xml:space="preserve"> Similarly, due to the varied underlying pathophysiology, vascular dementia can either onset quite rapidly following a cerebrovascular event such as a stroke or over a long time-frame due to a series of small infarcts.</w:t>
      </w:r>
      <w:hyperlink w:anchor="ref-venkat2015">
        <w:r>
          <w:rPr>
            <w:rStyle w:val="Hyperlink"/>
            <w:vertAlign w:val="superscript"/>
          </w:rPr>
          <w:t>7</w:t>
        </w:r>
      </w:hyperlink>
      <w:r>
        <w:t xml:space="preserve"> Vascular dementia regularly co-occurs in patients with Alzheimer’s disease.</w:t>
      </w:r>
      <w:hyperlink w:anchor="ref-iadecola2013">
        <w:r>
          <w:rPr>
            <w:rStyle w:val="Hyperlink"/>
            <w:vertAlign w:val="superscript"/>
          </w:rPr>
          <w:t>6</w:t>
        </w:r>
      </w:hyperlink>
      <w:r>
        <w:t xml:space="preserve"> This presentation is described as “mixed” dementia,</w:t>
      </w:r>
      <w:hyperlink w:anchor="ref-custodio2017">
        <w:r>
          <w:rPr>
            <w:rStyle w:val="Hyperlink"/>
            <w:vertAlign w:val="superscript"/>
          </w:rPr>
          <w:t>8</w:t>
        </w:r>
      </w:hyperlink>
      <w:r>
        <w:t xml:space="preserve"> and occurs in approximately 25% of cases.</w:t>
      </w:r>
      <w:hyperlink w:anchor="ref-burns2009">
        <w:r>
          <w:rPr>
            <w:rStyle w:val="Hyperlink"/>
            <w:vertAlign w:val="superscript"/>
          </w:rPr>
          <w:t>4</w:t>
        </w:r>
      </w:hyperlink>
    </w:p>
    <w:p w14:paraId="366E47DF" w14:textId="77777777" w:rsidR="00BE714A" w:rsidRDefault="00BE714A" w:rsidP="00BE714A">
      <w:pPr>
        <w:pStyle w:val="BodyText"/>
      </w:pPr>
      <w:r>
        <w:t>The remaining 10-30% of cases are caused other dementia subtypes (e.g. Lewy Body dementia, frontotemporal dementia) or by progression of other neurological diseases (e.g. Parkinson’s disease).</w:t>
      </w:r>
      <w:hyperlink w:anchor="ref-burns2009">
        <w:r>
          <w:rPr>
            <w:rStyle w:val="Hyperlink"/>
            <w:vertAlign w:val="superscript"/>
          </w:rPr>
          <w:t>4</w:t>
        </w:r>
      </w:hyperlink>
    </w:p>
    <w:p w14:paraId="3FC7F494" w14:textId="77777777" w:rsidR="00BE714A" w:rsidRDefault="00BE714A" w:rsidP="00BE714A">
      <w:pPr>
        <w:pStyle w:val="Heading3"/>
      </w:pPr>
      <w:bookmarkStart w:id="15" w:name="diagnostic-criteria"/>
      <w:bookmarkEnd w:id="14"/>
      <w:r>
        <w:t>Diagnostic criteria</w:t>
      </w:r>
    </w:p>
    <w:p w14:paraId="74FE9EF0" w14:textId="77777777" w:rsidR="00BE714A" w:rsidRDefault="00BE714A" w:rsidP="00BE714A">
      <w:pPr>
        <w:pStyle w:val="FirstParagraph"/>
      </w:pPr>
      <w:r>
        <w:t>Dementia is difficult to diagnose, primarily due to its slow onset, in addition to the confusion of initial symptoms with normal ageing.</w:t>
      </w:r>
      <w:hyperlink w:anchor="ref-robinson2015">
        <w:r>
          <w:rPr>
            <w:rStyle w:val="Hyperlink"/>
            <w:vertAlign w:val="superscript"/>
          </w:rPr>
          <w:t>5</w:t>
        </w:r>
      </w:hyperlink>
      <w:r>
        <w:t xml:space="preserve"> Dementia is diagnosed on the basis of behavioral and cognitive changes as assessed by an experienced clinician, using one of several diagnostic criteria.</w:t>
      </w:r>
    </w:p>
    <w:p w14:paraId="672460D6" w14:textId="77777777" w:rsidR="00BE714A" w:rsidRDefault="00BE714A" w:rsidP="00BE714A">
      <w:pPr>
        <w:pStyle w:val="BodyText"/>
      </w:pPr>
      <w:r>
        <w:t> </w:t>
      </w:r>
    </w:p>
    <w:p w14:paraId="79A3D11F" w14:textId="77777777" w:rsidR="00BE714A" w:rsidRDefault="00BE714A" w:rsidP="00BE714A">
      <w:pPr>
        <w:pStyle w:val="TableCaption"/>
      </w:pPr>
      <w:r>
        <w:t>Table 1: Overview of the DSM-5 criteria for dementia and vascular dementia.</w:t>
      </w:r>
      <w:hyperlink w:anchor="ref-edition2013diagnostic">
        <w:r>
          <w:rPr>
            <w:rStyle w:val="Hyperlink"/>
            <w:vertAlign w:val="superscript"/>
          </w:rPr>
          <w:t>1</w:t>
        </w:r>
      </w:hyperlink>
    </w:p>
    <w:tbl>
      <w:tblPr>
        <w:tblW w:w="5000" w:type="pct"/>
        <w:tblLook w:val="0020" w:firstRow="1" w:lastRow="0" w:firstColumn="0" w:lastColumn="0" w:noHBand="0" w:noVBand="0"/>
      </w:tblPr>
      <w:tblGrid>
        <w:gridCol w:w="1143"/>
        <w:gridCol w:w="8433"/>
      </w:tblGrid>
      <w:tr w:rsidR="00BE714A" w14:paraId="694ACC83" w14:textId="77777777" w:rsidTr="003C1DD4">
        <w:tc>
          <w:tcPr>
            <w:tcW w:w="0" w:type="auto"/>
          </w:tcPr>
          <w:p w14:paraId="1C9A9B3C" w14:textId="77777777" w:rsidR="00BE714A" w:rsidRDefault="00BE714A" w:rsidP="003C1DD4">
            <w:pPr>
              <w:pStyle w:val="Compact"/>
            </w:pPr>
            <w:r>
              <w:t>Criterion</w:t>
            </w:r>
          </w:p>
        </w:tc>
        <w:tc>
          <w:tcPr>
            <w:tcW w:w="0" w:type="auto"/>
          </w:tcPr>
          <w:p w14:paraId="724201C5" w14:textId="77777777" w:rsidR="00BE714A" w:rsidRDefault="00BE714A" w:rsidP="003C1DD4">
            <w:pPr>
              <w:pStyle w:val="Compact"/>
            </w:pPr>
            <w:r>
              <w:t>Major neurocognitive event (previously dementia)</w:t>
            </w:r>
          </w:p>
        </w:tc>
      </w:tr>
      <w:tr w:rsidR="00BE714A" w14:paraId="13305929" w14:textId="77777777" w:rsidTr="003C1DD4">
        <w:tc>
          <w:tcPr>
            <w:tcW w:w="0" w:type="auto"/>
          </w:tcPr>
          <w:p w14:paraId="7594B7CC" w14:textId="77777777" w:rsidR="00BE714A" w:rsidRDefault="00BE714A" w:rsidP="003C1DD4">
            <w:pPr>
              <w:pStyle w:val="Compact"/>
            </w:pPr>
            <w:r>
              <w:t>A</w:t>
            </w:r>
          </w:p>
        </w:tc>
        <w:tc>
          <w:tcPr>
            <w:tcW w:w="0" w:type="auto"/>
          </w:tcPr>
          <w:p w14:paraId="655BF0C3" w14:textId="77777777" w:rsidR="00BE714A" w:rsidRDefault="00BE714A" w:rsidP="003C1DD4">
            <w:pPr>
              <w:pStyle w:val="Compact"/>
            </w:pPr>
            <w:r>
              <w:t xml:space="preserve">Evidence of significant cognitive decline from a previous level of performance in one or more cognitive domains:* - Learning and memory - Language - Executive function - Complex attention - Perceptual-motor - Social cognition </w:t>
            </w:r>
          </w:p>
        </w:tc>
      </w:tr>
      <w:tr w:rsidR="00BE714A" w14:paraId="650E75D4" w14:textId="77777777" w:rsidTr="003C1DD4">
        <w:tc>
          <w:tcPr>
            <w:tcW w:w="0" w:type="auto"/>
          </w:tcPr>
          <w:p w14:paraId="40D93816" w14:textId="77777777" w:rsidR="00BE714A" w:rsidRDefault="00BE714A" w:rsidP="003C1DD4">
            <w:pPr>
              <w:pStyle w:val="Compact"/>
            </w:pPr>
            <w:r>
              <w:t>B</w:t>
            </w:r>
          </w:p>
        </w:tc>
        <w:tc>
          <w:tcPr>
            <w:tcW w:w="0" w:type="auto"/>
          </w:tcPr>
          <w:p w14:paraId="684974B0" w14:textId="77777777" w:rsidR="00BE714A" w:rsidRDefault="00BE714A" w:rsidP="003C1DD4">
            <w:pPr>
              <w:pStyle w:val="Compact"/>
            </w:pPr>
            <w:r>
              <w:t xml:space="preserve">The cognitive deficits interfere with independence in everyday activities. At a minimum, assistance should be required with complex instrumental activities of daily living, such as paying bills or managing medications. </w:t>
            </w:r>
          </w:p>
        </w:tc>
      </w:tr>
      <w:tr w:rsidR="00BE714A" w14:paraId="4A6E19B9" w14:textId="77777777" w:rsidTr="003C1DD4">
        <w:tc>
          <w:tcPr>
            <w:tcW w:w="0" w:type="auto"/>
          </w:tcPr>
          <w:p w14:paraId="76CB2373" w14:textId="77777777" w:rsidR="00BE714A" w:rsidRDefault="00BE714A" w:rsidP="003C1DD4">
            <w:pPr>
              <w:pStyle w:val="Compact"/>
            </w:pPr>
            <w:r>
              <w:t>C</w:t>
            </w:r>
          </w:p>
        </w:tc>
        <w:tc>
          <w:tcPr>
            <w:tcW w:w="0" w:type="auto"/>
          </w:tcPr>
          <w:p w14:paraId="6A1BE005" w14:textId="77777777" w:rsidR="00BE714A" w:rsidRDefault="00BE714A" w:rsidP="003C1DD4">
            <w:pPr>
              <w:pStyle w:val="Compact"/>
            </w:pPr>
            <w:r>
              <w:t xml:space="preserve">The cognitive deficits do not occur exclusively in the context of a delirium. </w:t>
            </w:r>
          </w:p>
        </w:tc>
      </w:tr>
      <w:tr w:rsidR="00BE714A" w14:paraId="5E6C72BD" w14:textId="77777777" w:rsidTr="003C1DD4">
        <w:tc>
          <w:tcPr>
            <w:tcW w:w="0" w:type="auto"/>
          </w:tcPr>
          <w:p w14:paraId="7CDDBC59" w14:textId="77777777" w:rsidR="00BE714A" w:rsidRDefault="00BE714A" w:rsidP="003C1DD4">
            <w:pPr>
              <w:pStyle w:val="Compact"/>
            </w:pPr>
            <w:r>
              <w:t>D</w:t>
            </w:r>
          </w:p>
        </w:tc>
        <w:tc>
          <w:tcPr>
            <w:tcW w:w="0" w:type="auto"/>
          </w:tcPr>
          <w:p w14:paraId="618FA2FB" w14:textId="77777777" w:rsidR="00BE714A" w:rsidRDefault="00BE714A" w:rsidP="003C1DD4">
            <w:pPr>
              <w:pStyle w:val="Compact"/>
            </w:pPr>
            <w:r>
              <w:t xml:space="preserve">The cognitive deficits are not better explained by another mental disorder (eg, major depressive disorder, schizophrenia). </w:t>
            </w:r>
          </w:p>
        </w:tc>
      </w:tr>
    </w:tbl>
    <w:p w14:paraId="017AAAA9" w14:textId="77777777" w:rsidR="00BE714A" w:rsidRDefault="00BE714A" w:rsidP="00BE714A">
      <w:pPr>
        <w:pStyle w:val="BodyText"/>
      </w:pPr>
      <w:r>
        <w:t> </w:t>
      </w:r>
    </w:p>
    <w:p w14:paraId="59F1BB62" w14:textId="77777777" w:rsidR="00BE714A" w:rsidRDefault="00BE714A" w:rsidP="00BE714A">
      <w:pPr>
        <w:pStyle w:val="BodyText"/>
      </w:pPr>
      <w:r>
        <w:lastRenderedPageBreak/>
        <w:t>One of the most commonly used criteria are those found in the Diagnostic and Statistical Manual of Mental Disorders (DSM) criteria (Table 1).</w:t>
      </w:r>
      <w:hyperlink w:anchor="ref-edition2013diagnostic">
        <w:r>
          <w:rPr>
            <w:rStyle w:val="Hyperlink"/>
            <w:vertAlign w:val="superscript"/>
          </w:rPr>
          <w:t>1</w:t>
        </w:r>
      </w:hyperlink>
      <w:r>
        <w:t xml:space="preserve"> These criteria are outlined in Table 1, and form the broad definition of a dementia diagnoses, supported by a detailed patient history, evidence from carers and family members, and objective assessments of cognitive ability using neurocognitive tests.</w:t>
      </w:r>
    </w:p>
    <w:p w14:paraId="29AE7BF7" w14:textId="77777777" w:rsidR="00BE714A" w:rsidRDefault="00BE714A" w:rsidP="00BE714A">
      <w:pPr>
        <w:pStyle w:val="BodyText"/>
      </w:pPr>
      <w:r>
        <w:t>Many cognitive assessment tools exist for the purpose of informing a diagnoses of dementia,</w:t>
      </w:r>
      <w:hyperlink w:anchor="ref-sheehan2012">
        <w:r>
          <w:rPr>
            <w:rStyle w:val="Hyperlink"/>
            <w:vertAlign w:val="superscript"/>
          </w:rPr>
          <w:t>9</w:t>
        </w:r>
      </w:hyperlink>
      <w:r>
        <w:t xml:space="preserve"> 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 1. Taken alone, it does not indicate the absence or presence of dementia, instead merely indicating cognitive impairment which could be due to another cause (for example, temporary delirium as a result of an infection or surgery).</w:t>
      </w:r>
    </w:p>
    <w:p w14:paraId="25D67E1C" w14:textId="77777777" w:rsidR="00BE714A" w:rsidRDefault="00BE714A" w:rsidP="00BE714A">
      <w:pPr>
        <w:pStyle w:val="BodyText"/>
      </w:pPr>
      <w:r>
        <w:t>Differentiating between the underlying causes of a dementia diagnosis is challenging but necessary, as whether the patient has Alzheimer’s disease or vascular dementia will affect expect progression and potential treatment options available (see Section 2.3.4). Cause-specific criteria exist for the diagnosis of dementia sub-types. For example, the NINCDS-ADRDA criteria are commonly used to assess patients for Alzheimer’s disease,</w:t>
      </w:r>
      <w:hyperlink w:anchor="ref-dubois2007">
        <w:r>
          <w:rPr>
            <w:rStyle w:val="Hyperlink"/>
            <w:vertAlign w:val="superscript"/>
          </w:rPr>
          <w:t>10</w:t>
        </w:r>
      </w:hyperlink>
      <w:r>
        <w:t xml:space="preserve"> while vascular dementia is diagnosed using the NINCDS-AIREN criteria.</w:t>
      </w:r>
      <w:hyperlink w:anchor="ref-roman1993vascular">
        <w:r>
          <w:rPr>
            <w:rStyle w:val="Hyperlink"/>
            <w:vertAlign w:val="superscript"/>
          </w:rPr>
          <w:t>11</w:t>
        </w:r>
      </w:hyperlink>
    </w:p>
    <w:p w14:paraId="30B0C7AC" w14:textId="77777777" w:rsidR="00BE714A" w:rsidRDefault="00BE714A" w:rsidP="00BE714A">
      <w:pPr>
        <w:pStyle w:val="Heading3"/>
      </w:pPr>
      <w:bookmarkStart w:id="16" w:name="public-health-importance"/>
      <w:bookmarkEnd w:id="15"/>
      <w:r>
        <w:t>Public health importance</w:t>
      </w:r>
    </w:p>
    <w:p w14:paraId="08E8E09D" w14:textId="77777777" w:rsidR="00BE714A" w:rsidRDefault="00BE714A" w:rsidP="00BE714A">
      <w:pPr>
        <w:pStyle w:val="FirstParagraph"/>
      </w:pPr>
      <w:r>
        <w:t>Dementia is quickly becoming a critically important public health issue. Despite the age-specific incidence and prevalence of dementia remaining relatively constant over time,</w:t>
      </w:r>
      <w:hyperlink w:anchor="ref-prince2016">
        <w:r>
          <w:rPr>
            <w:rStyle w:val="Hyperlink"/>
            <w:vertAlign w:val="superscript"/>
          </w:rPr>
          <w:t>12</w:t>
        </w:r>
      </w:hyperlink>
      <w:r>
        <w:t xml:space="preserve"> an ageing population is set to create a dementia epidemic, particularly in Westernised countries.</w:t>
      </w:r>
      <w:hyperlink w:anchor="ref-flier2005">
        <w:r>
          <w:rPr>
            <w:rStyle w:val="Hyperlink"/>
            <w:vertAlign w:val="superscript"/>
          </w:rPr>
          <w:t>13</w:t>
        </w:r>
      </w:hyperlink>
      <w:r>
        <w:t xml:space="preserve"> 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14</w:t>
        </w:r>
      </w:hyperlink>
      <w:r>
        <w:t xml:space="preserve"> Globally, the prevalence of dementia is expected to reach 75 million by 2030.</w:t>
      </w:r>
      <w:hyperlink w:anchor="ref-prince2016">
        <w:r>
          <w:rPr>
            <w:rStyle w:val="Hyperlink"/>
            <w:vertAlign w:val="superscript"/>
          </w:rPr>
          <w:t>12</w:t>
        </w:r>
      </w:hyperlink>
      <w:r>
        <w:t xml:space="preserve"> Dementia is the leading cause of death in the UK, and the only once without a proven treatment.</w:t>
      </w:r>
    </w:p>
    <w:p w14:paraId="68FD9351" w14:textId="77777777" w:rsidR="00BE714A" w:rsidRDefault="00BE714A" w:rsidP="00BE714A">
      <w:pPr>
        <w:pStyle w:val="BodyText"/>
      </w:pPr>
      <w:r>
        <w:t>Dementia also has a substantial economic impact. In 2015, the estimated total cost of dementia in England was £24.2 billion. Health care costs alone were £3.8 billion,</w:t>
      </w:r>
      <w:hyperlink w:anchor="ref-wittenberg2019">
        <w:r>
          <w:rPr>
            <w:rStyle w:val="Hyperlink"/>
            <w:vertAlign w:val="superscript"/>
          </w:rPr>
          <w:t>15</w:t>
        </w:r>
      </w:hyperlink>
      <w:r>
        <w:t xml:space="preserve"> Globally, the cost of dementia care is expected to rise to $1tr by 2030.</w:t>
      </w:r>
      <w:hyperlink w:anchor="ref-prince2014dementia">
        <w:r>
          <w:rPr>
            <w:rStyle w:val="Hyperlink"/>
            <w:vertAlign w:val="superscript"/>
          </w:rPr>
          <w:t>16</w:t>
        </w:r>
      </w:hyperlink>
    </w:p>
    <w:p w14:paraId="630971AD" w14:textId="77777777" w:rsidR="00BE714A" w:rsidRDefault="00BE714A" w:rsidP="00BE714A">
      <w:pPr>
        <w:pStyle w:val="BodyText"/>
      </w:pPr>
      <w:r>
        <w:t>As such, the urgent need to reduce the burden of dementia, both at the personal and system level, is clear.</w:t>
      </w:r>
    </w:p>
    <w:p w14:paraId="7C5ADF39" w14:textId="77777777" w:rsidR="00BE714A" w:rsidRDefault="00BE714A" w:rsidP="00BE714A">
      <w:pPr>
        <w:pStyle w:val="Heading3"/>
      </w:pPr>
      <w:bookmarkStart w:id="17" w:name="intro-treatments"/>
      <w:bookmarkEnd w:id="16"/>
      <w:r>
        <w:t>Treatments</w:t>
      </w:r>
    </w:p>
    <w:p w14:paraId="453284B1" w14:textId="77777777" w:rsidR="00BE714A" w:rsidRDefault="00BE714A" w:rsidP="00BE714A">
      <w:pPr>
        <w:pStyle w:val="FirstParagraph"/>
      </w:pPr>
      <w:r>
        <w:t>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17</w:t>
        </w:r>
      </w:hyperlink>
      <w:r>
        <w:t>. At present, there are no known curative treatments for dementia, regardless of the underlying cause, though several available therapeutics can help alleviate the symptoms of Alzheimer’s disease.</w:t>
      </w:r>
    </w:p>
    <w:p w14:paraId="3E196539" w14:textId="77777777" w:rsidR="00BE714A" w:rsidRDefault="00BE714A" w:rsidP="00BE714A">
      <w:pPr>
        <w:pStyle w:val="BodyText"/>
      </w:pPr>
      <w:r>
        <w:lastRenderedPageBreak/>
        <w:t>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18</w:t>
        </w:r>
      </w:hyperlink>
      <w:r>
        <w:t xml:space="preserve"> Commonly prescribed ACE inhibitors include donepezil and galantamine.</w:t>
      </w:r>
      <w:hyperlink w:anchor="ref-pariente2008">
        <w:r>
          <w:rPr>
            <w:rStyle w:val="Hyperlink"/>
            <w:vertAlign w:val="superscript"/>
          </w:rPr>
          <w:t>19</w:t>
        </w:r>
      </w:hyperlink>
      <w:r>
        <w:t xml:space="preserve"> ACE inhibitors increase the availability of the neurotransmitter, and has shown clinical effect is easing the behavioural and memory-related symptoms of Alzheimer’s disease.</w:t>
      </w:r>
      <w:hyperlink w:anchor="ref-marucci2020">
        <w:r>
          <w:rPr>
            <w:rStyle w:val="Hyperlink"/>
            <w:vertAlign w:val="superscript"/>
          </w:rPr>
          <w:t>20</w:t>
        </w:r>
      </w:hyperlink>
      <w:r>
        <w:t xml:space="preserve"> ACE inhibitors represent only a stop-gap treatment, treating the symptoms rather than the underlying pathology which may continue to progress.</w:t>
      </w:r>
      <w:hyperlink w:anchor="ref-francis2010">
        <w:r>
          <w:rPr>
            <w:rStyle w:val="Hyperlink"/>
            <w:vertAlign w:val="superscript"/>
          </w:rPr>
          <w:t>21</w:t>
        </w:r>
      </w:hyperlink>
    </w:p>
    <w:p w14:paraId="6F4D1D43" w14:textId="77777777" w:rsidR="00BE714A" w:rsidRDefault="00BE714A" w:rsidP="00BE714A">
      <w:pPr>
        <w:pStyle w:val="Heading3"/>
      </w:pPr>
      <w:bookmarkStart w:id="18" w:name="risk-factors"/>
      <w:bookmarkEnd w:id="17"/>
      <w:r>
        <w:t>Risk factors</w:t>
      </w:r>
    </w:p>
    <w:p w14:paraId="7C688035" w14:textId="77777777" w:rsidR="00BE714A" w:rsidRDefault="00BE714A" w:rsidP="00BE714A">
      <w:pPr>
        <w:pStyle w:val="FirstParagraph"/>
      </w:pPr>
      <w:r>
        <w:t>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vertAlign w:val="superscript"/>
          </w:rPr>
          <w:t>22</w:t>
        </w:r>
      </w:hyperlink>
      <w:r>
        <w:t xml:space="preserve"> To date, a substantial amount of research has been produced examining putative risk factors for dementia.</w:t>
      </w:r>
      <w:hyperlink w:anchor="ref-feingold2000">
        <w:r>
          <w:rPr>
            <w:rStyle w:val="Hyperlink"/>
            <w:vertAlign w:val="superscript"/>
          </w:rPr>
          <w:t>23</w:t>
        </w:r>
      </w:hyperlink>
      <w:r>
        <w:rPr>
          <w:vertAlign w:val="superscript"/>
        </w:rPr>
        <w:t>–</w:t>
      </w:r>
      <w:hyperlink w:anchor="ref-ansteya">
        <w:r>
          <w:rPr>
            <w:rStyle w:val="Hyperlink"/>
            <w:vertAlign w:val="superscript"/>
          </w:rPr>
          <w:t>25</w:t>
        </w:r>
      </w:hyperlink>
    </w:p>
    <w:p w14:paraId="500B6E9C" w14:textId="77777777" w:rsidR="00BE714A" w:rsidRDefault="00BE714A" w:rsidP="00BE714A">
      <w:pPr>
        <w:pStyle w:val="BodyText"/>
      </w:pPr>
      <w:r>
        <w:t>The benefits of a prevention-based approach based on addressing these risk factors are well-studied. Reducing the prevalence of the seven most important risk factors for dementia (obesity, hypertension,</w:t>
      </w:r>
      <w:hyperlink w:anchor="ref-hughes2020association">
        <w:r>
          <w:rPr>
            <w:rStyle w:val="Hyperlink"/>
            <w:vertAlign w:val="superscript"/>
          </w:rPr>
          <w:t>26</w:t>
        </w:r>
      </w:hyperlink>
      <w:r>
        <w:t xml:space="preserve"> diabetes, smoking, physical inactivity, and low educational attainment) by 10-20% per decade is estimated to result in a reduction in dementia prevalence of 8-15% by 2050.</w:t>
      </w:r>
      <w:hyperlink w:anchor="ref-norton2014potential">
        <w:r>
          <w:rPr>
            <w:rStyle w:val="Hyperlink"/>
            <w:vertAlign w:val="superscript"/>
          </w:rPr>
          <w:t>27</w:t>
        </w:r>
      </w:hyperlink>
    </w:p>
    <w:p w14:paraId="619F2C2A" w14:textId="77777777" w:rsidR="00BE714A" w:rsidRDefault="00BE714A" w:rsidP="00BE714A">
      <w:pPr>
        <w:pStyle w:val="BodyText"/>
      </w:pPr>
      <w:r>
        <w:t>In this context, lipid levels represent a promising target for preventative treatment, due to the ready availability of lipid-modifying treatments which could be repurposed.</w:t>
      </w:r>
      <w:hyperlink w:anchor="ref-pushpakom2019a">
        <w:r>
          <w:rPr>
            <w:rStyle w:val="Hyperlink"/>
            <w:vertAlign w:val="superscript"/>
          </w:rPr>
          <w:t>28</w:t>
        </w:r>
      </w:hyperlink>
      <w:r>
        <w:t xml:space="preserve"> Determining whether variations in lipid levels are causative for dementia may prove critical in reducing the future burden of the condition.</w:t>
      </w:r>
    </w:p>
    <w:p w14:paraId="326E2AC4" w14:textId="77777777" w:rsidR="00BE714A" w:rsidRDefault="00BE714A" w:rsidP="00BE714A">
      <w:pPr>
        <w:pStyle w:val="BodyText"/>
      </w:pPr>
      <w:r>
        <w:t>This thesis will focus on blood lipids as the primary risk factor of interest. The next section provides an overview of blood lipid fractions and therapeutic interventions that modify them, while Section 2.5 provides an overview of the existing evidence for an association between lipids and dementia outcomes.</w:t>
      </w:r>
    </w:p>
    <w:p w14:paraId="476B5D12" w14:textId="77777777" w:rsidR="00BE714A" w:rsidRDefault="00BE714A" w:rsidP="00BE714A">
      <w:pPr>
        <w:pStyle w:val="Heading2"/>
      </w:pPr>
      <w:bookmarkStart w:id="19" w:name="serum-lipids"/>
      <w:bookmarkEnd w:id="13"/>
      <w:bookmarkEnd w:id="18"/>
      <w:r>
        <w:t>Serum lipids</w:t>
      </w:r>
    </w:p>
    <w:p w14:paraId="7CDE5A65" w14:textId="77777777" w:rsidR="00BE714A" w:rsidRDefault="00BE714A" w:rsidP="00BE714A">
      <w:pPr>
        <w:pStyle w:val="Heading3"/>
      </w:pPr>
      <w:bookmarkStart w:id="20" w:name="lipid-fractions"/>
      <w:r>
        <w:t>Lipid fractions</w:t>
      </w:r>
    </w:p>
    <w:p w14:paraId="793ED33E" w14:textId="77777777" w:rsidR="00BE714A" w:rsidRDefault="00BE714A" w:rsidP="00BE714A">
      <w:pPr>
        <w:pStyle w:val="FirstParagraph"/>
      </w:pPr>
      <w:r>
        <w:t>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23</w:t>
        </w:r>
      </w:hyperlink>
    </w:p>
    <w:p w14:paraId="7A3AE9C8" w14:textId="77777777" w:rsidR="00BE714A" w:rsidRDefault="00BE714A" w:rsidP="00BE714A">
      <w:pPr>
        <w:pStyle w:val="BodyText"/>
      </w:pPr>
      <w:r>
        <w:t>Triglycerides are the simplest and most common type of lipids found across the body. They are used to store unused calories from food, and to move energy around the body.</w:t>
      </w:r>
      <w:hyperlink w:anchor="ref-laufs2020">
        <w:r>
          <w:rPr>
            <w:rStyle w:val="Hyperlink"/>
            <w:vertAlign w:val="superscript"/>
          </w:rPr>
          <w:t>29</w:t>
        </w:r>
      </w:hyperlink>
      <w:r>
        <w:t xml:space="preserve"> In contrast, cholesterol is primarily used to create cell walls and certain sex hormones.</w:t>
      </w:r>
      <w:hyperlink w:anchor="ref-zampelas2019">
        <w:r>
          <w:rPr>
            <w:rStyle w:val="Hyperlink"/>
            <w:vertAlign w:val="superscript"/>
          </w:rPr>
          <w:t>30</w:t>
        </w:r>
      </w:hyperlink>
      <w:r>
        <w:t xml:space="preserve"> As lipids are not water soluble, within the blood stream, cholesterol is transported in lipoprotein structures of varying densities. Low-Density-Lipoprotein-cholesterol (LDL-c), </w:t>
      </w:r>
      <w:r>
        <w:lastRenderedPageBreak/>
        <w:t>commonly know as the “bad” cholesterol, transports fat to cells, acting as an energy conveyor. In contrast, High Density-Lipoprotein-cholestel (HDL-c), transports cholesterol to the liver to be broken down and excreted.</w:t>
      </w:r>
      <w:hyperlink w:anchor="ref-feingold2000">
        <w:r>
          <w:rPr>
            <w:rStyle w:val="Hyperlink"/>
            <w:vertAlign w:val="superscript"/>
          </w:rPr>
          <w:t>23</w:t>
        </w:r>
      </w:hyperlink>
    </w:p>
    <w:p w14:paraId="41278C07" w14:textId="77777777" w:rsidR="00BE714A" w:rsidRDefault="00BE714A" w:rsidP="00BE714A">
      <w:pPr>
        <w:pStyle w:val="BodyText"/>
      </w:pPr>
      <w:r>
        <w:t>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31</w:t>
        </w:r>
      </w:hyperlink>
    </w:p>
    <w:p w14:paraId="2533B173" w14:textId="77777777" w:rsidR="00BE714A" w:rsidRDefault="00BE714A" w:rsidP="00BE714A">
      <w:pPr>
        <w:pStyle w:val="BodyText"/>
      </w:pPr>
      <m:oMathPara>
        <m:oMathParaPr>
          <m:jc m:val="center"/>
        </m:oMathParaPr>
        <m:oMath>
          <m:r>
            <w:rPr>
              <w:rFonts w:ascii="Cambria Math" w:hAnsi="Cambria Math"/>
            </w:rPr>
            <m:t>TC</m:t>
          </m:r>
          <m:r>
            <m:rPr>
              <m:sty m:val="p"/>
            </m:rPr>
            <w:rPr>
              <w:rFonts w:ascii="Cambria Math" w:hAnsi="Cambria Math"/>
            </w:rPr>
            <m:t>≈</m:t>
          </m:r>
          <m:r>
            <w:rPr>
              <w:rFonts w:ascii="Cambria Math" w:hAnsi="Cambria Math"/>
            </w:rPr>
            <m:t>LDLc</m:t>
          </m:r>
          <m:r>
            <m:rPr>
              <m:sty m:val="p"/>
            </m:rPr>
            <w:rPr>
              <w:rFonts w:ascii="Cambria Math" w:hAnsi="Cambria Math"/>
            </w:rPr>
            <m:t>-</m:t>
          </m:r>
          <m:r>
            <w:rPr>
              <w:rFonts w:ascii="Cambria Math" w:hAnsi="Cambria Math"/>
            </w:rPr>
            <m:t>HDLc</m:t>
          </m:r>
          <m:r>
            <m:rPr>
              <m:sty m:val="p"/>
            </m:rPr>
            <w:rPr>
              <w:rFonts w:ascii="Cambria Math" w:hAnsi="Cambria Math"/>
            </w:rPr>
            <m:t>-</m:t>
          </m:r>
          <m:r>
            <w:rPr>
              <w:rFonts w:ascii="Cambria Math" w:hAnsi="Cambria Math"/>
            </w:rPr>
            <m:t>kTG</m:t>
          </m:r>
        </m:oMath>
      </m:oMathPara>
    </w:p>
    <w:p w14:paraId="4B2B5880" w14:textId="77777777" w:rsidR="00BE714A" w:rsidRDefault="00BE714A" w:rsidP="00BE714A">
      <w:pPr>
        <w:pStyle w:val="FirstParagraph"/>
      </w:pPr>
      <w:r>
        <w:t xml:space="preserve">where </w:t>
      </w:r>
      <m:oMath>
        <m:r>
          <w:rPr>
            <w:rFonts w:ascii="Cambria Math" w:hAnsi="Cambria Math"/>
          </w:rPr>
          <m:t>k</m:t>
        </m:r>
      </m:oMath>
      <w:r>
        <w:t xml:space="preserve"> is 0.20 if measurements are in milligrams per decilitre (</w:t>
      </w:r>
      <w:r>
        <w:rPr>
          <w:i/>
          <w:iCs/>
        </w:rPr>
        <w:t>mg/dl</w:t>
      </w:r>
      <w:r>
        <w:t>) and 0.45 if measured in millimole per litre (</w:t>
      </w:r>
      <w:r>
        <w:rPr>
          <w:i/>
          <w:iCs/>
        </w:rPr>
        <w:t>mmol/l</w:t>
      </w:r>
      <w:r>
        <w:t>).</w:t>
      </w:r>
    </w:p>
    <w:p w14:paraId="58EF0A87" w14:textId="77777777" w:rsidR="00BE714A" w:rsidRDefault="00BE714A" w:rsidP="00BE714A">
      <w:pPr>
        <w:pStyle w:val="BodyText"/>
      </w:pPr>
      <w:r>
        <w:t>Widely-used ranges for the acceptable levels of different types of lipids are based on the National Cholesterol Education Program (NCEP)</w:t>
      </w:r>
      <w:hyperlink w:anchor="ref-national2002third">
        <w:r>
          <w:rPr>
            <w:rStyle w:val="Hyperlink"/>
            <w:vertAlign w:val="superscript"/>
          </w:rPr>
          <w:t>32</w:t>
        </w:r>
      </w:hyperlink>
      <w:r>
        <w:t>, and are outlined in Table 2.</w:t>
      </w:r>
    </w:p>
    <w:p w14:paraId="6573C9B0" w14:textId="77777777" w:rsidR="00BE714A" w:rsidRDefault="00BE714A" w:rsidP="00BE714A">
      <w:pPr>
        <w:pStyle w:val="BodyText"/>
      </w:pPr>
      <w:r>
        <w:t> </w:t>
      </w:r>
    </w:p>
    <w:p w14:paraId="260D4D51" w14:textId="77777777" w:rsidR="00BE714A" w:rsidRDefault="00BE714A" w:rsidP="00BE714A">
      <w:pPr>
        <w:pStyle w:val="TableCaption"/>
      </w:pPr>
      <w:r>
        <w:t>Table 2: Classification of blood lipid levels according to the National Cholesterol Education Program guidelines.</w:t>
      </w:r>
      <w:hyperlink w:anchor="ref-national2002third">
        <w:r>
          <w:rPr>
            <w:rStyle w:val="Hyperlink"/>
            <w:vertAlign w:val="superscript"/>
          </w:rPr>
          <w:t>32</w:t>
        </w:r>
      </w:hyperlink>
    </w:p>
    <w:tbl>
      <w:tblPr>
        <w:tblW w:w="0" w:type="pct"/>
        <w:tblLook w:val="0020" w:firstRow="1" w:lastRow="0" w:firstColumn="0" w:lastColumn="0" w:noHBand="0" w:noVBand="0"/>
      </w:tblPr>
      <w:tblGrid>
        <w:gridCol w:w="1973"/>
        <w:gridCol w:w="2032"/>
        <w:gridCol w:w="2289"/>
      </w:tblGrid>
      <w:tr w:rsidR="00BE714A" w14:paraId="6FA9D5BF" w14:textId="77777777" w:rsidTr="003C1DD4">
        <w:tc>
          <w:tcPr>
            <w:tcW w:w="0" w:type="auto"/>
          </w:tcPr>
          <w:p w14:paraId="675BD0E0" w14:textId="77777777" w:rsidR="00BE714A" w:rsidRDefault="00BE714A" w:rsidP="003C1DD4">
            <w:pPr>
              <w:pStyle w:val="Compact"/>
            </w:pPr>
            <w:r>
              <w:t>Fraction</w:t>
            </w:r>
          </w:p>
        </w:tc>
        <w:tc>
          <w:tcPr>
            <w:tcW w:w="0" w:type="auto"/>
          </w:tcPr>
          <w:p w14:paraId="486900E9" w14:textId="77777777" w:rsidR="00BE714A" w:rsidRDefault="00BE714A" w:rsidP="003C1DD4">
            <w:pPr>
              <w:pStyle w:val="Compact"/>
            </w:pPr>
            <w:r>
              <w:t>Measure (mg/dL)</w:t>
            </w:r>
          </w:p>
        </w:tc>
        <w:tc>
          <w:tcPr>
            <w:tcW w:w="0" w:type="auto"/>
          </w:tcPr>
          <w:p w14:paraId="7F54B4D2" w14:textId="77777777" w:rsidR="00BE714A" w:rsidRDefault="00BE714A" w:rsidP="003C1DD4">
            <w:pPr>
              <w:pStyle w:val="Compact"/>
            </w:pPr>
            <w:r>
              <w:t>Classification</w:t>
            </w:r>
          </w:p>
        </w:tc>
      </w:tr>
      <w:tr w:rsidR="00BE714A" w14:paraId="5D7F0673" w14:textId="77777777" w:rsidTr="003C1DD4">
        <w:tc>
          <w:tcPr>
            <w:tcW w:w="0" w:type="auto"/>
          </w:tcPr>
          <w:p w14:paraId="6179EB28" w14:textId="77777777" w:rsidR="00BE714A" w:rsidRDefault="00BE714A" w:rsidP="003C1DD4">
            <w:pPr>
              <w:pStyle w:val="Compact"/>
            </w:pPr>
            <w:r>
              <w:t>LDL Cholesterol</w:t>
            </w:r>
          </w:p>
        </w:tc>
        <w:tc>
          <w:tcPr>
            <w:tcW w:w="0" w:type="auto"/>
          </w:tcPr>
          <w:p w14:paraId="1D3F5798" w14:textId="77777777" w:rsidR="00BE714A" w:rsidRDefault="00BE714A" w:rsidP="003C1DD4">
            <w:pPr>
              <w:pStyle w:val="Compact"/>
            </w:pPr>
            <w:r>
              <w:t>&lt;100</w:t>
            </w:r>
          </w:p>
        </w:tc>
        <w:tc>
          <w:tcPr>
            <w:tcW w:w="0" w:type="auto"/>
          </w:tcPr>
          <w:p w14:paraId="22101193" w14:textId="77777777" w:rsidR="00BE714A" w:rsidRDefault="00BE714A" w:rsidP="003C1DD4">
            <w:pPr>
              <w:pStyle w:val="Compact"/>
            </w:pPr>
            <w:r>
              <w:t>Optimal</w:t>
            </w:r>
          </w:p>
        </w:tc>
      </w:tr>
      <w:tr w:rsidR="00BE714A" w14:paraId="193542D0" w14:textId="77777777" w:rsidTr="003C1DD4">
        <w:tc>
          <w:tcPr>
            <w:tcW w:w="0" w:type="auto"/>
          </w:tcPr>
          <w:p w14:paraId="6D273FA5" w14:textId="77777777" w:rsidR="00BE714A" w:rsidRDefault="00BE714A" w:rsidP="003C1DD4">
            <w:pPr>
              <w:pStyle w:val="Compact"/>
            </w:pPr>
            <w:r>
              <w:t>LDL Cholesterol</w:t>
            </w:r>
          </w:p>
        </w:tc>
        <w:tc>
          <w:tcPr>
            <w:tcW w:w="0" w:type="auto"/>
          </w:tcPr>
          <w:p w14:paraId="15C17CED" w14:textId="77777777" w:rsidR="00BE714A" w:rsidRDefault="00BE714A" w:rsidP="003C1DD4">
            <w:pPr>
              <w:pStyle w:val="Compact"/>
            </w:pPr>
            <w:r>
              <w:t>100-129</w:t>
            </w:r>
          </w:p>
        </w:tc>
        <w:tc>
          <w:tcPr>
            <w:tcW w:w="0" w:type="auto"/>
          </w:tcPr>
          <w:p w14:paraId="3AE25DCD" w14:textId="77777777" w:rsidR="00BE714A" w:rsidRDefault="00BE714A" w:rsidP="003C1DD4">
            <w:pPr>
              <w:pStyle w:val="Compact"/>
            </w:pPr>
            <w:r>
              <w:t>Near/above optimal</w:t>
            </w:r>
          </w:p>
        </w:tc>
      </w:tr>
      <w:tr w:rsidR="00BE714A" w14:paraId="472DF159" w14:textId="77777777" w:rsidTr="003C1DD4">
        <w:tc>
          <w:tcPr>
            <w:tcW w:w="0" w:type="auto"/>
          </w:tcPr>
          <w:p w14:paraId="2B50E807" w14:textId="77777777" w:rsidR="00BE714A" w:rsidRDefault="00BE714A" w:rsidP="003C1DD4">
            <w:pPr>
              <w:pStyle w:val="Compact"/>
            </w:pPr>
            <w:r>
              <w:t>LDL Cholesterol</w:t>
            </w:r>
          </w:p>
        </w:tc>
        <w:tc>
          <w:tcPr>
            <w:tcW w:w="0" w:type="auto"/>
          </w:tcPr>
          <w:p w14:paraId="59E20C70" w14:textId="77777777" w:rsidR="00BE714A" w:rsidRDefault="00BE714A" w:rsidP="003C1DD4">
            <w:pPr>
              <w:pStyle w:val="Compact"/>
            </w:pPr>
            <w:r>
              <w:t>130-159</w:t>
            </w:r>
          </w:p>
        </w:tc>
        <w:tc>
          <w:tcPr>
            <w:tcW w:w="0" w:type="auto"/>
          </w:tcPr>
          <w:p w14:paraId="500411DB" w14:textId="77777777" w:rsidR="00BE714A" w:rsidRDefault="00BE714A" w:rsidP="003C1DD4">
            <w:pPr>
              <w:pStyle w:val="Compact"/>
            </w:pPr>
            <w:r>
              <w:t>Borderline high</w:t>
            </w:r>
          </w:p>
        </w:tc>
      </w:tr>
      <w:tr w:rsidR="00BE714A" w14:paraId="1DCB29ED" w14:textId="77777777" w:rsidTr="003C1DD4">
        <w:tc>
          <w:tcPr>
            <w:tcW w:w="0" w:type="auto"/>
          </w:tcPr>
          <w:p w14:paraId="4890C7A9" w14:textId="77777777" w:rsidR="00BE714A" w:rsidRDefault="00BE714A" w:rsidP="003C1DD4">
            <w:pPr>
              <w:pStyle w:val="Compact"/>
            </w:pPr>
            <w:r>
              <w:t>LDL Cholesterol</w:t>
            </w:r>
          </w:p>
        </w:tc>
        <w:tc>
          <w:tcPr>
            <w:tcW w:w="0" w:type="auto"/>
          </w:tcPr>
          <w:p w14:paraId="7548808C" w14:textId="77777777" w:rsidR="00BE714A" w:rsidRDefault="00BE714A" w:rsidP="003C1DD4">
            <w:pPr>
              <w:pStyle w:val="Compact"/>
            </w:pPr>
            <w:r>
              <w:t>160-189</w:t>
            </w:r>
          </w:p>
        </w:tc>
        <w:tc>
          <w:tcPr>
            <w:tcW w:w="0" w:type="auto"/>
          </w:tcPr>
          <w:p w14:paraId="7978791C" w14:textId="77777777" w:rsidR="00BE714A" w:rsidRDefault="00BE714A" w:rsidP="003C1DD4">
            <w:pPr>
              <w:pStyle w:val="Compact"/>
            </w:pPr>
            <w:r>
              <w:t>High</w:t>
            </w:r>
          </w:p>
        </w:tc>
      </w:tr>
      <w:tr w:rsidR="00BE714A" w14:paraId="30AFFED3" w14:textId="77777777" w:rsidTr="003C1DD4">
        <w:tc>
          <w:tcPr>
            <w:tcW w:w="0" w:type="auto"/>
          </w:tcPr>
          <w:p w14:paraId="16141B3A" w14:textId="77777777" w:rsidR="00BE714A" w:rsidRDefault="00BE714A" w:rsidP="003C1DD4">
            <w:pPr>
              <w:pStyle w:val="Compact"/>
            </w:pPr>
            <w:r>
              <w:t>LDL Cholesterol</w:t>
            </w:r>
          </w:p>
        </w:tc>
        <w:tc>
          <w:tcPr>
            <w:tcW w:w="0" w:type="auto"/>
          </w:tcPr>
          <w:p w14:paraId="1C654768" w14:textId="77777777" w:rsidR="00BE714A" w:rsidRDefault="00BE714A" w:rsidP="003C1DD4">
            <w:pPr>
              <w:pStyle w:val="Compact"/>
            </w:pPr>
            <w:r>
              <w:t>&gt;190</w:t>
            </w:r>
          </w:p>
        </w:tc>
        <w:tc>
          <w:tcPr>
            <w:tcW w:w="0" w:type="auto"/>
          </w:tcPr>
          <w:p w14:paraId="74711142" w14:textId="77777777" w:rsidR="00BE714A" w:rsidRDefault="00BE714A" w:rsidP="003C1DD4">
            <w:pPr>
              <w:pStyle w:val="Compact"/>
            </w:pPr>
            <w:r>
              <w:t>Very high</w:t>
            </w:r>
          </w:p>
        </w:tc>
      </w:tr>
      <w:tr w:rsidR="00BE714A" w14:paraId="726C19FE" w14:textId="77777777" w:rsidTr="003C1DD4">
        <w:tc>
          <w:tcPr>
            <w:tcW w:w="0" w:type="auto"/>
          </w:tcPr>
          <w:p w14:paraId="6ACFA337" w14:textId="77777777" w:rsidR="00BE714A" w:rsidRDefault="00BE714A" w:rsidP="003C1DD4">
            <w:pPr>
              <w:pStyle w:val="Compact"/>
            </w:pPr>
            <w:r>
              <w:t>HDL Cholesterol</w:t>
            </w:r>
          </w:p>
        </w:tc>
        <w:tc>
          <w:tcPr>
            <w:tcW w:w="0" w:type="auto"/>
          </w:tcPr>
          <w:p w14:paraId="3AB56885" w14:textId="77777777" w:rsidR="00BE714A" w:rsidRDefault="00BE714A" w:rsidP="003C1DD4">
            <w:pPr>
              <w:pStyle w:val="Compact"/>
            </w:pPr>
            <w:r>
              <w:t>&lt;40</w:t>
            </w:r>
          </w:p>
        </w:tc>
        <w:tc>
          <w:tcPr>
            <w:tcW w:w="0" w:type="auto"/>
          </w:tcPr>
          <w:p w14:paraId="5C7793C0" w14:textId="77777777" w:rsidR="00BE714A" w:rsidRDefault="00BE714A" w:rsidP="003C1DD4">
            <w:pPr>
              <w:pStyle w:val="Compact"/>
            </w:pPr>
            <w:r>
              <w:t>Low</w:t>
            </w:r>
          </w:p>
        </w:tc>
      </w:tr>
      <w:tr w:rsidR="00BE714A" w14:paraId="6A8CBF6F" w14:textId="77777777" w:rsidTr="003C1DD4">
        <w:tc>
          <w:tcPr>
            <w:tcW w:w="0" w:type="auto"/>
          </w:tcPr>
          <w:p w14:paraId="382E1F08" w14:textId="77777777" w:rsidR="00BE714A" w:rsidRDefault="00BE714A" w:rsidP="003C1DD4">
            <w:pPr>
              <w:pStyle w:val="Compact"/>
            </w:pPr>
            <w:r>
              <w:t>HDL Cholesterol</w:t>
            </w:r>
          </w:p>
        </w:tc>
        <w:tc>
          <w:tcPr>
            <w:tcW w:w="0" w:type="auto"/>
          </w:tcPr>
          <w:p w14:paraId="5C695630" w14:textId="77777777" w:rsidR="00BE714A" w:rsidRDefault="00BE714A" w:rsidP="003C1DD4">
            <w:pPr>
              <w:pStyle w:val="Compact"/>
            </w:pPr>
            <w:r>
              <w:t>&gt;60</w:t>
            </w:r>
          </w:p>
        </w:tc>
        <w:tc>
          <w:tcPr>
            <w:tcW w:w="0" w:type="auto"/>
          </w:tcPr>
          <w:p w14:paraId="501C58F0" w14:textId="77777777" w:rsidR="00BE714A" w:rsidRDefault="00BE714A" w:rsidP="003C1DD4">
            <w:pPr>
              <w:pStyle w:val="Compact"/>
            </w:pPr>
            <w:r>
              <w:t>High</w:t>
            </w:r>
          </w:p>
        </w:tc>
      </w:tr>
      <w:tr w:rsidR="00BE714A" w14:paraId="3E1A8F2F" w14:textId="77777777" w:rsidTr="003C1DD4">
        <w:tc>
          <w:tcPr>
            <w:tcW w:w="0" w:type="auto"/>
          </w:tcPr>
          <w:p w14:paraId="3498F3C5" w14:textId="77777777" w:rsidR="00BE714A" w:rsidRDefault="00BE714A" w:rsidP="003C1DD4">
            <w:pPr>
              <w:pStyle w:val="Compact"/>
            </w:pPr>
            <w:r>
              <w:t>Triglycerides</w:t>
            </w:r>
          </w:p>
        </w:tc>
        <w:tc>
          <w:tcPr>
            <w:tcW w:w="0" w:type="auto"/>
          </w:tcPr>
          <w:p w14:paraId="6ACC9C5D" w14:textId="77777777" w:rsidR="00BE714A" w:rsidRDefault="00BE714A" w:rsidP="003C1DD4">
            <w:pPr>
              <w:pStyle w:val="Compact"/>
            </w:pPr>
            <w:r>
              <w:t>&lt;150</w:t>
            </w:r>
          </w:p>
        </w:tc>
        <w:tc>
          <w:tcPr>
            <w:tcW w:w="0" w:type="auto"/>
          </w:tcPr>
          <w:p w14:paraId="469786C8" w14:textId="77777777" w:rsidR="00BE714A" w:rsidRDefault="00BE714A" w:rsidP="003C1DD4">
            <w:pPr>
              <w:pStyle w:val="Compact"/>
            </w:pPr>
            <w:r>
              <w:t>Normal</w:t>
            </w:r>
          </w:p>
        </w:tc>
      </w:tr>
      <w:tr w:rsidR="00BE714A" w14:paraId="482F33B4" w14:textId="77777777" w:rsidTr="003C1DD4">
        <w:tc>
          <w:tcPr>
            <w:tcW w:w="0" w:type="auto"/>
          </w:tcPr>
          <w:p w14:paraId="1BF3C077" w14:textId="77777777" w:rsidR="00BE714A" w:rsidRDefault="00BE714A" w:rsidP="003C1DD4">
            <w:pPr>
              <w:pStyle w:val="Compact"/>
            </w:pPr>
            <w:r>
              <w:t>Triglycerides</w:t>
            </w:r>
          </w:p>
        </w:tc>
        <w:tc>
          <w:tcPr>
            <w:tcW w:w="0" w:type="auto"/>
          </w:tcPr>
          <w:p w14:paraId="712B4628" w14:textId="77777777" w:rsidR="00BE714A" w:rsidRDefault="00BE714A" w:rsidP="003C1DD4">
            <w:pPr>
              <w:pStyle w:val="Compact"/>
            </w:pPr>
            <w:r>
              <w:t>150-199</w:t>
            </w:r>
          </w:p>
        </w:tc>
        <w:tc>
          <w:tcPr>
            <w:tcW w:w="0" w:type="auto"/>
          </w:tcPr>
          <w:p w14:paraId="242F5DD3" w14:textId="77777777" w:rsidR="00BE714A" w:rsidRDefault="00BE714A" w:rsidP="003C1DD4">
            <w:pPr>
              <w:pStyle w:val="Compact"/>
            </w:pPr>
            <w:r>
              <w:t>Borderline high</w:t>
            </w:r>
          </w:p>
        </w:tc>
      </w:tr>
      <w:tr w:rsidR="00BE714A" w14:paraId="0D67ACAC" w14:textId="77777777" w:rsidTr="003C1DD4">
        <w:tc>
          <w:tcPr>
            <w:tcW w:w="0" w:type="auto"/>
          </w:tcPr>
          <w:p w14:paraId="55DF683D" w14:textId="77777777" w:rsidR="00BE714A" w:rsidRDefault="00BE714A" w:rsidP="003C1DD4">
            <w:pPr>
              <w:pStyle w:val="Compact"/>
            </w:pPr>
            <w:r>
              <w:t>Triglycerides</w:t>
            </w:r>
          </w:p>
        </w:tc>
        <w:tc>
          <w:tcPr>
            <w:tcW w:w="0" w:type="auto"/>
          </w:tcPr>
          <w:p w14:paraId="76AEE2EB" w14:textId="77777777" w:rsidR="00BE714A" w:rsidRDefault="00BE714A" w:rsidP="003C1DD4">
            <w:pPr>
              <w:pStyle w:val="Compact"/>
            </w:pPr>
            <w:r>
              <w:t>200-499</w:t>
            </w:r>
          </w:p>
        </w:tc>
        <w:tc>
          <w:tcPr>
            <w:tcW w:w="0" w:type="auto"/>
          </w:tcPr>
          <w:p w14:paraId="2E444DC1" w14:textId="77777777" w:rsidR="00BE714A" w:rsidRDefault="00BE714A" w:rsidP="003C1DD4">
            <w:pPr>
              <w:pStyle w:val="Compact"/>
            </w:pPr>
            <w:r>
              <w:t>High</w:t>
            </w:r>
          </w:p>
        </w:tc>
      </w:tr>
      <w:tr w:rsidR="00BE714A" w14:paraId="370E19DE" w14:textId="77777777" w:rsidTr="003C1DD4">
        <w:tc>
          <w:tcPr>
            <w:tcW w:w="0" w:type="auto"/>
          </w:tcPr>
          <w:p w14:paraId="5D5807DE" w14:textId="77777777" w:rsidR="00BE714A" w:rsidRDefault="00BE714A" w:rsidP="003C1DD4">
            <w:pPr>
              <w:pStyle w:val="Compact"/>
            </w:pPr>
            <w:r>
              <w:t>Triglycerides</w:t>
            </w:r>
          </w:p>
        </w:tc>
        <w:tc>
          <w:tcPr>
            <w:tcW w:w="0" w:type="auto"/>
          </w:tcPr>
          <w:p w14:paraId="1532B122" w14:textId="77777777" w:rsidR="00BE714A" w:rsidRDefault="00BE714A" w:rsidP="003C1DD4">
            <w:pPr>
              <w:pStyle w:val="Compact"/>
            </w:pPr>
            <w:r>
              <w:t>&gt;500</w:t>
            </w:r>
          </w:p>
        </w:tc>
        <w:tc>
          <w:tcPr>
            <w:tcW w:w="0" w:type="auto"/>
          </w:tcPr>
          <w:p w14:paraId="54C224E4" w14:textId="77777777" w:rsidR="00BE714A" w:rsidRDefault="00BE714A" w:rsidP="003C1DD4">
            <w:pPr>
              <w:pStyle w:val="Compact"/>
            </w:pPr>
            <w:r>
              <w:t>Very high</w:t>
            </w:r>
          </w:p>
        </w:tc>
      </w:tr>
      <w:tr w:rsidR="00BE714A" w14:paraId="1BB0B536" w14:textId="77777777" w:rsidTr="003C1DD4">
        <w:tc>
          <w:tcPr>
            <w:tcW w:w="0" w:type="auto"/>
          </w:tcPr>
          <w:p w14:paraId="330327BA" w14:textId="77777777" w:rsidR="00BE714A" w:rsidRDefault="00BE714A" w:rsidP="003C1DD4">
            <w:pPr>
              <w:pStyle w:val="Compact"/>
            </w:pPr>
            <w:r>
              <w:t>Total Cholesterol</w:t>
            </w:r>
          </w:p>
        </w:tc>
        <w:tc>
          <w:tcPr>
            <w:tcW w:w="0" w:type="auto"/>
          </w:tcPr>
          <w:p w14:paraId="1B17C864" w14:textId="77777777" w:rsidR="00BE714A" w:rsidRDefault="00BE714A" w:rsidP="003C1DD4">
            <w:pPr>
              <w:pStyle w:val="Compact"/>
            </w:pPr>
            <w:r>
              <w:t>&lt;200</w:t>
            </w:r>
          </w:p>
        </w:tc>
        <w:tc>
          <w:tcPr>
            <w:tcW w:w="0" w:type="auto"/>
          </w:tcPr>
          <w:p w14:paraId="7A6F522E" w14:textId="77777777" w:rsidR="00BE714A" w:rsidRDefault="00BE714A" w:rsidP="003C1DD4">
            <w:pPr>
              <w:pStyle w:val="Compact"/>
            </w:pPr>
            <w:r>
              <w:t>Desirable</w:t>
            </w:r>
          </w:p>
        </w:tc>
      </w:tr>
      <w:tr w:rsidR="00BE714A" w14:paraId="44463CEF" w14:textId="77777777" w:rsidTr="003C1DD4">
        <w:tc>
          <w:tcPr>
            <w:tcW w:w="0" w:type="auto"/>
          </w:tcPr>
          <w:p w14:paraId="65248DE4" w14:textId="77777777" w:rsidR="00BE714A" w:rsidRDefault="00BE714A" w:rsidP="003C1DD4">
            <w:pPr>
              <w:pStyle w:val="Compact"/>
            </w:pPr>
            <w:r>
              <w:t>Total Cholesterol</w:t>
            </w:r>
          </w:p>
        </w:tc>
        <w:tc>
          <w:tcPr>
            <w:tcW w:w="0" w:type="auto"/>
          </w:tcPr>
          <w:p w14:paraId="46644349" w14:textId="77777777" w:rsidR="00BE714A" w:rsidRDefault="00BE714A" w:rsidP="003C1DD4">
            <w:pPr>
              <w:pStyle w:val="Compact"/>
            </w:pPr>
            <w:r>
              <w:t>200-239</w:t>
            </w:r>
          </w:p>
        </w:tc>
        <w:tc>
          <w:tcPr>
            <w:tcW w:w="0" w:type="auto"/>
          </w:tcPr>
          <w:p w14:paraId="0F763119" w14:textId="77777777" w:rsidR="00BE714A" w:rsidRDefault="00BE714A" w:rsidP="003C1DD4">
            <w:pPr>
              <w:pStyle w:val="Compact"/>
            </w:pPr>
            <w:r>
              <w:t>Borderline high</w:t>
            </w:r>
          </w:p>
        </w:tc>
      </w:tr>
      <w:tr w:rsidR="00BE714A" w14:paraId="5AA3499A" w14:textId="77777777" w:rsidTr="003C1DD4">
        <w:tc>
          <w:tcPr>
            <w:tcW w:w="0" w:type="auto"/>
          </w:tcPr>
          <w:p w14:paraId="559C8725" w14:textId="77777777" w:rsidR="00BE714A" w:rsidRDefault="00BE714A" w:rsidP="003C1DD4">
            <w:pPr>
              <w:pStyle w:val="Compact"/>
            </w:pPr>
            <w:r>
              <w:t>Total Cholesterol</w:t>
            </w:r>
          </w:p>
        </w:tc>
        <w:tc>
          <w:tcPr>
            <w:tcW w:w="0" w:type="auto"/>
          </w:tcPr>
          <w:p w14:paraId="70F98CFA" w14:textId="77777777" w:rsidR="00BE714A" w:rsidRDefault="00BE714A" w:rsidP="003C1DD4">
            <w:pPr>
              <w:pStyle w:val="Compact"/>
            </w:pPr>
            <w:r>
              <w:t>&gt;240</w:t>
            </w:r>
          </w:p>
        </w:tc>
        <w:tc>
          <w:tcPr>
            <w:tcW w:w="0" w:type="auto"/>
          </w:tcPr>
          <w:p w14:paraId="30A23A4C" w14:textId="77777777" w:rsidR="00BE714A" w:rsidRDefault="00BE714A" w:rsidP="003C1DD4">
            <w:pPr>
              <w:pStyle w:val="Compact"/>
            </w:pPr>
            <w:r>
              <w:t>High</w:t>
            </w:r>
          </w:p>
        </w:tc>
      </w:tr>
    </w:tbl>
    <w:p w14:paraId="454B8A89" w14:textId="77777777" w:rsidR="00BE714A" w:rsidRDefault="00BE714A" w:rsidP="00BE714A">
      <w:pPr>
        <w:pStyle w:val="BodyText"/>
      </w:pPr>
      <w:r>
        <w:t> </w:t>
      </w:r>
    </w:p>
    <w:p w14:paraId="7E0E91B1" w14:textId="77777777" w:rsidR="00BE714A" w:rsidRDefault="00BE714A" w:rsidP="00BE714A">
      <w:pPr>
        <w:pStyle w:val="BodyText"/>
      </w:pPr>
      <w:r>
        <w:t>Elevated LDL-c in the bloodstream, a condition also known as hypercholesterolaemia or hyperlipidaemia,</w:t>
      </w:r>
      <w:hyperlink w:anchor="ref-nelson2013">
        <w:r>
          <w:rPr>
            <w:rStyle w:val="Hyperlink"/>
            <w:vertAlign w:val="superscript"/>
          </w:rPr>
          <w:t>33</w:t>
        </w:r>
      </w:hyperlink>
      <w:r>
        <w:t xml:space="preserve"> can lead to atherosclerosis,</w:t>
      </w:r>
      <w:hyperlink w:anchor="ref-libby2019">
        <w:r>
          <w:rPr>
            <w:rStyle w:val="Hyperlink"/>
            <w:vertAlign w:val="superscript"/>
          </w:rPr>
          <w:t>34</w:t>
        </w:r>
      </w:hyperlink>
      <w:r>
        <w:t xml:space="preserve"> 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34</w:t>
        </w:r>
      </w:hyperlink>
      <w:r>
        <w:t xml:space="preserve"> Globally, the prevalence of elevated cholesterol was estimated by the World Health Organisation to be approximately 40%.</w:t>
      </w:r>
    </w:p>
    <w:p w14:paraId="0FF83109" w14:textId="77777777" w:rsidR="00BE714A" w:rsidRDefault="00BE714A" w:rsidP="00BE714A">
      <w:pPr>
        <w:pStyle w:val="Heading3"/>
      </w:pPr>
      <w:bookmarkStart w:id="21" w:name="statins"/>
      <w:bookmarkEnd w:id="20"/>
      <w:r>
        <w:lastRenderedPageBreak/>
        <w:t>Statins</w:t>
      </w:r>
    </w:p>
    <w:p w14:paraId="3F7DD1F4" w14:textId="77777777" w:rsidR="00BE714A" w:rsidRDefault="00BE714A" w:rsidP="00BE714A">
      <w:pPr>
        <w:pStyle w:val="FirstParagraph"/>
      </w:pPr>
      <w:r>
        <w:t>Statins are a commonly prescribed method of lipid regulation.</w:t>
      </w:r>
      <w:hyperlink w:anchor="ref-collins2016">
        <w:r>
          <w:rPr>
            <w:rStyle w:val="Hyperlink"/>
            <w:vertAlign w:val="superscript"/>
          </w:rPr>
          <w:t>35</w:t>
        </w:r>
      </w:hyperlink>
      <w:r>
        <w:t xml:space="preserve"> Statins inhibit the conversion of 3-Hydroxy-3-Methylglutaryl-Coenzyme-A (HMG-CoA) into mevalonic acid, by competitively binding with HMG-CoA Reductase (HMG-CoA-R). This conversion limits the rate at which cholesterol can be produced, enabling statins to effectively reduce the production of LDL cholesterol.</w:t>
      </w:r>
    </w:p>
    <w:p w14:paraId="58EC5382" w14:textId="77777777" w:rsidR="00BE714A" w:rsidRDefault="00BE714A" w:rsidP="00BE714A">
      <w:pPr>
        <w:pStyle w:val="BodyText"/>
      </w:pPr>
      <w:r>
        <w:t xml:space="preserve">(ref:statin-mechanisam-cap) </w:t>
      </w:r>
      <w:r>
        <w:rPr>
          <w:b/>
          <w:bCs/>
        </w:rPr>
        <w:t>Statin mechanism of action:</w:t>
      </w:r>
      <w:r>
        <w:t xml:space="preserve"> Overview of the</w:t>
      </w:r>
    </w:p>
    <w:p w14:paraId="7D4C8235" w14:textId="77777777" w:rsidR="00BE714A" w:rsidRDefault="00BE714A" w:rsidP="00BE714A">
      <w:pPr>
        <w:pStyle w:val="Heading3"/>
      </w:pPr>
      <w:bookmarkStart w:id="22" w:name="other-lipid-regulating-agents-lra"/>
      <w:bookmarkEnd w:id="21"/>
      <w:r>
        <w:t>Other lipid regulating agents (LRA)</w:t>
      </w:r>
    </w:p>
    <w:p w14:paraId="7B2C1F3D" w14:textId="77777777" w:rsidR="00BE714A" w:rsidRDefault="00BE714A" w:rsidP="00BE714A">
      <w:pPr>
        <w:pStyle w:val="FirstParagraph"/>
      </w:pPr>
      <w:r>
        <w:t>There are a range of other interventions that can be used to modify a persons lipid profile, which each acting in slightly different ways (Table ??). However, in general, these treatments are either used as adjunct (additional) treatments with statins therapy or are used in situations where statins are contra-indicated or not tolerated.</w:t>
      </w:r>
    </w:p>
    <w:p w14:paraId="66B76E41" w14:textId="77777777" w:rsidR="00BE714A" w:rsidRDefault="00BE714A" w:rsidP="00BE714A">
      <w:pPr>
        <w:pStyle w:val="BodyText"/>
      </w:pPr>
      <w:r>
        <w:t>The most commonly used non-statin therapeutic is ezetimibe,</w:t>
      </w:r>
      <w:hyperlink w:anchor="ref-kosoglou2005">
        <w:r>
          <w:rPr>
            <w:rStyle w:val="Hyperlink"/>
            <w:vertAlign w:val="superscript"/>
          </w:rPr>
          <w:t>36</w:t>
        </w:r>
      </w:hyperlink>
      <w:r>
        <w:t xml:space="preserve"> 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37</w:t>
        </w:r>
      </w:hyperlink>
    </w:p>
    <w:p w14:paraId="260DA0A3" w14:textId="77777777" w:rsidR="00BE714A" w:rsidRDefault="00BE714A" w:rsidP="00BE714A">
      <w:pPr>
        <w:pStyle w:val="BodyText"/>
      </w:pPr>
      <w:r>
        <w:t>A second example are fibrates, used to treat hypertriglyceridaemia by reducing production of triglyceride carrying compounds in the liver. They are commonly used in patients with mixed hyperlipidaemia if treatment with statins has failed to sufficiently control cholesterol levels.</w:t>
      </w:r>
    </w:p>
    <w:p w14:paraId="73D84BB4" w14:textId="77777777" w:rsidR="00BE714A" w:rsidRDefault="00BE714A" w:rsidP="00BE714A">
      <w:pPr>
        <w:pStyle w:val="BodyText"/>
      </w:pPr>
      <w:r>
        <w:t>Finally, PCSK9 inhibitors (or PCSK9i) are a relatively new treatment with strong lipid lowering effects, lauded as a potential alternative to statins.</w:t>
      </w:r>
      <w:hyperlink w:anchor="ref-chaudhary2017">
        <w:r>
          <w:rPr>
            <w:rStyle w:val="Hyperlink"/>
            <w:vertAlign w:val="superscript"/>
          </w:rPr>
          <w:t>38</w:t>
        </w:r>
      </w:hyperlink>
      <w:r>
        <w:t xml:space="preserve"> Their mechanism of action is to bind to and inhibit PCSK9, which breaks down LDL-c receptors on the surface of the liver, thus allowing more LDL-c to be internalised and broken down.</w:t>
      </w:r>
    </w:p>
    <w:p w14:paraId="4BDD24F6" w14:textId="77777777" w:rsidR="00BE714A" w:rsidRDefault="00BE714A" w:rsidP="00BE714A">
      <w:pPr>
        <w:pStyle w:val="BodyText"/>
      </w:pPr>
      <w:r>
        <w:t>Other therapies targeting triglycerides exist, including nicotinic acids</w:t>
      </w:r>
      <w:hyperlink w:anchor="ref-mckenney2004new">
        <w:r>
          <w:rPr>
            <w:rStyle w:val="Hyperlink"/>
            <w:vertAlign w:val="superscript"/>
          </w:rPr>
          <w:t>39</w:t>
        </w:r>
      </w:hyperlink>
      <w:r>
        <w:t xml:space="preserve"> and omega-3-fatty acids,</w:t>
      </w:r>
      <w:hyperlink w:anchor="ref-skulas-rayannc.2019">
        <w:r>
          <w:rPr>
            <w:rStyle w:val="Hyperlink"/>
            <w:vertAlign w:val="superscript"/>
          </w:rPr>
          <w:t>40</w:t>
        </w:r>
      </w:hyperlink>
      <w:r>
        <w:t xml:space="preserve"> but they far less effective in LDL-c lowering than the therapies described above.</w:t>
      </w:r>
    </w:p>
    <w:p w14:paraId="7DDFD2D8" w14:textId="77777777" w:rsidR="00BE714A" w:rsidRDefault="00BE714A" w:rsidP="00BE714A">
      <w:pPr>
        <w:pStyle w:val="BodyText"/>
      </w:pPr>
      <w:r>
        <w:t> </w:t>
      </w:r>
    </w:p>
    <w:p w14:paraId="0EA8B4BD" w14:textId="77777777" w:rsidR="00BE714A" w:rsidRDefault="00BE714A" w:rsidP="00BE714A">
      <w:pPr>
        <w:pStyle w:val="TableCaption"/>
      </w:pPr>
      <w:r>
        <w:t>Table 3: Summary of available treatments for hyperlipidaemia.</w:t>
      </w:r>
    </w:p>
    <w:tbl>
      <w:tblPr>
        <w:tblW w:w="5000" w:type="pct"/>
        <w:tblLook w:val="0020" w:firstRow="1" w:lastRow="0" w:firstColumn="0" w:lastColumn="0" w:noHBand="0" w:noVBand="0"/>
      </w:tblPr>
      <w:tblGrid>
        <w:gridCol w:w="2444"/>
        <w:gridCol w:w="1477"/>
        <w:gridCol w:w="3626"/>
        <w:gridCol w:w="2029"/>
      </w:tblGrid>
      <w:tr w:rsidR="00BE714A" w14:paraId="012633D5" w14:textId="77777777" w:rsidTr="003C1DD4">
        <w:tc>
          <w:tcPr>
            <w:tcW w:w="0" w:type="auto"/>
          </w:tcPr>
          <w:p w14:paraId="792A6B55" w14:textId="77777777" w:rsidR="00BE714A" w:rsidRDefault="00BE714A" w:rsidP="003C1DD4">
            <w:pPr>
              <w:pStyle w:val="Compact"/>
            </w:pPr>
            <w:r>
              <w:t>Treatment</w:t>
            </w:r>
          </w:p>
        </w:tc>
        <w:tc>
          <w:tcPr>
            <w:tcW w:w="0" w:type="auto"/>
          </w:tcPr>
          <w:p w14:paraId="6B649051" w14:textId="77777777" w:rsidR="00BE714A" w:rsidRDefault="00BE714A" w:rsidP="003C1DD4">
            <w:pPr>
              <w:pStyle w:val="Compact"/>
            </w:pPr>
            <w:r>
              <w:t>Effect</w:t>
            </w:r>
          </w:p>
        </w:tc>
        <w:tc>
          <w:tcPr>
            <w:tcW w:w="0" w:type="auto"/>
          </w:tcPr>
          <w:p w14:paraId="0C0157C2" w14:textId="77777777" w:rsidR="00BE714A" w:rsidRDefault="00BE714A" w:rsidP="003C1DD4">
            <w:pPr>
              <w:pStyle w:val="Compact"/>
            </w:pPr>
            <w:r>
              <w:t>Mechanism of action</w:t>
            </w:r>
          </w:p>
        </w:tc>
        <w:tc>
          <w:tcPr>
            <w:tcW w:w="0" w:type="auto"/>
          </w:tcPr>
          <w:p w14:paraId="2A906959" w14:textId="77777777" w:rsidR="00BE714A" w:rsidRDefault="00BE714A" w:rsidP="003C1DD4">
            <w:pPr>
              <w:pStyle w:val="Compact"/>
            </w:pPr>
            <w:r>
              <w:t>Examples</w:t>
            </w:r>
          </w:p>
        </w:tc>
      </w:tr>
      <w:tr w:rsidR="00BE714A" w14:paraId="69C4BF86" w14:textId="77777777" w:rsidTr="003C1DD4">
        <w:tc>
          <w:tcPr>
            <w:tcW w:w="0" w:type="auto"/>
          </w:tcPr>
          <w:p w14:paraId="319F2435" w14:textId="77777777" w:rsidR="00BE714A" w:rsidRDefault="00BE714A" w:rsidP="003C1DD4">
            <w:pPr>
              <w:pStyle w:val="Compact"/>
            </w:pPr>
            <w:r>
              <w:t>HMG CoA reductase inhibitors (statins)</w:t>
            </w:r>
          </w:p>
        </w:tc>
        <w:tc>
          <w:tcPr>
            <w:tcW w:w="0" w:type="auto"/>
          </w:tcPr>
          <w:p w14:paraId="413CD714" w14:textId="77777777" w:rsidR="00BE714A" w:rsidRDefault="00BE714A" w:rsidP="003C1DD4">
            <w:pPr>
              <w:pStyle w:val="Compact"/>
            </w:pPr>
            <w:r>
              <w:t>Lowers LDL-c &amp; TG Raises HDL-c</w:t>
            </w:r>
          </w:p>
        </w:tc>
        <w:tc>
          <w:tcPr>
            <w:tcW w:w="0" w:type="auto"/>
          </w:tcPr>
          <w:p w14:paraId="5613E6BB" w14:textId="77777777" w:rsidR="00BE714A" w:rsidRDefault="00BE714A" w:rsidP="003C1DD4">
            <w:pPr>
              <w:pStyle w:val="Compact"/>
            </w:pPr>
            <w:r>
              <w:t>Inhibits cholesterol biosynthesis pathway in the liver</w:t>
            </w:r>
          </w:p>
        </w:tc>
        <w:tc>
          <w:tcPr>
            <w:tcW w:w="0" w:type="auto"/>
          </w:tcPr>
          <w:p w14:paraId="5487689A" w14:textId="77777777" w:rsidR="00BE714A" w:rsidRDefault="00BE714A" w:rsidP="003C1DD4">
            <w:pPr>
              <w:pStyle w:val="Compact"/>
            </w:pPr>
            <w:r>
              <w:t>Atorvastatin, Simvastatin, Pravastatin</w:t>
            </w:r>
          </w:p>
        </w:tc>
      </w:tr>
      <w:tr w:rsidR="00BE714A" w14:paraId="1983D5EE" w14:textId="77777777" w:rsidTr="003C1DD4">
        <w:tc>
          <w:tcPr>
            <w:tcW w:w="0" w:type="auto"/>
          </w:tcPr>
          <w:p w14:paraId="3BF460E1" w14:textId="77777777" w:rsidR="00BE714A" w:rsidRDefault="00BE714A" w:rsidP="003C1DD4">
            <w:pPr>
              <w:pStyle w:val="Compact"/>
            </w:pPr>
            <w:r>
              <w:t>Ezetimibe</w:t>
            </w:r>
          </w:p>
        </w:tc>
        <w:tc>
          <w:tcPr>
            <w:tcW w:w="0" w:type="auto"/>
          </w:tcPr>
          <w:p w14:paraId="2935727A" w14:textId="77777777" w:rsidR="00BE714A" w:rsidRDefault="00BE714A" w:rsidP="003C1DD4">
            <w:pPr>
              <w:pStyle w:val="Compact"/>
            </w:pPr>
            <w:r>
              <w:t>Lowers LDL-c</w:t>
            </w:r>
          </w:p>
        </w:tc>
        <w:tc>
          <w:tcPr>
            <w:tcW w:w="0" w:type="auto"/>
          </w:tcPr>
          <w:p w14:paraId="02758AE4" w14:textId="77777777" w:rsidR="00BE714A" w:rsidRDefault="00BE714A" w:rsidP="003C1DD4">
            <w:pPr>
              <w:pStyle w:val="Compact"/>
            </w:pPr>
            <w:r>
              <w:t>Prevents absorption of cholesterol from diet</w:t>
            </w:r>
          </w:p>
        </w:tc>
        <w:tc>
          <w:tcPr>
            <w:tcW w:w="0" w:type="auto"/>
          </w:tcPr>
          <w:p w14:paraId="725DF4C3" w14:textId="77777777" w:rsidR="00BE714A" w:rsidRDefault="00BE714A" w:rsidP="003C1DD4"/>
        </w:tc>
      </w:tr>
      <w:tr w:rsidR="00BE714A" w14:paraId="535DA961" w14:textId="77777777" w:rsidTr="003C1DD4">
        <w:tc>
          <w:tcPr>
            <w:tcW w:w="0" w:type="auto"/>
          </w:tcPr>
          <w:p w14:paraId="71B2C407" w14:textId="77777777" w:rsidR="00BE714A" w:rsidRDefault="00BE714A" w:rsidP="003C1DD4">
            <w:pPr>
              <w:pStyle w:val="Compact"/>
            </w:pPr>
            <w:r>
              <w:t>Bile acide sequestrants</w:t>
            </w:r>
          </w:p>
        </w:tc>
        <w:tc>
          <w:tcPr>
            <w:tcW w:w="0" w:type="auto"/>
          </w:tcPr>
          <w:p w14:paraId="72174610" w14:textId="77777777" w:rsidR="00BE714A" w:rsidRDefault="00BE714A" w:rsidP="003C1DD4">
            <w:pPr>
              <w:pStyle w:val="Compact"/>
            </w:pPr>
            <w:r>
              <w:t>Lowers LDL-c</w:t>
            </w:r>
          </w:p>
        </w:tc>
        <w:tc>
          <w:tcPr>
            <w:tcW w:w="0" w:type="auto"/>
          </w:tcPr>
          <w:p w14:paraId="01E7C808" w14:textId="77777777" w:rsidR="00BE714A" w:rsidRDefault="00BE714A" w:rsidP="003C1DD4">
            <w:pPr>
              <w:pStyle w:val="Compact"/>
            </w:pPr>
            <w:r>
              <w:t xml:space="preserve">Prevent bile acid reabsorption in the gastro-intestinal tract, increasing conversion of </w:t>
            </w:r>
            <w:r>
              <w:lastRenderedPageBreak/>
              <w:t>cholesterol to bile acids</w:t>
            </w:r>
          </w:p>
        </w:tc>
        <w:tc>
          <w:tcPr>
            <w:tcW w:w="0" w:type="auto"/>
          </w:tcPr>
          <w:p w14:paraId="33F183E5" w14:textId="77777777" w:rsidR="00BE714A" w:rsidRDefault="00BE714A" w:rsidP="003C1DD4">
            <w:pPr>
              <w:pStyle w:val="Compact"/>
            </w:pPr>
            <w:r>
              <w:lastRenderedPageBreak/>
              <w:t>Colestipol</w:t>
            </w:r>
          </w:p>
        </w:tc>
      </w:tr>
      <w:tr w:rsidR="00BE714A" w14:paraId="368CC079" w14:textId="77777777" w:rsidTr="003C1DD4">
        <w:tc>
          <w:tcPr>
            <w:tcW w:w="0" w:type="auto"/>
          </w:tcPr>
          <w:p w14:paraId="4B37E021" w14:textId="77777777" w:rsidR="00BE714A" w:rsidRDefault="00BE714A" w:rsidP="003C1DD4">
            <w:pPr>
              <w:pStyle w:val="Compact"/>
            </w:pPr>
            <w:r>
              <w:t>Proprotein convertase subtilisin kexin 9 (PCSK9) inhibitors</w:t>
            </w:r>
          </w:p>
        </w:tc>
        <w:tc>
          <w:tcPr>
            <w:tcW w:w="0" w:type="auto"/>
          </w:tcPr>
          <w:p w14:paraId="399E2F6D" w14:textId="77777777" w:rsidR="00BE714A" w:rsidRDefault="00BE714A" w:rsidP="003C1DD4">
            <w:pPr>
              <w:pStyle w:val="Compact"/>
            </w:pPr>
            <w:r>
              <w:t>Lowers LDL-c</w:t>
            </w:r>
          </w:p>
        </w:tc>
        <w:tc>
          <w:tcPr>
            <w:tcW w:w="0" w:type="auto"/>
          </w:tcPr>
          <w:p w14:paraId="048E2F7C" w14:textId="77777777" w:rsidR="00BE714A" w:rsidRDefault="00BE714A" w:rsidP="003C1DD4">
            <w:pPr>
              <w:pStyle w:val="Compact"/>
            </w:pPr>
            <w:r>
              <w:t>Bind to PSCK9 protein, preventing it from breaking down LDL receptors on heptatic cells, increasing cholesterol uptake</w:t>
            </w:r>
          </w:p>
        </w:tc>
        <w:tc>
          <w:tcPr>
            <w:tcW w:w="0" w:type="auto"/>
          </w:tcPr>
          <w:p w14:paraId="5DC05514" w14:textId="77777777" w:rsidR="00BE714A" w:rsidRDefault="00BE714A" w:rsidP="003C1DD4">
            <w:pPr>
              <w:pStyle w:val="Compact"/>
            </w:pPr>
            <w:r>
              <w:t>Evolocumab, Alirocumab</w:t>
            </w:r>
          </w:p>
        </w:tc>
      </w:tr>
    </w:tbl>
    <w:p w14:paraId="50C0C47D" w14:textId="77777777" w:rsidR="00BE714A" w:rsidRDefault="00BE714A" w:rsidP="00BE714A">
      <w:pPr>
        <w:pStyle w:val="BodyText"/>
      </w:pPr>
      <w:r>
        <w:t>   </w:t>
      </w:r>
    </w:p>
    <w:p w14:paraId="0E3EC3C8" w14:textId="77777777" w:rsidR="00BE714A" w:rsidRDefault="00BE714A" w:rsidP="00BE714A">
      <w:pPr>
        <w:pStyle w:val="Heading2"/>
      </w:pPr>
      <w:bookmarkStart w:id="23" w:name="evidence-association"/>
      <w:bookmarkEnd w:id="19"/>
      <w:bookmarkEnd w:id="22"/>
      <w:r>
        <w:t>Evidence for the association between blood lipids and dementia</w:t>
      </w:r>
    </w:p>
    <w:p w14:paraId="18E9975E" w14:textId="77777777" w:rsidR="00BE714A" w:rsidRDefault="00BE714A" w:rsidP="00BE714A">
      <w:pPr>
        <w:pStyle w:val="FirstParagraph"/>
      </w:pPr>
      <w:r>
        <w:t>This section provides an overview of the varying sources of evidence on the relationship between blood lipid levels and dementia risk.</w:t>
      </w:r>
    </w:p>
    <w:p w14:paraId="54609E1B" w14:textId="77777777" w:rsidR="00BE714A" w:rsidRDefault="00BE714A" w:rsidP="00BE714A">
      <w:pPr>
        <w:pStyle w:val="Heading3"/>
      </w:pPr>
      <w:bookmarkStart w:id="24" w:name="basic-science"/>
      <w:r>
        <w:t>Basic science</w:t>
      </w:r>
    </w:p>
    <w:p w14:paraId="199E4B0D" w14:textId="77777777" w:rsidR="00BE714A" w:rsidRDefault="00BE714A" w:rsidP="00BE714A">
      <w:pPr>
        <w:pStyle w:val="FirstParagraph"/>
      </w:pPr>
      <w:r>
        <w:t>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41</w:t>
        </w:r>
      </w:hyperlink>
      <w:r>
        <w:rPr>
          <w:vertAlign w:val="superscript"/>
        </w:rPr>
        <w:t>,</w:t>
      </w:r>
      <w:hyperlink w:anchor="ref-mizuno1999">
        <w:r>
          <w:rPr>
            <w:rStyle w:val="Hyperlink"/>
            <w:vertAlign w:val="superscript"/>
          </w:rPr>
          <w:t>42</w:t>
        </w:r>
      </w:hyperlink>
      <w:r>
        <w:t xml:space="preserve"> 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43</w:t>
        </w:r>
      </w:hyperlink>
      <w:r>
        <w:rPr>
          <w:vertAlign w:val="superscript"/>
        </w:rPr>
        <w:t>–</w:t>
      </w:r>
      <w:hyperlink w:anchor="ref-meng2007">
        <w:r>
          <w:rPr>
            <w:rStyle w:val="Hyperlink"/>
            <w:vertAlign w:val="superscript"/>
          </w:rPr>
          <w:t>45</w:t>
        </w:r>
      </w:hyperlink>
    </w:p>
    <w:p w14:paraId="68B1F202" w14:textId="77777777" w:rsidR="00BE714A" w:rsidRDefault="00BE714A" w:rsidP="00BE714A">
      <w:pPr>
        <w:pStyle w:val="BodyText"/>
      </w:pPr>
      <w:r>
        <w:t>Despite these results, evidence from the diverse range of epidemiological studies on this topic has been inconclusive.</w:t>
      </w:r>
    </w:p>
    <w:p w14:paraId="0D9E3116" w14:textId="77777777" w:rsidR="00BE714A" w:rsidRDefault="00BE714A" w:rsidP="00BE714A">
      <w:pPr>
        <w:pStyle w:val="Heading3"/>
      </w:pPr>
      <w:bookmarkStart w:id="25" w:name="observational-studies"/>
      <w:bookmarkEnd w:id="24"/>
      <w:r>
        <w:t>Observational studies</w:t>
      </w:r>
    </w:p>
    <w:p w14:paraId="08CDE439" w14:textId="77777777" w:rsidR="00BE714A" w:rsidRDefault="00BE714A" w:rsidP="00BE714A">
      <w:pPr>
        <w:pStyle w:val="FirstParagraph"/>
      </w:pPr>
      <w:r>
        <w:t>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46</w:t>
        </w:r>
      </w:hyperlink>
      <w:r>
        <w:rPr>
          <w:vertAlign w:val="superscript"/>
        </w:rPr>
        <w:t>–</w:t>
      </w:r>
      <w:hyperlink w:anchor="ref-whitmer2005">
        <w:r>
          <w:rPr>
            <w:rStyle w:val="Hyperlink"/>
            <w:vertAlign w:val="superscript"/>
          </w:rPr>
          <w:t>50</w:t>
        </w:r>
      </w:hyperlink>
      <w:r>
        <w:t xml:space="preserve"> however others have shown no association,</w:t>
      </w:r>
      <w:hyperlink w:anchor="ref-li2005a">
        <w:r>
          <w:rPr>
            <w:rStyle w:val="Hyperlink"/>
            <w:vertAlign w:val="superscript"/>
          </w:rPr>
          <w:t>51</w:t>
        </w:r>
      </w:hyperlink>
      <w:r>
        <w:rPr>
          <w:vertAlign w:val="superscript"/>
        </w:rPr>
        <w:t>–</w:t>
      </w:r>
      <w:hyperlink w:anchor="ref-tan2003a">
        <w:r>
          <w:rPr>
            <w:rStyle w:val="Hyperlink"/>
            <w:vertAlign w:val="superscript"/>
          </w:rPr>
          <w:t>54</w:t>
        </w:r>
      </w:hyperlink>
      <w:r>
        <w:t xml:space="preserve"> or a reduced susceptibility.</w:t>
      </w:r>
      <w:hyperlink w:anchor="ref-mielke2005">
        <w:r>
          <w:rPr>
            <w:rStyle w:val="Hyperlink"/>
            <w:vertAlign w:val="superscript"/>
          </w:rPr>
          <w:t>55</w:t>
        </w:r>
      </w:hyperlink>
      <w:r>
        <w:rPr>
          <w:vertAlign w:val="superscript"/>
        </w:rPr>
        <w:t>,</w:t>
      </w:r>
      <w:hyperlink w:anchor="ref-reitz2004a">
        <w:r>
          <w:rPr>
            <w:rStyle w:val="Hyperlink"/>
            <w:vertAlign w:val="superscript"/>
          </w:rPr>
          <w:t>56</w:t>
        </w:r>
      </w:hyperlink>
      <w:r>
        <w:t xml:space="preserve"> With regards vascular dementia, decreased levels of HDL-c appear to be associated with increased risk,</w:t>
      </w:r>
      <w:hyperlink w:anchor="ref-reitz2004a">
        <w:r>
          <w:rPr>
            <w:rStyle w:val="Hyperlink"/>
            <w:vertAlign w:val="superscript"/>
          </w:rPr>
          <w:t>56</w:t>
        </w:r>
      </w:hyperlink>
      <w:r>
        <w:t xml:space="preserve"> while for LDL-c, studies have reported both positive and negative associations.</w:t>
      </w:r>
      <w:hyperlink w:anchor="ref-reitz2004a">
        <w:r>
          <w:rPr>
            <w:rStyle w:val="Hyperlink"/>
            <w:vertAlign w:val="superscript"/>
          </w:rPr>
          <w:t>56</w:t>
        </w:r>
      </w:hyperlink>
      <w:r>
        <w:rPr>
          <w:vertAlign w:val="superscript"/>
        </w:rPr>
        <w:t>,</w:t>
      </w:r>
      <w:hyperlink w:anchor="ref-moroney1999">
        <w:r>
          <w:rPr>
            <w:rStyle w:val="Hyperlink"/>
            <w:vertAlign w:val="superscript"/>
          </w:rPr>
          <w:t>57</w:t>
        </w:r>
      </w:hyperlink>
    </w:p>
    <w:p w14:paraId="5DB92045" w14:textId="77777777" w:rsidR="00BE714A" w:rsidRDefault="00BE714A" w:rsidP="00BE714A">
      <w:pPr>
        <w:pStyle w:val="BodyText"/>
      </w:pPr>
      <w:r>
        <w:t>Several previous systematic review of observational studies examining the effect of lipids</w:t>
      </w:r>
      <w:hyperlink w:anchor="ref-anstey">
        <w:r>
          <w:rPr>
            <w:rStyle w:val="Hyperlink"/>
            <w:vertAlign w:val="superscript"/>
          </w:rPr>
          <w:t>58</w:t>
        </w:r>
      </w:hyperlink>
      <w:r>
        <w:t xml:space="preserve"> and lipid-regulating agents</w:t>
      </w:r>
      <w:hyperlink w:anchor="ref-chu2018b">
        <w:r>
          <w:rPr>
            <w:rStyle w:val="Hyperlink"/>
            <w:vertAlign w:val="superscript"/>
          </w:rPr>
          <w:t>59</w:t>
        </w:r>
      </w:hyperlink>
      <w:r>
        <w:rPr>
          <w:vertAlign w:val="superscript"/>
        </w:rPr>
        <w:t>,</w:t>
      </w:r>
      <w:hyperlink w:anchor="ref-poly2020c">
        <w:r>
          <w:rPr>
            <w:rStyle w:val="Hyperlink"/>
            <w:vertAlign w:val="superscript"/>
          </w:rPr>
          <w:t>60</w:t>
        </w:r>
      </w:hyperlink>
      <w:r>
        <w:t xml:space="preserve"> on dementia outcomes have been performed. However, these reviews have several limitations. Many did not consider grey literature sources (see Section 2.6.1). Additionally, many of the reviews of observational studies did not perform any risk-of-bias assessment</w:t>
      </w:r>
      <w:hyperlink w:anchor="ref-chu2018b">
        <w:r>
          <w:rPr>
            <w:rStyle w:val="Hyperlink"/>
            <w:vertAlign w:val="superscript"/>
          </w:rPr>
          <w:t>59</w:t>
        </w:r>
      </w:hyperlink>
      <w:r>
        <w:t xml:space="preserve"> or used an outdated assessment tool.</w:t>
      </w:r>
      <w:hyperlink w:anchor="ref-anstey">
        <w:r>
          <w:rPr>
            <w:rStyle w:val="Hyperlink"/>
            <w:vertAlign w:val="superscript"/>
          </w:rPr>
          <w:t>58</w:t>
        </w:r>
      </w:hyperlink>
      <w:r>
        <w:rPr>
          <w:vertAlign w:val="superscript"/>
        </w:rPr>
        <w:t>,</w:t>
      </w:r>
      <w:hyperlink w:anchor="ref-poly2020c">
        <w:r>
          <w:rPr>
            <w:rStyle w:val="Hyperlink"/>
            <w:vertAlign w:val="superscript"/>
          </w:rPr>
          <w:t>60</w:t>
        </w:r>
      </w:hyperlink>
    </w:p>
    <w:p w14:paraId="2217CE6F" w14:textId="77777777" w:rsidR="00BE714A" w:rsidRDefault="00BE714A" w:rsidP="00BE714A">
      <w:pPr>
        <w:pStyle w:val="Heading3"/>
      </w:pPr>
      <w:bookmarkStart w:id="26" w:name="randomised-controlled-trials"/>
      <w:bookmarkEnd w:id="25"/>
      <w:r>
        <w:lastRenderedPageBreak/>
        <w:t>Randomised controlled trials</w:t>
      </w:r>
    </w:p>
    <w:p w14:paraId="06574A3A" w14:textId="77777777" w:rsidR="00BE714A" w:rsidRDefault="00BE714A" w:rsidP="00BE714A">
      <w:pPr>
        <w:pStyle w:val="FirstParagraph"/>
      </w:pPr>
      <w:r>
        <w:t>In terms of the central research of this thesis, RCTs of statin therapy can be used to provide indirect evidence for the effect of reducing blood LDL-c levels on dementia risk.</w:t>
      </w:r>
    </w:p>
    <w:p w14:paraId="5DC734A3" w14:textId="77777777" w:rsidR="00BE714A" w:rsidRDefault="00BE714A" w:rsidP="00BE714A">
      <w:pPr>
        <w:pStyle w:val="BodyText"/>
      </w:pPr>
      <w:r>
        <w:t>However, RCTs may be infeasible if the outcome of interest is one with a long prodomal period, such as dementia (see Section 2.3.1), as they would require extremely long and costly follow-up.</w:t>
      </w:r>
      <w:hyperlink w:anchor="ref-ritchie2015">
        <w:r>
          <w:rPr>
            <w:rStyle w:val="Hyperlink"/>
            <w:vertAlign w:val="superscript"/>
          </w:rPr>
          <w:t>61</w:t>
        </w:r>
      </w:hyperlink>
      <w:r>
        <w:t xml:space="preserve"> It is no surprise then that the two previous trials providing evidence on the effect of statins on dementia risk, identified by a recent Cochrane review,</w:t>
      </w:r>
      <w:hyperlink w:anchor="ref-mcguinness2016a">
        <w:r>
          <w:rPr>
            <w:rStyle w:val="Hyperlink"/>
            <w:vertAlign w:val="superscript"/>
          </w:rPr>
          <w:t>62</w:t>
        </w:r>
      </w:hyperlink>
      <w:r>
        <w:t xml:space="preserve"> are in fact trials of statins for the prevention of coronary related outcomes.</w:t>
      </w:r>
    </w:p>
    <w:p w14:paraId="3E3B3971" w14:textId="77777777" w:rsidR="00BE714A" w:rsidRDefault="00BE714A" w:rsidP="00BE714A">
      <w:pPr>
        <w:pStyle w:val="BodyText"/>
      </w:pPr>
      <w:r>
        <w:t>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63</w:t>
        </w:r>
      </w:hyperlink>
      <w:r>
        <w:t xml:space="preserve"> reported not on dementia outcomes but on the change in cognitive scores over a mean of 3.2 years. As highlighted in Section 2.3.2, a “change in score” alone is insufficient to diagnose a dementia outcome. The second trial, the Medical Research Council/British Health Foundation Protection Study,</w:t>
      </w:r>
      <w:hyperlink w:anchor="ref-2002">
        <w:r>
          <w:rPr>
            <w:rStyle w:val="Hyperlink"/>
            <w:vertAlign w:val="superscript"/>
          </w:rPr>
          <w:t>64</w:t>
        </w:r>
      </w:hyperlink>
      <w:r>
        <w:t xml:space="preserve"> found no effect of simvastatin on dementia (OR: 1.00, 95% CI: 0.61-1.65), but did not report how the outcome was assessed/recorded within the trial.</w:t>
      </w:r>
    </w:p>
    <w:p w14:paraId="011770EE" w14:textId="77777777" w:rsidR="00BE714A" w:rsidRDefault="00BE714A" w:rsidP="00BE714A">
      <w:pPr>
        <w:pStyle w:val="BodyText"/>
      </w:pPr>
      <w:r>
        <w:t>Additionally, the two trials did not make any effort to assign an underlying pathology to each case, instead reporting an all-cause dementia outcome. As discussed in Section 2.3.1, the different underlying pathology of dementia have different mechanisms of action, and so it is not gauranteed that the effect of statins would be consistent across them.</w:t>
      </w:r>
    </w:p>
    <w:p w14:paraId="7B541BDF" w14:textId="77777777" w:rsidR="00BE714A" w:rsidRDefault="00BE714A" w:rsidP="00BE714A">
      <w:pPr>
        <w:pStyle w:val="BodyText"/>
      </w:pPr>
      <w:r>
        <w:t>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63</w:t>
        </w:r>
      </w:hyperlink>
      <w:r>
        <w:rPr>
          <w:vertAlign w:val="superscript"/>
        </w:rPr>
        <w:t>,</w:t>
      </w:r>
      <w:hyperlink w:anchor="ref-2002">
        <w:r>
          <w:rPr>
            <w:rStyle w:val="Hyperlink"/>
            <w:vertAlign w:val="superscript"/>
          </w:rPr>
          <w:t>64</w:t>
        </w:r>
      </w:hyperlink>
      <w:r>
        <w:t xml:space="preserve"> 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vertAlign w:val="superscript"/>
          </w:rPr>
          <w:t>65</w:t>
        </w:r>
      </w:hyperlink>
    </w:p>
    <w:p w14:paraId="64BE29CE" w14:textId="77777777" w:rsidR="00BE714A" w:rsidRDefault="00BE714A" w:rsidP="00BE714A">
      <w:pPr>
        <w:pStyle w:val="Heading3"/>
      </w:pPr>
      <w:bookmarkStart w:id="27" w:name="mendelian-randomisation"/>
      <w:bookmarkEnd w:id="26"/>
      <w:r>
        <w:t>Mendelian randomisation</w:t>
      </w:r>
    </w:p>
    <w:p w14:paraId="6E56A983" w14:textId="77777777" w:rsidR="00BE714A" w:rsidRDefault="00BE714A" w:rsidP="00BE714A">
      <w:pPr>
        <w:pStyle w:val="FirstParagraph"/>
      </w:pPr>
      <w:r>
        <w:t>Newer methodological approaches, such as Mendelian randomisation (MR),</w:t>
      </w:r>
      <w:hyperlink w:anchor="ref-daveysmith2014">
        <w:r>
          <w:rPr>
            <w:rStyle w:val="Hyperlink"/>
            <w:vertAlign w:val="superscript"/>
          </w:rPr>
          <w:t>66</w:t>
        </w:r>
      </w:hyperlink>
      <w:r>
        <w:t xml:space="preserve"> 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67</w:t>
        </w:r>
      </w:hyperlink>
      <w:r>
        <w:t xml:space="preserve"> 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66</w:t>
        </w:r>
      </w:hyperlink>
      <w:r>
        <w:t xml:space="preserve"> The analytic method relies on several assumptions about the instrumental variable (IV),</w:t>
      </w:r>
      <w:hyperlink w:anchor="ref-davies2018">
        <w:r>
          <w:rPr>
            <w:rStyle w:val="Hyperlink"/>
            <w:vertAlign w:val="superscript"/>
          </w:rPr>
          <w:t>68</w:t>
        </w:r>
      </w:hyperlink>
      <w:r>
        <w:t xml:space="preserve"> namely that:</w:t>
      </w:r>
    </w:p>
    <w:p w14:paraId="0DB1F317" w14:textId="77777777" w:rsidR="00BE714A" w:rsidRDefault="00BE714A" w:rsidP="00BE714A">
      <w:pPr>
        <w:pStyle w:val="Compact"/>
        <w:numPr>
          <w:ilvl w:val="0"/>
          <w:numId w:val="27"/>
        </w:numPr>
      </w:pPr>
      <w:r>
        <w:t>the IV is associated with the exposure of interest (the relevance assumption);</w:t>
      </w:r>
    </w:p>
    <w:p w14:paraId="7EC76D6D" w14:textId="77777777" w:rsidR="00BE714A" w:rsidRDefault="00BE714A" w:rsidP="00BE714A">
      <w:pPr>
        <w:pStyle w:val="Compact"/>
        <w:numPr>
          <w:ilvl w:val="0"/>
          <w:numId w:val="27"/>
        </w:numPr>
      </w:pPr>
      <w:r>
        <w:t>the IV and outcome do not share a common cause (the independence assumption); and</w:t>
      </w:r>
    </w:p>
    <w:p w14:paraId="43BDF804" w14:textId="77777777" w:rsidR="00BE714A" w:rsidRDefault="00BE714A" w:rsidP="00BE714A">
      <w:pPr>
        <w:pStyle w:val="Compact"/>
        <w:numPr>
          <w:ilvl w:val="0"/>
          <w:numId w:val="27"/>
        </w:numPr>
      </w:pPr>
      <w:r>
        <w:lastRenderedPageBreak/>
        <w:t>the IV does not affect the outcome other than via the exposure (the exclusion restriction assumption).</w:t>
      </w:r>
    </w:p>
    <w:p w14:paraId="69E09063" w14:textId="77777777" w:rsidR="00BE714A" w:rsidRDefault="00BE714A" w:rsidP="00BE714A">
      <w:pPr>
        <w:pStyle w:val="FirstParagraph"/>
      </w:pPr>
      <w:r>
        <w:t>Recent MR studies indicated that genetically determined low levels of LDL-c may cause a reduction in AD risk.</w:t>
      </w:r>
      <w:hyperlink w:anchor="ref-larsson2017c">
        <w:r>
          <w:rPr>
            <w:rStyle w:val="Hyperlink"/>
            <w:vertAlign w:val="superscript"/>
          </w:rPr>
          <w:t>69</w:t>
        </w:r>
      </w:hyperlink>
      <w:r>
        <w:rPr>
          <w:vertAlign w:val="superscript"/>
        </w:rPr>
        <w:t>,</w:t>
      </w:r>
      <w:hyperlink w:anchor="ref-ostergaard2015">
        <w:r>
          <w:rPr>
            <w:rStyle w:val="Hyperlink"/>
            <w:vertAlign w:val="superscript"/>
          </w:rPr>
          <w:t>70</w:t>
        </w:r>
      </w:hyperlink>
      <w:r>
        <w:t xml:space="preserve"> However, the effect was attenuated in sensitivity analysis that exclude the region surrounding the ApoE gene, the strongest known risk factor for Alzheimer’s disease.</w:t>
      </w:r>
      <w:hyperlink w:anchor="ref-kim2009">
        <w:r>
          <w:rPr>
            <w:rStyle w:val="Hyperlink"/>
            <w:vertAlign w:val="superscript"/>
          </w:rPr>
          <w:t>71</w:t>
        </w:r>
      </w:hyperlink>
      <w:r>
        <w:t xml:space="preserve"> Inclusion of ApoE4 variants invalidates the exclusion restriction criteria (Assumption 3, above), as the risk reduction observed may be driven by variants in this region via a pathway independent of lipid levels. This was supported by further MR studies where </w:t>
      </w:r>
      <w:r>
        <w:rPr>
          <w:i/>
          <w:iCs/>
        </w:rPr>
        <w:t>ApoE4</w:t>
      </w:r>
      <w:r>
        <w:t xml:space="preserve"> variants were intentionally excluded.</w:t>
      </w:r>
      <w:hyperlink w:anchor="ref-benn2017">
        <w:r>
          <w:rPr>
            <w:rStyle w:val="Hyperlink"/>
            <w:vertAlign w:val="superscript"/>
          </w:rPr>
          <w:t>72</w:t>
        </w:r>
      </w:hyperlink>
    </w:p>
    <w:p w14:paraId="6710051F" w14:textId="77777777" w:rsidR="00BE714A" w:rsidRDefault="00BE714A" w:rsidP="00BE714A">
      <w:pPr>
        <w:pStyle w:val="BodyText"/>
      </w:pPr>
      <w:r>
        <w:t>Despite the increasing number of MR studies examining this topic, no systematic review of this study design as a source of evidence has been performed.</w:t>
      </w:r>
    </w:p>
    <w:p w14:paraId="6CA16A53" w14:textId="77777777" w:rsidR="00BE714A" w:rsidRDefault="00BE714A" w:rsidP="00BE714A">
      <w:pPr>
        <w:pStyle w:val="BodyText"/>
      </w:pPr>
      <w:r>
        <w:t> </w:t>
      </w:r>
    </w:p>
    <w:p w14:paraId="0778D9DB" w14:textId="77777777" w:rsidR="00BE714A" w:rsidRDefault="00BE714A" w:rsidP="00BE714A">
      <w:pPr>
        <w:pStyle w:val="BodyText"/>
      </w:pPr>
      <w:r>
        <w:t>In summary, multiple sources of evidence exist on the relationship between statins and dementia. In the next section, I introduce the synthesis of diverse sources of evidence as the theoretical framework used in this thesis.</w:t>
      </w:r>
    </w:p>
    <w:p w14:paraId="424A6905" w14:textId="77777777" w:rsidR="00BE714A" w:rsidRDefault="00BE714A" w:rsidP="00BE714A">
      <w:pPr>
        <w:pStyle w:val="BodyText"/>
      </w:pPr>
      <w:r>
        <w:t>Multiples forms of evidenc</w:t>
      </w:r>
    </w:p>
    <w:p w14:paraId="3BABC314" w14:textId="77777777" w:rsidR="00BE714A" w:rsidRDefault="00BE714A" w:rsidP="00BE714A">
      <w:pPr>
        <w:pStyle w:val="Heading2"/>
      </w:pPr>
      <w:bookmarkStart w:id="28" w:name="theoretical-framework-evidence-synthesis"/>
      <w:bookmarkEnd w:id="23"/>
      <w:bookmarkEnd w:id="27"/>
      <w:r>
        <w:t>Theoretical framework: Evidence synthesis</w:t>
      </w:r>
    </w:p>
    <w:p w14:paraId="47679D13" w14:textId="77777777" w:rsidR="00BE714A" w:rsidRDefault="00BE714A" w:rsidP="00BE714A">
      <w:pPr>
        <w:pStyle w:val="FirstParagraph"/>
      </w:pPr>
      <w:r>
        <w:t>Evidence synthesis is the process of finding and integrating information from several sources to examine a research question.</w:t>
      </w:r>
      <w:hyperlink w:anchor="ref-donnelly2018a">
        <w:r>
          <w:rPr>
            <w:rStyle w:val="Hyperlink"/>
            <w:vertAlign w:val="superscript"/>
          </w:rPr>
          <w:t>73</w:t>
        </w:r>
      </w:hyperlink>
      <w:r>
        <w:t xml:space="preserve"> A common tyoe of evidence synthesis is a systematic review, either with or without a meta-analysis.</w:t>
      </w:r>
      <w:hyperlink w:anchor="ref-chandler2019chapter">
        <w:r>
          <w:rPr>
            <w:rStyle w:val="Hyperlink"/>
            <w:vertAlign w:val="superscript"/>
          </w:rPr>
          <w:t>74</w:t>
        </w:r>
      </w:hyperlink>
    </w:p>
    <w:p w14:paraId="6D01AE54" w14:textId="77777777" w:rsidR="00BE714A" w:rsidRDefault="00BE714A" w:rsidP="00BE714A">
      <w:pPr>
        <w:pStyle w:val="BodyText"/>
      </w:pPr>
      <w:r>
        <w:t>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or to provide an additional source of evidence for an existing question.</w:t>
      </w:r>
    </w:p>
    <w:p w14:paraId="7489B0D7" w14:textId="77777777" w:rsidR="00BE714A" w:rsidRDefault="00BE714A" w:rsidP="00BE714A">
      <w:pPr>
        <w:pStyle w:val="BodyText"/>
      </w:pPr>
      <w:r>
        <w:t>This thesis seeks to use an evidence synthesis framework to assess the effect of lipids, and treatments that influence lipid levels, on dementia outcomes. Specifically, this thesis considers three methodologies within the umbrella term of evidence synthesis:</w:t>
      </w:r>
    </w:p>
    <w:p w14:paraId="615230B3" w14:textId="77777777" w:rsidR="00BE714A" w:rsidRDefault="00BE714A" w:rsidP="00BE714A">
      <w:pPr>
        <w:pStyle w:val="Compact"/>
        <w:numPr>
          <w:ilvl w:val="0"/>
          <w:numId w:val="28"/>
        </w:numPr>
      </w:pPr>
      <w:r>
        <w:t>Inclusion of grey literature</w:t>
      </w:r>
    </w:p>
    <w:p w14:paraId="292321F7" w14:textId="77777777" w:rsidR="00BE714A" w:rsidRDefault="00BE714A" w:rsidP="00BE714A">
      <w:pPr>
        <w:pStyle w:val="Compact"/>
        <w:numPr>
          <w:ilvl w:val="0"/>
          <w:numId w:val="28"/>
        </w:numPr>
      </w:pPr>
      <w:r>
        <w:t>Triangulation across evidence sources</w:t>
      </w:r>
    </w:p>
    <w:p w14:paraId="43DAB987" w14:textId="77777777" w:rsidR="00BE714A" w:rsidRDefault="00BE714A" w:rsidP="00BE714A">
      <w:pPr>
        <w:pStyle w:val="Compact"/>
        <w:numPr>
          <w:ilvl w:val="0"/>
          <w:numId w:val="28"/>
        </w:numPr>
      </w:pPr>
      <w:r>
        <w:t>Individual patient data meta-analysis</w:t>
      </w:r>
    </w:p>
    <w:p w14:paraId="390C3DBF" w14:textId="77777777" w:rsidR="00BE714A" w:rsidRDefault="00BE714A" w:rsidP="00BE714A">
      <w:pPr>
        <w:pStyle w:val="FirstParagraph"/>
      </w:pPr>
      <w:r>
        <w:t>These three elements are expanded on below and are used to frame the research presented in the subsequent Chapters.</w:t>
      </w:r>
    </w:p>
    <w:p w14:paraId="25A989BA" w14:textId="77777777" w:rsidR="00BE714A" w:rsidRDefault="00BE714A" w:rsidP="00BE714A">
      <w:pPr>
        <w:pStyle w:val="Heading3"/>
      </w:pPr>
      <w:bookmarkStart w:id="29" w:name="diverse-sources-preprints"/>
      <w:r>
        <w:t>Inclusion of grey literature</w:t>
      </w:r>
    </w:p>
    <w:p w14:paraId="74156707" w14:textId="77777777" w:rsidR="00BE714A" w:rsidRDefault="00BE714A" w:rsidP="00BE714A">
      <w:pPr>
        <w:pStyle w:val="FirstParagraph"/>
      </w:pPr>
      <w:r>
        <w:t>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75</w:t>
        </w:r>
      </w:hyperlink>
      <w:r>
        <w:rPr>
          <w:vertAlign w:val="superscript"/>
        </w:rPr>
        <w:t>–</w:t>
      </w:r>
      <w:hyperlink w:anchor="ref-hopewell2007">
        <w:r>
          <w:rPr>
            <w:rStyle w:val="Hyperlink"/>
            <w:vertAlign w:val="superscript"/>
          </w:rPr>
          <w:t>77</w:t>
        </w:r>
      </w:hyperlink>
      <w:r>
        <w:t xml:space="preserve"> Common, well-accepted forms of grey literature include conference abstracts and theses.</w:t>
      </w:r>
      <w:hyperlink w:anchor="ref-lefebvre2019searching">
        <w:r>
          <w:rPr>
            <w:rStyle w:val="Hyperlink"/>
            <w:vertAlign w:val="superscript"/>
          </w:rPr>
          <w:t>78</w:t>
        </w:r>
      </w:hyperlink>
    </w:p>
    <w:p w14:paraId="741E7C2A" w14:textId="77777777" w:rsidR="00BE714A" w:rsidRDefault="00BE714A" w:rsidP="00BE714A">
      <w:pPr>
        <w:pStyle w:val="BodyText"/>
      </w:pPr>
      <w:r>
        <w:lastRenderedPageBreak/>
        <w:t>A important developing source of grey literature are preprints. Defined by the Committee on Publication Ethics (COPE) as ‘scholarly manuscript[s] posted by the author(s) in an openly accessible platform, usually before or in parallel with the peer review process’</w:t>
      </w:r>
      <w:hyperlink w:anchor="ref-committeeonpublicationethicscope2018">
        <w:r>
          <w:rPr>
            <w:rStyle w:val="Hyperlink"/>
            <w:vertAlign w:val="superscript"/>
          </w:rPr>
          <w:t>79</w:t>
        </w:r>
      </w:hyperlink>
      <w:r>
        <w:t>, preprints serve several purposes. They are used to establish primacy when submitting to a journal where the peer-review process may take several months,</w:t>
      </w:r>
      <w:hyperlink w:anchor="ref-vale2016">
        <w:r>
          <w:rPr>
            <w:rStyle w:val="Hyperlink"/>
            <w:vertAlign w:val="superscript"/>
          </w:rPr>
          <w:t>80</w:t>
        </w:r>
      </w:hyperlink>
      <w:r>
        <w:t xml:space="preserve"> to rapidly disseminate research findings, as occurred during the COVID-19 pandemic,</w:t>
      </w:r>
      <w:hyperlink w:anchor="ref-fraser2020a">
        <w:r>
          <w:rPr>
            <w:rStyle w:val="Hyperlink"/>
            <w:vertAlign w:val="superscript"/>
          </w:rPr>
          <w:t>81</w:t>
        </w:r>
      </w:hyperlink>
      <w:r>
        <w:t xml:space="preserve"> and to make available publications that may not have been accepted elsewhere in an attempt to combat publication bias or the “file-drawer” effect.</w:t>
      </w:r>
      <w:hyperlink w:anchor="ref-rosenthal1979">
        <w:r>
          <w:rPr>
            <w:rStyle w:val="Hyperlink"/>
            <w:vertAlign w:val="superscript"/>
          </w:rPr>
          <w:t>82</w:t>
        </w:r>
      </w:hyperlink>
    </w:p>
    <w:p w14:paraId="508E4494" w14:textId="77777777" w:rsidR="00BE714A" w:rsidRDefault="00BE714A" w:rsidP="00BE714A">
      <w:pPr>
        <w:pStyle w:val="BodyText"/>
      </w:pPr>
      <w:r>
        <w:t>One of the major criticisms of using preprints as an evidence source is that they have not yet undergone formal peer review.</w:t>
      </w:r>
      <w:hyperlink w:anchor="ref-maslove2018">
        <w:r>
          <w:rPr>
            <w:rStyle w:val="Hyperlink"/>
            <w:vertAlign w:val="superscript"/>
          </w:rPr>
          <w:t>83</w:t>
        </w:r>
      </w:hyperlink>
      <w:r>
        <w:rPr>
          <w:vertAlign w:val="superscript"/>
        </w:rPr>
        <w:t>,</w:t>
      </w:r>
      <w:hyperlink w:anchor="ref-schalkwyk2020">
        <w:r>
          <w:rPr>
            <w:rStyle w:val="Hyperlink"/>
            <w:vertAlign w:val="superscript"/>
          </w:rPr>
          <w:t>84</w:t>
        </w:r>
      </w:hyperlink>
      <w:r>
        <w:t xml:space="preserve"> However, this approach assigns substantial weight to peer-review as a indicator of “quality”, and is at odds with the acceptance of non-reviewed conference proceedings as an evidence source.</w:t>
      </w:r>
      <w:hyperlink w:anchor="ref-lefebvre2019searching">
        <w:r>
          <w:rPr>
            <w:rStyle w:val="Hyperlink"/>
            <w:vertAlign w:val="superscript"/>
          </w:rPr>
          <w:t>78</w:t>
        </w:r>
      </w:hyperlink>
      <w:r>
        <w:rPr>
          <w:vertAlign w:val="superscript"/>
        </w:rPr>
        <w:t>,</w:t>
      </w:r>
      <w:hyperlink w:anchor="ref-mahood2014">
        <w:r>
          <w:rPr>
            <w:rStyle w:val="Hyperlink"/>
            <w:vertAlign w:val="superscript"/>
          </w:rPr>
          <w:t>85</w:t>
        </w:r>
      </w:hyperlink>
      <w:r>
        <w:t xml:space="preserve"> 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a">
        <w:r>
          <w:rPr>
            <w:rStyle w:val="Hyperlink"/>
            <w:vertAlign w:val="superscript"/>
          </w:rPr>
          <w:t>86</w:t>
        </w:r>
      </w:hyperlink>
      <w:r>
        <w:rPr>
          <w:vertAlign w:val="superscript"/>
        </w:rPr>
        <w:t>–</w:t>
      </w:r>
      <w:hyperlink w:anchor="ref-nicholson2021">
        <w:r>
          <w:rPr>
            <w:rStyle w:val="Hyperlink"/>
            <w:vertAlign w:val="superscript"/>
          </w:rPr>
          <w:t>88</w:t>
        </w:r>
      </w:hyperlink>
      <w:r>
        <w:t xml:space="preserve"> This indicates that preprints should be considered a reliable reflection of a given study.</w:t>
      </w:r>
    </w:p>
    <w:p w14:paraId="7CE9BC33" w14:textId="77777777" w:rsidR="00BE714A" w:rsidRDefault="00BE714A" w:rsidP="00BE714A">
      <w:pPr>
        <w:pStyle w:val="BodyText"/>
      </w:pPr>
      <w:r>
        <w:t>In this thesis, preprints are considered an important source of evidence, in contrast to previous reviews on this topic. However, as with many sources of grey literature,</w:t>
      </w:r>
      <w:hyperlink w:anchor="ref-mahood2014">
        <w:r>
          <w:rPr>
            <w:rStyle w:val="Hyperlink"/>
            <w:vertAlign w:val="superscript"/>
          </w:rPr>
          <w:t>85</w:t>
        </w:r>
      </w:hyperlink>
      <w:r>
        <w:t xml:space="preserve"> there are several logistical issues with carrying out systematic searches in preprint repositories. As such, to enable the inclusion of preprints in the systematic review described in Chapter 4, a new tool addressing these issues is presented in Chapter ??.</w:t>
      </w:r>
    </w:p>
    <w:p w14:paraId="2DE5F9F3" w14:textId="77777777" w:rsidR="00BE714A" w:rsidRDefault="00BE714A" w:rsidP="00BE714A">
      <w:pPr>
        <w:pStyle w:val="Heading3"/>
      </w:pPr>
      <w:bookmarkStart w:id="30" w:name="triangulating-across-study-designs"/>
      <w:bookmarkEnd w:id="29"/>
      <w:r>
        <w:t>Triangulating across study designs</w:t>
      </w:r>
    </w:p>
    <w:p w14:paraId="6AB297D9" w14:textId="77777777" w:rsidR="00BE714A" w:rsidRDefault="00BE714A" w:rsidP="00BE714A">
      <w:pPr>
        <w:pStyle w:val="FirstParagraph"/>
      </w:pPr>
      <w:r>
        <w:t>As illustrated in Section 2.5, several diverse epidemiological methods have been used to examine the effect of varying blood lipid levels on dementia risk. However, each method is limited by its own unique biases. Aetiological triangulation is a developing evidence synthesis method that seeks to exploit these inherent differences in study design, and as a result, in biases.</w:t>
      </w:r>
      <w:hyperlink w:anchor="ref-lawlor2016a">
        <w:r>
          <w:rPr>
            <w:rStyle w:val="Hyperlink"/>
            <w:vertAlign w:val="superscript"/>
          </w:rPr>
          <w:t>89</w:t>
        </w:r>
      </w:hyperlink>
      <w:r>
        <w:t xml:space="preserve"> If several sources of evidence are available and point towards identical conclusions about a exposure-outcome relationship, and these sources are at risk of unrelated biases, this strengthens our confidence in the result. The ideal scenario is where predicted sources of bias are likely to be in competing directions, one expected to increased the effect of the exposure and the other to attenuate it.</w:t>
      </w:r>
      <w:hyperlink w:anchor="ref-lawlor2016a">
        <w:r>
          <w:rPr>
            <w:rStyle w:val="Hyperlink"/>
            <w:vertAlign w:val="superscript"/>
          </w:rPr>
          <w:t>89</w:t>
        </w:r>
      </w:hyperlink>
      <w:r>
        <w:t xml:space="preserve"> 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p>
    <w:p w14:paraId="60783EFD" w14:textId="77777777" w:rsidR="00BE714A" w:rsidRDefault="00BE714A" w:rsidP="00BE714A">
      <w:pPr>
        <w:pStyle w:val="BodyText"/>
      </w:pPr>
      <w:r>
        <w:t>This thesis seeks to apply a triangulation approach to provide the best available evidence on the effect of lipids, and lipid regulating agents, on dementia outcomes.</w:t>
      </w:r>
    </w:p>
    <w:p w14:paraId="001563FA" w14:textId="77777777" w:rsidR="00BE714A" w:rsidRDefault="00BE714A" w:rsidP="00BE714A">
      <w:pPr>
        <w:pStyle w:val="BodyText"/>
      </w:pPr>
      <w:r>
        <w:t xml:space="preserve">All existing evidence, regardless of study design, is first identified by the by the systematic review presented in Chapter 4. Risk-of-bias assessment using a domain-based tool is already a recommended part of the systematic review process, but is particularly </w:t>
      </w:r>
      <w:r>
        <w:lastRenderedPageBreak/>
        <w:t>important to a triangulation exercise.</w:t>
      </w:r>
      <w:hyperlink w:anchor="ref-Pagen71">
        <w:r>
          <w:rPr>
            <w:rStyle w:val="Hyperlink"/>
            <w:vertAlign w:val="superscript"/>
          </w:rPr>
          <w:t>90</w:t>
        </w:r>
      </w:hyperlink>
      <w:r>
        <w:rPr>
          <w:vertAlign w:val="superscript"/>
        </w:rPr>
        <w:t>–</w:t>
      </w:r>
      <w:hyperlink w:anchor="ref-mcguinness2018">
        <w:r>
          <w:rPr>
            <w:rStyle w:val="Hyperlink"/>
            <w:vertAlign w:val="superscript"/>
          </w:rPr>
          <w:t>92</w:t>
        </w:r>
      </w:hyperlink>
      <w:r>
        <w:t xml:space="preserve"> As such, a core component of the review is a comprehensive domain-based risk-of-bias assessment for all included studies.</w:t>
      </w:r>
    </w:p>
    <w:p w14:paraId="4FA92F28" w14:textId="77777777" w:rsidR="00BE714A" w:rsidRDefault="00BE714A" w:rsidP="00BE714A">
      <w:pPr>
        <w:pStyle w:val="BodyText"/>
      </w:pPr>
      <w:r>
        <w:t>Finally all evidence, both pre-existing and produced as part of this thesis (Chapter 5 and ??), are triangulated in Chapter ??.</w:t>
      </w:r>
    </w:p>
    <w:p w14:paraId="2882FA5C" w14:textId="77777777" w:rsidR="00BE714A" w:rsidRDefault="00BE714A" w:rsidP="00BE714A">
      <w:pPr>
        <w:pStyle w:val="Heading3"/>
      </w:pPr>
      <w:bookmarkStart w:id="31" w:name="individual-patient-data-meta-analysis"/>
      <w:bookmarkEnd w:id="30"/>
      <w:r>
        <w:t>Individual patient data meta-analysis</w:t>
      </w:r>
    </w:p>
    <w:p w14:paraId="43CB60F5" w14:textId="77777777" w:rsidR="00BE714A" w:rsidRDefault="00BE714A" w:rsidP="00BE714A">
      <w:pPr>
        <w:pStyle w:val="FirstParagraph"/>
      </w:pPr>
      <w:r>
        <w:t>Individual patient data meta-analyses are commonly held to represent the gold standard in evidence synthesis methodology.</w:t>
      </w:r>
      <w:hyperlink w:anchor="ref-riley2010">
        <w:r>
          <w:rPr>
            <w:rStyle w:val="Hyperlink"/>
            <w:vertAlign w:val="superscript"/>
          </w:rPr>
          <w:t>93</w:t>
        </w:r>
      </w:hyperlink>
      <w:r>
        <w:rPr>
          <w:vertAlign w:val="superscript"/>
        </w:rPr>
        <w:t>,</w:t>
      </w:r>
      <w:hyperlink w:anchor="ref-stewart1993">
        <w:r>
          <w:rPr>
            <w:rStyle w:val="Hyperlink"/>
            <w:vertAlign w:val="superscript"/>
          </w:rPr>
          <w:t>94</w:t>
        </w:r>
      </w:hyperlink>
      <w:r>
        <w:t xml:space="preserve"> IPD methods seek to obtain the raw data from each study identified in a systematic review, rather than basing the meta-analysis on summary results extracted from the literature.</w:t>
      </w:r>
      <w:hyperlink w:anchor="ref-riley2010">
        <w:r>
          <w:rPr>
            <w:rStyle w:val="Hyperlink"/>
            <w:vertAlign w:val="superscript"/>
          </w:rPr>
          <w:t>93</w:t>
        </w:r>
      </w:hyperlink>
    </w:p>
    <w:p w14:paraId="6C53600E" w14:textId="77777777" w:rsidR="00BE714A" w:rsidRDefault="00BE714A" w:rsidP="00BE714A">
      <w:pPr>
        <w:pStyle w:val="BodyText"/>
      </w:pPr>
      <w:r>
        <w:t>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95</w:t>
        </w:r>
      </w:hyperlink>
      <w:r>
        <w:rPr>
          <w:vertAlign w:val="superscript"/>
        </w:rPr>
        <w:t>–</w:t>
      </w:r>
      <w:hyperlink w:anchor="ref-mccartney2016">
        <w:r>
          <w:rPr>
            <w:rStyle w:val="Hyperlink"/>
            <w:vertAlign w:val="superscript"/>
          </w:rPr>
          <w:t>97</w:t>
        </w:r>
      </w:hyperlink>
      <w:r>
        <w:t xml:space="preserve"> However, if primary studies do not presenting results stratified by covariates of interests, meta-analyses of summary-level data on this topic often have limited ability to examine research questions related to exposure-covariate interactions.</w:t>
      </w:r>
      <w:hyperlink w:anchor="ref-riley2010">
        <w:r>
          <w:rPr>
            <w:rStyle w:val="Hyperlink"/>
            <w:vertAlign w:val="superscript"/>
          </w:rPr>
          <w:t>93</w:t>
        </w:r>
      </w:hyperlink>
      <w:r>
        <w:t xml:space="preserve"> In terms of this thesis, patient sex is considered to be of particular interest.</w:t>
      </w:r>
      <w:hyperlink w:anchor="ref-arain2009">
        <w:r>
          <w:rPr>
            <w:rStyle w:val="Hyperlink"/>
            <w:vertAlign w:val="superscript"/>
          </w:rPr>
          <w:t>95</w:t>
        </w:r>
      </w:hyperlink>
      <w:r>
        <w:rPr>
          <w:vertAlign w:val="superscript"/>
        </w:rPr>
        <w:t>,</w:t>
      </w:r>
      <w:hyperlink w:anchor="ref-letenneur1999">
        <w:r>
          <w:rPr>
            <w:rStyle w:val="Hyperlink"/>
            <w:vertAlign w:val="superscript"/>
          </w:rPr>
          <w:t>98</w:t>
        </w:r>
      </w:hyperlink>
    </w:p>
    <w:p w14:paraId="5598FD1C" w14:textId="77777777" w:rsidR="00BE714A" w:rsidRDefault="00BE714A" w:rsidP="00BE714A">
      <w:pPr>
        <w:pStyle w:val="BodyText"/>
      </w:pPr>
      <w:r>
        <w:t>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99</w:t>
        </w:r>
      </w:hyperlink>
      <w:r>
        <w:t xml:space="preserve"> This approach has the added benefit of allowing a common set of inclusion criteria and statistical model to be applied across all dataset, potentially eliminating some important sources of heterogeneity.</w:t>
      </w:r>
      <w:hyperlink w:anchor="ref-stewart2002">
        <w:r>
          <w:rPr>
            <w:rStyle w:val="Hyperlink"/>
            <w:vertAlign w:val="superscript"/>
          </w:rPr>
          <w:t>100</w:t>
        </w:r>
      </w:hyperlink>
    </w:p>
    <w:p w14:paraId="6932F71B" w14:textId="77777777" w:rsidR="00BE714A" w:rsidRDefault="00BE714A" w:rsidP="00BE714A">
      <w:pPr>
        <w:pStyle w:val="BodyText"/>
      </w:pPr>
      <w:r>
        <w:t>Despite their advantages, IPD meta-analysis are rarely performed.</w:t>
      </w:r>
      <w:hyperlink w:anchor="ref-tugwell2010">
        <w:r>
          <w:rPr>
            <w:rStyle w:val="Hyperlink"/>
            <w:vertAlign w:val="superscript"/>
          </w:rPr>
          <w:t>101</w:t>
        </w:r>
      </w:hyperlink>
      <w:r>
        <w:t xml:space="preserve"> 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102</w:t>
        </w:r>
      </w:hyperlink>
      <w:r>
        <w:rPr>
          <w:vertAlign w:val="superscript"/>
        </w:rPr>
        <w:t>,</w:t>
      </w:r>
      <w:hyperlink w:anchor="ref-ventresca2020">
        <w:r>
          <w:rPr>
            <w:rStyle w:val="Hyperlink"/>
            <w:vertAlign w:val="superscript"/>
          </w:rPr>
          <w:t>103</w:t>
        </w:r>
      </w:hyperlink>
      <w:r>
        <w:t xml:space="preserve"> The data underlying primary studies is frequently not publicly available,</w:t>
      </w:r>
      <w:hyperlink w:anchor="ref-alsheikh-ali2011">
        <w:r>
          <w:rPr>
            <w:rStyle w:val="Hyperlink"/>
            <w:vertAlign w:val="superscript"/>
          </w:rPr>
          <w:t>104</w:t>
        </w:r>
      </w:hyperlink>
      <w:r>
        <w:rPr>
          <w:vertAlign w:val="superscript"/>
        </w:rPr>
        <w:t>,</w:t>
      </w:r>
      <w:hyperlink w:anchor="ref-federer2018a">
        <w:r>
          <w:rPr>
            <w:rStyle w:val="Hyperlink"/>
            <w:vertAlign w:val="superscript"/>
          </w:rPr>
          <w:t>105</w:t>
        </w:r>
      </w:hyperlink>
      <w:r>
        <w:t xml:space="preserve"> and the availability of data “available on request from authors” declines rapidly over time.</w:t>
      </w:r>
      <w:hyperlink w:anchor="ref-vines2014">
        <w:r>
          <w:rPr>
            <w:rStyle w:val="Hyperlink"/>
            <w:vertAlign w:val="superscript"/>
          </w:rPr>
          <w:t>106</w:t>
        </w:r>
      </w:hyperlink>
      <w:r>
        <w:t xml:space="preserve"> Several systematic barriers to open data sharing have been identified</w:t>
      </w:r>
      <w:hyperlink w:anchor="ref-vanpanhuis2014a">
        <w:r>
          <w:rPr>
            <w:rStyle w:val="Hyperlink"/>
            <w:vertAlign w:val="superscript"/>
          </w:rPr>
          <w:t>107</w:t>
        </w:r>
      </w:hyperlink>
      <w:r>
        <w:t>. Of particular concern for biomedical IPD analyses are legal issues surrounding the sharing of medical data, motivated by concerns around patient privacy.</w:t>
      </w:r>
      <w:hyperlink w:anchor="ref-wartenberg2010">
        <w:r>
          <w:rPr>
            <w:rStyle w:val="Hyperlink"/>
            <w:vertAlign w:val="superscript"/>
          </w:rPr>
          <w:t>108</w:t>
        </w:r>
      </w:hyperlink>
    </w:p>
    <w:p w14:paraId="633EC224" w14:textId="77777777" w:rsidR="00BE714A" w:rsidRDefault="00BE714A" w:rsidP="00BE714A">
      <w:pPr>
        <w:pStyle w:val="BodyText"/>
      </w:pPr>
      <w:r>
        <w:t>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109</w:t>
        </w:r>
      </w:hyperlink>
      <w:r>
        <w:t xml:space="preserve"> which aims to provide access to several dementia-related datasets via a single simplified application process.</w:t>
      </w:r>
    </w:p>
    <w:p w14:paraId="79AAB82A" w14:textId="77777777" w:rsidR="00BE714A" w:rsidRDefault="00BE714A" w:rsidP="00BE714A">
      <w:pPr>
        <w:pStyle w:val="BodyText"/>
      </w:pPr>
      <w:r>
        <w:t xml:space="preserve">This thesis will attempt to obtain the raw data from relevant primary studies identified by the systematic review in Chapter 4. Any data obtained will be combined with that available from the DPUK portal as part of an individual participant data meta-analysis in Chapter ??, enabling the assessment of the effect of lipids on dementia stratified by key variables such as sex. </w:t>
      </w:r>
    </w:p>
    <w:p w14:paraId="25682257" w14:textId="77777777" w:rsidR="00BE714A" w:rsidRDefault="00BE714A" w:rsidP="00BE714A">
      <w:pPr>
        <w:pStyle w:val="Heading2"/>
      </w:pPr>
      <w:bookmarkStart w:id="32" w:name="thesis-overview"/>
      <w:bookmarkEnd w:id="28"/>
      <w:bookmarkEnd w:id="31"/>
      <w:r>
        <w:lastRenderedPageBreak/>
        <w:t>Thesis overview</w:t>
      </w:r>
    </w:p>
    <w:p w14:paraId="26FA197B" w14:textId="77777777" w:rsidR="00BE714A" w:rsidRDefault="00BE714A" w:rsidP="00BE714A">
      <w:pPr>
        <w:pStyle w:val="Heading3"/>
      </w:pPr>
      <w:bookmarkStart w:id="33" w:name="hypothesis"/>
      <w:r>
        <w:t>Hypothesis</w:t>
      </w:r>
    </w:p>
    <w:p w14:paraId="63B04E29" w14:textId="77777777" w:rsidR="00BE714A" w:rsidRDefault="00BE714A" w:rsidP="00BE714A">
      <w:pPr>
        <w:pStyle w:val="FirstParagraph"/>
      </w:pPr>
      <w:r>
        <w:t>Circulating blood lipid levels, and by extension treatments that modify blood lipid levels such as statins, affect the subsequent risk of dementia and related outcomes.</w:t>
      </w:r>
    </w:p>
    <w:p w14:paraId="7DB369DC" w14:textId="77777777" w:rsidR="00BE714A" w:rsidRDefault="00BE714A" w:rsidP="00BE714A">
      <w:pPr>
        <w:pStyle w:val="Heading3"/>
      </w:pPr>
      <w:bookmarkStart w:id="34" w:name="aims-and-objectives"/>
      <w:bookmarkEnd w:id="33"/>
      <w:r>
        <w:t>Aims and objectives</w:t>
      </w:r>
    </w:p>
    <w:p w14:paraId="66F11D7F" w14:textId="77777777" w:rsidR="00BE714A" w:rsidRDefault="00BE714A" w:rsidP="00BE714A">
      <w:pPr>
        <w:pStyle w:val="FirstParagraph"/>
      </w:pPr>
      <w:r>
        <w:t>The specific research objectives that this thesis seeks to address are:</w:t>
      </w:r>
    </w:p>
    <w:p w14:paraId="4B0585A6" w14:textId="77777777" w:rsidR="00BE714A" w:rsidRDefault="00BE714A" w:rsidP="00BE714A">
      <w:pPr>
        <w:pStyle w:val="Compact"/>
        <w:numPr>
          <w:ilvl w:val="0"/>
          <w:numId w:val="29"/>
        </w:numPr>
      </w:pPr>
      <w:r>
        <w:t>To create a tool that allows for the inclusion of health related preprints in evidence syntheses in a systematic and reproducible manner</w:t>
      </w:r>
    </w:p>
    <w:p w14:paraId="2DE51C74" w14:textId="77777777" w:rsidR="00BE714A" w:rsidRDefault="00BE714A" w:rsidP="00BE714A">
      <w:pPr>
        <w:pStyle w:val="Compact"/>
        <w:numPr>
          <w:ilvl w:val="0"/>
          <w:numId w:val="29"/>
        </w:numPr>
      </w:pPr>
      <w:r>
        <w:t>To review all available evidence across multiple diverse study designs to assess the effect of lipids and lipid regulating agents on dementia risk</w:t>
      </w:r>
    </w:p>
    <w:p w14:paraId="49815E3D" w14:textId="77777777" w:rsidR="00BE714A" w:rsidRDefault="00BE714A" w:rsidP="00BE714A">
      <w:pPr>
        <w:pStyle w:val="Compact"/>
        <w:numPr>
          <w:ilvl w:val="0"/>
          <w:numId w:val="29"/>
        </w:numPr>
      </w:pPr>
      <w:r>
        <w:t>To examine whether there is evidence for an effect of lipid-regulating agents on dementia and related outcomes in a large scale population-based cohort, the Clinical Practice Research Datalink (CPRD)</w:t>
      </w:r>
    </w:p>
    <w:p w14:paraId="03092AAC" w14:textId="77777777" w:rsidR="00BE714A" w:rsidRDefault="00BE714A" w:rsidP="00BE714A">
      <w:pPr>
        <w:pStyle w:val="Compact"/>
        <w:numPr>
          <w:ilvl w:val="0"/>
          <w:numId w:val="29"/>
        </w:numPr>
      </w:pPr>
      <w:r>
        <w:t>To meta-analyse raw dementia-related datasets as part of a individual participant data (IPD meta-analysis) to produce evidence on exposure-covariate interactions</w:t>
      </w:r>
    </w:p>
    <w:p w14:paraId="11B6BA2A" w14:textId="77777777" w:rsidR="00BE714A" w:rsidRDefault="00BE714A" w:rsidP="00BE714A">
      <w:pPr>
        <w:pStyle w:val="Heading3"/>
      </w:pPr>
      <w:bookmarkStart w:id="35" w:name="thesis-structure"/>
      <w:bookmarkEnd w:id="34"/>
      <w:r>
        <w:t>Structure</w:t>
      </w:r>
    </w:p>
    <w:p w14:paraId="2A10A126" w14:textId="77777777" w:rsidR="00BE714A" w:rsidRDefault="00BE714A" w:rsidP="00BE714A">
      <w:pPr>
        <w:pStyle w:val="FirstParagraph"/>
      </w:pPr>
      <w:r>
        <w:t>Chapters are self-contained, presenting the methods and results of that specific research project. They are bookended by introductory and discussion sections which place the methods and results in context. Each chapter is prefaced by a “Lay” or plain English summary, developed with input from the Patient and Public Advisory Group (see Section 7.8 for a discussion of the group’s involvement and Appendix 9.1.2 for more detail on the group).</w:t>
      </w:r>
    </w:p>
    <w:p w14:paraId="5B02E8A6" w14:textId="77777777" w:rsidR="00BE714A" w:rsidRDefault="00BE714A" w:rsidP="00BE714A">
      <w:pPr>
        <w:pStyle w:val="Compact"/>
        <w:numPr>
          <w:ilvl w:val="0"/>
          <w:numId w:val="30"/>
        </w:numPr>
      </w:pPr>
      <w:r>
        <w:rPr>
          <w:b/>
          <w:bCs/>
        </w:rPr>
        <w:t>Chapter 2:</w:t>
      </w:r>
      <w:r>
        <w:t xml:space="preserve"> Background information on dementia and blood lipid levels. This chapter provides an introduction to the topics covered in this thesis to non-subject area experts, and discusses the motivation for the remainder of the thesis.</w:t>
      </w:r>
    </w:p>
    <w:p w14:paraId="19A40AD7" w14:textId="77777777" w:rsidR="00BE714A" w:rsidRDefault="00BE714A" w:rsidP="00BE714A">
      <w:pPr>
        <w:pStyle w:val="Compact"/>
        <w:numPr>
          <w:ilvl w:val="0"/>
          <w:numId w:val="30"/>
        </w:numPr>
      </w:pPr>
      <w:r>
        <w:rPr>
          <w:b/>
          <w:bCs/>
        </w:rPr>
        <w:t>Chapter 3:</w:t>
      </w:r>
      <w:r>
        <w:t xml:space="preserve"> This Chapter introduces a new tool, </w:t>
      </w:r>
      <w:r>
        <w:rPr>
          <w:rStyle w:val="VerbatimChar"/>
        </w:rPr>
        <w:t>medrxivr</w:t>
      </w:r>
      <w:r>
        <w:t>, which was used to developed to allow for systematic searches of the health-related preprint repositories.</w:t>
      </w:r>
    </w:p>
    <w:p w14:paraId="4540881D" w14:textId="77777777" w:rsidR="00BE714A" w:rsidRDefault="00BE714A" w:rsidP="00BE714A">
      <w:pPr>
        <w:pStyle w:val="Compact"/>
        <w:numPr>
          <w:ilvl w:val="0"/>
          <w:numId w:val="30"/>
        </w:numPr>
      </w:pPr>
      <w:r>
        <w:rPr>
          <w:b/>
          <w:bCs/>
        </w:rPr>
        <w:t>Chapter 4:</w:t>
      </w:r>
      <w:r>
        <w:t xml:space="preserve"> This Chapter describes a comprehensive systematic review and meta-analysis of all available evidence on the effect of blood lipids, and interventions that modified blood lipids, on dementia outcomes.</w:t>
      </w:r>
    </w:p>
    <w:p w14:paraId="57B2883E" w14:textId="77777777" w:rsidR="00BE714A" w:rsidRDefault="00BE714A" w:rsidP="00BE714A">
      <w:pPr>
        <w:pStyle w:val="Compact"/>
        <w:numPr>
          <w:ilvl w:val="0"/>
          <w:numId w:val="30"/>
        </w:numPr>
      </w:pPr>
      <w:r>
        <w:rPr>
          <w:b/>
          <w:bCs/>
        </w:rPr>
        <w:t>Chapter 5:</w:t>
      </w:r>
      <w:r>
        <w:t xml:space="preserve"> This Chapter examines the relationship between lipid-regulating agent use and dementia outcomes in the Clinical Practice Research Datalink, a large primary care electronic health record database.</w:t>
      </w:r>
    </w:p>
    <w:p w14:paraId="772185D7" w14:textId="77777777" w:rsidR="00BE714A" w:rsidRDefault="00BE714A" w:rsidP="00BE714A">
      <w:pPr>
        <w:pStyle w:val="Compact"/>
        <w:numPr>
          <w:ilvl w:val="0"/>
          <w:numId w:val="30"/>
        </w:numPr>
      </w:pPr>
      <w:r>
        <w:rPr>
          <w:b/>
          <w:bCs/>
        </w:rPr>
        <w:t>Chapter 6:</w:t>
      </w:r>
      <w:r>
        <w:t xml:space="preserve"> This Chapter describes an individual patient data analysis of several longitudinal cohort studies to describe the relationship between blood serum lipids and dementia outcomes, stratified by important covariates such as sex.</w:t>
      </w:r>
    </w:p>
    <w:p w14:paraId="5C1888B5" w14:textId="77777777" w:rsidR="00BE714A" w:rsidRDefault="00BE714A" w:rsidP="00BE714A">
      <w:pPr>
        <w:pStyle w:val="Compact"/>
        <w:numPr>
          <w:ilvl w:val="0"/>
          <w:numId w:val="30"/>
        </w:numPr>
      </w:pPr>
      <w:r>
        <w:rPr>
          <w:b/>
          <w:bCs/>
        </w:rPr>
        <w:lastRenderedPageBreak/>
        <w:t>Chapter 7</w:t>
      </w:r>
      <w:r>
        <w:t>: This Chapter integrates the diverse evidence identified by, and produced as part of, this thesis. The overall strengths and weaknesses of this project are discussed in detail, and further avenues of research are suggested.</w:t>
      </w:r>
    </w:p>
    <w:p w14:paraId="34416E7B" w14:textId="77777777" w:rsidR="00BE714A" w:rsidRDefault="00BE714A" w:rsidP="00BE714A">
      <w:pPr>
        <w:pStyle w:val="FirstParagraph"/>
      </w:pPr>
      <w:r>
        <w:t>An overview of how all research studies in this thesis can be found in Table 4</w:t>
      </w:r>
    </w:p>
    <w:p w14:paraId="4D383FA5" w14:textId="77777777" w:rsidR="00BE714A" w:rsidRDefault="00BE714A" w:rsidP="00BE714A">
      <w:pPr>
        <w:pStyle w:val="TableCaption"/>
      </w:pPr>
      <w:r>
        <w:t>Table 4: Summary of studies included in this thesis, and used as evidence sources in the triangulation exercise performed in Chapter 7. Note, Chapter 3 is intentionally not included in this table, as it describes a tool rather than a research study.</w:t>
      </w:r>
    </w:p>
    <w:tbl>
      <w:tblPr>
        <w:tblW w:w="4999" w:type="pct"/>
        <w:tblLook w:val="0020" w:firstRow="1" w:lastRow="0" w:firstColumn="0" w:lastColumn="0" w:noHBand="0" w:noVBand="0"/>
      </w:tblPr>
      <w:tblGrid>
        <w:gridCol w:w="1041"/>
        <w:gridCol w:w="2465"/>
        <w:gridCol w:w="1893"/>
        <w:gridCol w:w="1368"/>
        <w:gridCol w:w="2807"/>
      </w:tblGrid>
      <w:tr w:rsidR="00BE714A" w14:paraId="21644216" w14:textId="77777777" w:rsidTr="003C1DD4">
        <w:tc>
          <w:tcPr>
            <w:tcW w:w="0" w:type="auto"/>
          </w:tcPr>
          <w:p w14:paraId="01EE8A6A" w14:textId="77777777" w:rsidR="00BE714A" w:rsidRDefault="00BE714A" w:rsidP="003C1DD4">
            <w:pPr>
              <w:pStyle w:val="Compact"/>
            </w:pPr>
            <w:r>
              <w:t>Chapter</w:t>
            </w:r>
          </w:p>
        </w:tc>
        <w:tc>
          <w:tcPr>
            <w:tcW w:w="0" w:type="auto"/>
          </w:tcPr>
          <w:p w14:paraId="3740C672" w14:textId="77777777" w:rsidR="00BE714A" w:rsidRDefault="00BE714A" w:rsidP="003C1DD4">
            <w:pPr>
              <w:pStyle w:val="Compact"/>
            </w:pPr>
            <w:r>
              <w:t>Research Question</w:t>
            </w:r>
          </w:p>
        </w:tc>
        <w:tc>
          <w:tcPr>
            <w:tcW w:w="0" w:type="auto"/>
          </w:tcPr>
          <w:p w14:paraId="4B09D743" w14:textId="77777777" w:rsidR="00BE714A" w:rsidRDefault="00BE714A" w:rsidP="003C1DD4">
            <w:pPr>
              <w:pStyle w:val="Compact"/>
            </w:pPr>
            <w:r>
              <w:t>Exposure/ Intervention</w:t>
            </w:r>
          </w:p>
        </w:tc>
        <w:tc>
          <w:tcPr>
            <w:tcW w:w="0" w:type="auto"/>
          </w:tcPr>
          <w:p w14:paraId="5393F9A2" w14:textId="77777777" w:rsidR="00BE714A" w:rsidRDefault="00BE714A" w:rsidP="003C1DD4">
            <w:pPr>
              <w:pStyle w:val="Compact"/>
            </w:pPr>
            <w:r>
              <w:t>Outcome</w:t>
            </w:r>
          </w:p>
        </w:tc>
        <w:tc>
          <w:tcPr>
            <w:tcW w:w="0" w:type="auto"/>
          </w:tcPr>
          <w:p w14:paraId="6EDCA2F3" w14:textId="77777777" w:rsidR="00BE714A" w:rsidRDefault="00BE714A" w:rsidP="003C1DD4">
            <w:pPr>
              <w:pStyle w:val="Compact"/>
            </w:pPr>
            <w:r>
              <w:t>Contibution to evidence synthesis framework</w:t>
            </w:r>
          </w:p>
        </w:tc>
      </w:tr>
      <w:tr w:rsidR="00BE714A" w14:paraId="63F6E638" w14:textId="77777777" w:rsidTr="003C1DD4">
        <w:tc>
          <w:tcPr>
            <w:tcW w:w="0" w:type="auto"/>
          </w:tcPr>
          <w:p w14:paraId="1E47F892" w14:textId="77777777" w:rsidR="00BE714A" w:rsidRDefault="00BE714A" w:rsidP="003C1DD4">
            <w:pPr>
              <w:pStyle w:val="Compact"/>
            </w:pPr>
            <w:r>
              <w:t>Chapter 3</w:t>
            </w:r>
          </w:p>
        </w:tc>
        <w:tc>
          <w:tcPr>
            <w:tcW w:w="0" w:type="auto"/>
          </w:tcPr>
          <w:p w14:paraId="4A17C3D1" w14:textId="77777777" w:rsidR="00BE714A" w:rsidRDefault="00BE714A" w:rsidP="003C1DD4">
            <w:pPr>
              <w:pStyle w:val="Compact"/>
            </w:pPr>
            <w:r>
              <w:t xml:space="preserve">Based on the available evidence; (i) are lipid fractions associated with subsequent dementia risk, stratified by subtype? (ii) Are lipid regulating agents associated with subsequent dementia risk, stratified by subtype? </w:t>
            </w:r>
          </w:p>
        </w:tc>
        <w:tc>
          <w:tcPr>
            <w:tcW w:w="0" w:type="auto"/>
          </w:tcPr>
          <w:p w14:paraId="0CC00D68" w14:textId="77777777" w:rsidR="00BE714A" w:rsidRDefault="00BE714A" w:rsidP="003C1DD4">
            <w:pPr>
              <w:pStyle w:val="Compact"/>
            </w:pPr>
            <w:r>
              <w:t>Lipids (HDL-c, LDL-c, TC, TG), Lipid regulating agents (statins, ezetimibe, fibrates, etc.)</w:t>
            </w:r>
          </w:p>
        </w:tc>
        <w:tc>
          <w:tcPr>
            <w:tcW w:w="0" w:type="auto"/>
          </w:tcPr>
          <w:p w14:paraId="3ECF1883" w14:textId="77777777" w:rsidR="00BE714A" w:rsidRDefault="00BE714A" w:rsidP="003C1DD4">
            <w:pPr>
              <w:pStyle w:val="Compact"/>
            </w:pPr>
            <w:r>
              <w:t>Dementia, stratified by subtype</w:t>
            </w:r>
          </w:p>
        </w:tc>
        <w:tc>
          <w:tcPr>
            <w:tcW w:w="0" w:type="auto"/>
          </w:tcPr>
          <w:p w14:paraId="29EC293E" w14:textId="77777777" w:rsidR="00BE714A" w:rsidRDefault="00BE714A" w:rsidP="003C1DD4">
            <w:pPr>
              <w:pStyle w:val="Compact"/>
            </w:pPr>
            <w:r>
              <w:t>Provides overview of existing evidence</w:t>
            </w:r>
          </w:p>
        </w:tc>
      </w:tr>
      <w:tr w:rsidR="00BE714A" w14:paraId="1121E3C8" w14:textId="77777777" w:rsidTr="003C1DD4">
        <w:tc>
          <w:tcPr>
            <w:tcW w:w="0" w:type="auto"/>
          </w:tcPr>
          <w:p w14:paraId="11EAE31D" w14:textId="77777777" w:rsidR="00BE714A" w:rsidRDefault="00BE714A" w:rsidP="003C1DD4">
            <w:pPr>
              <w:pStyle w:val="Compact"/>
            </w:pPr>
            <w:r>
              <w:t>Chapter 4</w:t>
            </w:r>
          </w:p>
        </w:tc>
        <w:tc>
          <w:tcPr>
            <w:tcW w:w="0" w:type="auto"/>
          </w:tcPr>
          <w:p w14:paraId="7B17912B" w14:textId="77777777" w:rsidR="00BE714A" w:rsidRDefault="00BE714A" w:rsidP="003C1DD4">
            <w:pPr>
              <w:pStyle w:val="Compact"/>
            </w:pPr>
            <w:r>
              <w:t xml:space="preserve">Are lipid regulating agents associated with dementia risk in a large scale electonic health record database? </w:t>
            </w:r>
          </w:p>
        </w:tc>
        <w:tc>
          <w:tcPr>
            <w:tcW w:w="0" w:type="auto"/>
          </w:tcPr>
          <w:p w14:paraId="52292351" w14:textId="77777777" w:rsidR="00BE714A" w:rsidRDefault="00BE714A" w:rsidP="003C1DD4">
            <w:pPr>
              <w:pStyle w:val="Compact"/>
            </w:pPr>
            <w:r>
              <w:t>Seven classes of lipid regulating agents</w:t>
            </w:r>
          </w:p>
        </w:tc>
        <w:tc>
          <w:tcPr>
            <w:tcW w:w="0" w:type="auto"/>
          </w:tcPr>
          <w:p w14:paraId="0F3CCEA5" w14:textId="77777777" w:rsidR="00BE714A" w:rsidRDefault="00BE714A" w:rsidP="003C1DD4">
            <w:pPr>
              <w:pStyle w:val="Compact"/>
            </w:pPr>
            <w:r>
              <w:t>Dementia, stratified by subtype</w:t>
            </w:r>
          </w:p>
        </w:tc>
        <w:tc>
          <w:tcPr>
            <w:tcW w:w="0" w:type="auto"/>
          </w:tcPr>
          <w:p w14:paraId="2AD038DB" w14:textId="77777777" w:rsidR="00BE714A" w:rsidRDefault="00BE714A" w:rsidP="003C1DD4">
            <w:pPr>
              <w:pStyle w:val="Compact"/>
            </w:pPr>
            <w:r>
              <w:t>Provides additional observational data on vascular dementia (under-represented in the literature) Provides a source of observational evidence created using a method with distinct sources of bias to those identified by the systematic review</w:t>
            </w:r>
          </w:p>
        </w:tc>
      </w:tr>
      <w:tr w:rsidR="00BE714A" w14:paraId="22B17C07" w14:textId="77777777" w:rsidTr="003C1DD4">
        <w:tc>
          <w:tcPr>
            <w:tcW w:w="0" w:type="auto"/>
          </w:tcPr>
          <w:p w14:paraId="5C2C284D" w14:textId="77777777" w:rsidR="00BE714A" w:rsidRDefault="00BE714A" w:rsidP="003C1DD4">
            <w:pPr>
              <w:pStyle w:val="Compact"/>
            </w:pPr>
            <w:r>
              <w:t>Chapter 5</w:t>
            </w:r>
          </w:p>
        </w:tc>
        <w:tc>
          <w:tcPr>
            <w:tcW w:w="0" w:type="auto"/>
          </w:tcPr>
          <w:p w14:paraId="2512F81A" w14:textId="77777777" w:rsidR="00BE714A" w:rsidRDefault="00BE714A" w:rsidP="003C1DD4">
            <w:pPr>
              <w:pStyle w:val="Compact"/>
            </w:pPr>
            <w:r>
              <w:t xml:space="preserve">Are lipid levels associated with dementia risk in an individual participant data meta-analysis? </w:t>
            </w:r>
          </w:p>
        </w:tc>
        <w:tc>
          <w:tcPr>
            <w:tcW w:w="0" w:type="auto"/>
          </w:tcPr>
          <w:p w14:paraId="63C4C706" w14:textId="77777777" w:rsidR="00BE714A" w:rsidRDefault="00BE714A" w:rsidP="003C1DD4">
            <w:pPr>
              <w:pStyle w:val="Compact"/>
            </w:pPr>
            <w:r>
              <w:t>Lipids (HDL-c, LDL-c, TC, TG)</w:t>
            </w:r>
          </w:p>
        </w:tc>
        <w:tc>
          <w:tcPr>
            <w:tcW w:w="0" w:type="auto"/>
          </w:tcPr>
          <w:p w14:paraId="0F141942" w14:textId="77777777" w:rsidR="00BE714A" w:rsidRDefault="00BE714A" w:rsidP="003C1DD4">
            <w:pPr>
              <w:pStyle w:val="Compact"/>
            </w:pPr>
            <w:r>
              <w:t>Dementia, stratified by subtype</w:t>
            </w:r>
          </w:p>
        </w:tc>
        <w:tc>
          <w:tcPr>
            <w:tcW w:w="0" w:type="auto"/>
          </w:tcPr>
          <w:p w14:paraId="1119B7EB" w14:textId="77777777" w:rsidR="00BE714A" w:rsidRDefault="00BE714A" w:rsidP="003C1DD4">
            <w:pPr>
              <w:pStyle w:val="Compact"/>
            </w:pPr>
            <w:r>
              <w:t>Provides additional evidence from unanalysed datasets Allows for stratification of effect by variables of interest (e.g. sex)</w:t>
            </w:r>
          </w:p>
        </w:tc>
      </w:tr>
    </w:tbl>
    <w:p w14:paraId="0DEFE13A" w14:textId="77777777" w:rsidR="00BE714A" w:rsidRDefault="00BE714A" w:rsidP="00BE714A">
      <w:pPr>
        <w:pStyle w:val="Heading2"/>
      </w:pPr>
      <w:bookmarkStart w:id="36" w:name="thesis-output"/>
      <w:bookmarkEnd w:id="32"/>
      <w:bookmarkEnd w:id="35"/>
      <w:r>
        <w:t>Outputs from this thesis</w:t>
      </w:r>
    </w:p>
    <w:p w14:paraId="46A028E4" w14:textId="77777777" w:rsidR="00BE714A" w:rsidRDefault="00BE714A" w:rsidP="00BE714A">
      <w:pPr>
        <w:pStyle w:val="FirstParagraph"/>
      </w:pPr>
      <w:r>
        <w:t>The outputs of this thesis are detailed below, and include peer-reviewed papers, presentations, and open-source evidence synthesis tools.</w:t>
      </w:r>
    </w:p>
    <w:p w14:paraId="094D7CDC" w14:textId="77777777" w:rsidR="00BE714A" w:rsidRDefault="00BE714A" w:rsidP="00BE714A">
      <w:pPr>
        <w:pStyle w:val="Heading3"/>
      </w:pPr>
      <w:bookmarkStart w:id="37" w:name="Xb49fcf2c1857dc68fd800d494dcd63875707bd6"/>
      <w:r>
        <w:lastRenderedPageBreak/>
        <w:t>Contributions to the scientific literature</w:t>
      </w:r>
    </w:p>
    <w:p w14:paraId="7CBBC914" w14:textId="77777777" w:rsidR="00BE714A" w:rsidRDefault="00BE714A" w:rsidP="00BE714A">
      <w:pPr>
        <w:pStyle w:val="FirstParagraph"/>
      </w:pPr>
      <w:r>
        <w:t>During the course of this thesis, I have made several contributions to the scientific literature. Those arising from or directly related to the contents of this submission are presented below.</w:t>
      </w:r>
    </w:p>
    <w:p w14:paraId="4B1DF735" w14:textId="77777777" w:rsidR="00BE714A" w:rsidRDefault="00BE714A" w:rsidP="00BE714A">
      <w:pPr>
        <w:pStyle w:val="BodyText"/>
      </w:pPr>
      <w:r>
        <w:t> </w:t>
      </w:r>
    </w:p>
    <w:p w14:paraId="57A1784E" w14:textId="77777777" w:rsidR="00BE714A" w:rsidRDefault="00BE714A" w:rsidP="00BE714A">
      <w:pPr>
        <w:pStyle w:val="BodyText"/>
      </w:pPr>
      <w:r>
        <w:rPr>
          <w:b/>
          <w:bCs/>
          <w:i/>
          <w:iCs/>
        </w:rPr>
        <w:t>McGuinness, L. A.</w:t>
      </w:r>
      <w:r>
        <w:rPr>
          <w:i/>
          <w:iCs/>
        </w:rPr>
        <w:t xml:space="preserve">, and L Schmidt. (2020) medrxivr: Accessing and searching medRxiv and bioRxiv preprint data in R." Journal of Open Source Software 5.54 2651. DOI: </w:t>
      </w:r>
      <w:hyperlink r:id="rId8">
        <w:r>
          <w:rPr>
            <w:rStyle w:val="Hyperlink"/>
            <w:i/>
            <w:iCs/>
          </w:rPr>
          <w:t>10.21105/joss.02651</w:t>
        </w:r>
      </w:hyperlink>
    </w:p>
    <w:p w14:paraId="6891302F" w14:textId="77777777" w:rsidR="00BE714A" w:rsidRDefault="00BE714A" w:rsidP="00BE714A">
      <w:pPr>
        <w:pStyle w:val="BodyText"/>
      </w:pPr>
      <w:r>
        <w:t>A paper introducing the open-source preprint search tool described in Chapter 3. As is common for journal articles describing software, the paper is intentionally short providing only a broad overview of the tool while extensive documentation is available from the project website (see 3.2 for more details).</w:t>
      </w:r>
    </w:p>
    <w:p w14:paraId="24F271D6" w14:textId="77777777" w:rsidR="00BE714A" w:rsidRDefault="00BE714A" w:rsidP="00BE714A">
      <w:pPr>
        <w:pStyle w:val="BodyText"/>
      </w:pPr>
      <w:r>
        <w:t> </w:t>
      </w:r>
    </w:p>
    <w:p w14:paraId="0405F4C4" w14:textId="77777777" w:rsidR="00BE714A" w:rsidRDefault="00BE714A" w:rsidP="00BE714A">
      <w:pPr>
        <w:pStyle w:val="BodyText"/>
      </w:pPr>
      <w:r>
        <w:rPr>
          <w:i/>
          <w:iCs/>
        </w:rPr>
        <w:t xml:space="preserve">Hennessy, E. A., Acabchuk, R., Arnold, P. A., Dunn, A. G., Foo, Y. Z., Johnson, B. T., Geange, S. R., Haddaway, N. R., Nakagawa, S., Mapanga, W., Mengersen, K., Page, M., Sánchez-Tójar, A. Welch, V., </w:t>
      </w:r>
      <w:r>
        <w:rPr>
          <w:b/>
          <w:bCs/>
          <w:i/>
          <w:iCs/>
        </w:rPr>
        <w:t>McGuinness L. A.</w:t>
      </w:r>
      <w:r>
        <w:rPr>
          <w:i/>
          <w:iCs/>
        </w:rPr>
        <w:t xml:space="preserve"> (2020). Ensuring Prevention Science Research is Synthesis-Ready for Immediate and Lasting Scientific Impact. MetaArXiv. DOI: </w:t>
      </w:r>
      <w:hyperlink r:id="rId9">
        <w:r>
          <w:rPr>
            <w:rStyle w:val="Hyperlink"/>
            <w:i/>
            <w:iCs/>
          </w:rPr>
          <w:t>10.31222/osf.io/ptg9j</w:t>
        </w:r>
      </w:hyperlink>
    </w:p>
    <w:p w14:paraId="738BA465" w14:textId="77777777" w:rsidR="00BE714A" w:rsidRDefault="00BE714A" w:rsidP="00BE714A">
      <w:pPr>
        <w:pStyle w:val="BodyText"/>
      </w:pPr>
      <w:r>
        <w:t>The experience of extracting data for the systematic review in Chapter 4 inspired a practical guide for researchers. This piece was co-written with Dr. Emily Hennessy (see Author Declarations in the front materials). [Under 2nd round of review at Prevention Science]</w:t>
      </w:r>
    </w:p>
    <w:p w14:paraId="4F2EA270" w14:textId="77777777" w:rsidR="00BE714A" w:rsidRDefault="00BE714A" w:rsidP="00BE714A">
      <w:pPr>
        <w:pStyle w:val="BodyText"/>
      </w:pPr>
      <w:r>
        <w:t> </w:t>
      </w:r>
    </w:p>
    <w:p w14:paraId="4B1A8452" w14:textId="77777777" w:rsidR="00BE714A" w:rsidRDefault="00BE714A" w:rsidP="00BE714A">
      <w:pPr>
        <w:pStyle w:val="BodyText"/>
      </w:pPr>
      <w:r>
        <w:rPr>
          <w:b/>
          <w:bCs/>
          <w:i/>
          <w:iCs/>
        </w:rPr>
        <w:t>McGuinness, L. A.</w:t>
      </w:r>
      <w:r>
        <w:rPr>
          <w:i/>
          <w:iCs/>
        </w:rPr>
        <w:t xml:space="preserve">, and Higgins J. P. T. (2020) “Risk‐of‐bias VISualization (robvis): An R package and Shiny web app for visualizing risk‐of‐bias assessments.” Research Synthesis Method). DOI: </w:t>
      </w:r>
      <w:hyperlink r:id="rId10">
        <w:r>
          <w:rPr>
            <w:rStyle w:val="Hyperlink"/>
            <w:i/>
            <w:iCs/>
          </w:rPr>
          <w:t>10.1002/jrsm.1411</w:t>
        </w:r>
      </w:hyperlink>
    </w:p>
    <w:p w14:paraId="53530B44" w14:textId="77777777" w:rsidR="00BE714A" w:rsidRDefault="00BE714A" w:rsidP="00BE714A">
      <w:pPr>
        <w:pStyle w:val="BodyText"/>
      </w:pPr>
      <w:r>
        <w:t>The tool used to visualise the risk-of-bias assessments in Chapter 4 has been published in Research Synthesis Methods. See Appendix 10.2 for more details on this tool.</w:t>
      </w:r>
    </w:p>
    <w:p w14:paraId="33E40280" w14:textId="77777777" w:rsidR="00BE714A" w:rsidRDefault="00BE714A" w:rsidP="00BE714A">
      <w:pPr>
        <w:pStyle w:val="BodyText"/>
      </w:pPr>
      <w:r>
        <w:t> </w:t>
      </w:r>
    </w:p>
    <w:p w14:paraId="4D40B753" w14:textId="77777777" w:rsidR="00BE714A" w:rsidRDefault="00BE714A" w:rsidP="00BE714A">
      <w:pPr>
        <w:pStyle w:val="BodyText"/>
      </w:pPr>
      <w:r>
        <w:rPr>
          <w:b/>
          <w:bCs/>
          <w:i/>
          <w:iCs/>
        </w:rPr>
        <w:t>McGuinness, L. A.</w:t>
      </w:r>
      <w:r>
        <w:rPr>
          <w:i/>
          <w:iCs/>
        </w:rPr>
        <w:t xml:space="preserve">, and Sheppard A. L. 2020. “A Descriptive Analysis of the Data Availability Statements Accompanying Medrxiv Preprints and a Comparison with Their Published Counterparts.” MetaArXiv. DOI: </w:t>
      </w:r>
      <w:hyperlink r:id="rId11">
        <w:r>
          <w:rPr>
            <w:rStyle w:val="Hyperlink"/>
            <w:i/>
            <w:iCs/>
          </w:rPr>
          <w:t>10.31222/osf.io/p75xe</w:t>
        </w:r>
      </w:hyperlink>
    </w:p>
    <w:p w14:paraId="46C5C84A" w14:textId="77777777" w:rsidR="00BE714A" w:rsidRDefault="00BE714A" w:rsidP="00BE714A">
      <w:pPr>
        <w:pStyle w:val="BodyText"/>
      </w:pPr>
      <w:r>
        <w:t>Using the tool described in Chapter ??, I lead a “research-on-research” study to assess the concordance between the data availability statements accompanying a sample of medRxiv preprints and their published counterparts. [Accepted to PLOS One - need to update the citation]</w:t>
      </w:r>
    </w:p>
    <w:p w14:paraId="2CA19042" w14:textId="77777777" w:rsidR="00BE714A" w:rsidRDefault="00BE714A" w:rsidP="00BE714A">
      <w:pPr>
        <w:pStyle w:val="BodyText"/>
      </w:pPr>
      <w:r>
        <w:t> </w:t>
      </w:r>
    </w:p>
    <w:p w14:paraId="4D27F17E" w14:textId="77777777" w:rsidR="00BE714A" w:rsidRDefault="00BE714A" w:rsidP="00BE714A">
      <w:pPr>
        <w:pStyle w:val="BodyText"/>
      </w:pPr>
      <w:r>
        <w:t>For information on additional contributions to the scientific literature not directly related to this thesis, see Appendix 9.1.1.</w:t>
      </w:r>
    </w:p>
    <w:p w14:paraId="10684D7C" w14:textId="77777777" w:rsidR="00BE714A" w:rsidRDefault="00BE714A" w:rsidP="00BE714A">
      <w:pPr>
        <w:pStyle w:val="BodyText"/>
      </w:pPr>
      <w:r>
        <w:lastRenderedPageBreak/>
        <w:t> </w:t>
      </w:r>
    </w:p>
    <w:p w14:paraId="0C71584E" w14:textId="77777777" w:rsidR="00BE714A" w:rsidRDefault="00BE714A" w:rsidP="00BE714A">
      <w:pPr>
        <w:pStyle w:val="Heading3"/>
      </w:pPr>
      <w:bookmarkStart w:id="38" w:name="presentationstalks"/>
      <w:bookmarkEnd w:id="37"/>
      <w:r>
        <w:t>Presentations/Talks</w:t>
      </w:r>
    </w:p>
    <w:p w14:paraId="73555C09" w14:textId="77777777" w:rsidR="00BE714A" w:rsidRDefault="00BE714A" w:rsidP="00BE714A">
      <w:pPr>
        <w:pStyle w:val="FirstParagraph"/>
      </w:pPr>
      <w:r>
        <w:rPr>
          <w:i/>
          <w:iCs/>
        </w:rPr>
        <w:t>“Identifying and triangulating all available evidence on the effect of blood lipids and statins on dementia outcomes”</w:t>
      </w:r>
      <w:r>
        <w:t>: Accepted poster abstract, Alzheimer’s Association International Conference 2021.</w:t>
      </w:r>
    </w:p>
    <w:p w14:paraId="2CB8ABD9" w14:textId="77777777" w:rsidR="00BE714A" w:rsidRDefault="00BE714A" w:rsidP="00BE714A">
      <w:pPr>
        <w:pStyle w:val="BodyText"/>
      </w:pPr>
      <w:r>
        <w:t> </w:t>
      </w:r>
    </w:p>
    <w:p w14:paraId="43A570EF" w14:textId="77777777" w:rsidR="00BE714A" w:rsidRDefault="00BE714A" w:rsidP="00BE714A">
      <w:pPr>
        <w:pStyle w:val="BodyText"/>
      </w:pPr>
      <w:r>
        <w:rPr>
          <w:i/>
          <w:iCs/>
        </w:rPr>
        <w:t>“medrxivr: A new tool for searching for and retrieving records and PDFs from the medRxiv preprint repository”</w:t>
      </w:r>
      <w:r>
        <w:t>: Accepted oral presentation abstract, Cochrane Colloquium 2020 (note: event was cancelled due to the COVID-19 pandemic)</w:t>
      </w:r>
    </w:p>
    <w:p w14:paraId="3CEA5724" w14:textId="77777777" w:rsidR="00BE714A" w:rsidRDefault="00BE714A" w:rsidP="00BE714A">
      <w:pPr>
        <w:pStyle w:val="BodyText"/>
      </w:pPr>
      <w:r>
        <w:t> </w:t>
      </w:r>
    </w:p>
    <w:p w14:paraId="051DE383" w14:textId="77777777" w:rsidR="00BE714A" w:rsidRDefault="00BE714A" w:rsidP="00BE714A">
      <w:pPr>
        <w:pStyle w:val="BodyText"/>
      </w:pPr>
      <w:r>
        <w:rPr>
          <w:i/>
          <w:iCs/>
        </w:rPr>
        <w:t>“On the shoulders of giants”: advantages and challenges to building on established evidence synthesis packages, using the {robvis} package as a case study"</w:t>
      </w:r>
      <w:r>
        <w:t>: Oral presentation, Evidence Synthesis and Meta-Analysis in R Conference (ESMARConf) 2021.</w:t>
      </w:r>
    </w:p>
    <w:p w14:paraId="66ADCD7D" w14:textId="77777777" w:rsidR="00BE714A" w:rsidRDefault="00BE714A" w:rsidP="00BE714A">
      <w:pPr>
        <w:pStyle w:val="BodyText"/>
      </w:pPr>
      <w:r>
        <w:rPr>
          <w:i/>
          <w:iCs/>
        </w:rPr>
        <w:t>“RoB 2.0: A revised tool to assess risk of bias in randomized trials”</w:t>
      </w:r>
      <w:r>
        <w:t>: Webinar, co-presented with Dr. Theresa Moore as part of the Evidence Synthesis Ireland Methods Series.</w:t>
      </w:r>
    </w:p>
    <w:p w14:paraId="34B11764" w14:textId="77777777" w:rsidR="00BE714A" w:rsidRDefault="00BE714A" w:rsidP="00BE714A">
      <w:pPr>
        <w:pStyle w:val="Heading3"/>
      </w:pPr>
      <w:bookmarkStart w:id="39" w:name="outputs-software"/>
      <w:bookmarkEnd w:id="38"/>
      <w:r>
        <w:t>Software</w:t>
      </w:r>
    </w:p>
    <w:p w14:paraId="08DB2F26" w14:textId="77777777" w:rsidR="00BE714A" w:rsidRDefault="00BE714A" w:rsidP="00BE714A">
      <w:pPr>
        <w:pStyle w:val="FirstParagraph"/>
      </w:pPr>
      <w:r>
        <w:rPr>
          <w:rStyle w:val="VerbatimChar"/>
          <w:b/>
          <w:bCs/>
        </w:rPr>
        <w:t>medrxvir</w:t>
      </w:r>
    </w:p>
    <w:p w14:paraId="5BAC73C9" w14:textId="77777777" w:rsidR="00BE714A" w:rsidRDefault="00BE714A" w:rsidP="00BE714A">
      <w:pPr>
        <w:pStyle w:val="BodyText"/>
      </w:pPr>
      <w:r>
        <w:t>An R package that allows users to easily search and retrieve bibliographic data from the medRxiv</w:t>
      </w:r>
      <w:hyperlink w:anchor="ref-rawlinson2019">
        <w:r>
          <w:rPr>
            <w:rStyle w:val="Hyperlink"/>
            <w:vertAlign w:val="superscript"/>
          </w:rPr>
          <w:t>110</w:t>
        </w:r>
      </w:hyperlink>
      <w:r>
        <w:t xml:space="preserve"> and bioRxiv</w:t>
      </w:r>
      <w:hyperlink w:anchor="ref-sever2019">
        <w:r>
          <w:rPr>
            <w:rStyle w:val="Hyperlink"/>
            <w:vertAlign w:val="superscript"/>
          </w:rPr>
          <w:t>111</w:t>
        </w:r>
      </w:hyperlink>
      <w:r>
        <w:t xml:space="preserve"> preprint repositories. See Chapter 3 for more details. Install a stable version of the package from the Comprehensive R Archive Network (CRAN), or alternatively install the development version from GitHub, using:</w:t>
      </w:r>
    </w:p>
    <w:p w14:paraId="01E2BB97" w14:textId="77777777" w:rsidR="00BE714A" w:rsidRDefault="00BE714A" w:rsidP="00BE714A">
      <w:pPr>
        <w:pStyle w:val="SourceCode"/>
      </w:pPr>
      <w:r>
        <w:rPr>
          <w:rStyle w:val="CommentTok"/>
        </w:rPr>
        <w:t># CRAN version</w:t>
      </w:r>
      <w:r>
        <w:br/>
      </w:r>
      <w:r>
        <w:rPr>
          <w:rStyle w:val="FunctionTok"/>
        </w:rPr>
        <w:t>install.packages</w:t>
      </w:r>
      <w:r>
        <w:rPr>
          <w:rStyle w:val="NormalTok"/>
        </w:rPr>
        <w:t>(</w:t>
      </w:r>
      <w:r>
        <w:rPr>
          <w:rStyle w:val="StringTok"/>
        </w:rPr>
        <w:t>"medrxivr"</w:t>
      </w:r>
      <w:r>
        <w:rPr>
          <w:rStyle w:val="NormalTok"/>
        </w:rPr>
        <w:t>)</w:t>
      </w:r>
      <w:r>
        <w:br/>
      </w:r>
      <w:r>
        <w:br/>
      </w:r>
      <w:r>
        <w:rPr>
          <w:rStyle w:val="CommentTok"/>
        </w:rPr>
        <w:t># Development version</w:t>
      </w:r>
      <w:r>
        <w:br/>
      </w:r>
      <w:r>
        <w:rPr>
          <w:rStyle w:val="NormalTok"/>
        </w:rPr>
        <w:t>devtools</w:t>
      </w:r>
      <w:r>
        <w:rPr>
          <w:rStyle w:val="SpecialCharTok"/>
        </w:rPr>
        <w:t>::</w:t>
      </w:r>
      <w:r>
        <w:rPr>
          <w:rStyle w:val="FunctionTok"/>
        </w:rPr>
        <w:t>install_github</w:t>
      </w:r>
      <w:r>
        <w:rPr>
          <w:rStyle w:val="NormalTok"/>
        </w:rPr>
        <w:t>(</w:t>
      </w:r>
      <w:r>
        <w:rPr>
          <w:rStyle w:val="StringTok"/>
        </w:rPr>
        <w:t>"ropensci/medrxivr"</w:t>
      </w:r>
      <w:r>
        <w:rPr>
          <w:rStyle w:val="NormalTok"/>
        </w:rPr>
        <w:t>)</w:t>
      </w:r>
    </w:p>
    <w:p w14:paraId="724353F6" w14:textId="77777777" w:rsidR="00BE714A" w:rsidRDefault="00BE714A" w:rsidP="00BE714A">
      <w:pPr>
        <w:pStyle w:val="FirstParagraph"/>
      </w:pPr>
      <w:r>
        <w:t> </w:t>
      </w:r>
    </w:p>
    <w:p w14:paraId="1BF908D8" w14:textId="77777777" w:rsidR="00BE714A" w:rsidRDefault="00BE714A" w:rsidP="00BE714A">
      <w:pPr>
        <w:pStyle w:val="BodyText"/>
      </w:pPr>
      <w:r>
        <w:rPr>
          <w:rStyle w:val="VerbatimChar"/>
          <w:b/>
          <w:bCs/>
        </w:rPr>
        <w:t>robvis</w:t>
      </w:r>
    </w:p>
    <w:p w14:paraId="3BD5166B" w14:textId="77777777" w:rsidR="00BE714A" w:rsidRDefault="00BE714A" w:rsidP="00BE714A">
      <w:pPr>
        <w:pStyle w:val="BodyText"/>
      </w:pPr>
      <w:r>
        <w:t xml:space="preserve">An R package and associated </w:t>
      </w:r>
      <w:r>
        <w:rPr>
          <w:rStyle w:val="VerbatimChar"/>
        </w:rPr>
        <w:t>shiny</w:t>
      </w:r>
      <w:r>
        <w:t xml:space="preserve"> web application that allows users to easily visualize the results of the risk-of-bias assessments performed as part of a systematic review. See Appendix 10.2 for more details. Install a stable version of the package from CRAN, or alternatively install the development version from GitHub, using:</w:t>
      </w:r>
    </w:p>
    <w:p w14:paraId="78C9D970" w14:textId="77777777" w:rsidR="00BE714A" w:rsidRDefault="00BE714A" w:rsidP="00BE714A">
      <w:pPr>
        <w:pStyle w:val="SourceCode"/>
      </w:pPr>
      <w:r>
        <w:rPr>
          <w:rStyle w:val="CommentTok"/>
        </w:rPr>
        <w:t># CRAN version</w:t>
      </w:r>
      <w:r>
        <w:br/>
      </w:r>
      <w:r>
        <w:rPr>
          <w:rStyle w:val="FunctionTok"/>
        </w:rPr>
        <w:t>install.packages</w:t>
      </w:r>
      <w:r>
        <w:rPr>
          <w:rStyle w:val="NormalTok"/>
        </w:rPr>
        <w:t>(</w:t>
      </w:r>
      <w:r>
        <w:rPr>
          <w:rStyle w:val="StringTok"/>
        </w:rPr>
        <w:t>"robvis"</w:t>
      </w:r>
      <w:r>
        <w:rPr>
          <w:rStyle w:val="NormalTok"/>
        </w:rPr>
        <w:t>)</w:t>
      </w:r>
      <w:r>
        <w:br/>
      </w:r>
      <w:r>
        <w:br/>
      </w:r>
      <w:r>
        <w:rPr>
          <w:rStyle w:val="CommentTok"/>
        </w:rPr>
        <w:t># Development version</w:t>
      </w:r>
      <w:r>
        <w:br/>
      </w:r>
      <w:r>
        <w:rPr>
          <w:rStyle w:val="NormalTok"/>
        </w:rPr>
        <w:t>devtools</w:t>
      </w:r>
      <w:r>
        <w:rPr>
          <w:rStyle w:val="SpecialCharTok"/>
        </w:rPr>
        <w:t>::</w:t>
      </w:r>
      <w:r>
        <w:rPr>
          <w:rStyle w:val="FunctionTok"/>
        </w:rPr>
        <w:t>install_github</w:t>
      </w:r>
      <w:r>
        <w:rPr>
          <w:rStyle w:val="NormalTok"/>
        </w:rPr>
        <w:t>(</w:t>
      </w:r>
      <w:r>
        <w:rPr>
          <w:rStyle w:val="StringTok"/>
        </w:rPr>
        <w:t>"mcguinlu/robvis"</w:t>
      </w:r>
      <w:r>
        <w:rPr>
          <w:rStyle w:val="NormalTok"/>
        </w:rPr>
        <w:t>)</w:t>
      </w:r>
    </w:p>
    <w:p w14:paraId="72A7A455" w14:textId="77777777" w:rsidR="00BE714A" w:rsidRDefault="00BE714A" w:rsidP="00BE714A">
      <w:pPr>
        <w:pStyle w:val="FirstParagraph"/>
      </w:pPr>
      <w:r>
        <w:lastRenderedPageBreak/>
        <w:t> </w:t>
      </w:r>
    </w:p>
    <w:p w14:paraId="24583A74" w14:textId="77777777" w:rsidR="00BE714A" w:rsidRDefault="00BE714A" w:rsidP="00BE714A">
      <w:pPr>
        <w:pStyle w:val="Heading2"/>
      </w:pPr>
      <w:bookmarkStart w:id="40" w:name="summary"/>
      <w:bookmarkEnd w:id="36"/>
      <w:bookmarkEnd w:id="39"/>
      <w:r>
        <w:t>Summary</w:t>
      </w:r>
    </w:p>
    <w:p w14:paraId="67C74B6E" w14:textId="77777777" w:rsidR="00BE714A" w:rsidRDefault="00BE714A" w:rsidP="00BE714A">
      <w:pPr>
        <w:pStyle w:val="FirstParagraph"/>
      </w:pPr>
      <w:r>
        <w:t>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14:paraId="63A5AC40" w14:textId="77777777" w:rsidR="00BE714A" w:rsidRDefault="00BE714A" w:rsidP="00BE714A">
      <w:r>
        <w:br w:type="page"/>
      </w:r>
    </w:p>
    <w:p w14:paraId="65CE05AA" w14:textId="77777777" w:rsidR="00BE714A" w:rsidRDefault="00BE714A" w:rsidP="00BE714A">
      <w:pPr>
        <w:pStyle w:val="Heading2"/>
      </w:pPr>
      <w:bookmarkStart w:id="41" w:name="references"/>
      <w:bookmarkEnd w:id="40"/>
      <w:r>
        <w:lastRenderedPageBreak/>
        <w:t>References</w:t>
      </w:r>
    </w:p>
    <w:p w14:paraId="2BBC329C" w14:textId="77777777" w:rsidR="00BE714A" w:rsidRDefault="00BE714A" w:rsidP="00BE714A">
      <w:pPr>
        <w:pStyle w:val="Heading1"/>
      </w:pPr>
      <w:bookmarkStart w:id="42" w:name="sys-rev-tools-heading"/>
      <w:bookmarkEnd w:id="10"/>
      <w:bookmarkEnd w:id="41"/>
      <w:r>
        <w:t>medrxivr: an R package for systematically searching biomedical preprints</w:t>
      </w:r>
    </w:p>
    <w:p w14:paraId="6DEE5B11" w14:textId="77777777" w:rsidR="00BE714A" w:rsidRDefault="00BE714A" w:rsidP="00BE714A">
      <w:pPr>
        <w:pStyle w:val="FirstParagraph"/>
      </w:pPr>
    </w:p>
    <w:p w14:paraId="6C28978E" w14:textId="77777777" w:rsidR="00BE714A" w:rsidRDefault="00BE714A" w:rsidP="00BE714A">
      <w:pPr>
        <w:pStyle w:val="Heading2"/>
      </w:pPr>
      <w:bookmarkStart w:id="43" w:name="lay-summary-1"/>
      <w:r>
        <w:t>Lay summary</w:t>
      </w:r>
    </w:p>
    <w:p w14:paraId="6C4B1081" w14:textId="77777777" w:rsidR="00BE714A" w:rsidRDefault="00BE714A" w:rsidP="00BE714A">
      <w:pPr>
        <w:pStyle w:val="FirstParagraph"/>
      </w:pPr>
      <w:r>
        <w:t xml:space="preserve">Preprints are copies of academic manuscripts that are posted online in advance of being formally published by an academic journal. They represent an important source of scientific literature. A new software program called </w:t>
      </w:r>
      <w:r>
        <w:rPr>
          <w:rStyle w:val="VerbatimChar"/>
        </w:rPr>
        <w:t>medrxivr</w:t>
      </w:r>
      <w:r>
        <w:t xml:space="preserve"> 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p w14:paraId="16C510B0" w14:textId="77777777" w:rsidR="00BE714A" w:rsidRDefault="00BE714A" w:rsidP="00BE714A">
      <w:pPr>
        <w:pStyle w:val="Heading2"/>
      </w:pPr>
      <w:bookmarkStart w:id="44" w:name="sys-rev-tools-intro"/>
      <w:bookmarkEnd w:id="43"/>
      <w:r>
        <w:t>Introduction</w:t>
      </w:r>
    </w:p>
    <w:p w14:paraId="211DF21A" w14:textId="77777777" w:rsidR="00BE714A" w:rsidRDefault="00BE714A" w:rsidP="00BE714A">
      <w:pPr>
        <w:pStyle w:val="FirstParagraph"/>
      </w:pPr>
      <w:r>
        <w:t>Preprints represent an increasingly important source of scientific information (see Section 2.6.1).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111</w:t>
        </w:r>
      </w:hyperlink>
      <w:r>
        <w:t xml:space="preserve"> and medRxiv, which evolved to replace the “Epidemiology” and “Clinical Trial” categories of bioRxiv, which launched in 2019.</w:t>
      </w:r>
      <w:hyperlink w:anchor="ref-rawlinson2019">
        <w:r>
          <w:rPr>
            <w:rStyle w:val="Hyperlink"/>
            <w:vertAlign w:val="superscript"/>
          </w:rPr>
          <w:t>110</w:t>
        </w:r>
      </w:hyperlink>
    </w:p>
    <w:p w14:paraId="14DD91D6" w14:textId="77777777" w:rsidR="00BE714A" w:rsidRDefault="00BE714A" w:rsidP="00BE714A">
      <w:pPr>
        <w:pStyle w:val="BodyText"/>
      </w:pPr>
      <w:r>
        <w:t>Searching these preprints as part of the systematic review described in Chapter 4 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112</w:t>
        </w:r>
      </w:hyperlink>
      <w:r>
        <w:rPr>
          <w:vertAlign w:val="superscript"/>
        </w:rPr>
        <w:t>,</w:t>
      </w:r>
      <w:hyperlink w:anchor="ref-gusenbauer2020">
        <w:r>
          <w:rPr>
            <w:rStyle w:val="Hyperlink"/>
            <w:vertAlign w:val="superscript"/>
          </w:rPr>
          <w:t>113</w:t>
        </w:r>
      </w:hyperlink>
      <w:r>
        <w:t xml:space="preserve"> 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14:paraId="13306FAC" w14:textId="77777777" w:rsidR="00BE714A" w:rsidRDefault="00BE714A" w:rsidP="00BE714A">
      <w:pPr>
        <w:pStyle w:val="BodyText"/>
      </w:pPr>
      <w:r>
        <w:t xml:space="preserve">This chapter outlines the development and key functionality of </w:t>
      </w:r>
      <w:r>
        <w:rPr>
          <w:rStyle w:val="VerbatimChar"/>
        </w:rPr>
        <w:t>medrxivr</w:t>
      </w:r>
      <w:r>
        <w:t xml:space="preserve"> (version 0.0.5), a tool created to facilitate the searching of medRxiv and bioRxiv preprints. The factors that necessitated the development of this tool in the context of this thesis are outlined, and the use of </w:t>
      </w:r>
      <w:r>
        <w:rPr>
          <w:rStyle w:val="VerbatimChar"/>
        </w:rPr>
        <w:t>medrxivr</w:t>
      </w:r>
      <w:r>
        <w:t xml:space="preserve"> in external projects and by other researchers is discussed. As the majority of work on this aspect of this thesis is represented by lines of code (available at </w:t>
      </w:r>
      <w:hyperlink r:id="rId12">
        <w:r>
          <w:rPr>
            <w:rStyle w:val="Hyperlink"/>
          </w:rPr>
          <w:t>https://github.com/ropensci/medrxivr</w:t>
        </w:r>
      </w:hyperlink>
      <w:r>
        <w:t xml:space="preserve">) this Chapter is an intentionally short, high-level summary of the work done on this project. The GitHub repository for the </w:t>
      </w:r>
      <w:r>
        <w:rPr>
          <w:rStyle w:val="VerbatimChar"/>
        </w:rPr>
        <w:t>medrxivr</w:t>
      </w:r>
      <w:r>
        <w:t xml:space="preserve"> contains a complete record of the development of this tool, including discussion with other members of the systematic review community.</w:t>
      </w:r>
    </w:p>
    <w:p w14:paraId="4438E46A" w14:textId="77777777" w:rsidR="00BE714A" w:rsidRDefault="00BE714A" w:rsidP="00BE714A">
      <w:pPr>
        <w:pStyle w:val="BodyText"/>
      </w:pPr>
      <w:r>
        <w:t> </w:t>
      </w:r>
    </w:p>
    <w:p w14:paraId="559F828F" w14:textId="77777777" w:rsidR="00BE714A" w:rsidRDefault="00BE714A" w:rsidP="00BE714A">
      <w:r>
        <w:rPr>
          <w:noProof/>
        </w:rPr>
        <w:lastRenderedPageBreak/>
        <w:drawing>
          <wp:inline distT="0" distB="0" distL="0" distR="0" wp14:anchorId="477EC156" wp14:editId="64CBED69">
            <wp:extent cx="5038405" cy="6210555"/>
            <wp:effectExtent l="0" t="0" r="0" b="0"/>
            <wp:docPr id="2" name="Picture" descr="Figure 1: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wp:cNvGraphicFramePr/>
            <a:graphic xmlns:a="http://schemas.openxmlformats.org/drawingml/2006/main">
              <a:graphicData uri="http://schemas.openxmlformats.org/drawingml/2006/picture">
                <pic:pic xmlns:pic="http://schemas.openxmlformats.org/drawingml/2006/picture">
                  <pic:nvPicPr>
                    <pic:cNvPr id="0" name="Picture" descr="figures/sys-rev-tools/medrxiv-role.png"/>
                    <pic:cNvPicPr>
                      <a:picLocks noChangeAspect="1" noChangeArrowheads="1"/>
                    </pic:cNvPicPr>
                  </pic:nvPicPr>
                  <pic:blipFill>
                    <a:blip r:embed="rId13"/>
                    <a:stretch>
                      <a:fillRect/>
                    </a:stretch>
                  </pic:blipFill>
                  <pic:spPr bwMode="auto">
                    <a:xfrm>
                      <a:off x="0" y="0"/>
                      <a:ext cx="5038405" cy="6210555"/>
                    </a:xfrm>
                    <a:prstGeom prst="rect">
                      <a:avLst/>
                    </a:prstGeom>
                    <a:noFill/>
                    <a:ln w="9525">
                      <a:noFill/>
                      <a:headEnd/>
                      <a:tailEnd/>
                    </a:ln>
                  </pic:spPr>
                </pic:pic>
              </a:graphicData>
            </a:graphic>
          </wp:inline>
        </w:drawing>
      </w:r>
    </w:p>
    <w:p w14:paraId="63608FCC" w14:textId="77777777" w:rsidR="00BE714A" w:rsidRDefault="00BE714A" w:rsidP="00BE714A">
      <w:pPr>
        <w:pStyle w:val="ImageCaption"/>
      </w:pPr>
      <w:r>
        <w:t xml:space="preserve">Figure 1: </w:t>
      </w:r>
      <w:r>
        <w:rPr>
          <w:b/>
          <w:bCs/>
        </w:rPr>
        <w:t xml:space="preserve">Role of </w:t>
      </w:r>
      <w:r>
        <w:rPr>
          <w:rStyle w:val="VerbatimChar"/>
          <w:b/>
          <w:bCs/>
        </w:rPr>
        <w:t>medrxivr</w:t>
      </w:r>
      <w:r>
        <w:rPr>
          <w:b/>
          <w:bCs/>
        </w:rPr>
        <w:t xml:space="preserve"> in a systematic review workflow:</w:t>
      </w:r>
      <w:r>
        <w:t xml:space="preserve"> </w:t>
      </w:r>
      <w:r>
        <w:rPr>
          <w:rStyle w:val="VerbatimChar"/>
        </w:rPr>
        <w:t>medrxivr</w:t>
      </w:r>
      <w:r>
        <w:t xml:space="preserve">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w:t>
      </w:r>
    </w:p>
    <w:p w14:paraId="0A797BE0" w14:textId="77777777" w:rsidR="00BE714A" w:rsidRDefault="00BE714A" w:rsidP="00BE714A">
      <w:pPr>
        <w:pStyle w:val="Heading2"/>
      </w:pPr>
      <w:bookmarkStart w:id="45" w:name="development"/>
      <w:bookmarkEnd w:id="44"/>
      <w:r>
        <w:lastRenderedPageBreak/>
        <w:t>Development</w:t>
      </w:r>
    </w:p>
    <w:p w14:paraId="7191F007" w14:textId="77777777" w:rsidR="00BE714A" w:rsidRDefault="00BE714A" w:rsidP="00BE714A">
      <w:pPr>
        <w:pStyle w:val="Heading3"/>
      </w:pPr>
      <w:bookmarkStart w:id="46" w:name="success-criteria"/>
      <w:r>
        <w:t>Success criteria</w:t>
      </w:r>
    </w:p>
    <w:p w14:paraId="06B22A77" w14:textId="77777777" w:rsidR="00BE714A" w:rsidRDefault="00BE714A" w:rsidP="00BE714A">
      <w:pPr>
        <w:pStyle w:val="FirstParagraph"/>
      </w:pPr>
      <w:r>
        <w:t>The tool was developed to meet three success criteria,</w:t>
      </w:r>
      <w:hyperlink w:anchor="ref-wateridge1995">
        <w:r>
          <w:rPr>
            <w:rStyle w:val="Hyperlink"/>
            <w:vertAlign w:val="superscript"/>
          </w:rPr>
          <w:t>114</w:t>
        </w:r>
      </w:hyperlink>
      <w:r>
        <w:t xml:space="preserve"> influenced both by the functionality required to perform systematic searches as part of the review in Chapter 4, discussion with information specialist colleagues, and an informal survey of the evidence synthesis and health librarian communities on Twitter. The criteria were as follows:</w:t>
      </w:r>
    </w:p>
    <w:p w14:paraId="7C13DCB0" w14:textId="77777777" w:rsidR="00BE714A" w:rsidRDefault="00BE714A" w:rsidP="00BE714A">
      <w:pPr>
        <w:numPr>
          <w:ilvl w:val="0"/>
          <w:numId w:val="31"/>
        </w:numPr>
      </w:pPr>
      <w:r>
        <w:t>reliable, reproducible and transparent search functionality, allowing for Boolean (AND/OR/NOT) operator logic;</w:t>
      </w:r>
    </w:p>
    <w:p w14:paraId="21063464" w14:textId="77777777" w:rsidR="00BE714A" w:rsidRDefault="00BE714A" w:rsidP="00BE714A">
      <w:pPr>
        <w:numPr>
          <w:ilvl w:val="0"/>
          <w:numId w:val="31"/>
        </w:numPr>
      </w:pPr>
      <w:r>
        <w:t xml:space="preserve">support for bulk export of references returned by the search to a file type that can be readily imported into a reference manager (e.g., </w:t>
      </w:r>
      <w:r>
        <w:rPr>
          <w:i/>
          <w:iCs/>
        </w:rPr>
        <w:t>.bib</w:t>
      </w:r>
      <w:r>
        <w:t xml:space="preserve"> or </w:t>
      </w:r>
      <w:r>
        <w:rPr>
          <w:i/>
          <w:iCs/>
        </w:rPr>
        <w:t>.ris</w:t>
      </w:r>
      <w:r>
        <w:t>); and</w:t>
      </w:r>
    </w:p>
    <w:p w14:paraId="06149BE6" w14:textId="77777777" w:rsidR="00BE714A" w:rsidRDefault="00BE714A" w:rsidP="00BE714A">
      <w:pPr>
        <w:numPr>
          <w:ilvl w:val="0"/>
          <w:numId w:val="31"/>
        </w:numPr>
      </w:pPr>
      <w:r>
        <w:t>automated retrieval of the full-text PDFs of relevant records, similar to the Find Full Text feature offered by EndNote.</w:t>
      </w:r>
    </w:p>
    <w:p w14:paraId="5FAD898A" w14:textId="77777777" w:rsidR="00BE714A" w:rsidRDefault="00BE714A" w:rsidP="00BE714A">
      <w:pPr>
        <w:pStyle w:val="FirstParagraph"/>
      </w:pPr>
      <w:r>
        <w:t> </w:t>
      </w:r>
    </w:p>
    <w:p w14:paraId="1F825BCF" w14:textId="77777777" w:rsidR="00BE714A" w:rsidRDefault="00BE714A" w:rsidP="00BE714A">
      <w:pPr>
        <w:pStyle w:val="Heading3"/>
      </w:pPr>
      <w:bookmarkStart w:id="47" w:name="alternative-medrxivbiorxiv-interfaces"/>
      <w:bookmarkEnd w:id="46"/>
      <w:r>
        <w:t>Alternative medRxiv/bioRxiv interfaces</w:t>
      </w:r>
    </w:p>
    <w:p w14:paraId="6708E485" w14:textId="77777777" w:rsidR="00BE714A" w:rsidRDefault="00BE714A" w:rsidP="00BE714A">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 </w:t>
      </w:r>
      <w:r>
        <w:rPr>
          <w:rStyle w:val="VerbatimChar"/>
        </w:rPr>
        <w:t>medrxivr</w:t>
      </w:r>
      <w:r>
        <w:t xml:space="preserve"> contributes.</w:t>
      </w:r>
    </w:p>
    <w:p w14:paraId="5B33B7BA" w14:textId="77777777" w:rsidR="00BE714A" w:rsidRDefault="00BE714A" w:rsidP="00BE714A">
      <w:pPr>
        <w:pStyle w:val="BodyText"/>
      </w:pPr>
      <w:r>
        <w:t>The first, a platform called Rxivist,</w:t>
      </w:r>
      <w:hyperlink w:anchor="ref-abdill2019">
        <w:r>
          <w:rPr>
            <w:rStyle w:val="Hyperlink"/>
            <w:vertAlign w:val="superscript"/>
          </w:rPr>
          <w:t>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1"/>
      </w:r>
      <w:r>
        <w:t xml:space="preserve"> does not allow for complex search strategies using Boolean operators and there is no option to batch-export the results of a search.</w:t>
      </w:r>
    </w:p>
    <w:p w14:paraId="6A1C4C9C" w14:textId="77777777" w:rsidR="00BE714A" w:rsidRDefault="00BE714A" w:rsidP="00BE714A">
      <w:pPr>
        <w:pStyle w:val="BodyText"/>
      </w:pPr>
      <w:r>
        <w:t xml:space="preserve">The second tool, </w:t>
      </w:r>
      <w:r>
        <w:rPr>
          <w:rStyle w:val="VerbatimChar"/>
        </w:rPr>
        <w:t>search.bioPreprint</w:t>
      </w:r>
      <w:r>
        <w:t>,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116</w:t>
        </w:r>
      </w:hyperlink>
      <w:r>
        <w:t xml:space="preserve"> 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14:paraId="5AB3E80B" w14:textId="77777777" w:rsidR="00BE714A" w:rsidRDefault="00BE714A" w:rsidP="00BE714A">
      <w:pPr>
        <w:pStyle w:val="BodyText"/>
      </w:pPr>
      <w:r>
        <w:t>Finally, neither tool provides an easy way to programmatically download a copy of the PDF of relevant preprints as part of the preparation for the full-text screening stage of a systematic review.</w:t>
      </w:r>
    </w:p>
    <w:p w14:paraId="42D9D300" w14:textId="77777777" w:rsidR="00BE714A" w:rsidRDefault="00BE714A" w:rsidP="00BE714A">
      <w:pPr>
        <w:pStyle w:val="BodyText"/>
      </w:pPr>
      <w:r>
        <w:lastRenderedPageBreak/>
        <w:t> </w:t>
      </w:r>
    </w:p>
    <w:p w14:paraId="39807B25" w14:textId="77777777" w:rsidR="00BE714A" w:rsidRDefault="00BE714A" w:rsidP="00BE714A">
      <w:pPr>
        <w:pStyle w:val="Heading3"/>
      </w:pPr>
      <w:bookmarkStart w:id="48" w:name="early-versions"/>
      <w:bookmarkEnd w:id="47"/>
      <w:r>
        <w:t>Early versions</w:t>
      </w:r>
    </w:p>
    <w:p w14:paraId="1101139C" w14:textId="77777777" w:rsidR="00BE714A" w:rsidRDefault="00BE714A" w:rsidP="00BE714A">
      <w:pPr>
        <w:pStyle w:val="FirstParagraph"/>
      </w:pPr>
      <w:r>
        <w:t xml:space="preserve">Work on the </w:t>
      </w:r>
      <w:r>
        <w:rPr>
          <w:rStyle w:val="VerbatimChar"/>
        </w:rPr>
        <w:t>medrxivr</w:t>
      </w:r>
      <w:r>
        <w:t xml:space="preserve"> tool began in Summer 2019, and initially consisted of a development of set of R scripts to allow for searching medRxiv and bioRxiv as part of the systematic search outlined in Chapter 4. Following interest from other researchers in using the </w:t>
      </w:r>
      <w:r>
        <w:rPr>
          <w:i/>
          <w:iCs/>
        </w:rPr>
        <w:t>ad-hoc</w:t>
      </w:r>
      <w:r>
        <w:t xml:space="preserve"> web-scraping scripts, additional development work took place in 2019/2020, allowing for improved searching and exporting functionality and the initial version of the </w:t>
      </w:r>
      <w:r>
        <w:rPr>
          <w:rStyle w:val="VerbatimChar"/>
        </w:rPr>
        <w:t>medrxivr</w:t>
      </w:r>
      <w:r>
        <w:t xml:space="preserve"> R package was released in February 2020.</w:t>
      </w:r>
    </w:p>
    <w:p w14:paraId="715A00FD" w14:textId="77777777" w:rsidR="00BE714A" w:rsidRDefault="00BE714A" w:rsidP="00BE714A">
      <w:pPr>
        <w:pStyle w:val="BodyText"/>
      </w:pPr>
      <w:r>
        <w:t>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117</w:t>
        </w:r>
      </w:hyperlink>
      <w:r>
        <w:rPr>
          <w:vertAlign w:val="superscript"/>
        </w:rPr>
        <w:t>,</w:t>
      </w:r>
      <w:hyperlink w:anchor="ref-laprie1992">
        <w:r>
          <w:rPr>
            <w:rStyle w:val="Hyperlink"/>
            <w:vertAlign w:val="superscript"/>
          </w:rPr>
          <w:t>118</w:t>
        </w:r>
      </w:hyperlink>
      <w:r>
        <w:t xml:space="preserve">. In the case of </w:t>
      </w:r>
      <w:r>
        <w:rPr>
          <w:rStyle w:val="VerbatimChar"/>
        </w:rPr>
        <w:t>medrxivr</w:t>
      </w:r>
      <w:r>
        <w:t>, constant maintenance work was required to ensure the web-scraping script performed as expected, as the repository website was regularly updated.</w:t>
      </w:r>
    </w:p>
    <w:p w14:paraId="24E4E864" w14:textId="77777777" w:rsidR="00BE714A" w:rsidRDefault="00BE714A" w:rsidP="00BE714A">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 </w:t>
      </w:r>
      <w:r>
        <w:rPr>
          <w:rStyle w:val="VerbatimChar"/>
        </w:rPr>
        <w:t>medrxivr</w:t>
      </w:r>
      <w:r>
        <w:t xml:space="preserve"> package to engage in active “fault prevention” and provide a more robust interface to the data by removing the reliance of web-scraping.</w:t>
      </w:r>
      <w:hyperlink w:anchor="ref-laprie1992">
        <w:r>
          <w:rPr>
            <w:rStyle w:val="Hyperlink"/>
            <w:vertAlign w:val="superscript"/>
          </w:rPr>
          <w:t>118</w:t>
        </w:r>
      </w:hyperlink>
    </w:p>
    <w:p w14:paraId="7CB40F2E" w14:textId="77777777" w:rsidR="00BE714A" w:rsidRDefault="00BE714A" w:rsidP="00BE714A">
      <w:pPr>
        <w:pStyle w:val="BodyText"/>
      </w:pPr>
      <w:r>
        <w:t> </w:t>
      </w:r>
    </w:p>
    <w:p w14:paraId="22B74329" w14:textId="77777777" w:rsidR="00BE714A" w:rsidRDefault="00BE714A" w:rsidP="00BE714A">
      <w:pPr>
        <w:pStyle w:val="Heading3"/>
      </w:pPr>
      <w:bookmarkStart w:id="49" w:name="package-infrastructure"/>
      <w:bookmarkEnd w:id="48"/>
      <w:r>
        <w:t>Package infrastructure</w:t>
      </w:r>
    </w:p>
    <w:p w14:paraId="6B9841A7" w14:textId="77777777" w:rsidR="00BE714A" w:rsidRDefault="00BE714A" w:rsidP="00BE714A">
      <w:pPr>
        <w:pStyle w:val="FirstParagraph"/>
      </w:pPr>
      <w:r>
        <w:t xml:space="preserve">The </w:t>
      </w:r>
      <w:r>
        <w:rPr>
          <w:rStyle w:val="VerbatimChar"/>
        </w:rPr>
        <w:t>medrxvir</w:t>
      </w:r>
      <w:r>
        <w:t xml:space="preserve"> package was written in R using RStudio,</w:t>
      </w:r>
      <w:hyperlink w:anchor="ref-rcoreteam2019">
        <w:r>
          <w:rPr>
            <w:rStyle w:val="Hyperlink"/>
            <w:vertAlign w:val="superscript"/>
          </w:rPr>
          <w:t>119</w:t>
        </w:r>
      </w:hyperlink>
      <w:r>
        <w:t xml:space="preserve"> 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14:paraId="4B1B81A1" w14:textId="77777777" w:rsidR="00BE714A" w:rsidRDefault="00BE714A" w:rsidP="00BE714A">
      <w:pPr>
        <w:pStyle w:val="BodyText"/>
      </w:pPr>
      <w:r>
        <w:t> </w:t>
      </w:r>
    </w:p>
    <w:p w14:paraId="7948CEEF" w14:textId="77777777" w:rsidR="00BE714A" w:rsidRDefault="00BE714A" w:rsidP="00BE714A">
      <w:pPr>
        <w:pStyle w:val="Heading2"/>
      </w:pPr>
      <w:bookmarkStart w:id="50" w:name="usage"/>
      <w:bookmarkEnd w:id="45"/>
      <w:bookmarkEnd w:id="49"/>
      <w:r>
        <w:t>Usage</w:t>
      </w:r>
    </w:p>
    <w:p w14:paraId="793791AB" w14:textId="77777777" w:rsidR="00BE714A" w:rsidRDefault="00BE714A" w:rsidP="00BE714A">
      <w:pPr>
        <w:pStyle w:val="FirstParagraph"/>
      </w:pPr>
      <w:r>
        <w:t xml:space="preserve">The </w:t>
      </w:r>
      <w:r>
        <w:rPr>
          <w:rStyle w:val="VerbatimChar"/>
        </w:rPr>
        <w:t>medrxivr</w:t>
      </w:r>
      <w:r>
        <w:t xml:space="preserve"> R package is split into two component parts:</w:t>
      </w:r>
    </w:p>
    <w:p w14:paraId="63DC4E38" w14:textId="77777777" w:rsidR="00BE714A" w:rsidRDefault="00BE714A" w:rsidP="00BE714A">
      <w:pPr>
        <w:pStyle w:val="Compact"/>
        <w:numPr>
          <w:ilvl w:val="0"/>
          <w:numId w:val="32"/>
        </w:numPr>
      </w:pPr>
      <w:r>
        <w:t>an interface to the Cold Springs Harbor Laboratory API, which imports medRxiv and bioRxiv metadata into R; and</w:t>
      </w:r>
    </w:p>
    <w:p w14:paraId="15B1B95A" w14:textId="77777777" w:rsidR="00BE714A" w:rsidRDefault="00BE714A" w:rsidP="00BE714A">
      <w:pPr>
        <w:pStyle w:val="Compact"/>
        <w:numPr>
          <w:ilvl w:val="0"/>
          <w:numId w:val="32"/>
        </w:numPr>
      </w:pPr>
      <w:r>
        <w:t>a collection of functions for working with the imported metadata, with an explicit focus on searching this data as part of a systematic review or evidence synthesis project.</w:t>
      </w:r>
    </w:p>
    <w:p w14:paraId="5E206099" w14:textId="77777777" w:rsidR="00BE714A" w:rsidRDefault="00BE714A" w:rsidP="00BE714A">
      <w:pPr>
        <w:pStyle w:val="FirstParagraph"/>
      </w:pPr>
      <w:r>
        <w:t>The standard workflow is to download a copy of all metadata contained in the repository, and then to perform searches on this local copy. This is a workaround as the Cold Springs Harbor Laboratory API does not provide any functionality to search the database.</w:t>
      </w:r>
    </w:p>
    <w:p w14:paraId="1B26C28C" w14:textId="77777777" w:rsidR="00BE714A" w:rsidRDefault="00BE714A" w:rsidP="00BE714A">
      <w:pPr>
        <w:pStyle w:val="BodyText"/>
      </w:pPr>
      <w:r>
        <w:lastRenderedPageBreak/>
        <w:t>While the package allows for users to search both medRxiv and bioRxiv, as the process is identical for both, the examples in the sections are limited to the medRxiv repository.</w:t>
      </w:r>
    </w:p>
    <w:p w14:paraId="39023D17" w14:textId="77777777" w:rsidR="00BE714A" w:rsidRDefault="00BE714A" w:rsidP="00BE714A">
      <w:pPr>
        <w:pStyle w:val="BodyText"/>
      </w:pPr>
      <w:r>
        <w:t> </w:t>
      </w:r>
    </w:p>
    <w:p w14:paraId="25EE7918" w14:textId="77777777" w:rsidR="00BE714A" w:rsidRDefault="00BE714A" w:rsidP="00BE714A">
      <w:pPr>
        <w:pStyle w:val="Heading3"/>
      </w:pPr>
      <w:bookmarkStart w:id="51" w:name="installation"/>
      <w:r>
        <w:t>Installation</w:t>
      </w:r>
    </w:p>
    <w:p w14:paraId="48A84A1C" w14:textId="77777777" w:rsidR="00BE714A" w:rsidRDefault="00BE714A" w:rsidP="00BE714A">
      <w:pPr>
        <w:pStyle w:val="FirstParagraph"/>
      </w:pPr>
      <w:r>
        <w:rPr>
          <w:rStyle w:val="VerbatimChar"/>
        </w:rPr>
        <w:t>medrxivr</w:t>
      </w:r>
      <w:r>
        <w:t xml:space="preserve"> has been released to the Comprehensive R Archive Network (CRAN), and can be installed with the following code:</w:t>
      </w:r>
    </w:p>
    <w:p w14:paraId="7B2FFD71" w14:textId="77777777" w:rsidR="00BE714A" w:rsidRDefault="00BE714A" w:rsidP="00BE714A">
      <w:pPr>
        <w:pStyle w:val="BodyText"/>
      </w:pPr>
      <w:r>
        <w:t> </w:t>
      </w:r>
    </w:p>
    <w:p w14:paraId="7B1AE01E" w14:textId="77777777" w:rsidR="00BE714A" w:rsidRDefault="00BE714A" w:rsidP="00BE714A">
      <w:pPr>
        <w:pStyle w:val="SourceCode"/>
      </w:pPr>
      <w:r>
        <w:rPr>
          <w:rStyle w:val="FunctionTok"/>
        </w:rPr>
        <w:t>install.packages</w:t>
      </w:r>
      <w:r>
        <w:rPr>
          <w:rStyle w:val="NormalTok"/>
        </w:rPr>
        <w:t>(</w:t>
      </w:r>
      <w:r>
        <w:rPr>
          <w:rStyle w:val="StringTok"/>
        </w:rPr>
        <w:t>"medrxivr"</w:t>
      </w:r>
      <w:r>
        <w:rPr>
          <w:rStyle w:val="NormalTok"/>
        </w:rPr>
        <w:t>)</w:t>
      </w:r>
    </w:p>
    <w:p w14:paraId="5114D9B5" w14:textId="77777777" w:rsidR="00BE714A" w:rsidRDefault="00BE714A" w:rsidP="00BE714A">
      <w:pPr>
        <w:pStyle w:val="FirstParagraph"/>
      </w:pPr>
      <w:r>
        <w:t> </w:t>
      </w:r>
    </w:p>
    <w:p w14:paraId="27F0C381" w14:textId="77777777" w:rsidR="00BE714A" w:rsidRDefault="00BE714A" w:rsidP="00BE714A">
      <w:pPr>
        <w:pStyle w:val="BodyText"/>
      </w:pPr>
      <w:r>
        <w:t>Alternatively, the development version of the package can be installed from GitHub:</w:t>
      </w:r>
    </w:p>
    <w:p w14:paraId="5A890208" w14:textId="77777777" w:rsidR="00BE714A" w:rsidRDefault="00BE714A" w:rsidP="00BE714A">
      <w:pPr>
        <w:pStyle w:val="BodyText"/>
      </w:pPr>
      <w:r>
        <w:t> </w:t>
      </w:r>
    </w:p>
    <w:p w14:paraId="551FC266" w14:textId="77777777" w:rsidR="00BE714A" w:rsidRDefault="00BE714A" w:rsidP="00BE714A">
      <w:pPr>
        <w:pStyle w:val="SourceCode"/>
      </w:pPr>
      <w:r>
        <w:rPr>
          <w:rStyle w:val="CommentTok"/>
        </w:rPr>
        <w:t xml:space="preserve"># install.packages("devtools") </w:t>
      </w:r>
      <w:r>
        <w:br/>
      </w:r>
      <w:r>
        <w:rPr>
          <w:rStyle w:val="NormalTok"/>
        </w:rPr>
        <w:t>devtools</w:t>
      </w:r>
      <w:r>
        <w:rPr>
          <w:rStyle w:val="SpecialCharTok"/>
        </w:rPr>
        <w:t>::</w:t>
      </w:r>
      <w:r>
        <w:rPr>
          <w:rStyle w:val="FunctionTok"/>
        </w:rPr>
        <w:t>install_github</w:t>
      </w:r>
      <w:r>
        <w:rPr>
          <w:rStyle w:val="NormalTok"/>
        </w:rPr>
        <w:t>(</w:t>
      </w:r>
      <w:r>
        <w:rPr>
          <w:rStyle w:val="StringTok"/>
        </w:rPr>
        <w:t>"ropensci/medrxivr"</w:t>
      </w:r>
      <w:r>
        <w:rPr>
          <w:rStyle w:val="NormalTok"/>
        </w:rPr>
        <w:t>)</w:t>
      </w:r>
    </w:p>
    <w:p w14:paraId="3E71A68F" w14:textId="77777777" w:rsidR="00BE714A" w:rsidRDefault="00BE714A" w:rsidP="00BE714A">
      <w:pPr>
        <w:pStyle w:val="FirstParagraph"/>
      </w:pPr>
      <w:r>
        <w:t> </w:t>
      </w:r>
    </w:p>
    <w:p w14:paraId="290F9E2F" w14:textId="77777777" w:rsidR="00BE714A" w:rsidRDefault="00BE714A" w:rsidP="00BE714A">
      <w:pPr>
        <w:pStyle w:val="Heading3"/>
      </w:pPr>
      <w:bookmarkStart w:id="52" w:name="importing-preprint-metadata"/>
      <w:bookmarkEnd w:id="51"/>
      <w:r>
        <w:t>Importing preprint metadata</w:t>
      </w:r>
    </w:p>
    <w:p w14:paraId="57342992" w14:textId="77777777" w:rsidR="00BE714A" w:rsidRDefault="00BE714A" w:rsidP="00BE714A">
      <w:pPr>
        <w:pStyle w:val="FirstParagraph"/>
      </w:pPr>
      <w:r>
        <w:rPr>
          <w:rStyle w:val="VerbatimChar"/>
        </w:rPr>
        <w:t>medrixvr</w:t>
      </w:r>
      <w:r>
        <w:t xml:space="preserve"> provides two ways to access medRxiv data, as shown in Figure 2. The first, via the </w:t>
      </w:r>
      <w:r>
        <w:rPr>
          <w:rStyle w:val="VerbatimChar"/>
        </w:rPr>
        <w:t>mx_api_content()</w:t>
      </w:r>
      <w:r>
        <w:t xml:space="preserve"> function, creates a local copy of all data available from the medRxiv API at the time the function is run.</w:t>
      </w:r>
    </w:p>
    <w:p w14:paraId="072B9E3C" w14:textId="77777777" w:rsidR="00BE714A" w:rsidRDefault="00BE714A" w:rsidP="00BE714A">
      <w:pPr>
        <w:pStyle w:val="BodyText"/>
      </w:pPr>
      <w:r>
        <w:t> </w:t>
      </w:r>
    </w:p>
    <w:p w14:paraId="2F620F42" w14:textId="77777777" w:rsidR="00BE714A" w:rsidRDefault="00BE714A" w:rsidP="00BE714A">
      <w:pPr>
        <w:pStyle w:val="SourceCode"/>
      </w:pPr>
      <w:r>
        <w:rPr>
          <w:rStyle w:val="CommentTok"/>
        </w:rPr>
        <w:t># Get a copy of the database from the live medRxiv API endpoint</w:t>
      </w:r>
      <w:r>
        <w:br/>
      </w:r>
      <w:r>
        <w:rPr>
          <w:rStyle w:val="NormalTok"/>
        </w:rPr>
        <w:t xml:space="preserve">mx_data </w:t>
      </w:r>
      <w:r>
        <w:rPr>
          <w:rStyle w:val="OtherTok"/>
        </w:rPr>
        <w:t>&lt;-</w:t>
      </w:r>
      <w:r>
        <w:rPr>
          <w:rStyle w:val="NormalTok"/>
        </w:rPr>
        <w:t xml:space="preserve"> </w:t>
      </w:r>
      <w:r>
        <w:rPr>
          <w:rStyle w:val="FunctionTok"/>
        </w:rPr>
        <w:t>mx_api_content</w:t>
      </w:r>
      <w:r>
        <w:rPr>
          <w:rStyle w:val="NormalTok"/>
        </w:rPr>
        <w:t xml:space="preserve">()  </w:t>
      </w:r>
    </w:p>
    <w:p w14:paraId="5FF017F0" w14:textId="77777777" w:rsidR="00BE714A" w:rsidRDefault="00BE714A" w:rsidP="00BE714A">
      <w:pPr>
        <w:pStyle w:val="FirstParagraph"/>
      </w:pPr>
      <w:r>
        <w:t> </w:t>
      </w:r>
    </w:p>
    <w:p w14:paraId="18D33E89" w14:textId="77777777" w:rsidR="00BE714A" w:rsidRDefault="00BE714A" w:rsidP="00BE714A">
      <w:pPr>
        <w:pStyle w:val="BodyText"/>
      </w:pPr>
      <w:r>
        <w:t xml:space="preserve">The second, via the </w:t>
      </w:r>
      <w:r>
        <w:rPr>
          <w:rStyle w:val="VerbatimChar"/>
        </w:rPr>
        <w:t>mx_snapshot()</w:t>
      </w:r>
      <w:r>
        <w:t xml:space="preserve"> function, provides access to a maintained static snapshot of the database, created each morning at 6am using </w:t>
      </w:r>
      <w:r>
        <w:rPr>
          <w:rStyle w:val="VerbatimChar"/>
        </w:rPr>
        <w:t>mx_api_content()</w:t>
      </w:r>
      <w:r>
        <w:t>.</w:t>
      </w:r>
    </w:p>
    <w:p w14:paraId="7B12DA45" w14:textId="77777777" w:rsidR="00BE714A" w:rsidRDefault="00BE714A" w:rsidP="00BE714A">
      <w:pPr>
        <w:pStyle w:val="BodyText"/>
      </w:pPr>
      <w:r>
        <w:t> </w:t>
      </w:r>
    </w:p>
    <w:p w14:paraId="1D4C745E" w14:textId="77777777" w:rsidR="00BE714A" w:rsidRDefault="00BE714A" w:rsidP="00BE714A">
      <w:pPr>
        <w:pStyle w:val="SourceCode"/>
      </w:pPr>
      <w:r>
        <w:rPr>
          <w:rStyle w:val="CommentTok"/>
        </w:rPr>
        <w:t># Import a copy of the medRxiv data from the snapshot</w:t>
      </w:r>
      <w:r>
        <w:br/>
      </w:r>
      <w:r>
        <w:rPr>
          <w:rStyle w:val="NormalTok"/>
        </w:rPr>
        <w:t xml:space="preserve">mx_data </w:t>
      </w:r>
      <w:r>
        <w:rPr>
          <w:rStyle w:val="OtherTok"/>
        </w:rPr>
        <w:t>&lt;-</w:t>
      </w:r>
      <w:r>
        <w:rPr>
          <w:rStyle w:val="NormalTok"/>
        </w:rPr>
        <w:t xml:space="preserve"> </w:t>
      </w:r>
      <w:r>
        <w:rPr>
          <w:rStyle w:val="FunctionTok"/>
        </w:rPr>
        <w:t>mx_snapshot</w:t>
      </w:r>
      <w:r>
        <w:rPr>
          <w:rStyle w:val="NormalTok"/>
        </w:rPr>
        <w:t>()</w:t>
      </w:r>
    </w:p>
    <w:p w14:paraId="1918F1D3" w14:textId="77777777" w:rsidR="00BE714A" w:rsidRDefault="00BE714A" w:rsidP="00BE714A">
      <w:pPr>
        <w:pStyle w:val="FirstParagraph"/>
      </w:pPr>
      <w:r>
        <w:t> </w:t>
      </w:r>
    </w:p>
    <w:p w14:paraId="6D01DD8D" w14:textId="77777777" w:rsidR="00BE714A" w:rsidRDefault="00BE714A" w:rsidP="00BE714A">
      <w:pPr>
        <w:pStyle w:val="BodyText"/>
      </w:pPr>
      <w:r>
        <w:t xml:space="preserve">Allowing users of </w:t>
      </w:r>
      <w:r>
        <w:rPr>
          <w:rStyle w:val="VerbatimChar"/>
        </w:rPr>
        <w:t>medrxivr</w:t>
      </w:r>
      <w:r>
        <w:t xml:space="preserve"> to access a maintained snapshot removes any dependency on the API, which can become unavailable during peak usage times. The relationship between the two methods for accessing the data contained in the medRxiv database is summarized in Figure 2.</w:t>
      </w:r>
    </w:p>
    <w:p w14:paraId="7B9D695F" w14:textId="77777777" w:rsidR="00BE714A" w:rsidRDefault="00BE714A" w:rsidP="00BE714A">
      <w:pPr>
        <w:pStyle w:val="BodyText"/>
      </w:pPr>
      <w:r>
        <w:t> </w:t>
      </w:r>
    </w:p>
    <w:p w14:paraId="60E06B27" w14:textId="77777777" w:rsidR="00BE714A" w:rsidRDefault="00BE714A" w:rsidP="00BE714A">
      <w:r>
        <w:rPr>
          <w:noProof/>
        </w:rPr>
        <w:lastRenderedPageBreak/>
        <w:drawing>
          <wp:inline distT="0" distB="0" distL="0" distR="0" wp14:anchorId="7E5FC7EE" wp14:editId="3B860027">
            <wp:extent cx="5943600" cy="4119238"/>
            <wp:effectExtent l="0" t="0" r="0" b="0"/>
            <wp:docPr id="3" name="Picture" descr="Figure 2: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wp:cNvGraphicFramePr/>
            <a:graphic xmlns:a="http://schemas.openxmlformats.org/drawingml/2006/main">
              <a:graphicData uri="http://schemas.openxmlformats.org/drawingml/2006/picture">
                <pic:pic xmlns:pic="http://schemas.openxmlformats.org/drawingml/2006/picture">
                  <pic:nvPicPr>
                    <pic:cNvPr id="0" name="Picture" descr="figures/sys-rev-tools/data_sources.png"/>
                    <pic:cNvPicPr>
                      <a:picLocks noChangeAspect="1" noChangeArrowheads="1"/>
                    </pic:cNvPicPr>
                  </pic:nvPicPr>
                  <pic:blipFill>
                    <a:blip r:embed="rId14"/>
                    <a:stretch>
                      <a:fillRect/>
                    </a:stretch>
                  </pic:blipFill>
                  <pic:spPr bwMode="auto">
                    <a:xfrm>
                      <a:off x="0" y="0"/>
                      <a:ext cx="5943600" cy="4119238"/>
                    </a:xfrm>
                    <a:prstGeom prst="rect">
                      <a:avLst/>
                    </a:prstGeom>
                    <a:noFill/>
                    <a:ln w="9525">
                      <a:noFill/>
                      <a:headEnd/>
                      <a:tailEnd/>
                    </a:ln>
                  </pic:spPr>
                </pic:pic>
              </a:graphicData>
            </a:graphic>
          </wp:inline>
        </w:drawing>
      </w:r>
    </w:p>
    <w:p w14:paraId="1C7BAAEF" w14:textId="77777777" w:rsidR="00BE714A" w:rsidRDefault="00BE714A" w:rsidP="00BE714A">
      <w:pPr>
        <w:pStyle w:val="ImageCaption"/>
      </w:pPr>
      <w:r>
        <w:t xml:space="preserve">Figure 2: </w:t>
      </w:r>
      <w:r>
        <w:rPr>
          <w:b/>
          <w:bCs/>
        </w:rPr>
        <w:t xml:space="preserve">Overview of </w:t>
      </w:r>
      <w:r>
        <w:rPr>
          <w:rStyle w:val="VerbatimChar"/>
          <w:b/>
          <w:bCs/>
        </w:rPr>
        <w:t>medrxivr</w:t>
      </w:r>
      <w:r>
        <w:rPr>
          <w:b/>
          <w:bCs/>
        </w:rPr>
        <w:t xml:space="preserve"> data sources:</w:t>
      </w:r>
      <w:r>
        <w:t xml:space="preserve"> Users can either access the API directly via </w:t>
      </w:r>
      <w:r>
        <w:rPr>
          <w:rStyle w:val="VerbatimChar"/>
        </w:rPr>
        <w:t>mx_api_content()</w:t>
      </w:r>
      <w:r>
        <w:t xml:space="preserve">, or can import a maintained snapshot of the database, taken each morning at 6am, via the </w:t>
      </w:r>
      <w:r>
        <w:rPr>
          <w:rStyle w:val="VerbatimChar"/>
        </w:rPr>
        <w:t>mx_snapshot()</w:t>
      </w:r>
      <w:r>
        <w:t xml:space="preserve"> function. Note: due to the size of bioRxiv, only a maintained snapshot of the medRxiv repository is available via </w:t>
      </w:r>
      <w:r>
        <w:rPr>
          <w:rStyle w:val="VerbatimChar"/>
        </w:rPr>
        <w:t>mx_snapshot()</w:t>
      </w:r>
      <w:r>
        <w:t>.</w:t>
      </w:r>
    </w:p>
    <w:p w14:paraId="4F595EA7" w14:textId="77777777" w:rsidR="00BE714A" w:rsidRDefault="00BE714A" w:rsidP="00BE714A">
      <w:pPr>
        <w:pStyle w:val="BodyText"/>
      </w:pPr>
      <w:r>
        <w:t> </w:t>
      </w:r>
    </w:p>
    <w:p w14:paraId="3290FF9D" w14:textId="77777777" w:rsidR="00BE714A" w:rsidRDefault="00BE714A" w:rsidP="00BE714A">
      <w:pPr>
        <w:pStyle w:val="BodyText"/>
      </w:pPr>
      <w:r>
        <w:t> </w:t>
      </w:r>
    </w:p>
    <w:p w14:paraId="7FAB06CB" w14:textId="77777777" w:rsidR="00BE714A" w:rsidRDefault="00BE714A" w:rsidP="00BE714A">
      <w:pPr>
        <w:pStyle w:val="Heading3"/>
      </w:pPr>
      <w:bookmarkStart w:id="53" w:name="performing-a-search"/>
      <w:bookmarkEnd w:id="52"/>
      <w:r>
        <w:t>Performing a search</w:t>
      </w:r>
    </w:p>
    <w:p w14:paraId="5F309500" w14:textId="77777777" w:rsidR="00BE714A" w:rsidRDefault="00BE714A" w:rsidP="00BE714A">
      <w:pPr>
        <w:pStyle w:val="FirstParagraph"/>
      </w:pPr>
      <w:r>
        <w:t>Once a local copy of the metadata is created, the first step in searching it is to create a search strategy. Search terms to be combined with the OR operator are contained in vectors (</w:t>
      </w:r>
      <w:r>
        <w:rPr>
          <w:rStyle w:val="VerbatimChar"/>
        </w:rPr>
        <w:t>c(...)</w:t>
      </w:r>
      <w:r>
        <w:t>), while topics to be combined with the AND operator are contained in lists (</w:t>
      </w:r>
      <w:r>
        <w:rPr>
          <w:rStyle w:val="VerbatimChar"/>
        </w:rPr>
        <w:t>list(…)</w:t>
      </w:r>
      <w:r>
        <w:t>).</w:t>
      </w:r>
    </w:p>
    <w:p w14:paraId="65D1198F" w14:textId="77777777" w:rsidR="00BE714A" w:rsidRDefault="00BE714A" w:rsidP="00BE714A">
      <w:pPr>
        <w:pStyle w:val="BodyText"/>
      </w:pPr>
      <w:r>
        <w:t> </w:t>
      </w:r>
    </w:p>
    <w:p w14:paraId="21CE66C2" w14:textId="77777777" w:rsidR="00BE714A" w:rsidRDefault="00BE714A" w:rsidP="00BE714A">
      <w:pPr>
        <w:pStyle w:val="SourceCode"/>
      </w:pPr>
      <w:r>
        <w:rPr>
          <w:rStyle w:val="CommentTok"/>
        </w:rPr>
        <w:t># Create the search query</w:t>
      </w:r>
      <w:r>
        <w:br/>
      </w:r>
      <w:r>
        <w:rPr>
          <w:rStyle w:val="NormalTok"/>
        </w:rPr>
        <w:t xml:space="preserve">topic1  </w:t>
      </w:r>
      <w:r>
        <w:rPr>
          <w:rStyle w:val="OtherTok"/>
        </w:rPr>
        <w:t>&lt;-</w:t>
      </w:r>
      <w:r>
        <w:rPr>
          <w:rStyle w:val="NormalTok"/>
        </w:rPr>
        <w:t xml:space="preserve"> </w:t>
      </w:r>
      <w:r>
        <w:rPr>
          <w:rStyle w:val="FunctionTok"/>
        </w:rPr>
        <w:t>c</w:t>
      </w:r>
      <w:r>
        <w:rPr>
          <w:rStyle w:val="NormalTok"/>
        </w:rPr>
        <w:t>(</w:t>
      </w:r>
      <w:r>
        <w:rPr>
          <w:rStyle w:val="StringTok"/>
        </w:rPr>
        <w:t>"dementia"</w:t>
      </w:r>
      <w:r>
        <w:rPr>
          <w:rStyle w:val="NormalTok"/>
        </w:rPr>
        <w:t>,</w:t>
      </w:r>
      <w:r>
        <w:rPr>
          <w:rStyle w:val="StringTok"/>
        </w:rPr>
        <w:t>"alzheimer's"</w:t>
      </w:r>
      <w:r>
        <w:rPr>
          <w:rStyle w:val="NormalTok"/>
        </w:rPr>
        <w:t xml:space="preserve">)  </w:t>
      </w:r>
      <w:r>
        <w:rPr>
          <w:rStyle w:val="CommentTok"/>
        </w:rPr>
        <w:t># Combined with OR</w:t>
      </w:r>
      <w:r>
        <w:br/>
      </w:r>
      <w:r>
        <w:rPr>
          <w:rStyle w:val="NormalTok"/>
        </w:rPr>
        <w:t xml:space="preserve">topic2  </w:t>
      </w:r>
      <w:r>
        <w:rPr>
          <w:rStyle w:val="OtherTok"/>
        </w:rPr>
        <w:t>&lt;-</w:t>
      </w:r>
      <w:r>
        <w:rPr>
          <w:rStyle w:val="NormalTok"/>
        </w:rPr>
        <w:t xml:space="preserve"> </w:t>
      </w:r>
      <w:r>
        <w:rPr>
          <w:rStyle w:val="FunctionTok"/>
        </w:rPr>
        <w:t>c</w:t>
      </w:r>
      <w:r>
        <w:rPr>
          <w:rStyle w:val="NormalTok"/>
        </w:rPr>
        <w:t>(</w:t>
      </w:r>
      <w:r>
        <w:rPr>
          <w:rStyle w:val="StringTok"/>
        </w:rPr>
        <w:t>"lipids"</w:t>
      </w:r>
      <w:r>
        <w:rPr>
          <w:rStyle w:val="NormalTok"/>
        </w:rPr>
        <w:t>,</w:t>
      </w:r>
      <w:r>
        <w:rPr>
          <w:rStyle w:val="StringTok"/>
        </w:rPr>
        <w:t>"statins"</w:t>
      </w:r>
      <w:r>
        <w:rPr>
          <w:rStyle w:val="NormalTok"/>
        </w:rPr>
        <w:t xml:space="preserve">)        </w:t>
      </w:r>
      <w:r>
        <w:rPr>
          <w:rStyle w:val="CommentTok"/>
        </w:rPr>
        <w:t># Combined with OR</w:t>
      </w:r>
      <w:r>
        <w:br/>
      </w:r>
      <w:r>
        <w:br/>
      </w:r>
      <w:r>
        <w:rPr>
          <w:rStyle w:val="NormalTok"/>
        </w:rPr>
        <w:t xml:space="preserve">myquery </w:t>
      </w:r>
      <w:r>
        <w:rPr>
          <w:rStyle w:val="OtherTok"/>
        </w:rPr>
        <w:t>&lt;-</w:t>
      </w:r>
      <w:r>
        <w:rPr>
          <w:rStyle w:val="NormalTok"/>
        </w:rPr>
        <w:t xml:space="preserve"> </w:t>
      </w:r>
      <w:r>
        <w:rPr>
          <w:rStyle w:val="FunctionTok"/>
        </w:rPr>
        <w:t>list</w:t>
      </w:r>
      <w:r>
        <w:rPr>
          <w:rStyle w:val="NormalTok"/>
        </w:rPr>
        <w:t xml:space="preserve">(topic1, topic2)         </w:t>
      </w:r>
      <w:r>
        <w:rPr>
          <w:rStyle w:val="CommentTok"/>
        </w:rPr>
        <w:t># Combined with AND</w:t>
      </w:r>
    </w:p>
    <w:p w14:paraId="0648D1DC" w14:textId="77777777" w:rsidR="00BE714A" w:rsidRDefault="00BE714A" w:rsidP="00BE714A">
      <w:pPr>
        <w:pStyle w:val="FirstParagraph"/>
      </w:pPr>
      <w:r>
        <w:t> </w:t>
      </w:r>
    </w:p>
    <w:p w14:paraId="32A78CEF" w14:textId="77777777" w:rsidR="00BE714A" w:rsidRDefault="00BE714A" w:rsidP="00BE714A">
      <w:pPr>
        <w:pStyle w:val="BodyText"/>
      </w:pPr>
      <w:r>
        <w:lastRenderedPageBreak/>
        <w:t xml:space="preserve">For example, when written in standard syntax, the search contained in the </w:t>
      </w:r>
      <w:r>
        <w:rPr>
          <w:rStyle w:val="VerbatimChar"/>
        </w:rPr>
        <w:t>myquery</w:t>
      </w:r>
      <w:r>
        <w:t xml:space="preserve"> object above would be: “((dementia </w:t>
      </w:r>
      <w:r>
        <w:rPr>
          <w:b/>
          <w:bCs/>
        </w:rPr>
        <w:t>OR</w:t>
      </w:r>
      <w:r>
        <w:t xml:space="preserve"> alzheimer’s) </w:t>
      </w:r>
      <w:r>
        <w:rPr>
          <w:b/>
          <w:bCs/>
        </w:rPr>
        <w:t>AND</w:t>
      </w:r>
      <w:r>
        <w:t xml:space="preserve"> (lipids </w:t>
      </w:r>
      <w:r>
        <w:rPr>
          <w:b/>
          <w:bCs/>
        </w:rPr>
        <w:t>OR</w:t>
      </w:r>
      <w:r>
        <w:t xml:space="preserve"> statins))”.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“randomi</w:t>
      </w:r>
      <w:r>
        <w:rPr>
          <w:i/>
          <w:iCs/>
        </w:rPr>
        <w:t>s</w:t>
      </w:r>
      <w:r>
        <w:t>ation” vs “randomi</w:t>
      </w:r>
      <w:r>
        <w:rPr>
          <w:i/>
          <w:iCs/>
        </w:rPr>
        <w:t>z</w:t>
      </w:r>
      <w:r>
        <w:t>ation”.</w:t>
      </w:r>
    </w:p>
    <w:p w14:paraId="60D68683" w14:textId="77777777" w:rsidR="00BE714A" w:rsidRDefault="00BE714A" w:rsidP="00BE714A">
      <w:pPr>
        <w:pStyle w:val="BodyText"/>
      </w:pPr>
      <w:r>
        <w:t xml:space="preserve">Once a strategy has been defined, it is passed along with the local copy of the database to the </w:t>
      </w:r>
      <w:r>
        <w:rPr>
          <w:rStyle w:val="VerbatimChar"/>
        </w:rPr>
        <w:t>mx_search()</w:t>
      </w:r>
      <w:r>
        <w:t xml:space="preserve"> function.</w:t>
      </w:r>
    </w:p>
    <w:p w14:paraId="20F339B1" w14:textId="77777777" w:rsidR="00BE714A" w:rsidRDefault="00BE714A" w:rsidP="00BE714A">
      <w:pPr>
        <w:pStyle w:val="BodyText"/>
      </w:pPr>
      <w:r>
        <w:t> </w:t>
      </w:r>
    </w:p>
    <w:p w14:paraId="2DF8F692" w14:textId="77777777" w:rsidR="00BE714A" w:rsidRDefault="00BE714A" w:rsidP="00BE714A">
      <w:pPr>
        <w:pStyle w:val="SourceCode"/>
      </w:pPr>
      <w:r>
        <w:rPr>
          <w:rStyle w:val="CommentTok"/>
        </w:rPr>
        <w:t># Run the search</w:t>
      </w:r>
      <w:r>
        <w:br/>
      </w:r>
      <w:r>
        <w:rPr>
          <w:rStyle w:val="NormalTok"/>
        </w:rPr>
        <w:t xml:space="preserve">results </w:t>
      </w:r>
      <w:r>
        <w:rPr>
          <w:rStyle w:val="OtherTok"/>
        </w:rPr>
        <w:t>&lt;-</w:t>
      </w:r>
      <w:r>
        <w:rPr>
          <w:rStyle w:val="NormalTok"/>
        </w:rPr>
        <w:t xml:space="preserve"> </w:t>
      </w:r>
      <w:r>
        <w:rPr>
          <w:rStyle w:val="FunctionTok"/>
        </w:rPr>
        <w:t>mx_search</w:t>
      </w:r>
      <w:r>
        <w:rPr>
          <w:rStyle w:val="NormalTok"/>
        </w:rPr>
        <w:t>(mx_data,</w:t>
      </w:r>
      <w:r>
        <w:br/>
      </w:r>
      <w:r>
        <w:rPr>
          <w:rStyle w:val="NormalTok"/>
        </w:rPr>
        <w:t xml:space="preserve">                     myquery)</w:t>
      </w:r>
    </w:p>
    <w:p w14:paraId="43180C84" w14:textId="77777777" w:rsidR="00BE714A" w:rsidRDefault="00BE714A" w:rsidP="00BE714A">
      <w:pPr>
        <w:pStyle w:val="FirstParagraph"/>
      </w:pPr>
      <w:r>
        <w:t> </w:t>
      </w:r>
    </w:p>
    <w:p w14:paraId="0CA4F6C1" w14:textId="77777777" w:rsidR="00BE714A" w:rsidRDefault="00BE714A" w:rsidP="00BE714A">
      <w:pPr>
        <w:pStyle w:val="Heading3"/>
      </w:pPr>
      <w:bookmarkStart w:id="54" w:name="refining-your-search"/>
      <w:bookmarkEnd w:id="53"/>
      <w:r>
        <w:t>Refining your search</w:t>
      </w:r>
    </w:p>
    <w:p w14:paraId="2F9AF293" w14:textId="77777777" w:rsidR="00BE714A" w:rsidRDefault="00BE714A" w:rsidP="00BE714A">
      <w:pPr>
        <w:pStyle w:val="FirstParagraph"/>
      </w:pPr>
      <w:r>
        <w:t xml:space="preserve">An important argument of the </w:t>
      </w:r>
      <w:r>
        <w:rPr>
          <w:rStyle w:val="VerbatimChar"/>
        </w:rPr>
        <w:t>mx_search()</w:t>
      </w:r>
      <w:r>
        <w:t xml:space="preserve"> is </w:t>
      </w:r>
      <w:r>
        <w:rPr>
          <w:rStyle w:val="VerbatimChar"/>
        </w:rPr>
        <w:t>report</w:t>
      </w:r>
      <w:r>
        <w:t xml:space="preserve">, which outputs a structured table with each search strategy presented on an individual line and the number of records associated with this strategy. </w:t>
      </w:r>
      <w:r>
        <w:rPr>
          <w:b/>
          <w:bCs/>
        </w:rPr>
        <w:t>[CITATION NEEDED - PRISMA-S]</w:t>
      </w:r>
    </w:p>
    <w:p w14:paraId="6658CE89" w14:textId="77777777" w:rsidR="00BE714A" w:rsidRDefault="00BE714A" w:rsidP="00BE714A">
      <w:pPr>
        <w:pStyle w:val="BodyText"/>
      </w:pPr>
      <w:r>
        <w:t> </w:t>
      </w:r>
    </w:p>
    <w:p w14:paraId="77F85580" w14:textId="77777777" w:rsidR="00BE714A" w:rsidRDefault="00BE714A" w:rsidP="00BE714A">
      <w:pPr>
        <w:pStyle w:val="SourceCode"/>
      </w:pPr>
      <w:r>
        <w:rPr>
          <w:rStyle w:val="NormalTok"/>
        </w:rPr>
        <w:t xml:space="preserve">results  </w:t>
      </w:r>
      <w:r>
        <w:rPr>
          <w:rStyle w:val="OtherTok"/>
        </w:rPr>
        <w:t>&lt;-</w:t>
      </w:r>
      <w:r>
        <w:rPr>
          <w:rStyle w:val="NormalTok"/>
        </w:rPr>
        <w:t xml:space="preserve"> </w:t>
      </w:r>
      <w:r>
        <w:rPr>
          <w:rStyle w:val="FunctionTok"/>
        </w:rPr>
        <w:t>mx_search</w:t>
      </w:r>
      <w:r>
        <w:rPr>
          <w:rStyle w:val="NormalTok"/>
        </w:rPr>
        <w:t>(mx_data,</w:t>
      </w:r>
      <w:r>
        <w:br/>
      </w:r>
      <w:r>
        <w:rPr>
          <w:rStyle w:val="NormalTok"/>
        </w:rPr>
        <w:t xml:space="preserve">                      myquery, </w:t>
      </w:r>
      <w:r>
        <w:rPr>
          <w:rStyle w:val="CommentTok"/>
        </w:rPr>
        <w:t># Combined with OR</w:t>
      </w:r>
      <w:r>
        <w:br/>
      </w:r>
      <w:r>
        <w:rPr>
          <w:rStyle w:val="NormalTok"/>
        </w:rPr>
        <w:t xml:space="preserve">                      </w:t>
      </w:r>
      <w:r>
        <w:rPr>
          <w:rStyle w:val="AttributeTok"/>
        </w:rPr>
        <w:t>report =</w:t>
      </w:r>
      <w:r>
        <w:rPr>
          <w:rStyle w:val="NormalTok"/>
        </w:rPr>
        <w:t xml:space="preserve"> </w:t>
      </w:r>
      <w:r>
        <w:rPr>
          <w:rStyle w:val="ConstantTok"/>
        </w:rPr>
        <w:t>TRUE</w:t>
      </w:r>
      <w:r>
        <w:rPr>
          <w:rStyle w:val="NormalTok"/>
        </w:rPr>
        <w:t>)</w:t>
      </w:r>
    </w:p>
    <w:p w14:paraId="0CF519BF" w14:textId="77777777" w:rsidR="00BE714A" w:rsidRDefault="00BE714A" w:rsidP="00BE714A">
      <w:pPr>
        <w:pStyle w:val="SourceCode"/>
      </w:pPr>
      <w:r>
        <w:rPr>
          <w:rStyle w:val="DocumentationTok"/>
        </w:rPr>
        <w:t>## Found 1 record(s) matching your search.</w:t>
      </w:r>
      <w:r>
        <w:br/>
      </w:r>
      <w:r>
        <w:rPr>
          <w:rStyle w:val="DocumentationTok"/>
        </w:rPr>
        <w:t xml:space="preserve">## </w:t>
      </w:r>
      <w:r>
        <w:br/>
      </w:r>
      <w:r>
        <w:rPr>
          <w:rStyle w:val="DocumentationTok"/>
        </w:rPr>
        <w:t>## Total topic 1 records: 224</w:t>
      </w:r>
      <w:r>
        <w:br/>
      </w:r>
      <w:r>
        <w:rPr>
          <w:rStyle w:val="DocumentationTok"/>
        </w:rPr>
        <w:t>## dementia: 224</w:t>
      </w:r>
      <w:r>
        <w:br/>
      </w:r>
      <w:r>
        <w:rPr>
          <w:rStyle w:val="DocumentationTok"/>
        </w:rPr>
        <w:t>## alzheimer's: 0</w:t>
      </w:r>
      <w:r>
        <w:br/>
      </w:r>
      <w:r>
        <w:rPr>
          <w:rStyle w:val="DocumentationTok"/>
        </w:rPr>
        <w:t xml:space="preserve">## </w:t>
      </w:r>
      <w:r>
        <w:br/>
      </w:r>
      <w:r>
        <w:rPr>
          <w:rStyle w:val="DocumentationTok"/>
        </w:rPr>
        <w:t>## Total topic 2 records: 119</w:t>
      </w:r>
      <w:r>
        <w:br/>
      </w:r>
      <w:r>
        <w:rPr>
          <w:rStyle w:val="DocumentationTok"/>
        </w:rPr>
        <w:t>## lipids: 90</w:t>
      </w:r>
      <w:r>
        <w:br/>
      </w:r>
      <w:r>
        <w:rPr>
          <w:rStyle w:val="DocumentationTok"/>
        </w:rPr>
        <w:t>## statins: 33</w:t>
      </w:r>
    </w:p>
    <w:p w14:paraId="31E96CCF" w14:textId="77777777" w:rsidR="00BE714A" w:rsidRDefault="00BE714A" w:rsidP="00BE714A">
      <w:pPr>
        <w:pStyle w:val="FirstParagraph"/>
      </w:pPr>
      <w:r>
        <w:t> </w:t>
      </w:r>
    </w:p>
    <w:p w14:paraId="6300126B" w14:textId="77777777" w:rsidR="00BE714A" w:rsidRDefault="00BE714A" w:rsidP="00BE714A">
      <w:pPr>
        <w:pStyle w:val="BodyText"/>
      </w:pPr>
      <w:r>
        <w:t>This allows users to discover which terms in their search are contributing most to the total number of results returned. This is important as part of developing a search strategy,</w:t>
      </w:r>
      <w:hyperlink w:anchor="ref-bramer2018">
        <w:r>
          <w:rPr>
            <w:rStyle w:val="Hyperlink"/>
            <w:vertAlign w:val="superscript"/>
          </w:rPr>
          <w:t>120</w:t>
        </w:r>
      </w:hyperlink>
      <w:r>
        <w:t xml:space="preserve"> as it allows for the key terms related to each topic to be discovered. It also aids in identifying misspelled or case-sensitive search terms, which will frequently return no results. As an example, in the search presented above, the term “alzheimer’s” returns no records. This is expected, as “Alzheimer” is a proper noun and so should be capitalised, but serves to illustrate the usefulness of the reporting function.</w:t>
      </w:r>
    </w:p>
    <w:p w14:paraId="14CF8F2E" w14:textId="77777777" w:rsidR="00BE714A" w:rsidRDefault="00BE714A" w:rsidP="00BE714A">
      <w:pPr>
        <w:pStyle w:val="BodyText"/>
      </w:pPr>
      <w:r>
        <w:t> </w:t>
      </w:r>
    </w:p>
    <w:p w14:paraId="79B4984C" w14:textId="77777777" w:rsidR="00BE714A" w:rsidRDefault="00BE714A" w:rsidP="00BE714A">
      <w:pPr>
        <w:pStyle w:val="Heading3"/>
      </w:pPr>
      <w:bookmarkStart w:id="55" w:name="exporting-to-a-bibliography-file"/>
      <w:bookmarkEnd w:id="54"/>
      <w:r>
        <w:lastRenderedPageBreak/>
        <w:t>Exporting to a bibliography file</w:t>
      </w:r>
    </w:p>
    <w:p w14:paraId="20438B7B" w14:textId="77777777" w:rsidR="00BE714A" w:rsidRDefault="00BE714A" w:rsidP="00BE714A">
      <w:pPr>
        <w:pStyle w:val="FirstParagraph"/>
      </w:pPr>
      <w:r>
        <w:t xml:space="preserve">In line with the second success criteria (Section 3.3.1), one of the key features of the </w:t>
      </w:r>
      <w:r>
        <w:rPr>
          <w:rStyle w:val="VerbatimChar"/>
        </w:rPr>
        <w:t>medrxivr</w:t>
      </w:r>
      <w:r>
        <w:t xml:space="preserve"> is the ability for users to easily export the results of their systematic search to a reference manager. While it is a seemingly simple request, this is is one of the key ways in which </w:t>
      </w:r>
      <w:r>
        <w:rPr>
          <w:rStyle w:val="VerbatimChar"/>
        </w:rPr>
        <w:t>medrxivr</w:t>
      </w:r>
      <w:r>
        <w:t xml:space="preserve"> is set apart for other preprint search tools, including the native medRxiv/bioRxiv website search functionality.</w:t>
      </w:r>
    </w:p>
    <w:p w14:paraId="5A4AA880" w14:textId="77777777" w:rsidR="00BE714A" w:rsidRDefault="00BE714A" w:rsidP="00BE714A">
      <w:pPr>
        <w:pStyle w:val="BodyText"/>
      </w:pPr>
      <w:r>
        <w:t xml:space="preserve">For example, the results of our simple search above can be exported to the </w:t>
      </w:r>
      <w:r>
        <w:rPr>
          <w:rStyle w:val="VerbatimChar"/>
        </w:rPr>
        <w:t>"medrxiv_export.bib"</w:t>
      </w:r>
      <w:r>
        <w:t xml:space="preserve"> file using the following code:</w:t>
      </w:r>
    </w:p>
    <w:p w14:paraId="7D2F26E4" w14:textId="77777777" w:rsidR="00BE714A" w:rsidRDefault="00BE714A" w:rsidP="00BE714A">
      <w:pPr>
        <w:pStyle w:val="SourceCode"/>
      </w:pPr>
      <w:r>
        <w:rPr>
          <w:rStyle w:val="FunctionTok"/>
        </w:rPr>
        <w:t>mx_export</w:t>
      </w:r>
      <w:r>
        <w:rPr>
          <w:rStyle w:val="NormalTok"/>
        </w:rPr>
        <w:t xml:space="preserve">(results, </w:t>
      </w:r>
      <w:r>
        <w:br/>
      </w:r>
      <w:r>
        <w:rPr>
          <w:rStyle w:val="NormalTok"/>
        </w:rPr>
        <w:t xml:space="preserve">          </w:t>
      </w:r>
      <w:r>
        <w:rPr>
          <w:rStyle w:val="AttributeTok"/>
        </w:rPr>
        <w:t>file =</w:t>
      </w:r>
      <w:r>
        <w:rPr>
          <w:rStyle w:val="NormalTok"/>
        </w:rPr>
        <w:t xml:space="preserve"> </w:t>
      </w:r>
      <w:r>
        <w:rPr>
          <w:rStyle w:val="StringTok"/>
        </w:rPr>
        <w:t>"medrxiv_export.bib"</w:t>
      </w:r>
      <w:r>
        <w:rPr>
          <w:rStyle w:val="NormalTok"/>
        </w:rPr>
        <w:t>,</w:t>
      </w:r>
      <w:r>
        <w:br/>
      </w:r>
      <w:r>
        <w:rPr>
          <w:rStyle w:val="NormalTok"/>
        </w:rPr>
        <w:t xml:space="preserve">          </w:t>
      </w:r>
      <w:r>
        <w:rPr>
          <w:rStyle w:val="AttributeTok"/>
        </w:rPr>
        <w:t>report =</w:t>
      </w:r>
      <w:r>
        <w:rPr>
          <w:rStyle w:val="NormalTok"/>
        </w:rPr>
        <w:t xml:space="preserve"> </w:t>
      </w:r>
      <w:r>
        <w:rPr>
          <w:rStyle w:val="ConstantTok"/>
        </w:rPr>
        <w:t>TRUE</w:t>
      </w:r>
      <w:r>
        <w:rPr>
          <w:rStyle w:val="NormalTok"/>
        </w:rPr>
        <w:t>)</w:t>
      </w:r>
    </w:p>
    <w:p w14:paraId="14F3E45A" w14:textId="77777777" w:rsidR="00BE714A" w:rsidRDefault="00BE714A" w:rsidP="00BE714A">
      <w:pPr>
        <w:pStyle w:val="FirstParagraph"/>
      </w:pPr>
      <w:r>
        <w:t> </w:t>
      </w:r>
    </w:p>
    <w:p w14:paraId="6B8C1D58" w14:textId="77777777" w:rsidR="00BE714A" w:rsidRDefault="00BE714A" w:rsidP="00BE714A">
      <w:pPr>
        <w:pStyle w:val="Heading3"/>
      </w:pPr>
      <w:bookmarkStart w:id="56" w:name="downloading-the-pdfs-of-relevant-records"/>
      <w:bookmarkEnd w:id="55"/>
      <w:r>
        <w:t>Downloading the PDFs of relevant records</w:t>
      </w:r>
    </w:p>
    <w:p w14:paraId="794EB233" w14:textId="77777777" w:rsidR="00BE714A" w:rsidRDefault="00BE714A" w:rsidP="00BE714A">
      <w:pPr>
        <w:pStyle w:val="FirstParagraph"/>
      </w:pPr>
      <w:r>
        <w:rPr>
          <w:rStyle w:val="VerbatimChar"/>
        </w:rPr>
        <w:t>medrxivr</w:t>
      </w:r>
      <w:r>
        <w:t xml:space="preserve"> alos allows users to download the full text papers for records that are deemed eligible for full-text screening (see Figure 1). </w:t>
      </w:r>
      <w:r>
        <w:rPr>
          <w:rStyle w:val="VerbatimChar"/>
        </w:rPr>
        <w:t>mx_download()</w:t>
      </w:r>
      <w:r>
        <w:t xml:space="preserve"> takes the list of included records and saves the PDF for each to a folder specified by the user. This functionality is similar to the “Find Full Text” feature offered by EndNote.</w:t>
      </w:r>
    </w:p>
    <w:p w14:paraId="5B174AD5" w14:textId="77777777" w:rsidR="00BE714A" w:rsidRDefault="00BE714A" w:rsidP="00BE714A">
      <w:pPr>
        <w:pStyle w:val="BodyText"/>
      </w:pPr>
      <w:r>
        <w:t> </w:t>
      </w:r>
    </w:p>
    <w:p w14:paraId="279EB468" w14:textId="77777777" w:rsidR="00BE714A" w:rsidRDefault="00BE714A" w:rsidP="00BE714A">
      <w:pPr>
        <w:pStyle w:val="SourceCode"/>
      </w:pPr>
      <w:r>
        <w:rPr>
          <w:rStyle w:val="FunctionTok"/>
        </w:rPr>
        <w:t>mx_download</w:t>
      </w:r>
      <w:r>
        <w:rPr>
          <w:rStyle w:val="NormalTok"/>
        </w:rPr>
        <w:t xml:space="preserve">(results,  </w:t>
      </w:r>
      <w:r>
        <w:rPr>
          <w:rStyle w:val="CommentTok"/>
        </w:rPr>
        <w:t># Search results, less excluded records</w:t>
      </w:r>
      <w:r>
        <w:br/>
      </w:r>
      <w:r>
        <w:rPr>
          <w:rStyle w:val="NormalTok"/>
        </w:rPr>
        <w:t xml:space="preserve">            </w:t>
      </w:r>
      <w:r>
        <w:rPr>
          <w:rStyle w:val="StringTok"/>
        </w:rPr>
        <w:t>"pdf/"</w:t>
      </w:r>
      <w:r>
        <w:rPr>
          <w:rStyle w:val="NormalTok"/>
        </w:rPr>
        <w:t xml:space="preserve">)   </w:t>
      </w:r>
      <w:r>
        <w:rPr>
          <w:rStyle w:val="CommentTok"/>
        </w:rPr>
        <w:t xml:space="preserve"># Directory to save PDFs to </w:t>
      </w:r>
    </w:p>
    <w:p w14:paraId="0E7BCA42" w14:textId="77777777" w:rsidR="00BE714A" w:rsidRDefault="00BE714A" w:rsidP="00BE714A">
      <w:pPr>
        <w:pStyle w:val="FirstParagraph"/>
      </w:pPr>
      <w:r>
        <w:t> </w:t>
      </w:r>
    </w:p>
    <w:p w14:paraId="3E0AFC9A" w14:textId="77777777" w:rsidR="00BE714A" w:rsidRDefault="00BE714A" w:rsidP="00BE714A">
      <w:pPr>
        <w:pStyle w:val="Heading2"/>
      </w:pPr>
      <w:bookmarkStart w:id="57" w:name="discussion"/>
      <w:bookmarkEnd w:id="50"/>
      <w:bookmarkEnd w:id="56"/>
      <w:r>
        <w:t>Discussion</w:t>
      </w:r>
    </w:p>
    <w:p w14:paraId="46896361" w14:textId="77777777" w:rsidR="00BE714A" w:rsidRDefault="00BE714A" w:rsidP="00BE714A">
      <w:pPr>
        <w:pStyle w:val="Heading3"/>
      </w:pPr>
      <w:bookmarkStart w:id="58" w:name="reception-and-future-plans"/>
      <w:r>
        <w:t>Reception and future plans</w:t>
      </w:r>
    </w:p>
    <w:p w14:paraId="1FB66C5D" w14:textId="77777777" w:rsidR="00BE714A" w:rsidRDefault="00BE714A" w:rsidP="00BE714A">
      <w:pPr>
        <w:pStyle w:val="FirstParagraph"/>
      </w:pPr>
      <w:r>
        <w:t xml:space="preserve">The tool has been well received by the community (as of December 2021, </w:t>
      </w:r>
      <w:r>
        <w:rPr>
          <w:rStyle w:val="VerbatimChar"/>
        </w:rPr>
        <w:t>medrxivr</w:t>
      </w:r>
      <w:r>
        <w:t xml:space="preserve"> has been downloaded more than 3400 times), and several use cases have been reported. It has been used to investigate the role of preprints in the response to the 2019 coronavirus outbreak,</w:t>
      </w:r>
      <w:hyperlink w:anchor="ref-kodvanj2020">
        <w:r>
          <w:rPr>
            <w:rStyle w:val="Hyperlink"/>
            <w:vertAlign w:val="superscript"/>
          </w:rPr>
          <w:t>121</w:t>
        </w:r>
      </w:hyperlink>
      <w:r>
        <w:t xml:space="preserve"> perform searches of preprints as part of a systematic review,</w:t>
      </w:r>
      <w:hyperlink w:anchor="ref-noone2020">
        <w:r>
          <w:rPr>
            <w:rStyle w:val="Hyperlink"/>
            <w:vertAlign w:val="superscript"/>
          </w:rPr>
          <w:t>122</w:t>
        </w:r>
      </w:hyperlink>
      <w:r>
        <w:rPr>
          <w:vertAlign w:val="superscript"/>
        </w:rPr>
        <w:t>,</w:t>
      </w:r>
      <w:hyperlink w:anchor="ref-grassly2020">
        <w:r>
          <w:rPr>
            <w:rStyle w:val="Hyperlink"/>
            <w:vertAlign w:val="superscript"/>
          </w:rPr>
          <w:t>123</w:t>
        </w:r>
      </w:hyperlink>
      <w:r>
        <w:t xml:space="preserve"> and examine how data-sharing behaviour is affected by journal policies (see 2.8).</w:t>
      </w:r>
      <w:hyperlink w:anchor="ref-mcguinness2020c">
        <w:r>
          <w:rPr>
            <w:rStyle w:val="Hyperlink"/>
            <w:vertAlign w:val="superscript"/>
          </w:rPr>
          <w:t>124</w:t>
        </w:r>
      </w:hyperlink>
    </w:p>
    <w:p w14:paraId="3467E362" w14:textId="77777777" w:rsidR="00BE714A" w:rsidRDefault="00BE714A" w:rsidP="00BE714A">
      <w:pPr>
        <w:pStyle w:val="BodyText"/>
      </w:pPr>
      <w:r>
        <w:t>The package was been onboarded into the rOpenSci suite of packages, a collection of “carefully vetted, staff- and community-contributed R software tools that lower barriers to working with scientific data sources on the web”.</w:t>
      </w:r>
      <w:hyperlink w:anchor="ref-boettiger2015">
        <w:r>
          <w:rPr>
            <w:rStyle w:val="Hyperlink"/>
            <w:vertAlign w:val="superscript"/>
          </w:rPr>
          <w:t>125</w:t>
        </w:r>
      </w:hyperlink>
      <w:r>
        <w:t xml:space="preserve"> As part of this process, following rigorous peer-review, an associated article introducing the tool was published by the Journal of Open Source Software.</w:t>
      </w:r>
      <w:hyperlink w:anchor="ref-mcguinness2020a">
        <w:r>
          <w:rPr>
            <w:rStyle w:val="Hyperlink"/>
            <w:vertAlign w:val="superscript"/>
          </w:rPr>
          <w:t>126</w:t>
        </w:r>
      </w:hyperlink>
      <w:r>
        <w:t xml:space="preserve"> The entire review discussion is publicly available and can be viewed online.</w:t>
      </w:r>
      <w:r>
        <w:rPr>
          <w:rStyle w:val="FootnoteReference"/>
        </w:rPr>
        <w:footnoteReference w:id="2"/>
      </w:r>
      <w:r>
        <w:t xml:space="preserve"> The tool has also been well received by the open-source community, </w:t>
      </w:r>
      <w:r>
        <w:lastRenderedPageBreak/>
        <w:t>demonstrated by the engagement of other developers in contributing to important new functionality and suggesting bug-fixes.</w:t>
      </w:r>
    </w:p>
    <w:p w14:paraId="108AF7E7" w14:textId="77777777" w:rsidR="00BE714A" w:rsidRDefault="00BE714A" w:rsidP="00BE714A">
      <w:pPr>
        <w:pStyle w:val="BodyText"/>
      </w:pPr>
      <w:r>
        <w:t>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14:paraId="3E550F77" w14:textId="77777777" w:rsidR="00BE714A" w:rsidRDefault="00BE714A" w:rsidP="00BE714A">
      <w:pPr>
        <w:pStyle w:val="BodyText"/>
      </w:pPr>
      <w:r>
        <w:t> </w:t>
      </w:r>
    </w:p>
    <w:p w14:paraId="603F2B0F" w14:textId="77777777" w:rsidR="00BE714A" w:rsidRDefault="00BE714A" w:rsidP="00BE714A">
      <w:pPr>
        <w:pStyle w:val="Heading3"/>
      </w:pPr>
      <w:bookmarkStart w:id="59" w:name="limitations-of-medrxivr"/>
      <w:bookmarkEnd w:id="58"/>
      <w:r>
        <w:t xml:space="preserve">Limitations of </w:t>
      </w:r>
      <w:r>
        <w:rPr>
          <w:rStyle w:val="VerbatimChar"/>
        </w:rPr>
        <w:t>medrxivr</w:t>
      </w:r>
    </w:p>
    <w:p w14:paraId="7263CEB0" w14:textId="77777777" w:rsidR="00BE714A" w:rsidRDefault="00BE714A" w:rsidP="00BE714A">
      <w:pPr>
        <w:pStyle w:val="FirstParagraph"/>
      </w:pPr>
      <w:r>
        <w:t xml:space="preserve">While searching of the medRxiv and bioRxiv databases was crucial for the systematic review element of this thesis presented in Chapter 4,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 </w:t>
      </w:r>
      <w:r>
        <w:rPr>
          <w:rStyle w:val="VerbatimChar"/>
        </w:rPr>
        <w:t>medrxivr</w:t>
      </w:r>
      <w:r>
        <w:t>, is that a search for “dementia” would return a record where the only occurrence of this term is in the title of one of the references.</w:t>
      </w:r>
      <w:hyperlink w:anchor="ref-bong2019">
        <w:r>
          <w:rPr>
            <w:rStyle w:val="Hyperlink"/>
            <w:vertAlign w:val="superscript"/>
          </w:rPr>
          <w:t>127</w:t>
        </w:r>
      </w:hyperlink>
    </w:p>
    <w:p w14:paraId="79FD39E2" w14:textId="77777777" w:rsidR="00BE714A" w:rsidRDefault="00BE714A" w:rsidP="00BE714A">
      <w:pPr>
        <w:pStyle w:val="BodyText"/>
      </w:pPr>
      <w:r>
        <w:t>There is also the potential that the cross-section of literature posted on medrxiv/bioRxiv is substantially different from the true grey literature (studies or analyses that are not published for a range of reasons including results that are not deemed “novel” or are not statistically significant).</w:t>
      </w:r>
      <w:hyperlink w:anchor="ref-song2010">
        <w:r>
          <w:rPr>
            <w:rStyle w:val="Hyperlink"/>
            <w:vertAlign w:val="superscript"/>
          </w:rPr>
          <w:t>128</w:t>
        </w:r>
      </w:hyperlink>
      <w:r>
        <w:t xml:space="preserve"> This is because simply lowering the barriers to publication may well encourage authors to published “null” results, but due to the effort involved in writing up a distributable manuscript, it is unlikely to completely address the “file drawer” effect.</w:t>
      </w:r>
      <w:hyperlink w:anchor="ref-rosenthal1979">
        <w:r>
          <w:rPr>
            <w:rStyle w:val="Hyperlink"/>
            <w:vertAlign w:val="superscript"/>
          </w:rPr>
          <w:t>82</w:t>
        </w:r>
      </w:hyperlink>
      <w:r>
        <w:t xml:space="preserve"> It is likely too early (and likely too methodologically difficult) to tell whether the increased popularity and acceptance of preprint repositories will have any effect of the availability of research that was not considered “publishable” at other venues.</w:t>
      </w:r>
    </w:p>
    <w:p w14:paraId="02A28E5D" w14:textId="77777777" w:rsidR="00BE714A" w:rsidRDefault="00BE714A" w:rsidP="00BE714A">
      <w:pPr>
        <w:pStyle w:val="BodyText"/>
      </w:pPr>
      <w:r>
        <w:t> </w:t>
      </w:r>
    </w:p>
    <w:p w14:paraId="313C319F" w14:textId="77777777" w:rsidR="00BE714A" w:rsidRDefault="00BE714A" w:rsidP="00BE714A">
      <w:pPr>
        <w:pStyle w:val="Heading3"/>
      </w:pPr>
      <w:bookmarkStart w:id="60" w:name="X611d1fd73a274fb9f1b65c2e4406882228ee7b6"/>
      <w:bookmarkEnd w:id="59"/>
      <w:r>
        <w:t>Role of open source tools in evidence synthesis</w:t>
      </w:r>
    </w:p>
    <w:p w14:paraId="6D485E34" w14:textId="77777777" w:rsidR="00BE714A" w:rsidRDefault="00BE714A" w:rsidP="00BE714A">
      <w:pPr>
        <w:pStyle w:val="FirstParagraph"/>
      </w:pPr>
      <w:r>
        <w:t xml:space="preserve">Part of the motivation for creating the </w:t>
      </w:r>
      <w:r>
        <w:rPr>
          <w:rStyle w:val="VerbatimChar"/>
        </w:rPr>
        <w:t>medrxivr</w:t>
      </w:r>
      <w:r>
        <w:t xml:space="preserve"> tool was a belief that the development and distribution of open source scripts and tools should be a fundamental part of evidence synthesis research.</w:t>
      </w:r>
      <w:hyperlink w:anchor="ref-goldacre2019b">
        <w:r>
          <w:rPr>
            <w:rStyle w:val="Hyperlink"/>
            <w:vertAlign w:val="superscript"/>
          </w:rPr>
          <w:t>129</w:t>
        </w:r>
      </w:hyperlink>
      <w:r>
        <w:rPr>
          <w:vertAlign w:val="superscript"/>
        </w:rPr>
        <w:t>,</w:t>
      </w:r>
      <w:hyperlink w:anchor="ref-mckiernan2016c">
        <w:r>
          <w:rPr>
            <w:rStyle w:val="Hyperlink"/>
            <w:vertAlign w:val="superscript"/>
          </w:rPr>
          <w:t>130</w:t>
        </w:r>
      </w:hyperlink>
      <w:r>
        <w:t xml:space="preserve"> In the case of </w:t>
      </w:r>
      <w:r>
        <w:rPr>
          <w:rStyle w:val="VerbatimChar"/>
        </w:rPr>
        <w:t>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 </w:t>
      </w:r>
      <w:r>
        <w:rPr>
          <w:rStyle w:val="VerbatimChar"/>
        </w:rPr>
        <w:t>rbiorxiv</w:t>
      </w:r>
      <w:r>
        <w:t xml:space="preserve"> package, which allows for importing medRxiv metadata into R but does not provide search functionality).</w:t>
      </w:r>
      <w:hyperlink w:anchor="ref-rbiorxiv">
        <w:r>
          <w:rPr>
            <w:rStyle w:val="Hyperlink"/>
            <w:vertAlign w:val="superscript"/>
          </w:rPr>
          <w:t>131</w:t>
        </w:r>
      </w:hyperlink>
      <w:r>
        <w:t xml:space="preserve"> If these scripts continue to be developed in private and are never shared or publicised, this will inevitably harm to the evidence synthesis community, not only in terms of duplication of time and effort but also </w:t>
      </w:r>
      <w:r>
        <w:lastRenderedPageBreak/>
        <w:t>due to lost opportunities for collaboration.</w:t>
      </w:r>
      <w:hyperlink w:anchor="ref-mckiernan2016c">
        <w:r>
          <w:rPr>
            <w:rStyle w:val="Hyperlink"/>
            <w:vertAlign w:val="superscript"/>
          </w:rPr>
          <w:t>130</w:t>
        </w:r>
      </w:hyperlink>
      <w:r>
        <w:t xml:space="preserve"> Creating and sharing well-documented packages, the recognised standard for sharing code in R, represents one way to reduce this inefficiency.</w:t>
      </w:r>
      <w:hyperlink w:anchor="ref-vuorre2020">
        <w:r>
          <w:rPr>
            <w:rStyle w:val="Hyperlink"/>
            <w:vertAlign w:val="superscript"/>
          </w:rPr>
          <w:t>132</w:t>
        </w:r>
      </w:hyperlink>
    </w:p>
    <w:p w14:paraId="0C52DFA3" w14:textId="77777777" w:rsidR="00BE714A" w:rsidRDefault="00BE714A" w:rsidP="00BE714A">
      <w:pPr>
        <w:pStyle w:val="Heading2"/>
      </w:pPr>
      <w:bookmarkStart w:id="61" w:name="summary-1"/>
      <w:bookmarkEnd w:id="57"/>
      <w:bookmarkEnd w:id="60"/>
      <w:r>
        <w:t>Summary</w:t>
      </w:r>
    </w:p>
    <w:p w14:paraId="625A35AC" w14:textId="77777777" w:rsidR="00BE714A" w:rsidRDefault="00BE714A" w:rsidP="00BE714A">
      <w:pPr>
        <w:numPr>
          <w:ilvl w:val="0"/>
          <w:numId w:val="33"/>
        </w:numPr>
      </w:pPr>
      <w:r>
        <w:t xml:space="preserve">In this Chapter, I have introduced a new tool, </w:t>
      </w:r>
      <w:r>
        <w:rPr>
          <w:rStyle w:val="VerbatimChar"/>
        </w:rPr>
        <w:t>medrxivr</w:t>
      </w:r>
      <w:r>
        <w:t>, for performing complex systematic searches of the medRxiv and bioRxiv preprint repositories.</w:t>
      </w:r>
    </w:p>
    <w:p w14:paraId="39C9EFEF" w14:textId="77777777" w:rsidR="00BE714A" w:rsidRDefault="00BE714A" w:rsidP="00BE714A">
      <w:pPr>
        <w:numPr>
          <w:ilvl w:val="0"/>
          <w:numId w:val="33"/>
        </w:numPr>
      </w:pPr>
      <w:r>
        <w:t>I have outlined the motivation for developing this tool in relation to this thesis - more specifically, that it was used to perform systematic and reproducible searches of a key literature sources used in the comprehensive systematic review described in Chapter 4.</w:t>
      </w:r>
    </w:p>
    <w:p w14:paraId="1306859C" w14:textId="77777777" w:rsidR="00BE714A" w:rsidRDefault="00BE714A" w:rsidP="00BE714A">
      <w:pPr>
        <w:numPr>
          <w:ilvl w:val="0"/>
          <w:numId w:val="33"/>
        </w:numPr>
      </w:pPr>
      <w:r>
        <w:t xml:space="preserve">I have contrasted </w:t>
      </w:r>
      <w:r>
        <w:rPr>
          <w:rStyle w:val="VerbatimChar"/>
        </w:rPr>
        <w:t>medrxivr</w:t>
      </w:r>
      <w:r>
        <w:t xml:space="preserve"> with other available interfaces to medRxiv/bioRxiv data to highlight the added functionality it offers. I have also discussed the tools reception to date, its limitations, and the important role of open-source tools like </w:t>
      </w:r>
      <w:r>
        <w:rPr>
          <w:rStyle w:val="VerbatimChar"/>
        </w:rPr>
        <w:t>medrxivr</w:t>
      </w:r>
      <w:r>
        <w:t xml:space="preserve"> in evidence synthesis.</w:t>
      </w:r>
    </w:p>
    <w:p w14:paraId="7C4066B8" w14:textId="77777777" w:rsidR="00BE714A" w:rsidRDefault="00BE714A" w:rsidP="00BE714A">
      <w:r>
        <w:br w:type="page"/>
      </w:r>
    </w:p>
    <w:p w14:paraId="4DB191C3" w14:textId="77777777" w:rsidR="00BE714A" w:rsidRDefault="00BE714A" w:rsidP="00BE714A">
      <w:pPr>
        <w:pStyle w:val="Heading2"/>
      </w:pPr>
      <w:bookmarkStart w:id="62" w:name="references-1"/>
      <w:bookmarkEnd w:id="61"/>
      <w:r>
        <w:lastRenderedPageBreak/>
        <w:t>References</w:t>
      </w:r>
    </w:p>
    <w:p w14:paraId="3031B57D" w14:textId="77777777" w:rsidR="00BE714A" w:rsidRDefault="00BE714A" w:rsidP="00BE714A">
      <w:pPr>
        <w:pStyle w:val="Heading1"/>
      </w:pPr>
      <w:bookmarkStart w:id="63" w:name="sys-rev-heading"/>
      <w:bookmarkEnd w:id="42"/>
      <w:bookmarkEnd w:id="62"/>
      <w:r>
        <w:t>Systematic review of all available evidence</w:t>
      </w:r>
    </w:p>
    <w:p w14:paraId="7E0C5978" w14:textId="77777777" w:rsidR="00BE714A" w:rsidRDefault="00BE714A" w:rsidP="00BE714A">
      <w:pPr>
        <w:pStyle w:val="FirstParagraph"/>
      </w:pPr>
    </w:p>
    <w:p w14:paraId="3AD1415D" w14:textId="77777777" w:rsidR="00BE714A" w:rsidRDefault="00BE714A" w:rsidP="00BE714A">
      <w:pPr>
        <w:pStyle w:val="Heading2"/>
      </w:pPr>
      <w:bookmarkStart w:id="64" w:name="to-do"/>
      <w:r>
        <w:t>To Do</w:t>
      </w:r>
    </w:p>
    <w:p w14:paraId="08C54E80" w14:textId="77777777" w:rsidR="00BE714A" w:rsidRDefault="00BE714A" w:rsidP="00BE714A">
      <w:pPr>
        <w:pStyle w:val="Compact"/>
        <w:numPr>
          <w:ilvl w:val="0"/>
          <w:numId w:val="34"/>
        </w:numPr>
      </w:pPr>
      <w:r>
        <w:t>Examine how many times a primary study was included in a review</w:t>
      </w:r>
      <w:r>
        <w:br/>
      </w:r>
    </w:p>
    <w:p w14:paraId="14614371" w14:textId="77777777" w:rsidR="00BE714A" w:rsidRDefault="00BE714A" w:rsidP="00BE714A">
      <w:pPr>
        <w:pStyle w:val="Compact"/>
        <w:numPr>
          <w:ilvl w:val="0"/>
          <w:numId w:val="34"/>
        </w:numPr>
      </w:pPr>
      <w:r>
        <w:t>Look at whether searching preprints made any difference to my results</w:t>
      </w:r>
    </w:p>
    <w:p w14:paraId="72650FB4" w14:textId="77777777" w:rsidR="00BE714A" w:rsidRDefault="00BE714A" w:rsidP="00BE714A">
      <w:pPr>
        <w:pStyle w:val="Compact"/>
        <w:numPr>
          <w:ilvl w:val="0"/>
          <w:numId w:val="34"/>
        </w:numPr>
      </w:pPr>
      <w:r>
        <w:t>Could apply ROBIS to previous reviews to see how they stack-up?</w:t>
      </w:r>
    </w:p>
    <w:p w14:paraId="2A185B70" w14:textId="77777777" w:rsidR="00BE714A" w:rsidRDefault="00BE714A" w:rsidP="00BE714A">
      <w:pPr>
        <w:pStyle w:val="Heading2"/>
      </w:pPr>
      <w:bookmarkStart w:id="65" w:name="extra-studies-to-include"/>
      <w:bookmarkEnd w:id="64"/>
      <w:r>
        <w:t>Extra studies to include:</w:t>
      </w:r>
    </w:p>
    <w:p w14:paraId="037892A9" w14:textId="77777777" w:rsidR="00BE714A" w:rsidRDefault="00BE714A" w:rsidP="00BE714A">
      <w:pPr>
        <w:pStyle w:val="Compact"/>
        <w:numPr>
          <w:ilvl w:val="0"/>
          <w:numId w:val="35"/>
        </w:numPr>
      </w:pPr>
      <w:r>
        <w:t>Smeet et al. reference in the CPRD analysis</w:t>
      </w:r>
    </w:p>
    <w:p w14:paraId="439F0EFF" w14:textId="77777777" w:rsidR="00BE714A" w:rsidRDefault="00BE714A" w:rsidP="00BE714A">
      <w:pPr>
        <w:pStyle w:val="Compact"/>
        <w:numPr>
          <w:ilvl w:val="0"/>
          <w:numId w:val="35"/>
        </w:numPr>
      </w:pPr>
      <w:r>
        <w:t>Larsson - 10.1136/bmj.j5375</w:t>
      </w:r>
      <w:hyperlink w:anchor="ref-larsson2017b">
        <w:r>
          <w:rPr>
            <w:rStyle w:val="Hyperlink"/>
            <w:vertAlign w:val="superscript"/>
          </w:rPr>
          <w:t>133</w:t>
        </w:r>
      </w:hyperlink>
    </w:p>
    <w:p w14:paraId="480F2FEB" w14:textId="77777777" w:rsidR="00BE714A" w:rsidRDefault="00BE714A" w:rsidP="00BE714A">
      <w:pPr>
        <w:pStyle w:val="Compact"/>
        <w:numPr>
          <w:ilvl w:val="0"/>
          <w:numId w:val="35"/>
        </w:numPr>
      </w:pPr>
      <w:r>
        <w:t>Statins and the risk of dementia Jick</w:t>
      </w:r>
    </w:p>
    <w:p w14:paraId="09AE17B3" w14:textId="77777777" w:rsidR="00BE714A" w:rsidRDefault="00BE714A" w:rsidP="00BE714A">
      <w:pPr>
        <w:pStyle w:val="Heading2"/>
      </w:pPr>
      <w:bookmarkStart w:id="66" w:name="lay-summary-2"/>
      <w:bookmarkEnd w:id="65"/>
      <w:r>
        <w:t>Lay summary</w:t>
      </w:r>
    </w:p>
    <w:p w14:paraId="76CFF2E2" w14:textId="77777777" w:rsidR="00BE714A" w:rsidRDefault="00BE714A" w:rsidP="00BE714A">
      <w:pPr>
        <w:pStyle w:val="Heading2"/>
      </w:pPr>
      <w:bookmarkStart w:id="67" w:name="additional-ideas-1"/>
      <w:bookmarkEnd w:id="66"/>
      <w:r>
        <w:t>Additional ideas</w:t>
      </w:r>
    </w:p>
    <w:p w14:paraId="22A5C589" w14:textId="77777777" w:rsidR="00BE714A" w:rsidRDefault="00BE714A" w:rsidP="00BE714A">
      <w:pPr>
        <w:pStyle w:val="Compact"/>
        <w:numPr>
          <w:ilvl w:val="0"/>
          <w:numId w:val="36"/>
        </w:numPr>
      </w:pPr>
      <w:r>
        <w:t>Evidence map - show the distribution of the different studies population across the world.</w:t>
      </w:r>
    </w:p>
    <w:p w14:paraId="4C97CEF1" w14:textId="77777777" w:rsidR="00BE714A" w:rsidRDefault="00BE714A" w:rsidP="00BE714A">
      <w:pPr>
        <w:pStyle w:val="Compact"/>
        <w:numPr>
          <w:ilvl w:val="0"/>
          <w:numId w:val="36"/>
        </w:numPr>
      </w:pPr>
      <w:r>
        <w:t>Living systematic review approach - update weekly based on medRxiv</w:t>
      </w:r>
    </w:p>
    <w:p w14:paraId="76EAD9E6" w14:textId="77777777" w:rsidR="00BE714A" w:rsidRDefault="00BE714A" w:rsidP="00BE714A">
      <w:pPr>
        <w:pStyle w:val="Heading2"/>
      </w:pPr>
      <w:bookmarkStart w:id="68" w:name="aims"/>
      <w:bookmarkEnd w:id="67"/>
      <w:r>
        <w:t>Aims</w:t>
      </w:r>
    </w:p>
    <w:p w14:paraId="2AB65167" w14:textId="77777777" w:rsidR="00BE714A" w:rsidRDefault="00BE714A" w:rsidP="00BE714A">
      <w:pPr>
        <w:pStyle w:val="FirstParagraph"/>
      </w:pPr>
      <w:r>
        <w:t>The aim of this chapter is to systematically review all available literature on the association between blood levels of total cholesterol and it’s constituent parts (HDL-c,LDL-c and triglycerides) on the subsequent risk of dementia.</w:t>
      </w:r>
    </w:p>
    <w:p w14:paraId="2F5DB835" w14:textId="77777777" w:rsidR="00BE714A" w:rsidRDefault="00BE714A" w:rsidP="00BE714A">
      <w:pPr>
        <w:pStyle w:val="BodyText"/>
      </w:pPr>
      <w:r>
        <w:t>Based on the review of prev, no previous</w:t>
      </w:r>
    </w:p>
    <w:p w14:paraId="39709049" w14:textId="77777777" w:rsidR="00BE714A" w:rsidRDefault="00BE714A" w:rsidP="00BE714A">
      <w:pPr>
        <w:pStyle w:val="BodyText"/>
      </w:pPr>
      <w:r>
        <w:t>Literature con</w:t>
      </w:r>
    </w:p>
    <w:p w14:paraId="2E5C21DA" w14:textId="77777777" w:rsidR="00BE714A" w:rsidRDefault="00BE714A" w:rsidP="00BE714A">
      <w:pPr>
        <w:pStyle w:val="Heading2"/>
      </w:pPr>
      <w:bookmarkStart w:id="69" w:name="methods"/>
      <w:bookmarkEnd w:id="68"/>
      <w:r>
        <w:t>Methods</w:t>
      </w:r>
    </w:p>
    <w:p w14:paraId="1F8B802A" w14:textId="77777777" w:rsidR="00BE714A" w:rsidRDefault="00BE714A" w:rsidP="00BE714A">
      <w:pPr>
        <w:pStyle w:val="Heading3"/>
      </w:pPr>
      <w:bookmarkStart w:id="70" w:name="search-strategy"/>
      <w:r>
        <w:t>Search strategy</w:t>
      </w:r>
    </w:p>
    <w:p w14:paraId="45C0882D" w14:textId="77777777" w:rsidR="00BE714A" w:rsidRDefault="00BE714A" w:rsidP="00BE714A">
      <w:pPr>
        <w:pStyle w:val="FirstParagraph"/>
      </w:pPr>
      <w:r>
        <w:t xml:space="preserve">We will systematically search electronic bibliographic databases to identify potentially relevant records. The search strategy used in each database will be developed in an iterative manner using a combination of free text and controlled vocabulary (MeSH/EMTREE) terms to identify studies which have examined the relationship between blood lipids levels and dementia, incorporating input from an information specialist. The </w:t>
      </w:r>
      <w:r>
        <w:lastRenderedPageBreak/>
        <w:t>strategy will include terms related to lipids, lipid modifying treatments, and dementia and its sub-types, and will be designed for MEDLINE before being adapted for use in the other bibliography databases listed. An outline of the general strategy is presented in the Table 3.2 below and the full draft search strategies for each database are attached to this protocol. To ensure that the study design filters are not excluding potentially relevant records, a random sample of 500 records identified by the main search but excluded by the filters (defined as Line 7 NOT Line 13 in Table 3.2) will be screened. If any potentially relevant studies are identified, their titles and abstracts will be searched for key terms that can be incorporated into the filters to improve search sensitivity.</w:t>
      </w:r>
    </w:p>
    <w:p w14:paraId="0634F3AD" w14:textId="77777777" w:rsidR="00BE714A" w:rsidRDefault="00BE714A" w:rsidP="00BE714A">
      <w:pPr>
        <w:pStyle w:val="BodyText"/>
      </w:pPr>
      <w:r>
        <w:t>The following databases will be searched from inception onwards: Medline, EMBASE, Psychinfo, Cochrane Central Register of Controlled Trials (CENTRAL), and Web of Science Core Collection. We will also search clinical trial registries, for example ClinicalTrials.gov, to identify relevant randomized controlled trials.</w:t>
      </w:r>
    </w:p>
    <w:p w14:paraId="3874F8B5" w14:textId="77777777" w:rsidR="00BE714A" w:rsidRDefault="00BE714A" w:rsidP="00BE714A">
      <w:pPr>
        <w:pStyle w:val="BodyText"/>
      </w:pPr>
      <w:r>
        <w:t>The abstracts list of relevant conferences (e.g. the proceedings of the Alzheimer’s Association International Conference, published in the journal Alzheimer’s &amp; Dementia) will be searched. Grey literature will also be searched via ProQuest, OpenGrey and Web of Science Conference Proceedings Citation Index, while theses will be accessed using the Open Access Theses and Dissertations portal. We will also search bioRxiv and medRxiv, preprint repositories using a tool built as part of this thesis, to identify potentially relevant studies. Finally, the reference lists of included studies will be searched by hand while studies citing included studies will be examined using Google Scholar (forward and reverse citation searching).</w:t>
      </w:r>
    </w:p>
    <w:p w14:paraId="7A760ED1" w14:textId="77777777" w:rsidR="00BE714A" w:rsidRDefault="00BE714A" w:rsidP="00BE714A">
      <w:pPr>
        <w:pStyle w:val="BodyText"/>
      </w:pPr>
      <w:r>
        <w:t>The full search strategy for the Medline search, which was designed first and subsequently translated into the syntax for other databases is presented in Appendix 9.2.1.</w:t>
      </w:r>
    </w:p>
    <w:p w14:paraId="1E236AAE" w14:textId="77777777" w:rsidR="00BE714A" w:rsidRDefault="00BE714A" w:rsidP="00BE714A">
      <w:pPr>
        <w:pStyle w:val="Heading3"/>
      </w:pPr>
      <w:bookmarkStart w:id="71" w:name="study-selection"/>
      <w:bookmarkEnd w:id="70"/>
      <w:r>
        <w:t>Study selection</w:t>
      </w:r>
    </w:p>
    <w:p w14:paraId="4FC04756" w14:textId="77777777" w:rsidR="00BE714A" w:rsidRDefault="00BE714A" w:rsidP="00BE714A">
      <w:pPr>
        <w:pStyle w:val="FirstParagraph"/>
      </w:pPr>
      <w:r>
        <w:t>Records will be imported into Endnote and deduplicated using the method outlined in Bramer et al. (2016).</w:t>
      </w:r>
      <w:hyperlink w:anchor="ref-bramer2016">
        <w:r>
          <w:rPr>
            <w:rStyle w:val="Hyperlink"/>
            <w:vertAlign w:val="superscript"/>
          </w:rPr>
          <w:t>134</w:t>
        </w:r>
      </w:hyperlink>
      <w:r>
        <w:t xml:space="preserve"> Screening (both title/abstract and full-text) will be performed using a combination of Endnote and Rayyan, a web based screening application.</w:t>
      </w:r>
      <w:hyperlink w:anchor="ref-ouzzani2016">
        <w:r>
          <w:rPr>
            <w:rStyle w:val="Hyperlink"/>
            <w:vertAlign w:val="superscript"/>
          </w:rPr>
          <w:t>135</w:t>
        </w:r>
      </w:hyperlink>
      <w:r>
        <w:t xml:space="preserve"> Title and abstract screening to remove obviously irrelevant records will be performed by the primary author, with a random selection of excluded records being screened in duplicate to ensure consistency with the inclusion criteria. If this demonstrates a significant level of erroneous exclusion by the primary author a larger proportion will be dual-screened. Full-text screening will also be completed in full by the primary author. A second reviewer will screen a random sample of included and excluded records, in addition to any records identified by the first reviewer as being difficult to assess against the inclusion criteria. Reasons for exclusion at this stage will be recorded. Disagreements occurring during either stage of the screening process will be resolved through discussion with a senior colleague. A PRIMSA flow diagram will be produced to document how records moved through the review.</w:t>
      </w:r>
      <w:hyperlink w:anchor="ref-zotero-766">
        <w:r>
          <w:rPr>
            <w:rStyle w:val="Hyperlink"/>
            <w:vertAlign w:val="superscript"/>
          </w:rPr>
          <w:t>136</w:t>
        </w:r>
      </w:hyperlink>
    </w:p>
    <w:p w14:paraId="1E7D9BF1" w14:textId="77777777" w:rsidR="00BE714A" w:rsidRDefault="00BE714A" w:rsidP="00BE714A">
      <w:pPr>
        <w:pStyle w:val="Heading4"/>
      </w:pPr>
      <w:bookmarkStart w:id="72" w:name="inclusion-criteria"/>
      <w:r>
        <w:t>Inclusion criteria</w:t>
      </w:r>
    </w:p>
    <w:p w14:paraId="53D41D07" w14:textId="77777777" w:rsidR="00BE714A" w:rsidRDefault="00BE714A" w:rsidP="00BE714A">
      <w:pPr>
        <w:pStyle w:val="FirstParagraph"/>
      </w:pPr>
      <w:r>
        <w:t xml:space="preserve">We will seek studies that examine the relationship between blood lipid levels (or any specific lipid fraction, including total cholesterol, HDL, LDL, and triglycerides) and risk of </w:t>
      </w:r>
      <w:r>
        <w:lastRenderedPageBreak/>
        <w:t>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14:paraId="0B6A8364" w14:textId="77777777" w:rsidR="00BE714A" w:rsidRDefault="00BE714A" w:rsidP="00BE714A">
      <w:pPr>
        <w:pStyle w:val="BodyText"/>
      </w:pPr>
      <w:r>
        <w:t>Participants will be free (or assumed to be free) of dementia/MCI at baseline. Studies of any duration will be included to allow for exploration of the effect of length of follow-up on the effect estimate using meta-regression. No limits will be placed on the sample size of included studies.</w:t>
      </w:r>
    </w:p>
    <w:p w14:paraId="103F51BF" w14:textId="77777777" w:rsidR="00BE714A" w:rsidRDefault="00BE714A" w:rsidP="00BE714A">
      <w:pPr>
        <w:pStyle w:val="BodyText"/>
      </w:pPr>
      <w:r>
        <w:t>Eligible studies will define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 For MCI, eligible studies are those that attempted state a definition for diagnoses of MCI (e.g. an adapted version of the Petersen criteria)</w:t>
      </w:r>
      <w:hyperlink w:anchor="ref-petersen1999">
        <w:r>
          <w:rPr>
            <w:rStyle w:val="Hyperlink"/>
            <w:vertAlign w:val="superscript"/>
          </w:rPr>
          <w:t>137</w:t>
        </w:r>
      </w:hyperlink>
      <w:r>
        <w:t xml:space="preserve"> and create ordinal groups of patients (e.g. no dementia or dementia/MCI/dementia) based on this definition.</w:t>
      </w:r>
    </w:p>
    <w:p w14:paraId="682FCBA0" w14:textId="77777777" w:rsidR="00BE714A" w:rsidRDefault="00BE714A" w:rsidP="00BE714A">
      <w:pPr>
        <w:pStyle w:val="BodyText"/>
      </w:pPr>
      <w:r>
        <w:t>No limitations will be imposed on publication status, publication date, venue or language, although we will require sufficiently detailed reports of the studies to be able to examine their methods. Preprints and unpublished reports will be eligible for inclusion if relevant. Multiple publications resulting from the analysis of the same data will be included and grouped.</w:t>
      </w:r>
    </w:p>
    <w:p w14:paraId="0CA39EA8" w14:textId="77777777" w:rsidR="00BE714A" w:rsidRDefault="00BE714A" w:rsidP="00BE714A">
      <w:pPr>
        <w:pStyle w:val="Heading4"/>
      </w:pPr>
      <w:bookmarkStart w:id="73" w:name="exclusion-criteria"/>
      <w:bookmarkEnd w:id="72"/>
      <w:r>
        <w:t>Exclusion criteria</w:t>
      </w:r>
    </w:p>
    <w:p w14:paraId="7C0A4B39" w14:textId="77777777" w:rsidR="00BE714A" w:rsidRDefault="00BE714A" w:rsidP="00BE714A">
      <w:pPr>
        <w:pStyle w:val="FirstParagraph"/>
      </w:pPr>
      <w:r>
        <w:t>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 “multi-domain intervention” 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14:paraId="31F4D2C1" w14:textId="77777777" w:rsidR="00BE714A" w:rsidRDefault="00BE714A" w:rsidP="00BE714A">
      <w:pPr>
        <w:pStyle w:val="BodyText"/>
      </w:pPr>
      <w:r>
        <w:t>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p w14:paraId="1845F222" w14:textId="77777777" w:rsidR="00BE714A" w:rsidRDefault="00BE714A" w:rsidP="00BE714A">
      <w:pPr>
        <w:pStyle w:val="Heading3"/>
      </w:pPr>
      <w:bookmarkStart w:id="74" w:name="data-extraction"/>
      <w:bookmarkEnd w:id="71"/>
      <w:bookmarkEnd w:id="73"/>
      <w:r>
        <w:lastRenderedPageBreak/>
        <w:t>Data extraction</w:t>
      </w:r>
    </w:p>
    <w:p w14:paraId="4E66C8C9" w14:textId="77777777" w:rsidR="00BE714A" w:rsidRDefault="00BE714A" w:rsidP="00BE714A">
      <w:pPr>
        <w:pStyle w:val="FirstParagraph"/>
      </w:pPr>
      <w:r>
        <w:t>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14:paraId="583196F8" w14:textId="77777777" w:rsidR="00BE714A" w:rsidRDefault="00BE714A" w:rsidP="00BE714A">
      <w:pPr>
        <w:pStyle w:val="BodyText"/>
      </w:pPr>
      <w:r>
        <w:t>Following guidance for a dose response meta-analysis, we picked m</w:t>
      </w:r>
    </w:p>
    <w:p w14:paraId="01797AAB" w14:textId="77777777" w:rsidR="00BE714A" w:rsidRDefault="00BE714A" w:rsidP="00BE714A">
      <w:pPr>
        <w:pStyle w:val="Heading3"/>
      </w:pPr>
      <w:bookmarkStart w:id="75" w:name="risk-of-bias"/>
      <w:bookmarkEnd w:id="74"/>
      <w:r>
        <w:t>Risk of bias assessment</w:t>
      </w:r>
    </w:p>
    <w:p w14:paraId="2C63AC0B" w14:textId="77777777" w:rsidR="00BE714A" w:rsidRDefault="00BE714A" w:rsidP="00BE714A">
      <w:pPr>
        <w:pStyle w:val="FirstParagraph"/>
      </w:pPr>
      <w:r>
        <w:t>Risk of bias assessment was performed using the domain-based risk-of-bias assessment tool appropriate to the study design. Randomized controlled trials were assessed using the RoB2 tool,</w:t>
      </w:r>
      <w:hyperlink w:anchor="ref-sterne2019">
        <w:r>
          <w:rPr>
            <w:rStyle w:val="Hyperlink"/>
            <w:vertAlign w:val="superscript"/>
          </w:rPr>
          <w:t>138</w:t>
        </w:r>
      </w:hyperlink>
      <w:r>
        <w:t>, non-randomized studies of interventions were assessed using the ROBINS-I tool,</w:t>
      </w:r>
      <w:hyperlink w:anchor="ref-sterne2016">
        <w:r>
          <w:rPr>
            <w:rStyle w:val="Hyperlink"/>
            <w:vertAlign w:val="superscript"/>
          </w:rPr>
          <w:t>139</w:t>
        </w:r>
      </w:hyperlink>
      <w:r>
        <w:t xml:space="preserve"> and non-randomized studies of exposures were assessed using the ROBINS-E tool.[CITE]</w:t>
      </w:r>
    </w:p>
    <w:p w14:paraId="06CBE523" w14:textId="77777777" w:rsidR="00BE714A" w:rsidRDefault="00BE714A" w:rsidP="00BE714A">
      <w:pPr>
        <w:pStyle w:val="BodyText"/>
      </w:pPr>
      <w:r>
        <w:t>I opted to use the ROBINS-E tool, despite it still being in development,</w:t>
      </w:r>
      <w:hyperlink w:anchor="ref-morganr2020">
        <w:r>
          <w:rPr>
            <w:rStyle w:val="Hyperlink"/>
            <w:vertAlign w:val="superscript"/>
          </w:rPr>
          <w:t>140</w:t>
        </w:r>
      </w:hyperlink>
      <w:r>
        <w:t xml:space="preserve"> in place of other existing published tools such as the Newcastle-Ottowa scale (NOS).</w:t>
      </w:r>
      <w:hyperlink w:anchor="ref-wells2000newcastle">
        <w:r>
          <w:rPr>
            <w:rStyle w:val="Hyperlink"/>
            <w:vertAlign w:val="superscript"/>
          </w:rPr>
          <w:t>141</w:t>
        </w:r>
      </w:hyperlink>
      <w:r>
        <w:t xml:space="preserve"> There are two primary reasons for this: firstly, current thinking in assessing internal validity has moved away from scales.</w:t>
      </w:r>
    </w:p>
    <w:p w14:paraId="5722251A" w14:textId="77777777" w:rsidR="00BE714A" w:rsidRDefault="00BE714A" w:rsidP="00BE714A">
      <w:pPr>
        <w:pStyle w:val="BodyText"/>
      </w:pPr>
      <w:r>
        <w:t>Secondly, using a domain based to assess the risk of bias in studies of exposure allowed for better comparison and consistency across the tool used for different study designs, as they are all domain based.</w:t>
      </w:r>
    </w:p>
    <w:p w14:paraId="53F62D2D" w14:textId="77777777" w:rsidR="00BE714A" w:rsidRDefault="00BE714A" w:rsidP="00BE714A">
      <w:pPr>
        <w:pStyle w:val="BodyText"/>
      </w:pPr>
      <w:r>
        <w:t>At present, no risk of bias assessment tool for Mendelian randomization studies is available. Bias in these studies was assessed with the help of an expert panel drawn from my supervisors and other external invited researchers.[CITE] The risk of bias in Mendelian randomisation studies was informed by the approach used in a previous systematic review of Mendelian randomisation, as identified by a review of risk of bias assessments in systematic reviews of MR studies.</w:t>
      </w:r>
      <w:hyperlink w:anchor="ref-mamluk2020">
        <w:r>
          <w:rPr>
            <w:rStyle w:val="Hyperlink"/>
            <w:vertAlign w:val="superscript"/>
          </w:rPr>
          <w:t>142</w:t>
        </w:r>
      </w:hyperlink>
      <w:r>
        <w:t xml:space="preserve"> A copy of the is available in Appendix 9.2.3. Advance results from this review of bias assessment in MR studies were obtained from contact with the authors.</w:t>
      </w:r>
    </w:p>
    <w:p w14:paraId="262FE786" w14:textId="77777777" w:rsidR="00BE714A" w:rsidRDefault="00BE714A" w:rsidP="00BE714A">
      <w:pPr>
        <w:pStyle w:val="BodyText"/>
      </w:pPr>
      <w:r>
        <w:t xml:space="preserve">Results from the risk-of-bias assessment will be visualized using a paired forest/risk-of-bias blobbogram, created using the </w:t>
      </w:r>
      <w:r>
        <w:rPr>
          <w:rStyle w:val="VerbatimChar"/>
        </w:rPr>
        <w:t>robvis</w:t>
      </w:r>
      <w:r>
        <w:t xml:space="preserve"> tool. This tool was developed as an adjunct to this thesis to aid in creating standard risk-of-bias figures.</w:t>
      </w:r>
      <w:hyperlink w:anchor="ref-mcguinness2019">
        <w:r>
          <w:rPr>
            <w:rStyle w:val="Hyperlink"/>
            <w:vertAlign w:val="superscript"/>
          </w:rPr>
          <w:t>143</w:t>
        </w:r>
      </w:hyperlink>
      <w:r>
        <w:t xml:space="preserve"> A summary of the tool is provided in Appendix 10.2.</w:t>
      </w:r>
    </w:p>
    <w:p w14:paraId="16D1C0CC" w14:textId="77777777" w:rsidR="00BE714A" w:rsidRDefault="00BE714A" w:rsidP="00BE714A">
      <w:pPr>
        <w:pStyle w:val="BodyText"/>
      </w:pPr>
      <w:r>
        <w:t>Many reviews use reporting guidelines instead - this is bad!</w:t>
      </w:r>
      <w:hyperlink w:anchor="ref-costa2011">
        <w:r>
          <w:rPr>
            <w:rStyle w:val="Hyperlink"/>
            <w:vertAlign w:val="superscript"/>
          </w:rPr>
          <w:t>144</w:t>
        </w:r>
      </w:hyperlink>
    </w:p>
    <w:p w14:paraId="07DDFFAB" w14:textId="77777777" w:rsidR="00BE714A" w:rsidRDefault="00BE714A" w:rsidP="00BE714A">
      <w:pPr>
        <w:pStyle w:val="Heading3"/>
      </w:pPr>
      <w:bookmarkStart w:id="76" w:name="patient-and-public-involvement"/>
      <w:bookmarkEnd w:id="75"/>
      <w:r>
        <w:lastRenderedPageBreak/>
        <w:t>Patient and public involvement</w:t>
      </w:r>
    </w:p>
    <w:p w14:paraId="6AA60761" w14:textId="77777777" w:rsidR="00BE714A" w:rsidRDefault="00BE714A" w:rsidP="00BE714A">
      <w:pPr>
        <w:pStyle w:val="Heading2"/>
      </w:pPr>
      <w:bookmarkStart w:id="77" w:name="results"/>
      <w:bookmarkEnd w:id="69"/>
      <w:bookmarkEnd w:id="76"/>
      <w:r>
        <w:t>Results</w:t>
      </w:r>
    </w:p>
    <w:p w14:paraId="7E760048" w14:textId="77777777" w:rsidR="00BE714A" w:rsidRDefault="00BE714A" w:rsidP="00BE714A">
      <w:pPr>
        <w:pStyle w:val="Heading3"/>
      </w:pPr>
      <w:bookmarkStart w:id="78" w:name="previous-reviews"/>
      <w:r>
        <w:t>Previous reviews</w:t>
      </w:r>
    </w:p>
    <w:p w14:paraId="0FF5C784" w14:textId="77777777" w:rsidR="00BE714A" w:rsidRDefault="00BE714A" w:rsidP="00BE714A">
      <w:pPr>
        <w:pStyle w:val="FirstParagraph"/>
      </w:pPr>
      <w:r>
        <w:rPr>
          <w:b/>
          <w:bCs/>
        </w:rPr>
        <w:t>Will need to include something in the methods section on this</w:t>
      </w:r>
    </w:p>
    <w:p w14:paraId="62F3C215" w14:textId="77777777" w:rsidR="00BE714A" w:rsidRDefault="00BE714A" w:rsidP="00BE714A">
      <w:pPr>
        <w:pStyle w:val="BodyText"/>
      </w:pPr>
      <w:r>
        <w:t>As part of this analysis, we examined the overlap between different published reviews on this topic.</w:t>
      </w:r>
    </w:p>
    <w:p w14:paraId="3C698322" w14:textId="77777777" w:rsidR="00BE714A" w:rsidRDefault="00BE714A" w:rsidP="00BE714A">
      <w:pPr>
        <w:pStyle w:val="BodyText"/>
      </w:pPr>
      <w:r>
        <w:t>Several primary studies were captured in multiple systematic reviews. However, some studies were not captured by any previous review,</w:t>
      </w:r>
    </w:p>
    <w:p w14:paraId="36D89195" w14:textId="77777777" w:rsidR="00BE714A" w:rsidRDefault="00BE714A" w:rsidP="00BE714A">
      <w:pPr>
        <w:pStyle w:val="BodyText"/>
      </w:pPr>
      <w:r>
        <w:t>Put upSet plot here.</w:t>
      </w:r>
    </w:p>
    <w:p w14:paraId="2D55DFFD" w14:textId="77777777" w:rsidR="00BE714A" w:rsidRDefault="00BE714A" w:rsidP="00BE714A">
      <w:pPr>
        <w:pStyle w:val="BodyText"/>
      </w:pPr>
      <w:r>
        <w:t>An upset plot shows the total size of each set (in this case, the set of included studies in each review) in the bottom left hand bar plot. For example, the XXXX review includes XXXX studies.</w:t>
      </w:r>
    </w:p>
    <w:p w14:paraId="527EC51A" w14:textId="77777777" w:rsidR="00BE714A" w:rsidRDefault="00BE714A" w:rsidP="00BE714A">
      <w:pPr>
        <w:pStyle w:val="BodyText"/>
      </w:pPr>
      <w:r>
        <w:t>Where a line joins two points in the matrix, the main barchart shows the number of records shared by these reviews. So for example, XXXX records were captured both by the XXXX review and the XXXX review.</w:t>
      </w:r>
    </w:p>
    <w:p w14:paraId="645C4844" w14:textId="77777777" w:rsidR="00BE714A" w:rsidRDefault="00BE714A" w:rsidP="00BE714A">
      <w:pPr>
        <w:pStyle w:val="BodyText"/>
      </w:pPr>
      <w:r>
        <w:t>Where the matrix has just a single point highlighted, this shows the records unique to that review.</w:t>
      </w:r>
    </w:p>
    <w:p w14:paraId="434D4008" w14:textId="77777777" w:rsidR="00BE714A" w:rsidRDefault="00BE714A" w:rsidP="00BE714A">
      <w:pPr>
        <w:pStyle w:val="BodyText"/>
      </w:pPr>
      <w:r>
        <w:t>The reviews are ordered by date, to attempt to show the increasing overlap and total number of studies</w:t>
      </w:r>
    </w:p>
    <w:p w14:paraId="059E38E5" w14:textId="77777777" w:rsidR="00BE714A" w:rsidRDefault="00BE714A" w:rsidP="00BE714A">
      <w:pPr>
        <w:pStyle w:val="BodyText"/>
      </w:pPr>
      <w:r>
        <w:t>Our review is presented as the last point on this plot, and captured XXXX records</w:t>
      </w:r>
    </w:p>
    <w:p w14:paraId="21F94F55" w14:textId="77777777" w:rsidR="00BE714A" w:rsidRDefault="00BE714A" w:rsidP="00BE714A">
      <w:pPr>
        <w:pStyle w:val="BodyText"/>
      </w:pPr>
      <w:r>
        <w:t>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14:paraId="746534CF" w14:textId="77777777" w:rsidR="00BE714A" w:rsidRDefault="00BE714A" w:rsidP="00BE714A">
      <w:pPr>
        <w:pStyle w:val="BodyText"/>
      </w:pPr>
      <w:r>
        <w:t>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 2.3.2</w:t>
      </w:r>
    </w:p>
    <w:p w14:paraId="69A7ED98" w14:textId="77777777" w:rsidR="00BE714A" w:rsidRDefault="00BE714A" w:rsidP="00BE714A">
      <w:pPr>
        <w:pStyle w:val="BodyText"/>
      </w:pPr>
      <w:r>
        <w:t>This does introduce some conflicts with other studies where a change score has been dichotomised in order to have a binary dementia or not dementia outcome.</w:t>
      </w:r>
    </w:p>
    <w:p w14:paraId="6A52DEEC" w14:textId="77777777" w:rsidR="00BE714A" w:rsidRDefault="00BE714A" w:rsidP="00BE714A">
      <w:pPr>
        <w:pStyle w:val="BodyText"/>
      </w:pPr>
      <w:r>
        <w:t>Does it also cause issues in terms of self-report?</w:t>
      </w:r>
    </w:p>
    <w:p w14:paraId="083EE37F" w14:textId="77777777" w:rsidR="00BE714A" w:rsidRDefault="00BE714A" w:rsidP="00BE714A">
      <w:pPr>
        <w:pStyle w:val="Heading3"/>
      </w:pPr>
      <w:bookmarkStart w:id="79" w:name="screening-results"/>
      <w:bookmarkEnd w:id="78"/>
      <w:r>
        <w:lastRenderedPageBreak/>
        <w:t>Screening results</w:t>
      </w:r>
    </w:p>
    <w:p w14:paraId="6FAA37DB" w14:textId="77777777" w:rsidR="00BE714A" w:rsidRDefault="00BE714A" w:rsidP="00BE714A">
      <w:pPr>
        <w:pStyle w:val="FirstParagraph"/>
      </w:pPr>
      <w:r>
        <w:t>Following screening, XXX studies were included.</w:t>
      </w:r>
    </w:p>
    <w:p w14:paraId="702DB9A7" w14:textId="77777777" w:rsidR="00BE714A" w:rsidRDefault="00BE714A" w:rsidP="00BE714A">
      <w:pPr>
        <w:pStyle w:val="BodyText"/>
      </w:pPr>
      <w:r>
        <w:t>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14:paraId="2538277E" w14:textId="77777777" w:rsidR="00BE714A" w:rsidRDefault="00BE714A" w:rsidP="00BE714A">
      <w:pPr>
        <w:pStyle w:val="BodyText"/>
      </w:pPr>
      <w:r>
        <w:t>Table ?? shows the characteristics [</w:t>
      </w:r>
      <w:r>
        <w:rPr>
          <w:b/>
          <w:bCs/>
        </w:rPr>
        <w:t>Include column here that says whether it was included in a systematic review - see below</w:t>
      </w:r>
      <w:r>
        <w:t>]</w:t>
      </w:r>
    </w:p>
    <w:p w14:paraId="764FCEEF" w14:textId="77777777" w:rsidR="00BE714A" w:rsidRDefault="00BE714A" w:rsidP="00BE714A">
      <w:pPr>
        <w:pStyle w:val="BodyText"/>
      </w:pPr>
      <w:r>
        <w:t>As part of our our forward snowballing exercise (where articles citing an included study are cited), we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14:paraId="6EC28F92" w14:textId="77777777" w:rsidR="00BE714A" w:rsidRDefault="00BE714A" w:rsidP="00BE714A">
      <w:pPr>
        <w:pStyle w:val="BodyText"/>
      </w:pPr>
      <w:r>
        <w:t>As a summary of the duplication of work in this area, we looked at how many reviews a single included study had previously been included in.</w:t>
      </w:r>
    </w:p>
    <w:p w14:paraId="390AD1D8" w14:textId="77777777" w:rsidR="00BE714A" w:rsidRDefault="00BE714A" w:rsidP="00BE714A">
      <w:pPr>
        <w:pStyle w:val="BodyText"/>
      </w:pPr>
      <w:r>
        <w:t>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14:paraId="6F212468" w14:textId="77777777" w:rsidR="00BE714A" w:rsidRDefault="00BE714A" w:rsidP="00BE714A">
      <w:pPr>
        <w:pStyle w:val="BodyText"/>
      </w:pPr>
      <w:r>
        <w:t>Rater reliability was assessed using Gwet’s agreement coefficient (AC1).</w:t>
      </w:r>
      <w:hyperlink w:anchor="ref-gwet2008">
        <w:r>
          <w:rPr>
            <w:rStyle w:val="Hyperlink"/>
            <w:vertAlign w:val="superscript"/>
          </w:rPr>
          <w:t>145</w:t>
        </w:r>
      </w:hyperlink>
      <w:r>
        <w:t xml:space="preserve"> This measure of inter-rater reliability was chosen over other methods of assessing inter-rater reliability such as percent agreement (number of agreements divided by total number of assessments) as i account for chance agreement between reviewers but does not suffer from severely imbalanced marginal totals in the same way that Cohen’s kappa value does.</w:t>
      </w:r>
      <w:hyperlink w:anchor="ref-gwet2008">
        <w:r>
          <w:rPr>
            <w:rStyle w:val="Hyperlink"/>
            <w:vertAlign w:val="superscript"/>
          </w:rPr>
          <w:t>145</w:t>
        </w:r>
      </w:hyperlink>
    </w:p>
    <w:p w14:paraId="657E9AEC" w14:textId="77777777" w:rsidR="00BE714A" w:rsidRDefault="00BE714A" w:rsidP="00BE714A">
      <w:pPr>
        <w:pStyle w:val="BodyText"/>
      </w:pPr>
      <w:r>
        <w:t>How to interpret agreement co-efficients is widely debated. Here we use guidelines based on a stricter interpretation of the Cohen’s Kappa coefficient,</w:t>
      </w:r>
      <w:hyperlink w:anchor="ref-mchugh2012">
        <w:r>
          <w:rPr>
            <w:rStyle w:val="Hyperlink"/>
            <w:vertAlign w:val="superscript"/>
          </w:rPr>
          <w:t>148</w:t>
        </w:r>
      </w:hyperlink>
      <w:r>
        <w:t xml:space="preserve"> presented in Table ??.</w:t>
      </w:r>
    </w:p>
    <w:p w14:paraId="450A345D" w14:textId="77777777" w:rsidR="00BE714A" w:rsidRDefault="00BE714A" w:rsidP="00BE714A">
      <w:pPr>
        <w:pStyle w:val="BodyText"/>
      </w:pPr>
      <w:r>
        <w:t>In a two-by-two table with cells A, B, C and D, Gwet’s AC1 is calculated using the following:</w:t>
      </w:r>
    </w:p>
    <w:p w14:paraId="3387AB74" w14:textId="77777777" w:rsidR="00BE714A" w:rsidRDefault="00BE714A" w:rsidP="00BE714A">
      <w:pPr>
        <w:pStyle w:val="BodyText"/>
      </w:pPr>
      <m:oMathPara>
        <m:oMathParaPr>
          <m:jc m:val="center"/>
        </m:oMathParaPr>
        <m:oMath>
          <m:r>
            <w:rPr>
              <w:rFonts w:ascii="Cambria Math" w:hAnsi="Cambria Math"/>
            </w:rPr>
            <m:t>AC1</m:t>
          </m:r>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D</m:t>
                  </m:r>
                </m:num>
                <m:den>
                  <m:r>
                    <w:rPr>
                      <w:rFonts w:ascii="Cambria Math" w:hAnsi="Cambria Math"/>
                    </w:rPr>
                    <m:t>N</m:t>
                  </m:r>
                </m:den>
              </m:f>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γ</m:t>
              </m:r>
              <m:r>
                <m:rPr>
                  <m:sty m:val="p"/>
                </m:rPr>
                <w:rPr>
                  <w:rFonts w:ascii="Cambria Math" w:hAnsi="Cambria Math"/>
                </w:rPr>
                <m:t>)</m:t>
              </m:r>
            </m:num>
            <m:den>
              <m:r>
                <w:rPr>
                  <w:rFonts w:ascii="Cambria Math" w:hAnsi="Cambria Math"/>
                </w:rPr>
                <m:t>1</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γ</m:t>
              </m:r>
              <m:r>
                <m:rPr>
                  <m:sty m:val="p"/>
                </m:rPr>
                <w:rPr>
                  <w:rFonts w:ascii="Cambria Math" w:hAnsi="Cambria Math"/>
                </w:rPr>
                <m:t>)</m:t>
              </m:r>
            </m:den>
          </m:f>
        </m:oMath>
      </m:oMathPara>
    </w:p>
    <w:p w14:paraId="76C9488B" w14:textId="77777777" w:rsidR="00BE714A" w:rsidRDefault="00BE714A" w:rsidP="00BE714A">
      <w:pPr>
        <w:pStyle w:val="FirstParagraph"/>
      </w:pPr>
      <w:r>
        <w:t xml:space="preserve">where </w:t>
      </w:r>
      <m:oMath>
        <m:r>
          <w:rPr>
            <w:rFonts w:ascii="Cambria Math" w:hAnsi="Cambria Math"/>
          </w:rPr>
          <m:t>e</m:t>
        </m:r>
        <m:r>
          <m:rPr>
            <m:sty m:val="p"/>
          </m:rPr>
          <w:rPr>
            <w:rFonts w:ascii="Cambria Math" w:hAnsi="Cambria Math"/>
          </w:rPr>
          <m:t>(</m:t>
        </m:r>
        <m:r>
          <w:rPr>
            <w:rFonts w:ascii="Cambria Math" w:hAnsi="Cambria Math"/>
          </w:rPr>
          <m:t>γ</m:t>
        </m:r>
        <m:r>
          <m:rPr>
            <m:sty m:val="p"/>
          </m:rPr>
          <w:rPr>
            <w:rFonts w:ascii="Cambria Math" w:hAnsi="Cambria Math"/>
          </w:rPr>
          <m:t>)</m:t>
        </m:r>
      </m:oMath>
      <w:r>
        <w:t xml:space="preserve"> is the chance agreement between raters, given as </w:t>
      </w:r>
      <m:oMath>
        <m:r>
          <w:rPr>
            <w:rFonts w:ascii="Cambria Math" w:hAnsi="Cambria Math"/>
          </w:rPr>
          <m:t>2q</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q</m:t>
        </m:r>
        <m:r>
          <m:rPr>
            <m:sty m:val="p"/>
          </m:rPr>
          <w:rPr>
            <w:rFonts w:ascii="Cambria Math" w:hAnsi="Cambria Math"/>
          </w:rPr>
          <m:t>)</m:t>
        </m:r>
      </m:oMath>
      <w:r>
        <w:t>, where</w:t>
      </w:r>
    </w:p>
    <w:p w14:paraId="22F100AC" w14:textId="77777777" w:rsidR="00BE714A" w:rsidRDefault="00BE714A" w:rsidP="00BE714A">
      <w:pPr>
        <w:pStyle w:val="BodyText"/>
      </w:pPr>
      <m:oMathPara>
        <m:oMathParaPr>
          <m:jc m:val="center"/>
        </m:oMathParaPr>
        <m:oMath>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2N</m:t>
              </m:r>
            </m:den>
          </m:f>
        </m:oMath>
      </m:oMathPara>
    </w:p>
    <w:p w14:paraId="12B389D9" w14:textId="77777777" w:rsidR="00BE714A" w:rsidRDefault="00BE714A" w:rsidP="00BE714A">
      <w:pPr>
        <w:pStyle w:val="FirstParagraph"/>
      </w:pPr>
      <w:r>
        <w:t>-&gt; Insert formula here. Need to be sure of how to calculate.</w:t>
      </w:r>
      <w:hyperlink w:anchor="ref-gwet2008">
        <w:r>
          <w:rPr>
            <w:rStyle w:val="Hyperlink"/>
            <w:vertAlign w:val="superscript"/>
          </w:rPr>
          <w:t>145</w:t>
        </w:r>
      </w:hyperlink>
      <w:r>
        <w:rPr>
          <w:vertAlign w:val="superscript"/>
        </w:rPr>
        <w:t>,</w:t>
      </w:r>
      <w:hyperlink w:anchor="ref-sim2005">
        <w:r>
          <w:rPr>
            <w:rStyle w:val="Hyperlink"/>
            <w:vertAlign w:val="superscript"/>
          </w:rPr>
          <w:t>149</w:t>
        </w:r>
      </w:hyperlink>
    </w:p>
    <w:p w14:paraId="0CBC08A0" w14:textId="77777777" w:rsidR="00BE714A" w:rsidRDefault="00BE714A" w:rsidP="00BE714A">
      <w:pPr>
        <w:pStyle w:val="BodyText"/>
      </w:pPr>
      <w:r>
        <w:lastRenderedPageBreak/>
        <w:t>For the inter-rater reliability, percentage agreement was 97.3% (AC1 = XXXX, Table ??), while for the intra-rater reliability, agreement was 98.6% (AC1 = XXXX, Table ??).</w:t>
      </w:r>
    </w:p>
    <w:p w14:paraId="24A39DD8" w14:textId="77777777" w:rsidR="00BE714A" w:rsidRDefault="00BE714A" w:rsidP="00BE714A">
      <w:pPr>
        <w:pStyle w:val="BodyText"/>
      </w:pPr>
      <w:r>
        <w:t>The discrepancy between the percent agreement and the associated value of AC is expected, due to the heavy imbalance in this sample towards exclusion.</w:t>
      </w:r>
      <w:hyperlink w:anchor="ref-feinstein1990">
        <w:r>
          <w:rPr>
            <w:rStyle w:val="Hyperlink"/>
            <w:vertAlign w:val="superscript"/>
          </w:rPr>
          <w:t>150</w:t>
        </w:r>
      </w:hyperlink>
    </w:p>
    <w:p w14:paraId="33EB3864" w14:textId="77777777" w:rsidR="00BE714A" w:rsidRDefault="00BE714A" w:rsidP="00BE714A">
      <w:pPr>
        <w:pStyle w:val="BodyText"/>
      </w:pPr>
      <w:r>
        <w:t>Those records which were excluded in the initial screening, but were included either by the same reviewer on their second viewing (n=4), or by the second reviewer (n=29),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14:paraId="61DF34C2" w14:textId="77777777" w:rsidR="00BE714A" w:rsidRDefault="00BE714A" w:rsidP="00BE714A">
      <w:pPr>
        <w:pStyle w:val="SourceCode"/>
      </w:pPr>
      <w:r>
        <w:rPr>
          <w:rStyle w:val="CommentTok"/>
        </w:rPr>
        <w:t>#-#-#-#-#-#-#-#-#-#-#-#-#-#-#-#-#-#-#-#-#-#-#-#-#-#-#-#-#-#-#-#-#-#-#-#-#-#-#-#-</w:t>
      </w:r>
    </w:p>
    <w:p w14:paraId="4AF7EDE9" w14:textId="77777777" w:rsidR="00BE714A" w:rsidRDefault="00BE714A" w:rsidP="00BE714A">
      <w:r>
        <w:rPr>
          <w:noProof/>
        </w:rPr>
        <w:lastRenderedPageBreak/>
        <w:drawing>
          <wp:inline distT="0" distB="0" distL="0" distR="0" wp14:anchorId="1EC0BA67" wp14:editId="62BBB9EA">
            <wp:extent cx="5943600" cy="5943600"/>
            <wp:effectExtent l="0" t="0" r="0" b="0"/>
            <wp:docPr id="4" name="Picture" descr="Figure 3: PRISMA Flowchart: Overview of how records moved through the systematic review process"/>
            <wp:cNvGraphicFramePr/>
            <a:graphic xmlns:a="http://schemas.openxmlformats.org/drawingml/2006/main">
              <a:graphicData uri="http://schemas.openxmlformats.org/drawingml/2006/picture">
                <pic:pic xmlns:pic="http://schemas.openxmlformats.org/drawingml/2006/picture">
                  <pic:nvPicPr>
                    <pic:cNvPr id="0" name="Picture" descr="figures/sys-rev/prismaflow.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246EF204" w14:textId="77777777" w:rsidR="00BE714A" w:rsidRDefault="00BE714A" w:rsidP="00BE714A">
      <w:pPr>
        <w:pStyle w:val="ImageCaption"/>
      </w:pPr>
      <w:r>
        <w:t xml:space="preserve">Figure 3: </w:t>
      </w:r>
      <w:r>
        <w:rPr>
          <w:b/>
          <w:bCs/>
        </w:rPr>
        <w:t>PRISMA Flowchart:</w:t>
      </w:r>
      <w:r>
        <w:t xml:space="preserve"> Overview of how records moved through the systematic review process</w:t>
      </w:r>
    </w:p>
    <w:p w14:paraId="4F474C48" w14:textId="77777777" w:rsidR="00BE714A" w:rsidRDefault="00BE714A" w:rsidP="00BE714A">
      <w:pPr>
        <w:pStyle w:val="BodyText"/>
      </w:pPr>
      <w:r>
        <w:t>Following de-duplication, the titles and abstracts of 16109 records were assessed for eligibility. 387 were deemed potentially eligible and the full text records for these were requested and screened. 3</w:t>
      </w:r>
    </w:p>
    <w:p w14:paraId="7D465546" w14:textId="77777777" w:rsidR="00BE714A" w:rsidRDefault="00BE714A" w:rsidP="00BE714A">
      <w:pPr>
        <w:pStyle w:val="Heading3"/>
      </w:pPr>
      <w:bookmarkStart w:id="80" w:name="characteristics-of-included-studies"/>
      <w:bookmarkEnd w:id="79"/>
      <w:r>
        <w:t>Characteristics of included studies</w:t>
      </w:r>
    </w:p>
    <w:p w14:paraId="0E424695" w14:textId="77777777" w:rsidR="00BE714A" w:rsidRDefault="00BE714A" w:rsidP="00BE714A">
      <w:pPr>
        <w:pStyle w:val="FirstParagraph"/>
      </w:pPr>
      <w:r>
        <w:t>XXXX studies met the criteria for inclusion in the review.</w:t>
      </w:r>
    </w:p>
    <w:p w14:paraId="1F9A8830" w14:textId="77777777" w:rsidR="00BE714A" w:rsidRDefault="00BE714A" w:rsidP="00BE714A">
      <w:pPr>
        <w:pStyle w:val="BodyText"/>
      </w:pPr>
      <w:r>
        <w:t>Include here:</w:t>
      </w:r>
    </w:p>
    <w:p w14:paraId="06676CE9" w14:textId="77777777" w:rsidR="00BE714A" w:rsidRDefault="00BE714A" w:rsidP="00BE714A">
      <w:pPr>
        <w:numPr>
          <w:ilvl w:val="0"/>
          <w:numId w:val="37"/>
        </w:numPr>
      </w:pPr>
      <w:r>
        <w:lastRenderedPageBreak/>
        <w:t>PRISMA Flowchart (use PRISMA2020 from GitHub - depending on level of involvement, could refer to the Appendix here too.)</w:t>
      </w:r>
    </w:p>
    <w:p w14:paraId="48C9E775" w14:textId="77777777" w:rsidR="00BE714A" w:rsidRDefault="00BE714A" w:rsidP="00BE714A">
      <w:pPr>
        <w:numPr>
          <w:ilvl w:val="0"/>
          <w:numId w:val="37"/>
        </w:numPr>
      </w:pPr>
      <w:r>
        <w:t>Summary of types of study</w:t>
      </w:r>
    </w:p>
    <w:p w14:paraId="04C151EB" w14:textId="77777777" w:rsidR="00BE714A" w:rsidRDefault="00BE714A" w:rsidP="00BE714A">
      <w:pPr>
        <w:numPr>
          <w:ilvl w:val="0"/>
          <w:numId w:val="37"/>
        </w:numPr>
      </w:pPr>
      <w:r>
        <w:t>Summary of locations</w:t>
      </w:r>
    </w:p>
    <w:p w14:paraId="077052C1" w14:textId="77777777" w:rsidR="00BE714A" w:rsidRDefault="00BE714A" w:rsidP="00BE714A">
      <w:pPr>
        <w:numPr>
          <w:ilvl w:val="0"/>
          <w:numId w:val="37"/>
        </w:numPr>
      </w:pPr>
      <w:r>
        <w:t>Summary of diagnostic criteria used</w:t>
      </w:r>
    </w:p>
    <w:p w14:paraId="7B237A4B" w14:textId="77777777" w:rsidR="00BE714A" w:rsidRDefault="00BE714A" w:rsidP="00BE714A">
      <w:pPr>
        <w:numPr>
          <w:ilvl w:val="0"/>
          <w:numId w:val="37"/>
        </w:numPr>
      </w:pPr>
      <w:r>
        <w:t>Summary of risk of bias</w:t>
      </w:r>
    </w:p>
    <w:p w14:paraId="1B179AB1" w14:textId="77777777" w:rsidR="00BE714A" w:rsidRDefault="00BE714A" w:rsidP="00BE714A">
      <w:pPr>
        <w:numPr>
          <w:ilvl w:val="0"/>
          <w:numId w:val="37"/>
        </w:numPr>
      </w:pPr>
      <w:r>
        <w:t>Long table, horizontally. Newer version of flextable (GH) allows for PDF output</w:t>
      </w:r>
    </w:p>
    <w:p w14:paraId="73962D1F" w14:textId="77777777" w:rsidR="00BE714A" w:rsidRDefault="00BE714A" w:rsidP="00BE714A">
      <w:pPr>
        <w:pStyle w:val="FirstParagraph"/>
      </w:pPr>
      <w:r>
        <w:t>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 5. For vascular dementia, few studies exmined this outcome, primarily because of the absence (until recently) of</w:t>
      </w:r>
    </w:p>
    <w:p w14:paraId="634E00A3" w14:textId="77777777" w:rsidR="00BE714A" w:rsidRDefault="00BE714A" w:rsidP="00BE714A">
      <w:pPr>
        <w:pStyle w:val="BodyText"/>
      </w:pPr>
      <w:r>
        <w:t>One item of particular interest in the absence of studies examining Mendelian randomisation studies is the absence of any effect following the adjustment for Apoe4. As covered in the discussion, ApoE4 genotype is the mjor risk factor for Alzheimer’s disease.</w:t>
      </w:r>
    </w:p>
    <w:p w14:paraId="427B4927" w14:textId="77777777" w:rsidR="00BE714A" w:rsidRDefault="00BE714A" w:rsidP="00BE714A">
      <w:pPr>
        <w:pStyle w:val="BodyText"/>
      </w:pPr>
      <w:r>
        <w:t>In addition, there was quite a spread in terms fo the effect estimates used to th. Previous systematic review</w:t>
      </w:r>
    </w:p>
    <w:p w14:paraId="0EB23224" w14:textId="77777777" w:rsidR="00BE714A" w:rsidRDefault="00BE714A" w:rsidP="00BE714A">
      <w:pPr>
        <w:pStyle w:val="Heading3"/>
      </w:pPr>
      <w:bookmarkStart w:id="81" w:name="converting-risk-ratios-to-odds-ratios"/>
      <w:bookmarkEnd w:id="80"/>
      <w:r>
        <w:t>Converting risk ratios to odds ratios</w:t>
      </w:r>
    </w:p>
    <w:p w14:paraId="653A41CD" w14:textId="77777777" w:rsidR="00BE714A" w:rsidRDefault="00BE714A" w:rsidP="00BE714A">
      <w:pPr>
        <w:pStyle w:val="FirstParagraph"/>
      </w:pPr>
      <w:r>
        <w:t>Include formulae and informed assumptions</w:t>
      </w:r>
    </w:p>
    <w:p w14:paraId="06FB548E" w14:textId="77777777" w:rsidR="00BE714A" w:rsidRDefault="00BE714A" w:rsidP="00BE714A">
      <w:pPr>
        <w:pStyle w:val="Heading3"/>
      </w:pPr>
      <w:bookmarkStart w:id="82" w:name="hazard-ratios-vs-riskodds-ratios"/>
      <w:bookmarkEnd w:id="81"/>
      <w:r>
        <w:t>Hazard ratios vs risk/odds ratios</w:t>
      </w:r>
    </w:p>
    <w:p w14:paraId="72E78175" w14:textId="77777777" w:rsidR="00BE714A" w:rsidRDefault="00BE714A" w:rsidP="00BE714A">
      <w:pPr>
        <w:pStyle w:val="FirstParagraph"/>
      </w:pPr>
      <w:r>
        <w:t>Not interchangeable in the context of systematic review. If outcome is rare, odds and risk ratios approximate each other, but the hazard ratio is measuring something completely different, by taking into account time-to-event in each treatment group.</w:t>
      </w:r>
    </w:p>
    <w:p w14:paraId="365E5659" w14:textId="77777777" w:rsidR="00BE714A" w:rsidRDefault="00BE714A" w:rsidP="00BE714A">
      <w:pPr>
        <w:pStyle w:val="BodyText"/>
      </w:pPr>
      <w:r>
        <w:t>Several existing reviews do not distinguish between the two types of effect measures and include all existing studies in a single meta-analysis to produce an overall effect.</w:t>
      </w:r>
    </w:p>
    <w:p w14:paraId="5C235D16" w14:textId="77777777" w:rsidR="00BE714A" w:rsidRDefault="00BE714A" w:rsidP="00BE714A">
      <w:pPr>
        <w:pStyle w:val="BodyText"/>
      </w:pPr>
      <w:r>
        <w:t>The likely effect of this is that the overall effect measures are biased towards . . . . ?</w:t>
      </w:r>
    </w:p>
    <w:p w14:paraId="53B6FD24" w14:textId="77777777" w:rsidR="00BE714A" w:rsidRDefault="00BE714A" w:rsidP="00BE714A">
      <w:pPr>
        <w:pStyle w:val="BodyText"/>
      </w:pPr>
      <w:r>
        <w:t>Can you predict the direction of effect from a</w:t>
      </w:r>
    </w:p>
    <w:p w14:paraId="2E1A3A5A" w14:textId="77777777" w:rsidR="00BE714A" w:rsidRDefault="00BE714A" w:rsidP="00BE714A">
      <w:pPr>
        <w:pStyle w:val="BodyText"/>
      </w:pPr>
      <w:r>
        <w:t>Best practice methods for dealing with disparate effect measures in included studies is to not perform a meta-analysis</w:t>
      </w:r>
    </w:p>
    <w:p w14:paraId="3F3D543B" w14:textId="77777777" w:rsidR="00BE714A" w:rsidRDefault="00BE714A" w:rsidP="00BE714A">
      <w:pPr>
        <w:pStyle w:val="BodyText"/>
      </w:pPr>
      <w:r>
        <w:t>Some evidence of manipulation of effect estimates in previous reviews,(e.g. Chou, Sci Reports - at least one study disagrees with) but not documented in review text.</w:t>
      </w:r>
    </w:p>
    <w:p w14:paraId="2ED5247D" w14:textId="77777777" w:rsidR="00BE714A" w:rsidRDefault="00BE714A" w:rsidP="00BE714A">
      <w:pPr>
        <w:pStyle w:val="Heading3"/>
      </w:pPr>
      <w:bookmarkStart w:id="83" w:name="risk-of-bias-subheading"/>
      <w:bookmarkEnd w:id="82"/>
      <w:r>
        <w:lastRenderedPageBreak/>
        <w:t>Risk of bias</w:t>
      </w:r>
    </w:p>
    <w:p w14:paraId="41E5AD12" w14:textId="77777777" w:rsidR="00BE714A" w:rsidRDefault="00BE714A" w:rsidP="00BE714A">
      <w:pPr>
        <w:pStyle w:val="Heading3"/>
      </w:pPr>
      <w:bookmarkStart w:id="84" w:name="sources-of-heterogeneity"/>
      <w:bookmarkEnd w:id="83"/>
      <w:r>
        <w:t>Sources of heterogeneity</w:t>
      </w:r>
    </w:p>
    <w:p w14:paraId="232D6754" w14:textId="77777777" w:rsidR="00BE714A" w:rsidRDefault="00BE714A" w:rsidP="00BE714A">
      <w:pPr>
        <w:pStyle w:val="FirstParagraph"/>
      </w:pPr>
      <w:r>
        <w:t xml:space="preserve">Detail that some of these are exploratory, in particular the effect of different scales on the association between the groups. </w:t>
      </w:r>
      <w:r>
        <w:rPr>
          <w:b/>
          <w:bCs/>
        </w:rPr>
        <w:t>[CROSS]</w:t>
      </w:r>
    </w:p>
    <w:p w14:paraId="1FE1C88D" w14:textId="77777777" w:rsidR="00BE714A" w:rsidRDefault="00BE714A" w:rsidP="00BE714A">
      <w:pPr>
        <w:pStyle w:val="Heading3"/>
      </w:pPr>
      <w:bookmarkStart w:id="85" w:name="sys-rev-pub-bias"/>
      <w:bookmarkEnd w:id="84"/>
      <w:r>
        <w:t>Publication bias</w:t>
      </w:r>
    </w:p>
    <w:p w14:paraId="33D78431" w14:textId="77777777" w:rsidR="00BE714A" w:rsidRDefault="00BE714A" w:rsidP="00BE714A">
      <w:pPr>
        <w:pStyle w:val="Compact"/>
        <w:numPr>
          <w:ilvl w:val="0"/>
          <w:numId w:val="38"/>
        </w:numPr>
      </w:pPr>
      <w:r>
        <w:t>Check if there are protocols available for any of the published reports (unlikely for non-randomised controlled trials), and whether there were</w:t>
      </w:r>
    </w:p>
    <w:p w14:paraId="6DF723C4" w14:textId="77777777" w:rsidR="00BE714A" w:rsidRDefault="00BE714A" w:rsidP="00BE714A">
      <w:pPr>
        <w:pStyle w:val="Compact"/>
        <w:numPr>
          <w:ilvl w:val="0"/>
          <w:numId w:val="38"/>
        </w:numPr>
      </w:pPr>
      <w:r>
        <w:t>Vascular dementia has substantially less published reports. Many (reference Smeeth et al 2010 here) simply group into AD and non-AD making comparison between published studies difficult</w:t>
      </w:r>
    </w:p>
    <w:p w14:paraId="3D23F97C" w14:textId="77777777" w:rsidR="00BE714A" w:rsidRDefault="00BE714A" w:rsidP="00BE714A">
      <w:pPr>
        <w:pStyle w:val="FirstParagraph"/>
      </w:pPr>
      <w:r>
        <w:t>One particularly interesting meta-bias potentially applicable in this review is the definition</w:t>
      </w:r>
    </w:p>
    <w:p w14:paraId="2826D773" w14:textId="77777777" w:rsidR="00BE714A" w:rsidRDefault="00BE714A" w:rsidP="00BE714A">
      <w:pPr>
        <w:pStyle w:val="Heading3"/>
      </w:pPr>
      <w:bookmarkStart w:id="86" w:name="triangualtion-across-evidence-sources"/>
      <w:bookmarkEnd w:id="85"/>
      <w:r>
        <w:t>Triangualtion across evidence sources</w:t>
      </w:r>
    </w:p>
    <w:p w14:paraId="7524229A" w14:textId="77777777" w:rsidR="00BE714A" w:rsidRDefault="00BE714A" w:rsidP="00BE714A">
      <w:pPr>
        <w:pStyle w:val="FirstParagraph"/>
      </w:pPr>
      <w:r>
        <w:t>One key question for which multiple distinct sources of evidence were available were those looking at Laz</w:t>
      </w:r>
    </w:p>
    <w:p w14:paraId="06506742" w14:textId="77777777" w:rsidR="00BE714A" w:rsidRDefault="00BE714A" w:rsidP="00BE714A">
      <w:pPr>
        <w:pStyle w:val="BodyText"/>
      </w:pPr>
      <w:r>
        <w:t>A key limitation for other types of dementia, in particularly vascular, is that there has yet to be a GWAS identifying relevant SNPS that could then be used in a MR study with SNPS for lipids to estimates the causal effect of lipids on vascular dementia [</w:t>
      </w:r>
      <w:r>
        <w:rPr>
          <w:b/>
          <w:bCs/>
        </w:rPr>
        <w:t>Is this true?</w:t>
      </w:r>
      <w:r>
        <w:t>] This rules out the use. In addition, there was limited literature available - as discussed in CHapter ??</w:t>
      </w:r>
    </w:p>
    <w:p w14:paraId="55960573" w14:textId="77777777" w:rsidR="00BE714A" w:rsidRDefault="00BE714A" w:rsidP="00BE714A">
      <w:pPr>
        <w:pStyle w:val="BodyText"/>
      </w:pPr>
      <w:r>
        <w:t>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151</w:t>
        </w:r>
      </w:hyperlink>
    </w:p>
    <w:p w14:paraId="775BE8A3" w14:textId="77777777" w:rsidR="00BE714A" w:rsidRDefault="00BE714A" w:rsidP="00BE714A">
      <w:pPr>
        <w:pStyle w:val="BodyText"/>
      </w:pPr>
      <w:r>
        <w:t>Without our framework and as part of the risk of bias assessments reported in 4.7.6, we test test</w:t>
      </w:r>
    </w:p>
    <w:p w14:paraId="1BF8A995" w14:textId="77777777" w:rsidR="00BE714A" w:rsidRDefault="00BE714A" w:rsidP="00BE714A">
      <w:pPr>
        <w:pStyle w:val="Heading3"/>
      </w:pPr>
      <w:bookmarkStart w:id="87" w:name="X1f16447dc6b34de85e5ab2a28e3daa0b8911c91"/>
      <w:bookmarkEnd w:id="86"/>
      <w:r>
        <w:t>Added evidental value of including preprints</w:t>
      </w:r>
    </w:p>
    <w:p w14:paraId="2D8E700E" w14:textId="77777777" w:rsidR="00BE714A" w:rsidRDefault="00BE714A" w:rsidP="00BE714A">
      <w:pPr>
        <w:pStyle w:val="FirstParagraph"/>
      </w:pPr>
      <w:r>
        <w:t>There were several relevant preprints captured by the search run using the tool presented in Chapter 3 (see Appendix 9.2.2). While many of the preprints included were subsequently published by the time of submission of this thesis, at the time of the search they were only available</w:t>
      </w:r>
    </w:p>
    <w:p w14:paraId="4C6D8208" w14:textId="77777777" w:rsidR="00BE714A" w:rsidRDefault="00BE714A" w:rsidP="00BE714A">
      <w:pPr>
        <w:pStyle w:val="BodyText"/>
      </w:pPr>
      <w:r>
        <w:t>Of interest,</w:t>
      </w:r>
    </w:p>
    <w:p w14:paraId="2022488C" w14:textId="77777777" w:rsidR="00BE714A" w:rsidRDefault="00BE714A" w:rsidP="00BE714A">
      <w:pPr>
        <w:pStyle w:val="BodyText"/>
      </w:pPr>
      <w:r>
        <w:lastRenderedPageBreak/>
        <w:t>This likely reflects a bias in the type of study that is submitted, but indicates the additional evidential value of include preprints in the search strategy. It also means that searches are current - if the aim of systematic reviews is to</w:t>
      </w:r>
    </w:p>
    <w:p w14:paraId="5E45DBF4" w14:textId="77777777" w:rsidR="00BE714A" w:rsidRDefault="00BE714A" w:rsidP="00BE714A">
      <w:pPr>
        <w:pStyle w:val="BodyText"/>
      </w:pPr>
      <w:r>
        <w:t>While the total number of relevant studies found using this method was</w:t>
      </w:r>
    </w:p>
    <w:p w14:paraId="39140937" w14:textId="77777777" w:rsidR="00BE714A" w:rsidRDefault="00BE714A" w:rsidP="00BE714A">
      <w:pPr>
        <w:pStyle w:val="BodyText"/>
      </w:pPr>
      <w:r>
        <w:t>On further investigation, the argument that .</w:t>
      </w:r>
    </w:p>
    <w:p w14:paraId="50B25A32" w14:textId="77777777" w:rsidR="00BE714A" w:rsidRDefault="00BE714A" w:rsidP="00BE714A">
      <w:pPr>
        <w:pStyle w:val="BodyText"/>
      </w:pPr>
      <w:r>
        <w:t>It is not so much that they provide a source of unpublished grey-literature, more so that they provide a “future” look at .</w:t>
      </w:r>
    </w:p>
    <w:p w14:paraId="653B1A7C" w14:textId="77777777" w:rsidR="00BE714A" w:rsidRDefault="00BE714A" w:rsidP="00BE714A">
      <w:pPr>
        <w:pStyle w:val="BodyText"/>
      </w:pPr>
      <w:r>
        <w:t>However, if the aim is to find the current state of the art in the topic area at the time of searching, inclusion of preprints is a requirement.</w:t>
      </w:r>
    </w:p>
    <w:p w14:paraId="2773FD96" w14:textId="77777777" w:rsidR="00BE714A" w:rsidRDefault="00BE714A" w:rsidP="00BE714A">
      <w:pPr>
        <w:pStyle w:val="BodyText"/>
      </w:pPr>
      <w:r>
        <w:t>While concerns have been raised that</w:t>
      </w:r>
    </w:p>
    <w:p w14:paraId="27D4249B" w14:textId="77777777" w:rsidR="00BE714A" w:rsidRDefault="00BE714A" w:rsidP="00BE714A">
      <w:pPr>
        <w:pStyle w:val="BodyText"/>
      </w:pPr>
      <w:r>
        <w:t>Previous meta-studies have found high concordance between the main interpretations and other study design details in preprint-journal article pairs,</w:t>
      </w:r>
      <w:hyperlink w:anchor="ref-shi2021">
        <w:r>
          <w:rPr>
            <w:rStyle w:val="Hyperlink"/>
            <w:vertAlign w:val="superscript"/>
          </w:rPr>
          <w:t>152</w:t>
        </w:r>
      </w:hyperlink>
      <w:r>
        <w:t xml:space="preserve"> though quality of reporting was slightly better in formally published articles.</w:t>
      </w:r>
      <w:hyperlink w:anchor="ref-carneiro2020">
        <w:r>
          <w:rPr>
            <w:rStyle w:val="Hyperlink"/>
            <w:vertAlign w:val="superscript"/>
          </w:rPr>
          <w:t>153</w:t>
        </w:r>
      </w:hyperlink>
    </w:p>
    <w:p w14:paraId="108D223B" w14:textId="77777777" w:rsidR="00BE714A" w:rsidRDefault="00BE714A" w:rsidP="00BE714A">
      <w:pPr>
        <w:pStyle w:val="BodyText"/>
      </w:pPr>
      <w:r>
        <w:t xml:space="preserve">A common criticism of preprinted articles is that they have not formally been peer-reviewed. </w:t>
      </w:r>
      <w:r>
        <w:rPr>
          <w:b/>
          <w:bCs/>
        </w:rPr>
        <w:t>[CITATION NEEDED]</w:t>
      </w:r>
      <w:r>
        <w:t xml:space="preserve"> However, I believe this criticism is less warranted in the context of inclusion of preprints in a systematic review, given a formal assessment of risk of bias, which provides a structured approach to assessing the internal validity of a study.</w:t>
      </w:r>
    </w:p>
    <w:p w14:paraId="1166F5B2" w14:textId="77777777" w:rsidR="00BE714A" w:rsidRDefault="00BE714A" w:rsidP="00BE714A">
      <w:pPr>
        <w:pStyle w:val="BlockText"/>
      </w:pPr>
      <w:r>
        <w:t>Anyone who can’t assess a study to the level of peer review shouldn’t do a systematic review</w:t>
      </w:r>
    </w:p>
    <w:p w14:paraId="35EC7359" w14:textId="77777777" w:rsidR="00BE714A" w:rsidRDefault="00BE714A" w:rsidP="00BE714A">
      <w:pPr>
        <w:pStyle w:val="FirstParagraph"/>
      </w:pPr>
      <w:r>
        <w:t>References included in the review were also searched for on PubPeer, a platform which enables post-publication peer review of published journal articles.</w:t>
      </w:r>
      <w:hyperlink w:anchor="ref-hunter2012">
        <w:r>
          <w:rPr>
            <w:rStyle w:val="Hyperlink"/>
            <w:vertAlign w:val="superscript"/>
          </w:rPr>
          <w:t>154</w:t>
        </w:r>
      </w:hyperlink>
    </w:p>
    <w:p w14:paraId="4B11F453" w14:textId="77777777" w:rsidR="00BE714A" w:rsidRDefault="00BE714A" w:rsidP="00BE714A">
      <w:pPr>
        <w:pStyle w:val="BodyText"/>
      </w:pPr>
      <w:r>
        <w:t>The added value of peer-review to papers that is questionable and difficult to quantify for a number of reasons, including the fact that most peer reviews are closed</w:t>
      </w:r>
    </w:p>
    <w:p w14:paraId="0AD6E993" w14:textId="77777777" w:rsidR="00BE714A" w:rsidRDefault="00BE714A" w:rsidP="00BE714A">
      <w:pPr>
        <w:pStyle w:val="BodyText"/>
      </w:pPr>
      <w:r>
        <w:t>While [</w:t>
      </w:r>
      <w:r>
        <w:rPr>
          <w:b/>
          <w:bCs/>
        </w:rPr>
        <w:t>some</w:t>
      </w:r>
      <w:r>
        <w:t>] preprint have subsequently been published, this does not cause any major issues.</w:t>
      </w:r>
    </w:p>
    <w:p w14:paraId="71CB6293" w14:textId="77777777" w:rsidR="00BE714A" w:rsidRDefault="00BE714A" w:rsidP="00BE714A">
      <w:pPr>
        <w:pStyle w:val="Heading2"/>
      </w:pPr>
      <w:bookmarkStart w:id="88" w:name="discussion-1"/>
      <w:bookmarkEnd w:id="77"/>
      <w:bookmarkEnd w:id="87"/>
      <w:r>
        <w:t>Discussion</w:t>
      </w:r>
    </w:p>
    <w:p w14:paraId="229187C2" w14:textId="77777777" w:rsidR="00BE714A" w:rsidRDefault="00BE714A" w:rsidP="00BE714A">
      <w:pPr>
        <w:pStyle w:val="FirstParagraph"/>
      </w:pPr>
      <w:r>
        <w:t>Major limitation is that several included studies used data from electronic health databases, which come with serious concerns regarding validity</w:t>
      </w:r>
      <w:hyperlink w:anchor="ref-hsieh2019">
        <w:r>
          <w:rPr>
            <w:rStyle w:val="Hyperlink"/>
            <w:vertAlign w:val="superscript"/>
          </w:rPr>
          <w:t>155</w:t>
        </w:r>
      </w:hyperlink>
      <w:r>
        <w:t xml:space="preserve"> </w:t>
      </w:r>
      <w:r>
        <w:rPr>
          <w:b/>
          <w:bCs/>
        </w:rPr>
        <w:t>[ALSO CITE WILKINSON AND MCGUINNESS HERE]</w:t>
      </w:r>
      <w:r>
        <w:t>.</w:t>
      </w:r>
    </w:p>
    <w:p w14:paraId="4411D5BF" w14:textId="77777777" w:rsidR="00BE714A" w:rsidRDefault="00BE714A" w:rsidP="00BE714A">
      <w:pPr>
        <w:pStyle w:val="BodyText"/>
      </w:pPr>
      <w:r>
        <w:t>In addition, the a</w:t>
      </w:r>
    </w:p>
    <w:p w14:paraId="7B41EA08" w14:textId="77777777" w:rsidR="00BE714A" w:rsidRDefault="00BE714A" w:rsidP="00BE714A">
      <w:pPr>
        <w:pStyle w:val="Heading3"/>
      </w:pPr>
      <w:bookmarkStart w:id="89" w:name="X49f6f1841ab86b78c5e4f2c38b50b4c8480b261"/>
      <w:r>
        <w:t>Searching for/including Mendelian randomisation studies</w:t>
      </w:r>
    </w:p>
    <w:p w14:paraId="2ABC3975" w14:textId="77777777" w:rsidR="00BE714A" w:rsidRDefault="00BE714A" w:rsidP="00BE714A">
      <w:pPr>
        <w:pStyle w:val="FirstParagraph"/>
      </w:pPr>
      <w:r>
        <w:t>As a form of analysis that lends itself to multiple comparison, there is a strong</w:t>
      </w:r>
    </w:p>
    <w:p w14:paraId="11F4FD6C" w14:textId="77777777" w:rsidR="00BE714A" w:rsidRDefault="00BE714A" w:rsidP="00BE714A">
      <w:pPr>
        <w:pStyle w:val="BodyText"/>
      </w:pPr>
      <w:r>
        <w:t>Through snowballing and other measures, we identified at least one Mendelian randomisation studi</w:t>
      </w:r>
      <w:hyperlink w:anchor="ref-larsson2017b">
        <w:r>
          <w:rPr>
            <w:rStyle w:val="Hyperlink"/>
            <w:vertAlign w:val="superscript"/>
          </w:rPr>
          <w:t>133</w:t>
        </w:r>
      </w:hyperlink>
    </w:p>
    <w:p w14:paraId="7EAAC962" w14:textId="77777777" w:rsidR="00BE714A" w:rsidRDefault="00BE714A" w:rsidP="00BE714A">
      <w:pPr>
        <w:pStyle w:val="BodyText"/>
      </w:pPr>
      <w:r>
        <w:t xml:space="preserve">Is it a big issue that the studies have the same underlying datasets? </w:t>
      </w:r>
    </w:p>
    <w:p w14:paraId="78FCBACC" w14:textId="77777777" w:rsidR="00BE714A" w:rsidRDefault="00BE714A" w:rsidP="00BE714A">
      <w:pPr>
        <w:pStyle w:val="Heading3"/>
      </w:pPr>
      <w:bookmarkStart w:id="90" w:name="comments-on-the-process"/>
      <w:bookmarkEnd w:id="89"/>
      <w:r>
        <w:lastRenderedPageBreak/>
        <w:t>Comments on the process</w:t>
      </w:r>
    </w:p>
    <w:p w14:paraId="12970A3D" w14:textId="77777777" w:rsidR="00BE714A" w:rsidRDefault="00BE714A" w:rsidP="00BE714A">
      <w:pPr>
        <w:pStyle w:val="FirstParagraph"/>
      </w:pPr>
      <w:r>
        <w:t>Systematic reviews should not be performed as part of a thesis, without suitable support and resourcing guaranteed. Assumption that everyone does a systematic review (without risk of bias assessments, inclusion of all literature, searching for other reviews) is foolish.</w:t>
      </w:r>
    </w:p>
    <w:p w14:paraId="47708FD1" w14:textId="77777777" w:rsidR="00BE714A" w:rsidRDefault="00BE714A" w:rsidP="00BE714A">
      <w:pPr>
        <w:pStyle w:val="BodyText"/>
      </w:pPr>
      <w:r>
        <w:t>Great learning experience in terms of managing a team, but due to a rotating schedule of people, much harder to do that expected.</w:t>
      </w:r>
    </w:p>
    <w:p w14:paraId="444A0D9B" w14:textId="77777777" w:rsidR="00BE714A" w:rsidRDefault="00BE714A" w:rsidP="00BE714A">
      <w:pPr>
        <w:pStyle w:val="BodyText"/>
      </w:pPr>
      <w:r>
        <w:t>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p w14:paraId="67F8D47D" w14:textId="77777777" w:rsidR="00BE714A" w:rsidRDefault="00BE714A" w:rsidP="00BE714A">
      <w:pPr>
        <w:pStyle w:val="Heading3"/>
      </w:pPr>
      <w:bookmarkStart w:id="91" w:name="inclusion-of-preprints"/>
      <w:bookmarkEnd w:id="90"/>
      <w:r>
        <w:t>Inclusion of preprints</w:t>
      </w:r>
    </w:p>
    <w:p w14:paraId="4FFCAFCD" w14:textId="77777777" w:rsidR="00BE714A" w:rsidRDefault="00BE714A" w:rsidP="00BE714A">
      <w:pPr>
        <w:pStyle w:val="FirstParagraph"/>
      </w:pPr>
      <w:r>
        <w:t>As highlighted in Section 2.6.1, this thesis sought to syntheze evidence across different publication statuses, predominantly preprinted. Using the tool described in Chapter @ref(), two preprint serves related to health and biomedical sciences were search as part of this review.</w:t>
      </w:r>
    </w:p>
    <w:p w14:paraId="2BF136FF" w14:textId="77777777" w:rsidR="00BE714A" w:rsidRDefault="00BE714A" w:rsidP="00BE714A">
      <w:pPr>
        <w:pStyle w:val="BodyText"/>
      </w:pPr>
      <w:r>
        <w:t>The added evidental value of including these preprints was highlighted in Section</w:t>
      </w:r>
    </w:p>
    <w:p w14:paraId="5FD7A136" w14:textId="77777777" w:rsidR="00BE714A" w:rsidRDefault="00BE714A" w:rsidP="00BE714A">
      <w:pPr>
        <w:pStyle w:val="BodyText"/>
      </w:pPr>
      <w:r>
        <w:t>On further investigation, X of these preprints were subsequently published since the search was performed in 2019. While this provides some additional evidence that the quality of the research desribed by included preprints was sufficiently high to pass peer-review, it does not invalidate the approach, as the future publication status was unavaialble at the time the search was conducted.</w:t>
      </w:r>
    </w:p>
    <w:p w14:paraId="6E5086E1" w14:textId="77777777" w:rsidR="00BE714A" w:rsidRDefault="00BE714A" w:rsidP="00BE714A">
      <w:pPr>
        <w:pStyle w:val="Heading3"/>
      </w:pPr>
      <w:bookmarkStart w:id="92" w:name="sys-rev-open-data"/>
      <w:bookmarkEnd w:id="91"/>
      <w:r>
        <w:t>Open data sharing</w:t>
      </w:r>
    </w:p>
    <w:p w14:paraId="22536605" w14:textId="77777777" w:rsidR="00BE714A" w:rsidRDefault="00BE714A" w:rsidP="00BE714A">
      <w:pPr>
        <w:pStyle w:val="Heading3"/>
      </w:pPr>
      <w:bookmarkStart w:id="93" w:name="original-contribution-to-research"/>
      <w:bookmarkEnd w:id="92"/>
      <w:r>
        <w:t>Original contribution to research</w:t>
      </w:r>
    </w:p>
    <w:p w14:paraId="747D8017" w14:textId="77777777" w:rsidR="00BE714A" w:rsidRDefault="00BE714A" w:rsidP="00BE714A">
      <w:pPr>
        <w:pStyle w:val="FirstParagraph"/>
      </w:pPr>
      <w:r>
        <w:t xml:space="preserve">I believe there are three aspects where this review is distinct from those reviews already available in the published literature (as identified by </w:t>
      </w:r>
      <w:r>
        <w:rPr>
          <w:b/>
          <w:bCs/>
        </w:rPr>
        <w:t>[CITATION NEEDED]</w:t>
      </w:r>
      <w:r>
        <w:t>):</w:t>
      </w:r>
    </w:p>
    <w:p w14:paraId="0DA7EDFE" w14:textId="77777777" w:rsidR="00BE714A" w:rsidRDefault="00BE714A" w:rsidP="00BE714A">
      <w:pPr>
        <w:pStyle w:val="Compact"/>
        <w:numPr>
          <w:ilvl w:val="0"/>
          <w:numId w:val="39"/>
        </w:numPr>
      </w:pPr>
      <w:r>
        <w:rPr>
          <w:i/>
          <w:iCs/>
        </w:rPr>
        <w:t>Comprehensiveness:</w:t>
      </w:r>
      <w:r>
        <w:t xml:space="preserve"> While several reviews of this research topic exist,</w:t>
      </w:r>
      <w:hyperlink w:anchor="ref-chu2018b">
        <w:r>
          <w:rPr>
            <w:rStyle w:val="Hyperlink"/>
            <w:vertAlign w:val="superscript"/>
          </w:rPr>
          <w:t>59</w:t>
        </w:r>
      </w:hyperlink>
      <w:r>
        <w:rPr>
          <w:vertAlign w:val="superscript"/>
        </w:rPr>
        <w:t>,</w:t>
      </w:r>
      <w:hyperlink w:anchor="ref-yang2020">
        <w:r>
          <w:rPr>
            <w:rStyle w:val="Hyperlink"/>
            <w:vertAlign w:val="superscript"/>
          </w:rPr>
          <w:t>156</w:t>
        </w:r>
      </w:hyperlink>
      <w:r>
        <w:rPr>
          <w:vertAlign w:val="superscript"/>
        </w:rPr>
        <w:t>–</w:t>
      </w:r>
      <w:hyperlink w:anchor="ref-poly2020b">
        <w:r>
          <w:rPr>
            <w:rStyle w:val="Hyperlink"/>
            <w:vertAlign w:val="superscript"/>
          </w:rPr>
          <w:t>158</w:t>
        </w:r>
      </w:hyperlink>
      <w:r>
        <w:t xml:space="preserve"> 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14:paraId="7E61D1A8" w14:textId="77777777" w:rsidR="00BE714A" w:rsidRDefault="00BE714A" w:rsidP="00BE714A">
      <w:pPr>
        <w:pStyle w:val="Compact"/>
        <w:numPr>
          <w:ilvl w:val="0"/>
          <w:numId w:val="39"/>
        </w:numPr>
      </w:pPr>
      <w:r>
        <w:rPr>
          <w:i/>
          <w:iCs/>
        </w:rPr>
        <w:t>Structured risk of bias assessment:</w:t>
      </w:r>
      <w:r>
        <w:t xml:space="preserve"> 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14:paraId="09B51691" w14:textId="77777777" w:rsidR="00BE714A" w:rsidRDefault="00BE714A" w:rsidP="00BE714A">
      <w:pPr>
        <w:pStyle w:val="Compact"/>
        <w:numPr>
          <w:ilvl w:val="0"/>
          <w:numId w:val="39"/>
        </w:numPr>
      </w:pPr>
      <w:r>
        <w:rPr>
          <w:i/>
          <w:iCs/>
        </w:rPr>
        <w:lastRenderedPageBreak/>
        <w:t>Inclusion of preprints:</w:t>
      </w:r>
      <w:r>
        <w:t xml:space="preserve"> 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p w14:paraId="032F67F6" w14:textId="77777777" w:rsidR="00BE714A" w:rsidRDefault="00BE714A" w:rsidP="00BE714A">
      <w:pPr>
        <w:pStyle w:val="Heading3"/>
      </w:pPr>
      <w:bookmarkStart w:id="94" w:name="comparison-with-other-reviews"/>
      <w:bookmarkEnd w:id="93"/>
      <w:r>
        <w:t>Comparison with other reviews</w:t>
      </w:r>
    </w:p>
    <w:p w14:paraId="4CB3ED15" w14:textId="77777777" w:rsidR="00BE714A" w:rsidRDefault="00BE714A" w:rsidP="00BE714A">
      <w:pPr>
        <w:pStyle w:val="FirstParagraph"/>
      </w:pPr>
      <w:r>
        <w:t>Of note, as part of the review, we 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138</w:t>
        </w:r>
      </w:hyperlink>
      <w:r>
        <w:t xml:space="preserve"> to assess the risk of bias in included studies, and explore the heterogeneity of results across different levels of risk of bias levels.</w:t>
      </w:r>
    </w:p>
    <w:p w14:paraId="2D9B189F" w14:textId="77777777" w:rsidR="00BE714A" w:rsidRDefault="00BE714A" w:rsidP="00BE714A">
      <w:pPr>
        <w:pStyle w:val="BodyText"/>
      </w:pPr>
      <w:r>
        <w:t>Some previous reviews did assess risk of bias, but used non-domain based assessment tools. Newcastle-Ottowa scale,</w:t>
      </w:r>
    </w:p>
    <w:p w14:paraId="320C5C03" w14:textId="77777777" w:rsidR="00BE714A" w:rsidRDefault="00BE714A" w:rsidP="00BE714A">
      <w:pPr>
        <w:pStyle w:val="BodyText"/>
      </w:pPr>
      <w:r>
        <w:rPr>
          <w:b/>
          <w:bCs/>
        </w:rPr>
        <w:t>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14:paraId="1F32A72C" w14:textId="77777777" w:rsidR="00BE714A" w:rsidRDefault="00BE714A" w:rsidP="00BE714A">
      <w:pPr>
        <w:pStyle w:val="BodyText"/>
      </w:pPr>
      <w:r>
        <w:rPr>
          <w:b/>
          <w:bCs/>
        </w:rPr>
        <w:t>Exclusion of the PROSPER trial</w:t>
      </w:r>
      <w:r>
        <w:t xml:space="preserve"> 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p w14:paraId="754412C8" w14:textId="77777777" w:rsidR="00BE714A" w:rsidRDefault="00BE714A" w:rsidP="00BE714A">
      <w:pPr>
        <w:pStyle w:val="Heading3"/>
      </w:pPr>
      <w:bookmarkStart w:id="95" w:name="Xb45d076476d8fee69005c600a0a1efa0ac1e9ca"/>
      <w:bookmarkEnd w:id="94"/>
      <w:r>
        <w:t>Reviewing Mendelian randomisations studies</w:t>
      </w:r>
    </w:p>
    <w:p w14:paraId="4F916DA7" w14:textId="77777777" w:rsidR="00BE714A" w:rsidRDefault="00BE714A" w:rsidP="00BE714A">
      <w:pPr>
        <w:pStyle w:val="FirstParagraph"/>
      </w:pPr>
      <w:r>
        <w:t>While</w:t>
      </w:r>
    </w:p>
    <w:p w14:paraId="19288832" w14:textId="77777777" w:rsidR="00BE714A" w:rsidRDefault="00BE714A" w:rsidP="00BE714A">
      <w:pPr>
        <w:pStyle w:val="BodyText"/>
      </w:pPr>
      <w:r>
        <w:t>This may be because Mendelian randomisation studies have yet to reach a critical mass in terms of requiring a systematic review.</w:t>
      </w:r>
    </w:p>
    <w:p w14:paraId="42FDA88D" w14:textId="77777777" w:rsidR="00BE714A" w:rsidRDefault="00BE714A" w:rsidP="00BE714A">
      <w:pPr>
        <w:pStyle w:val="BodyText"/>
      </w:pPr>
      <w:r>
        <w:t>Recent updates, such as a guide to reading and interpreting. However, this guide includes reporting items in their quality checklist - reporting quality while important, is unrelated to internal validity.</w:t>
      </w:r>
    </w:p>
    <w:p w14:paraId="18380084" w14:textId="77777777" w:rsidR="00BE714A" w:rsidRDefault="00BE714A" w:rsidP="00BE714A">
      <w:pPr>
        <w:pStyle w:val="BodyText"/>
      </w:pPr>
      <w:r>
        <w:t>Problems with overlapping samples in reviews of Mendelian randomisation studies in that we may be double counting participants - for</w:t>
      </w:r>
    </w:p>
    <w:p w14:paraId="377892E2" w14:textId="77777777" w:rsidR="00BE714A" w:rsidRDefault="00BE714A" w:rsidP="00BE714A">
      <w:pPr>
        <w:pStyle w:val="BodyText"/>
      </w:pPr>
      <w:r>
        <w:t>Methods for reviews of Mendelian randomisation studies are not well developed to account for the consideration above.</w:t>
      </w:r>
    </w:p>
    <w:p w14:paraId="27A7B428" w14:textId="77777777" w:rsidR="00BE714A" w:rsidRDefault="00BE714A" w:rsidP="00BE714A">
      <w:pPr>
        <w:pStyle w:val="Heading3"/>
      </w:pPr>
      <w:bookmarkStart w:id="96" w:name="strenghts-and-limitations"/>
      <w:bookmarkEnd w:id="95"/>
      <w:r>
        <w:lastRenderedPageBreak/>
        <w:t>Strenghts and limitations</w:t>
      </w:r>
    </w:p>
    <w:p w14:paraId="67B72404" w14:textId="77777777" w:rsidR="00BE714A" w:rsidRDefault="00BE714A" w:rsidP="00BE714A">
      <w:pPr>
        <w:pStyle w:val="FirstParagraph"/>
      </w:pPr>
      <w:r>
        <w:t>Potentially missing other Mendelian randomisation studies, as we identified some through our snowball searching that were not captured by the search strategy. An example is Larsson et al. 2017</w:t>
      </w:r>
      <w:hyperlink w:anchor="ref-larsson2017a">
        <w:r>
          <w:rPr>
            <w:rStyle w:val="Hyperlink"/>
            <w:vertAlign w:val="superscript"/>
          </w:rPr>
          <w:t>159</w:t>
        </w:r>
      </w:hyperlink>
      <w:r>
        <w:t>, where the study examined the association between lipid fractions</w:t>
      </w:r>
    </w:p>
    <w:p w14:paraId="77EDA436" w14:textId="77777777" w:rsidR="00BE714A" w:rsidRDefault="00BE714A" w:rsidP="00BE714A">
      <w:pPr>
        <w:pStyle w:val="BodyText"/>
      </w:pPr>
      <w:r>
        <w:t>Comment on the fact that several of the studies identified through the search of preprints, were subsequently published, but much later than the</w:t>
      </w:r>
    </w:p>
    <w:p w14:paraId="72C1A7FF" w14:textId="77777777" w:rsidR="00BE714A" w:rsidRDefault="00BE714A" w:rsidP="00BE714A">
      <w:pPr>
        <w:pStyle w:val="BodyText"/>
      </w:pPr>
      <w:r>
        <w:t>Test</w:t>
      </w:r>
    </w:p>
    <w:p w14:paraId="0A56CF8F" w14:textId="77777777" w:rsidR="00BE714A" w:rsidRDefault="00BE714A" w:rsidP="00BE714A">
      <w:pPr>
        <w:pStyle w:val="Heading2"/>
      </w:pPr>
      <w:bookmarkStart w:id="97" w:name="conclusion"/>
      <w:bookmarkEnd w:id="88"/>
      <w:bookmarkEnd w:id="96"/>
      <w:r>
        <w:t>Conclusion</w:t>
      </w:r>
    </w:p>
    <w:p w14:paraId="3F656668" w14:textId="77777777" w:rsidR="00BE714A" w:rsidRDefault="00BE714A" w:rsidP="00BE714A">
      <w:pPr>
        <w:pStyle w:val="FirstParagraph"/>
      </w:pPr>
      <w:r>
        <w:t>Test</w:t>
      </w:r>
    </w:p>
    <w:p w14:paraId="30168C3C" w14:textId="77777777" w:rsidR="00BE714A" w:rsidRDefault="00BE714A" w:rsidP="00BE714A">
      <w:pPr>
        <w:pStyle w:val="Heading1"/>
      </w:pPr>
      <w:bookmarkStart w:id="98" w:name="cprd-analysis-heading"/>
      <w:bookmarkEnd w:id="63"/>
      <w:bookmarkEnd w:id="97"/>
      <w:r>
        <w:t>Primary analysis of lipid regulating agents and dementia</w:t>
      </w:r>
    </w:p>
    <w:p w14:paraId="6C0E9536" w14:textId="77777777" w:rsidR="00BE714A" w:rsidRDefault="00BE714A" w:rsidP="00BE714A">
      <w:pPr>
        <w:pStyle w:val="FirstParagraph"/>
      </w:pPr>
    </w:p>
    <w:p w14:paraId="067F3A66" w14:textId="77777777" w:rsidR="00BE714A" w:rsidRDefault="00BE714A" w:rsidP="00BE714A">
      <w:pPr>
        <w:pStyle w:val="Heading2"/>
      </w:pPr>
      <w:bookmarkStart w:id="99" w:name="lay-summary-3"/>
      <w:r>
        <w:t>Lay summary</w:t>
      </w:r>
    </w:p>
    <w:p w14:paraId="59EFFF3E" w14:textId="77777777" w:rsidR="00BE714A" w:rsidRDefault="00BE714A" w:rsidP="00BE714A">
      <w:pPr>
        <w:pStyle w:val="FirstParagraph"/>
      </w:pPr>
      <w:r>
        <w:t>Large-scale electronic health record (EHR) databases are created through the routine collection of information from patients. Under this system, whenever a patient attends their GP, their clinical data is recorded in a central database using a standard set of codes. These databases have substantial advantages for research studies, including the number of people they contain and the length of time for which participants are followed. This is particulary important when studying diseases such as dementia, which may begin to develop long before symptoms are seen.</w:t>
      </w:r>
    </w:p>
    <w:p w14:paraId="671FE375" w14:textId="77777777" w:rsidR="00BE714A" w:rsidRDefault="00BE714A" w:rsidP="00BE714A">
      <w:pPr>
        <w:pStyle w:val="BodyText"/>
      </w:pPr>
      <w:r>
        <w:t>This analysis makes use of the Clinical Practice Research Datalink (CPRD), which contains the electronic medical records of more than 3 million people from general practices across England. Using this data, I examined the effect of treatment which lower cholesterol levels, such as statins, on the risk of dementia and related outcomes.</w:t>
      </w:r>
    </w:p>
    <w:p w14:paraId="4D65FBF6" w14:textId="77777777" w:rsidR="00BE714A" w:rsidRDefault="00BE714A" w:rsidP="00BE714A">
      <w:pPr>
        <w:pStyle w:val="BodyText"/>
      </w:pPr>
      <w:r>
        <w:t>Lipid regulating agents were found to have no or minimal effect on Alzheimer’s disease, but increased the risk of vascular dementia. This increase is very likely to be due to the presence of bias in the analysis despite best efforts to address it. However, this analysis still provides important sources of information which will be used in later chapters.</w:t>
      </w:r>
    </w:p>
    <w:p w14:paraId="5C7FDAE4" w14:textId="77777777" w:rsidR="00BE714A" w:rsidRDefault="00BE714A" w:rsidP="00BE714A">
      <w:pPr>
        <w:pStyle w:val="BodyText"/>
      </w:pPr>
      <w:r>
        <w:t> </w:t>
      </w:r>
    </w:p>
    <w:p w14:paraId="2FFD4475" w14:textId="77777777" w:rsidR="00BE714A" w:rsidRDefault="00BE714A" w:rsidP="00BE714A">
      <w:pPr>
        <w:pStyle w:val="Heading2"/>
      </w:pPr>
      <w:bookmarkStart w:id="100" w:name="introduction-1"/>
      <w:bookmarkEnd w:id="99"/>
      <w:r>
        <w:t>Introduction</w:t>
      </w:r>
    </w:p>
    <w:p w14:paraId="2237F800" w14:textId="77777777" w:rsidR="00BE714A" w:rsidRDefault="00BE714A" w:rsidP="00BE714A">
      <w:pPr>
        <w:pStyle w:val="FirstParagraph"/>
      </w:pPr>
      <w:r>
        <w:t>This chapter details an analysis of a large population-based electronic health record dataset to investigate the relationship between lipid regulating agent use and dementia outcomes. The analysis aims to address two important limitations of the current evidence base as identified by the systematic review presented in Chapter ??.</w:t>
      </w:r>
    </w:p>
    <w:p w14:paraId="5831D404" w14:textId="77777777" w:rsidR="00BE714A" w:rsidRDefault="00BE714A" w:rsidP="00BE714A">
      <w:pPr>
        <w:pStyle w:val="BodyText"/>
      </w:pPr>
      <w:r>
        <w:lastRenderedPageBreak/>
        <w:t>In the first instance, it explicitly examines vascular dementia as an outcome. This is particular important to the thesis as a whole, as the systematic review identified an absence of information on the effect of lipids on dementia risk.</w:t>
      </w:r>
    </w:p>
    <w:p w14:paraId="0A9F8A41" w14:textId="77777777" w:rsidR="00BE714A" w:rsidRDefault="00BE714A" w:rsidP="00BE714A">
      <w:pPr>
        <w:pStyle w:val="BodyText"/>
      </w:pPr>
      <w:r>
        <w:t>In the second instance, the analysis intentionally takes a different analytical approach to that most commonly used to examine the effect of statins on dementia. This approach was taken to provide a further distinct evidence source for the triangulation exercise presented in Chapter 7.</w:t>
      </w:r>
    </w:p>
    <w:p w14:paraId="25878933" w14:textId="77777777" w:rsidR="00BE714A" w:rsidRDefault="00BE714A" w:rsidP="00BE714A">
      <w:pPr>
        <w:pStyle w:val="BodyText"/>
      </w:pPr>
      <w:r>
        <w:t> </w:t>
      </w:r>
    </w:p>
    <w:p w14:paraId="5BA73C19" w14:textId="77777777" w:rsidR="00BE714A" w:rsidRDefault="00BE714A" w:rsidP="00BE714A">
      <w:pPr>
        <w:pStyle w:val="Heading2"/>
      </w:pPr>
      <w:bookmarkStart w:id="101" w:name="methods-1"/>
      <w:bookmarkEnd w:id="100"/>
      <w:r>
        <w:t>Methods</w:t>
      </w:r>
    </w:p>
    <w:p w14:paraId="39B96B5E" w14:textId="77777777" w:rsidR="00BE714A" w:rsidRDefault="00BE714A" w:rsidP="00BE714A">
      <w:pPr>
        <w:pStyle w:val="Heading3"/>
      </w:pPr>
      <w:bookmarkStart w:id="102" w:name="study-protocol"/>
      <w:r>
        <w:t>Study protocol</w:t>
      </w:r>
    </w:p>
    <w:p w14:paraId="1958B849" w14:textId="77777777" w:rsidR="00BE714A" w:rsidRDefault="00BE714A" w:rsidP="00BE714A">
      <w:pPr>
        <w:pStyle w:val="FirstParagraph"/>
      </w:pPr>
      <w:r>
        <w:t xml:space="preserve">An </w:t>
      </w:r>
      <w:r>
        <w:rPr>
          <w:i/>
          <w:iCs/>
        </w:rPr>
        <w:t>a priori</w:t>
      </w:r>
      <w:r>
        <w:t xml:space="preserve"> protocol for this study was published,</w:t>
      </w:r>
      <w:hyperlink w:anchor="ref-walker2016a">
        <w:r>
          <w:rPr>
            <w:rStyle w:val="Hyperlink"/>
            <w:vertAlign w:val="superscript"/>
          </w:rPr>
          <w:t>160</w:t>
        </w:r>
      </w:hyperlink>
      <w:r>
        <w:t xml:space="preserve"> and amendments to this are recorded in Appendix 9.4.1.</w:t>
      </w:r>
      <w:hyperlink w:anchor="ref-vonelm2008">
        <w:r>
          <w:rPr>
            <w:rStyle w:val="Hyperlink"/>
            <w:vertAlign w:val="superscript"/>
          </w:rPr>
          <w:t>161</w:t>
        </w:r>
      </w:hyperlink>
    </w:p>
    <w:p w14:paraId="7BA298C4" w14:textId="77777777" w:rsidR="00BE714A" w:rsidRDefault="00BE714A" w:rsidP="00BE714A">
      <w:pPr>
        <w:pStyle w:val="BodyText"/>
      </w:pPr>
      <w:r>
        <w:t> </w:t>
      </w:r>
    </w:p>
    <w:p w14:paraId="27CB85A6" w14:textId="77777777" w:rsidR="00BE714A" w:rsidRDefault="00BE714A" w:rsidP="00BE714A">
      <w:pPr>
        <w:pStyle w:val="Heading3"/>
      </w:pPr>
      <w:bookmarkStart w:id="103" w:name="cprd-data-source"/>
      <w:bookmarkEnd w:id="102"/>
      <w:r>
        <w:t>Data source</w:t>
      </w:r>
    </w:p>
    <w:p w14:paraId="45D30141" w14:textId="77777777" w:rsidR="00BE714A" w:rsidRDefault="00BE714A" w:rsidP="00BE714A">
      <w:pPr>
        <w:pStyle w:val="FirstParagraph"/>
      </w:pPr>
      <w:r>
        <w:t>Previously know as the General Practice Research Database (GPRD), the Clinical Practice Research Datalink (CPRD) is a large population-based, electronic health record (EHR) database.</w:t>
      </w:r>
      <w:hyperlink w:anchor="ref-herrett2015">
        <w:r>
          <w:rPr>
            <w:rStyle w:val="Hyperlink"/>
            <w:vertAlign w:val="superscript"/>
          </w:rPr>
          <w:t>162</w:t>
        </w:r>
      </w:hyperlink>
      <w:r>
        <w:t xml:space="preserve"> The database has been collected primary care data from participating practices across England since 1987.</w:t>
      </w:r>
      <w:hyperlink w:anchor="ref-williams2012">
        <w:r>
          <w:rPr>
            <w:rStyle w:val="Hyperlink"/>
            <w:vertAlign w:val="superscript"/>
          </w:rPr>
          <w:t>163</w:t>
        </w:r>
      </w:hyperlink>
      <w:r>
        <w:rPr>
          <w:vertAlign w:val="superscript"/>
        </w:rPr>
        <w:t>,</w:t>
      </w:r>
      <w:hyperlink w:anchor="ref-wood2001revitalizing">
        <w:r>
          <w:rPr>
            <w:rStyle w:val="Hyperlink"/>
            <w:vertAlign w:val="superscript"/>
          </w:rPr>
          <w:t>164</w:t>
        </w:r>
      </w:hyperlink>
      <w:r>
        <w:t xml:space="preserve"> 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162</w:t>
        </w:r>
      </w:hyperlink>
      <w:r>
        <w:rPr>
          <w:vertAlign w:val="superscript"/>
        </w:rPr>
        <w:t>,</w:t>
      </w:r>
      <w:hyperlink w:anchor="ref-mathur2014">
        <w:r>
          <w:rPr>
            <w:rStyle w:val="Hyperlink"/>
            <w:vertAlign w:val="superscript"/>
          </w:rPr>
          <w:t>165</w:t>
        </w:r>
      </w:hyperlink>
    </w:p>
    <w:p w14:paraId="4AE3ED2F" w14:textId="77777777" w:rsidR="00BE714A" w:rsidRDefault="00BE714A" w:rsidP="00BE714A">
      <w:pPr>
        <w:pStyle w:val="BodyText"/>
      </w:pPr>
      <w:r>
        <w:t>To avoid the ambiguity of interpreting free-text clinical notes and to allow for easy analysis of the resulting data, the CPRD collects data use a predefined coding system known as Read codes.</w:t>
      </w:r>
      <w:hyperlink w:anchor="ref-booth1994">
        <w:r>
          <w:rPr>
            <w:rStyle w:val="Hyperlink"/>
            <w:vertAlign w:val="superscript"/>
          </w:rPr>
          <w:t>166</w:t>
        </w:r>
      </w:hyperlink>
      <w:r>
        <w:t xml:space="preserve"> All clinical events can be identified by a specific code. The codes use a nested approach (see Table 5), with the initial characters defining broad diagnostic topics (e.g. Eu… - Mental and behavioural disorders), while subsequent digits provide addition information on the specific condition diagnosed (e.g. Eu001 - Dementia in Alzheimer’s disease with late onset).</w:t>
      </w:r>
    </w:p>
    <w:p w14:paraId="250F045C" w14:textId="77777777" w:rsidR="00BE714A" w:rsidRDefault="00BE714A" w:rsidP="00BE714A">
      <w:pPr>
        <w:pStyle w:val="BodyText"/>
      </w:pPr>
      <w:r>
        <w:t> </w:t>
      </w:r>
    </w:p>
    <w:p w14:paraId="4C27008F" w14:textId="77777777" w:rsidR="00BE714A" w:rsidRDefault="00BE714A" w:rsidP="00BE714A">
      <w:pPr>
        <w:pStyle w:val="TableCaption"/>
      </w:pPr>
      <w:r>
        <w:t>Table 5: Example of CPRD Read code hierarchy, showing how “Dementia in Alzheimer’s disease with late onset” is nested under the top-level of “Mental disorders”. Broad topics are specified using the initial two alpha-numeric characters of the Read code, while subsequent characters are used to define specific conditions and context.</w:t>
      </w:r>
    </w:p>
    <w:tbl>
      <w:tblPr>
        <w:tblW w:w="0" w:type="pct"/>
        <w:tblLook w:val="0020" w:firstRow="1" w:lastRow="0" w:firstColumn="0" w:lastColumn="0" w:noHBand="0" w:noVBand="0"/>
      </w:tblPr>
      <w:tblGrid>
        <w:gridCol w:w="766"/>
        <w:gridCol w:w="1269"/>
        <w:gridCol w:w="5105"/>
      </w:tblGrid>
      <w:tr w:rsidR="00BE714A" w14:paraId="001B5898" w14:textId="77777777" w:rsidTr="003C1DD4">
        <w:tc>
          <w:tcPr>
            <w:tcW w:w="0" w:type="auto"/>
          </w:tcPr>
          <w:p w14:paraId="0F4D3E33" w14:textId="77777777" w:rsidR="00BE714A" w:rsidRDefault="00BE714A" w:rsidP="003C1DD4">
            <w:pPr>
              <w:pStyle w:val="Compact"/>
              <w:jc w:val="right"/>
            </w:pPr>
            <w:r>
              <w:t>Level</w:t>
            </w:r>
          </w:p>
        </w:tc>
        <w:tc>
          <w:tcPr>
            <w:tcW w:w="0" w:type="auto"/>
          </w:tcPr>
          <w:p w14:paraId="2157F29C" w14:textId="77777777" w:rsidR="00BE714A" w:rsidRDefault="00BE714A" w:rsidP="003C1DD4">
            <w:pPr>
              <w:pStyle w:val="Compact"/>
            </w:pPr>
            <w:r>
              <w:t>Read code</w:t>
            </w:r>
          </w:p>
        </w:tc>
        <w:tc>
          <w:tcPr>
            <w:tcW w:w="0" w:type="auto"/>
          </w:tcPr>
          <w:p w14:paraId="46031A78" w14:textId="77777777" w:rsidR="00BE714A" w:rsidRDefault="00BE714A" w:rsidP="003C1DD4">
            <w:pPr>
              <w:pStyle w:val="Compact"/>
            </w:pPr>
            <w:r>
              <w:t>Term</w:t>
            </w:r>
          </w:p>
        </w:tc>
      </w:tr>
      <w:tr w:rsidR="00BE714A" w14:paraId="2DBFD7FD" w14:textId="77777777" w:rsidTr="003C1DD4">
        <w:tc>
          <w:tcPr>
            <w:tcW w:w="0" w:type="auto"/>
          </w:tcPr>
          <w:p w14:paraId="34228162" w14:textId="77777777" w:rsidR="00BE714A" w:rsidRDefault="00BE714A" w:rsidP="003C1DD4">
            <w:pPr>
              <w:pStyle w:val="Compact"/>
              <w:jc w:val="right"/>
            </w:pPr>
            <w:r>
              <w:t>1</w:t>
            </w:r>
          </w:p>
        </w:tc>
        <w:tc>
          <w:tcPr>
            <w:tcW w:w="0" w:type="auto"/>
          </w:tcPr>
          <w:p w14:paraId="2ACA4EFE" w14:textId="77777777" w:rsidR="00BE714A" w:rsidRDefault="00BE714A" w:rsidP="003C1DD4">
            <w:pPr>
              <w:pStyle w:val="Compact"/>
            </w:pPr>
            <w:r>
              <w:t>E….</w:t>
            </w:r>
          </w:p>
        </w:tc>
        <w:tc>
          <w:tcPr>
            <w:tcW w:w="0" w:type="auto"/>
          </w:tcPr>
          <w:p w14:paraId="2E452597" w14:textId="77777777" w:rsidR="00BE714A" w:rsidRDefault="00BE714A" w:rsidP="003C1DD4">
            <w:pPr>
              <w:pStyle w:val="Compact"/>
            </w:pPr>
            <w:r>
              <w:t>Mental disorders</w:t>
            </w:r>
          </w:p>
        </w:tc>
      </w:tr>
      <w:tr w:rsidR="00BE714A" w14:paraId="61DB170C" w14:textId="77777777" w:rsidTr="003C1DD4">
        <w:tc>
          <w:tcPr>
            <w:tcW w:w="0" w:type="auto"/>
          </w:tcPr>
          <w:p w14:paraId="33CDDF5A" w14:textId="77777777" w:rsidR="00BE714A" w:rsidRDefault="00BE714A" w:rsidP="003C1DD4">
            <w:pPr>
              <w:pStyle w:val="Compact"/>
              <w:jc w:val="right"/>
            </w:pPr>
            <w:r>
              <w:t>2</w:t>
            </w:r>
          </w:p>
        </w:tc>
        <w:tc>
          <w:tcPr>
            <w:tcW w:w="0" w:type="auto"/>
          </w:tcPr>
          <w:p w14:paraId="7BFE3C62" w14:textId="77777777" w:rsidR="00BE714A" w:rsidRDefault="00BE714A" w:rsidP="003C1DD4">
            <w:pPr>
              <w:pStyle w:val="Compact"/>
            </w:pPr>
            <w:r>
              <w:t>Eu…</w:t>
            </w:r>
          </w:p>
        </w:tc>
        <w:tc>
          <w:tcPr>
            <w:tcW w:w="0" w:type="auto"/>
          </w:tcPr>
          <w:p w14:paraId="635F80BF" w14:textId="77777777" w:rsidR="00BE714A" w:rsidRDefault="00BE714A" w:rsidP="003C1DD4">
            <w:pPr>
              <w:pStyle w:val="Compact"/>
            </w:pPr>
            <w:r>
              <w:t>Mental and behavioral disorders</w:t>
            </w:r>
          </w:p>
        </w:tc>
      </w:tr>
      <w:tr w:rsidR="00BE714A" w14:paraId="20AEF1E9" w14:textId="77777777" w:rsidTr="003C1DD4">
        <w:tc>
          <w:tcPr>
            <w:tcW w:w="0" w:type="auto"/>
          </w:tcPr>
          <w:p w14:paraId="2D100446" w14:textId="77777777" w:rsidR="00BE714A" w:rsidRDefault="00BE714A" w:rsidP="003C1DD4">
            <w:pPr>
              <w:pStyle w:val="Compact"/>
              <w:jc w:val="right"/>
            </w:pPr>
            <w:r>
              <w:t>3</w:t>
            </w:r>
          </w:p>
        </w:tc>
        <w:tc>
          <w:tcPr>
            <w:tcW w:w="0" w:type="auto"/>
          </w:tcPr>
          <w:p w14:paraId="5A80ADE5" w14:textId="77777777" w:rsidR="00BE714A" w:rsidRDefault="00BE714A" w:rsidP="003C1DD4">
            <w:pPr>
              <w:pStyle w:val="Compact"/>
            </w:pPr>
            <w:r>
              <w:t>Eu0..</w:t>
            </w:r>
          </w:p>
        </w:tc>
        <w:tc>
          <w:tcPr>
            <w:tcW w:w="0" w:type="auto"/>
          </w:tcPr>
          <w:p w14:paraId="159C1A70" w14:textId="77777777" w:rsidR="00BE714A" w:rsidRDefault="00BE714A" w:rsidP="003C1DD4">
            <w:pPr>
              <w:pStyle w:val="Compact"/>
            </w:pPr>
            <w:r>
              <w:t>Organic mental disorder</w:t>
            </w:r>
          </w:p>
        </w:tc>
      </w:tr>
      <w:tr w:rsidR="00BE714A" w14:paraId="46A4954F" w14:textId="77777777" w:rsidTr="003C1DD4">
        <w:tc>
          <w:tcPr>
            <w:tcW w:w="0" w:type="auto"/>
          </w:tcPr>
          <w:p w14:paraId="72834C76" w14:textId="77777777" w:rsidR="00BE714A" w:rsidRDefault="00BE714A" w:rsidP="003C1DD4">
            <w:pPr>
              <w:pStyle w:val="Compact"/>
              <w:jc w:val="right"/>
            </w:pPr>
            <w:r>
              <w:t>4</w:t>
            </w:r>
          </w:p>
        </w:tc>
        <w:tc>
          <w:tcPr>
            <w:tcW w:w="0" w:type="auto"/>
          </w:tcPr>
          <w:p w14:paraId="32193C62" w14:textId="77777777" w:rsidR="00BE714A" w:rsidRDefault="00BE714A" w:rsidP="003C1DD4">
            <w:pPr>
              <w:pStyle w:val="Compact"/>
            </w:pPr>
            <w:r>
              <w:t>Eu00.</w:t>
            </w:r>
          </w:p>
        </w:tc>
        <w:tc>
          <w:tcPr>
            <w:tcW w:w="0" w:type="auto"/>
          </w:tcPr>
          <w:p w14:paraId="0D2E5CA3" w14:textId="77777777" w:rsidR="00BE714A" w:rsidRDefault="00BE714A" w:rsidP="003C1DD4">
            <w:pPr>
              <w:pStyle w:val="Compact"/>
            </w:pPr>
            <w:r>
              <w:t>Dementia in Alzheimer’s disease</w:t>
            </w:r>
          </w:p>
        </w:tc>
      </w:tr>
      <w:tr w:rsidR="00BE714A" w14:paraId="022721A4" w14:textId="77777777" w:rsidTr="003C1DD4">
        <w:tc>
          <w:tcPr>
            <w:tcW w:w="0" w:type="auto"/>
          </w:tcPr>
          <w:p w14:paraId="3300C51A" w14:textId="77777777" w:rsidR="00BE714A" w:rsidRDefault="00BE714A" w:rsidP="003C1DD4">
            <w:pPr>
              <w:pStyle w:val="Compact"/>
              <w:jc w:val="right"/>
            </w:pPr>
            <w:r>
              <w:lastRenderedPageBreak/>
              <w:t>5</w:t>
            </w:r>
          </w:p>
        </w:tc>
        <w:tc>
          <w:tcPr>
            <w:tcW w:w="0" w:type="auto"/>
          </w:tcPr>
          <w:p w14:paraId="3F964246" w14:textId="77777777" w:rsidR="00BE714A" w:rsidRDefault="00BE714A" w:rsidP="003C1DD4">
            <w:pPr>
              <w:pStyle w:val="Compact"/>
            </w:pPr>
            <w:r>
              <w:t>Eu001</w:t>
            </w:r>
          </w:p>
        </w:tc>
        <w:tc>
          <w:tcPr>
            <w:tcW w:w="0" w:type="auto"/>
          </w:tcPr>
          <w:p w14:paraId="02794A61" w14:textId="77777777" w:rsidR="00BE714A" w:rsidRDefault="00BE714A" w:rsidP="003C1DD4">
            <w:pPr>
              <w:pStyle w:val="Compact"/>
            </w:pPr>
            <w:r>
              <w:t>Dementia in Alzheimer’s disease with late onset</w:t>
            </w:r>
          </w:p>
        </w:tc>
      </w:tr>
    </w:tbl>
    <w:p w14:paraId="32423F1D" w14:textId="77777777" w:rsidR="00BE714A" w:rsidRDefault="00BE714A" w:rsidP="00BE714A">
      <w:pPr>
        <w:pStyle w:val="BodyText"/>
      </w:pPr>
      <w:r>
        <w:t> </w:t>
      </w:r>
    </w:p>
    <w:p w14:paraId="327BFE4B" w14:textId="77777777" w:rsidR="00BE714A" w:rsidRDefault="00BE714A" w:rsidP="00BE714A">
      <w:pPr>
        <w:pStyle w:val="BodyText"/>
      </w:pPr>
      <w:r>
        <w:t>Using this system, lists of relevant codes for each of the index events, exposures and outcomes used in the analysis were created.</w:t>
      </w:r>
    </w:p>
    <w:p w14:paraId="59D74F5F" w14:textId="77777777" w:rsidR="00BE714A" w:rsidRDefault="00BE714A" w:rsidP="00BE714A">
      <w:pPr>
        <w:pStyle w:val="BodyText"/>
      </w:pPr>
      <w:r>
        <w:t> </w:t>
      </w:r>
    </w:p>
    <w:p w14:paraId="340CDE55" w14:textId="77777777" w:rsidR="00BE714A" w:rsidRDefault="00BE714A" w:rsidP="00BE714A">
      <w:pPr>
        <w:pStyle w:val="Heading3"/>
      </w:pPr>
      <w:bookmarkStart w:id="104" w:name="cohort-definition"/>
      <w:bookmarkEnd w:id="103"/>
      <w:r>
        <w:t>Cohort definition</w:t>
      </w:r>
    </w:p>
    <w:p w14:paraId="6CBA2F27" w14:textId="77777777" w:rsidR="00BE714A" w:rsidRDefault="00BE714A" w:rsidP="00BE714A">
      <w:pPr>
        <w:pStyle w:val="FirstParagraph"/>
      </w:pPr>
      <w:r>
        <w:t>This analysis was a prospective cohort study using data from the CPRD. It included all participants registered at a participating practice between 1 January 1995 and 29 February 2016 who had a flag for “research quality” data. Records pre-dating the 1995 cutoff were included in the original CPRD extract but were excluded from the analysis as records are expected to be more complete and reliable after this date.</w:t>
      </w:r>
      <w:hyperlink w:anchor="ref-wolf2019">
        <w:r>
          <w:rPr>
            <w:rStyle w:val="Hyperlink"/>
            <w:vertAlign w:val="superscript"/>
          </w:rPr>
          <w:t>167</w:t>
        </w:r>
      </w:hyperlink>
      <w:r>
        <w:t xml:space="preserve"> Additionally, individuals with less than 12 months of continuous records prior to cohort entry were excluded, making the effective start date of the cohort the 1st January 1996.</w:t>
      </w:r>
    </w:p>
    <w:p w14:paraId="3DAFE7ED" w14:textId="77777777" w:rsidR="00BE714A" w:rsidRDefault="00BE714A" w:rsidP="00BE714A">
      <w:pPr>
        <w:pStyle w:val="BodyText"/>
      </w:pPr>
      <w:r>
        <w:t>All events of interest were identified using predetermined code lists, which are available for inspection from the archived repository accompanying this analysis (data/code availability is discussed in Section 5.5.5).</w:t>
      </w:r>
    </w:p>
    <w:p w14:paraId="20613336" w14:textId="77777777" w:rsidR="00BE714A" w:rsidRDefault="00BE714A" w:rsidP="00BE714A">
      <w:pPr>
        <w:pStyle w:val="BodyText"/>
      </w:pPr>
      <w:r>
        <w:t>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p>
    <w:p w14:paraId="4BF6565D" w14:textId="77777777" w:rsidR="00BE714A" w:rsidRDefault="00BE714A" w:rsidP="00BE714A">
      <w:pPr>
        <w:pStyle w:val="BodyText"/>
      </w:pPr>
      <w:r>
        <w:t>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 “at-risk” or already diagnosed with hypercholesterolemia attempts to mitigate this bias.</w:t>
      </w:r>
    </w:p>
    <w:p w14:paraId="445C0D05" w14:textId="77777777" w:rsidR="00BE714A" w:rsidRDefault="00BE714A" w:rsidP="00BE714A">
      <w:pPr>
        <w:pStyle w:val="BodyText"/>
      </w:pPr>
      <w:r>
        <w:t>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 “research quality” data, were simultaneously prescribed more than one lipid-regulating agent (due to the difficult of assigning these to a single exposure group), or were diagnosed with dementia before or on the date of the index event.</w:t>
      </w:r>
    </w:p>
    <w:p w14:paraId="1A6C4D7D" w14:textId="77777777" w:rsidR="00BE714A" w:rsidRDefault="00BE714A" w:rsidP="00BE714A">
      <w:pPr>
        <w:pStyle w:val="BodyText"/>
      </w:pPr>
      <w:r>
        <w:t> </w:t>
      </w:r>
    </w:p>
    <w:p w14:paraId="47E571A0" w14:textId="77777777" w:rsidR="00BE714A" w:rsidRDefault="00BE714A" w:rsidP="00BE714A">
      <w:pPr>
        <w:pStyle w:val="Heading3"/>
      </w:pPr>
      <w:bookmarkStart w:id="105" w:name="exposures"/>
      <w:bookmarkEnd w:id="104"/>
      <w:r>
        <w:lastRenderedPageBreak/>
        <w:t>Exposures</w:t>
      </w:r>
    </w:p>
    <w:p w14:paraId="4844F053" w14:textId="77777777" w:rsidR="00BE714A" w:rsidRDefault="00BE714A" w:rsidP="00BE714A">
      <w:pPr>
        <w:pStyle w:val="FirstParagraph"/>
      </w:pPr>
      <w:r>
        <w:t>We considered seven lipid-regulating drug classes based on groupings in the British National Formulary (BNF)</w:t>
      </w:r>
      <w:hyperlink w:anchor="ref-wishart2017">
        <w:r>
          <w:rPr>
            <w:rStyle w:val="Hyperlink"/>
            <w:vertAlign w:val="superscript"/>
          </w:rPr>
          <w:t>168</w:t>
        </w:r>
      </w:hyperlink>
      <w:r>
        <w:t>, namely: statins, fibrates, bile acid sequestrants, ezetimibe, nicotinic acid groups, ezetimibe and statin (representing one treatment containing both drugs, rather than the two classes being prescribed concurrently), and omega-3 fatty acid groups.</w:t>
      </w:r>
    </w:p>
    <w:p w14:paraId="17C47AE5" w14:textId="77777777" w:rsidR="00BE714A" w:rsidRDefault="00BE714A" w:rsidP="00BE714A">
      <w:pPr>
        <w:pStyle w:val="BodyText"/>
      </w:pPr>
      <w:r>
        <w:t>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14:paraId="67AB5564" w14:textId="77777777" w:rsidR="00BE714A" w:rsidRDefault="00BE714A" w:rsidP="00BE714A">
      <w:pPr>
        <w:pStyle w:val="BodyText"/>
      </w:pPr>
      <w:r>
        <w:t> </w:t>
      </w:r>
    </w:p>
    <w:p w14:paraId="32F7D1FE" w14:textId="77777777" w:rsidR="00BE714A" w:rsidRDefault="00BE714A" w:rsidP="00BE714A">
      <w:pPr>
        <w:pStyle w:val="Heading3"/>
      </w:pPr>
      <w:bookmarkStart w:id="106" w:name="outcomes"/>
      <w:bookmarkEnd w:id="105"/>
      <w:r>
        <w:t>Outcomes</w:t>
      </w:r>
    </w:p>
    <w:p w14:paraId="683FCFFE" w14:textId="77777777" w:rsidR="00BE714A" w:rsidRDefault="00BE714A" w:rsidP="00BE714A">
      <w:pPr>
        <w:pStyle w:val="FirstParagraph"/>
      </w:pPr>
      <w:r>
        <w:t>We considered five outcomes as part of this analysis: probable Alzheimer’s disease, possible Alzheimer’s disease, vascular dementia, other dementia, and a composite all-cause dementia outcome (Supplementary Figure 1). When two or more outcomes were coded in a participant’s clinical record, a decision tree was used to differentiate between them (see Figure ). The diagnosis date of the outcome was determined by the first record of a relevant code.</w:t>
      </w:r>
    </w:p>
    <w:p w14:paraId="731B317D" w14:textId="77777777" w:rsidR="00BE714A" w:rsidRDefault="00BE714A" w:rsidP="00BE714A">
      <w:pPr>
        <w:pStyle w:val="BodyText"/>
      </w:pPr>
      <w:r>
        <w:t>Participants were followed up, and were censored at the earliest of date of diagnosis, death, date of transfer out of the study cohort or end of follow-up (29th February 2016).</w:t>
      </w:r>
    </w:p>
    <w:p w14:paraId="75469007" w14:textId="77777777" w:rsidR="00BE714A" w:rsidRDefault="00BE714A" w:rsidP="00BE714A">
      <w:pPr>
        <w:pStyle w:val="BodyText"/>
      </w:pPr>
      <w:r>
        <w:t>In addition to our primary outcomes of interest, we created two additional control outcomes. The inclusion of control outcomes in observational analyses are a useful technique to assess the strength of uncontrolled confounding.</w:t>
      </w:r>
      <w:hyperlink w:anchor="ref-lipsitch2010">
        <w:r>
          <w:rPr>
            <w:rStyle w:val="Hyperlink"/>
            <w:vertAlign w:val="superscript"/>
          </w:rPr>
          <w:t>169</w:t>
        </w:r>
      </w:hyperlink>
      <w:r>
        <w:t xml:space="preserve"> Negative outcomes are those without a likely causal pathway between the exposure and outcome (see Figure @ref()).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our confidence in the result for the outcome of interest is increased.</w:t>
      </w:r>
    </w:p>
    <w:p w14:paraId="2F10540E" w14:textId="77777777" w:rsidR="00BE714A" w:rsidRDefault="00BE714A" w:rsidP="00BE714A">
      <w:pPr>
        <w:pStyle w:val="BodyText"/>
      </w:pPr>
      <w:r>
        <w:t>Muscular backpain was used as a negative control outcome in this analysis. Despite observational analyses suggesting a link between statins and muscle pain (as opposed to more serious complications such as myopathy), systematic reviews of the adverse events of statin use</w:t>
      </w:r>
      <w:hyperlink w:anchor="ref-collins2016a">
        <w:r>
          <w:rPr>
            <w:rStyle w:val="Hyperlink"/>
            <w:vertAlign w:val="superscript"/>
          </w:rPr>
          <w:t>170</w:t>
        </w:r>
      </w:hyperlink>
      <w:r>
        <w:t xml:space="preserve"> and N-of-1 trials explicitly exploring the effect of statin use on muscle pain</w:t>
      </w:r>
      <w:hyperlink w:anchor="ref-herrett2021">
        <w:r>
          <w:rPr>
            <w:rStyle w:val="Hyperlink"/>
            <w:vertAlign w:val="superscript"/>
          </w:rPr>
          <w:t>171</w:t>
        </w:r>
      </w:hyperlink>
      <w:r>
        <w:t xml:space="preserve"> have found no evidence of an effect.</w:t>
      </w:r>
    </w:p>
    <w:p w14:paraId="20756C23" w14:textId="77777777" w:rsidR="00BE714A" w:rsidRDefault="00BE714A" w:rsidP="00BE714A">
      <w:pPr>
        <w:pStyle w:val="BodyText"/>
      </w:pPr>
      <w:r>
        <w:t>Additionally, incident ischemic heart disease was included as a positive control outcome, given the well-established protective effect of lipid-lowering treatment on the risk of this condition.</w:t>
      </w:r>
      <w:hyperlink w:anchor="ref-collins2016a">
        <w:r>
          <w:rPr>
            <w:rStyle w:val="Hyperlink"/>
            <w:vertAlign w:val="superscript"/>
          </w:rPr>
          <w:t>170</w:t>
        </w:r>
      </w:hyperlink>
    </w:p>
    <w:p w14:paraId="53C24664" w14:textId="77777777" w:rsidR="00BE714A" w:rsidRDefault="00BE714A" w:rsidP="00BE714A">
      <w:pPr>
        <w:pStyle w:val="BodyText"/>
      </w:pPr>
      <w:r>
        <w:rPr>
          <w:noProof/>
        </w:rPr>
        <w:lastRenderedPageBreak/>
        <w:drawing>
          <wp:inline distT="0" distB="0" distL="0" distR="0" wp14:anchorId="56D81E33" wp14:editId="3C0B5C59">
            <wp:extent cx="4587290" cy="2752374"/>
            <wp:effectExtent l="0" t="0" r="0" b="0"/>
            <wp:docPr id="5" name="Picture" descr="Figure 4: Causal diagram showing relationship between exposure X, outcome Y, confounders (measured C and unmeasured U) and an ideal negative outcome N. Note the absence of an arrow between X and N. In this scenario, any association observed between X and N is due to the presence of uncontrolled confounders (assuming C has been adjusted for)."/>
            <wp:cNvGraphicFramePr/>
            <a:graphic xmlns:a="http://schemas.openxmlformats.org/drawingml/2006/main">
              <a:graphicData uri="http://schemas.openxmlformats.org/drawingml/2006/picture">
                <pic:pic xmlns:pic="http://schemas.openxmlformats.org/drawingml/2006/picture">
                  <pic:nvPicPr>
                    <pic:cNvPr id="0" name="Picture" descr="figures/cprd-analysis/negativeOutcome.png"/>
                    <pic:cNvPicPr>
                      <a:picLocks noChangeAspect="1" noChangeArrowheads="1"/>
                    </pic:cNvPicPr>
                  </pic:nvPicPr>
                  <pic:blipFill>
                    <a:blip r:embed="rId16"/>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14:paraId="5F1355B3" w14:textId="77777777" w:rsidR="00BE714A" w:rsidRDefault="00BE714A" w:rsidP="00BE714A">
      <w:pPr>
        <w:pStyle w:val="BodyText"/>
      </w:pPr>
      <w:r>
        <w:t> </w:t>
      </w:r>
    </w:p>
    <w:p w14:paraId="03CB9909" w14:textId="77777777" w:rsidR="00BE714A" w:rsidRDefault="00BE714A" w:rsidP="00BE714A">
      <w:pPr>
        <w:pStyle w:val="Heading3"/>
      </w:pPr>
      <w:bookmarkStart w:id="107" w:name="covariates"/>
      <w:bookmarkEnd w:id="106"/>
      <w:r>
        <w:t>Covariates</w:t>
      </w:r>
    </w:p>
    <w:p w14:paraId="34BA9C0D" w14:textId="77777777" w:rsidR="00BE714A" w:rsidRDefault="00BE714A" w:rsidP="00BE714A">
      <w:pPr>
        <w:pStyle w:val="FirstParagraph"/>
      </w:pPr>
      <w:r>
        <w:t>A range of additional variables were included in the analysis, intended to address differential distributions of potential confounding variables between those who had were prescribed an LRA and those who were not.</w:t>
      </w:r>
    </w:p>
    <w:p w14:paraId="760177E2" w14:textId="77777777" w:rsidR="00BE714A" w:rsidRDefault="00BE714A" w:rsidP="00BE714A">
      <w:pPr>
        <w:pStyle w:val="BodyText"/>
      </w:pPr>
      <w:r>
        <w:t>The analysis was adjusted for a range of baseline covariates. Demographic covariates included age and gender. Age was calculated at date of entry into the cohort. Socioeconomic status was proxied using the Index of Multiple Deprivation, which draws on seven domains (income; employment; education, skills and training; health and disability; crime; barriers to housing and services; living environment) to create an overall deprivation score for each of 32844 statistical geography areas in England. Smoking and alcohol use was determined at index, and participants were categorised as current, former, or never users of each.</w:t>
      </w:r>
    </w:p>
    <w:p w14:paraId="31611F26" w14:textId="77777777" w:rsidR="00BE714A" w:rsidRDefault="00BE714A" w:rsidP="00BE714A">
      <w:pPr>
        <w:pStyle w:val="BodyText"/>
      </w:pPr>
      <w:r>
        <w:t xml:space="preserve">Body mass index (calculated as </w:t>
      </w:r>
      <m:oMath>
        <m:r>
          <w:rPr>
            <w:rFonts w:ascii="Cambria Math" w:hAnsi="Cambria Math"/>
          </w:rPr>
          <m:t>weight</m:t>
        </m:r>
        <m:r>
          <m:rPr>
            <m:sty m:val="p"/>
          </m:rPr>
          <w:rPr>
            <w:rFonts w:ascii="Cambria Math" w:hAnsi="Cambria Math"/>
          </w:rPr>
          <m:t>/</m:t>
        </m:r>
        <m:r>
          <w:rPr>
            <w:rFonts w:ascii="Cambria Math" w:hAnsi="Cambria Math"/>
          </w:rPr>
          <m:t>heigh</m:t>
        </m:r>
        <m:sSup>
          <m:sSupPr>
            <m:ctrlPr>
              <w:rPr>
                <w:rFonts w:ascii="Cambria Math" w:hAnsi="Cambria Math"/>
              </w:rPr>
            </m:ctrlPr>
          </m:sSupPr>
          <m:e>
            <m:r>
              <w:rPr>
                <w:rFonts w:ascii="Cambria Math" w:hAnsi="Cambria Math"/>
              </w:rPr>
              <m:t>t</m:t>
            </m:r>
          </m:e>
          <m:sup>
            <m:r>
              <w:rPr>
                <w:rFonts w:ascii="Cambria Math" w:hAnsi="Cambria Math"/>
              </w:rPr>
              <m:t>2</m:t>
            </m:r>
          </m:sup>
        </m:sSup>
      </m:oMath>
      <w:r>
        <w:t>),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calculated the average annual number of consultations between the beginning of a patients data and their entry into the cohort</w:t>
      </w:r>
    </w:p>
    <w:p w14:paraId="75F4CCFE" w14:textId="77777777" w:rsidR="00BE714A" w:rsidRDefault="00BE714A" w:rsidP="00BE714A">
      <w:pPr>
        <w:pStyle w:val="BodyText"/>
      </w:pPr>
      <w:r>
        <w:t>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172</w:t>
        </w:r>
      </w:hyperlink>
    </w:p>
    <w:p w14:paraId="4B692475" w14:textId="77777777" w:rsidR="00BE714A" w:rsidRDefault="00BE714A" w:rsidP="00BE714A">
      <w:pPr>
        <w:pStyle w:val="BodyText"/>
      </w:pPr>
      <w:r>
        <w:lastRenderedPageBreak/>
        <w:t>Codelists for all covariates can be found in the archived data repository accompanying this analysis (see Section 5.5.5).</w:t>
      </w:r>
    </w:p>
    <w:p w14:paraId="1BA883D5" w14:textId="77777777" w:rsidR="00BE714A" w:rsidRDefault="00BE714A" w:rsidP="00BE714A">
      <w:pPr>
        <w:pStyle w:val="BodyText"/>
      </w:pPr>
      <w:r>
        <w:t> </w:t>
      </w:r>
    </w:p>
    <w:p w14:paraId="2AD6485D" w14:textId="77777777" w:rsidR="00BE714A" w:rsidRDefault="00BE714A" w:rsidP="00BE714A">
      <w:pPr>
        <w:pStyle w:val="Heading3"/>
      </w:pPr>
      <w:bookmarkStart w:id="108" w:name="missing-data"/>
      <w:bookmarkEnd w:id="107"/>
      <w:r>
        <w:t>Missing data</w:t>
      </w:r>
    </w:p>
    <w:p w14:paraId="79A2E449" w14:textId="77777777" w:rsidR="00BE714A" w:rsidRDefault="00BE714A" w:rsidP="00BE714A">
      <w:pPr>
        <w:pStyle w:val="FirstParagraph"/>
      </w:pPr>
      <w:r>
        <w:t>Given that they contain an administrative data, collected for the purposes of patient management and care rather than academic research, missing data are a recognised issue in electronic health records databases.</w:t>
      </w:r>
      <w:hyperlink w:anchor="ref-wells2013strategies">
        <w:r>
          <w:rPr>
            <w:rStyle w:val="Hyperlink"/>
            <w:vertAlign w:val="superscript"/>
          </w:rPr>
          <w:t>173</w:t>
        </w:r>
      </w:hyperlink>
    </w:p>
    <w:p w14:paraId="791CAFD0" w14:textId="77777777" w:rsidR="00BE714A" w:rsidRDefault="00BE714A" w:rsidP="00BE714A">
      <w:pPr>
        <w:pStyle w:val="BodyText"/>
      </w:pPr>
      <w:r>
        <w:t>In this analysis, missing data were handled using a multiple imputation approach. Variables with missing observations were identified, and 20 imputed dataset.</w:t>
      </w:r>
      <w:hyperlink w:anchor="ref-sterne2009a">
        <w:r>
          <w:rPr>
            <w:rStyle w:val="Hyperlink"/>
            <w:vertAlign w:val="superscript"/>
          </w:rPr>
          <w:t>174</w:t>
        </w:r>
      </w:hyperlink>
      <w:r>
        <w:t xml:space="preserve">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175</w:t>
        </w:r>
      </w:hyperlink>
      <w:r>
        <w:t xml:space="preserve"> Imputation was performed using the MICE (Multiple Imputation by Chained Equations) command in STATA16.</w:t>
      </w:r>
    </w:p>
    <w:p w14:paraId="5C91C2F6" w14:textId="77777777" w:rsidR="00BE714A" w:rsidRDefault="00BE714A" w:rsidP="00BE714A">
      <w:pPr>
        <w:pStyle w:val="BodyText"/>
      </w:pPr>
      <w:r>
        <w:t>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173</w:t>
        </w:r>
      </w:hyperlink>
    </w:p>
    <w:p w14:paraId="5EF12FB5" w14:textId="77777777" w:rsidR="00BE714A" w:rsidRDefault="00BE714A" w:rsidP="00BE714A">
      <w:pPr>
        <w:pStyle w:val="BodyText"/>
      </w:pPr>
      <w:r>
        <w:t>To investigate the impact of multiple imputation versus a complete case analysis,</w:t>
      </w:r>
      <w:hyperlink w:anchor="ref-pigott2001review">
        <w:r>
          <w:rPr>
            <w:rStyle w:val="Hyperlink"/>
            <w:vertAlign w:val="superscript"/>
          </w:rPr>
          <w:t>176</w:t>
        </w:r>
      </w:hyperlink>
      <w:r>
        <w:t xml:space="preserve"> where participants missing any covariate are dropped from the dataset, we preformed and compared the results of both approaches.</w:t>
      </w:r>
      <w:hyperlink w:anchor="ref-hughes2019a">
        <w:r>
          <w:rPr>
            <w:rStyle w:val="Hyperlink"/>
            <w:vertAlign w:val="superscript"/>
          </w:rPr>
          <w:t>177</w:t>
        </w:r>
      </w:hyperlink>
    </w:p>
    <w:p w14:paraId="65C01283" w14:textId="77777777" w:rsidR="00BE714A" w:rsidRDefault="00BE714A" w:rsidP="00BE714A">
      <w:pPr>
        <w:pStyle w:val="BodyText"/>
      </w:pPr>
      <w:r>
        <w:t xml:space="preserve">  </w:t>
      </w:r>
    </w:p>
    <w:p w14:paraId="14930AAD" w14:textId="77777777" w:rsidR="00BE714A" w:rsidRDefault="00BE714A" w:rsidP="00BE714A">
      <w:pPr>
        <w:pStyle w:val="Heading3"/>
      </w:pPr>
      <w:bookmarkStart w:id="109" w:name="estimation-methods"/>
      <w:bookmarkEnd w:id="108"/>
      <w:r>
        <w:t>Estimation methods</w:t>
      </w:r>
    </w:p>
    <w:p w14:paraId="680D5594" w14:textId="77777777" w:rsidR="00BE714A" w:rsidRDefault="00BE714A" w:rsidP="00BE714A">
      <w:pPr>
        <w:pStyle w:val="FirstParagraph"/>
      </w:pPr>
      <w:r>
        <w:t>To estimate the effect of statins on dementia outcomes, we used a Cox proportional hazards model, defined as:</w:t>
      </w:r>
    </w:p>
    <w:p w14:paraId="6298FA96" w14:textId="77777777" w:rsidR="00BE714A" w:rsidRDefault="00BE714A" w:rsidP="00BE714A">
      <w:pPr>
        <w:pStyle w:val="BodyText"/>
      </w:pPr>
      <m:oMathPara>
        <m:oMathParaPr>
          <m:jc m:val="center"/>
        </m:oMathParaP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oMath>
      </m:oMathPara>
    </w:p>
    <w:p w14:paraId="21D234F2" w14:textId="77777777" w:rsidR="00BE714A" w:rsidRDefault="00BE714A" w:rsidP="00BE714A">
      <w:pPr>
        <w:pStyle w:val="FirstParagraph"/>
      </w:pPr>
      <w:r>
        <w:t>where:</w:t>
      </w:r>
    </w:p>
    <w:p w14:paraId="1845E356" w14:textId="77777777" w:rsidR="00BE714A" w:rsidRDefault="00BE714A" w:rsidP="00BE714A">
      <w:pPr>
        <w:pStyle w:val="Compact"/>
        <w:numPr>
          <w:ilvl w:val="0"/>
          <w:numId w:val="40"/>
        </w:numPr>
      </w:pPr>
      <m:oMath>
        <m:r>
          <w:rPr>
            <w:rFonts w:ascii="Cambria Math" w:hAnsi="Cambria Math"/>
          </w:rPr>
          <m:t>t</m:t>
        </m:r>
      </m:oMath>
      <w:r>
        <w:t xml:space="preserve"> is the survival time;</w:t>
      </w:r>
    </w:p>
    <w:p w14:paraId="4C2F0F4A" w14:textId="77777777" w:rsidR="00BE714A" w:rsidRDefault="00BE714A" w:rsidP="00BE714A">
      <w:pPr>
        <w:pStyle w:val="Compact"/>
        <w:numPr>
          <w:ilvl w:val="0"/>
          <w:numId w:val="40"/>
        </w:numPr>
      </w:pP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the hazard function; and</w:t>
      </w:r>
    </w:p>
    <w:p w14:paraId="446A7ACD" w14:textId="77777777" w:rsidR="00BE714A" w:rsidRDefault="00BE714A" w:rsidP="00BE714A">
      <w:pPr>
        <w:pStyle w:val="Compact"/>
        <w:numPr>
          <w:ilvl w:val="0"/>
          <w:numId w:val="40"/>
        </w:numPr>
      </w:pP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are the covariates which determine the hazard function, while </w:t>
      </w: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oMath>
      <w:r>
        <w:t xml:space="preserve"> are the coefficients for each covariate.</w:t>
      </w:r>
    </w:p>
    <w:p w14:paraId="43F5DA0C" w14:textId="77777777" w:rsidR="00BE714A" w:rsidRDefault="00BE714A" w:rsidP="00BE714A">
      <w:pPr>
        <w:pStyle w:val="Compact"/>
        <w:numPr>
          <w:ilvl w:val="0"/>
          <w:numId w:val="40"/>
        </w:numPr>
      </w:pPr>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is the baseline hazard - when all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are zero, the </w:t>
      </w:r>
      <m:oMath>
        <m:r>
          <w:rPr>
            <w:rFonts w:ascii="Cambria Math" w:hAnsi="Cambria Math"/>
          </w:rPr>
          <m:t>exp</m:t>
        </m:r>
        <m:r>
          <m:rPr>
            <m:sty m:val="p"/>
          </m:rPr>
          <w:rPr>
            <w:rFonts w:ascii="Cambria Math" w:hAnsi="Cambria Math"/>
          </w:rPr>
          <m:t>()</m:t>
        </m:r>
      </m:oMath>
      <w:r>
        <w:t xml:space="preserve"> function resolves to 1.</w:t>
      </w:r>
    </w:p>
    <w:p w14:paraId="49BAD474" w14:textId="77777777" w:rsidR="00BE714A" w:rsidRDefault="00BE714A" w:rsidP="00BE714A">
      <w:pPr>
        <w:pStyle w:val="FirstParagraph"/>
      </w:pPr>
      <w:r>
        <w:t xml:space="preserve">As the values of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increases, value of </w:t>
      </w:r>
      <m:oMath>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t xml:space="preserve"> (i.e. the hazard ratio) increases in tandem, thus reducing the survival time, </w:t>
      </w:r>
      <m:oMath>
        <m:r>
          <w:rPr>
            <w:rFonts w:ascii="Cambria Math" w:hAnsi="Cambria Math"/>
          </w:rPr>
          <m:t>t</m:t>
        </m:r>
      </m:oMath>
      <w:r>
        <w:t>.</w:t>
      </w:r>
    </w:p>
    <w:p w14:paraId="1F7534AB" w14:textId="77777777" w:rsidR="00BE714A" w:rsidRDefault="00BE714A" w:rsidP="00BE714A">
      <w:pPr>
        <w:pStyle w:val="Heading3"/>
      </w:pPr>
      <w:bookmarkStart w:id="110" w:name="time-axis"/>
      <w:bookmarkEnd w:id="109"/>
      <w:r>
        <w:lastRenderedPageBreak/>
        <w:t>Time axis</w:t>
      </w:r>
    </w:p>
    <w:p w14:paraId="6E724562" w14:textId="77777777" w:rsidR="00BE714A" w:rsidRDefault="00BE714A" w:rsidP="00BE714A">
      <w:pPr>
        <w:pStyle w:val="FirstParagraph"/>
      </w:pPr>
      <w:r>
        <w:t>As part of a Cox proportional hazard model, there is the option to use either absolute time in cohort or participants age as the time scale of interest.</w:t>
      </w:r>
      <w:hyperlink w:anchor="ref-lamarca1998">
        <w:r>
          <w:rPr>
            <w:rStyle w:val="Hyperlink"/>
            <w:vertAlign w:val="superscript"/>
          </w:rPr>
          <w:t>178</w:t>
        </w:r>
      </w:hyperlink>
      <w:r>
        <w:rPr>
          <w:vertAlign w:val="superscript"/>
        </w:rPr>
        <w:t>–</w:t>
      </w:r>
      <w:hyperlink w:anchor="ref-pencina2007">
        <w:r>
          <w:rPr>
            <w:rStyle w:val="Hyperlink"/>
            <w:vertAlign w:val="superscript"/>
          </w:rPr>
          <w:t>180</w:t>
        </w:r>
      </w:hyperlink>
      <w:r>
        <w:t xml:space="preserve"> A model using age as the time axis inherently accounts, or adjusts, for participants age as a potential confounded of the exposure-outcome relationship. The main analyses presented all used age as the time axis.</w:t>
      </w:r>
    </w:p>
    <w:p w14:paraId="30DCA276" w14:textId="77777777" w:rsidR="00BE714A" w:rsidRDefault="00BE714A" w:rsidP="00BE714A">
      <w:pPr>
        <w:pStyle w:val="BodyText"/>
      </w:pPr>
      <w:r>
        <w:t>In order to explore whether the choice of time axis affects the results of the analysis,I ran two simple models, one using participants age as the time-scale and a second using absolute time-since-entry and adjusting for participant age.</w:t>
      </w:r>
    </w:p>
    <w:p w14:paraId="1B51450A" w14:textId="77777777" w:rsidR="00BE714A" w:rsidRDefault="00BE714A" w:rsidP="00BE714A">
      <w:pPr>
        <w:pStyle w:val="BodyText"/>
      </w:pPr>
      <w:r>
        <w:t xml:space="preserve">  </w:t>
      </w:r>
    </w:p>
    <w:p w14:paraId="17D23EA4" w14:textId="77777777" w:rsidR="00BE714A" w:rsidRDefault="00BE714A" w:rsidP="00BE714A">
      <w:pPr>
        <w:pStyle w:val="Heading3"/>
      </w:pPr>
      <w:bookmarkStart w:id="111" w:name="X6703dd2475d4c290d878ff7e24800f5e2c52bcd"/>
      <w:bookmarkEnd w:id="110"/>
      <w:r>
        <w:t>Immortal time bias and time-varying treatment indicators</w:t>
      </w:r>
    </w:p>
    <w:p w14:paraId="77B9E148" w14:textId="77777777" w:rsidR="00BE714A" w:rsidRDefault="00BE714A" w:rsidP="00BE714A">
      <w:pPr>
        <w:pStyle w:val="FirstParagraph"/>
      </w:pPr>
      <w:r>
        <w:t>Immortal time bias covers two distinct but related types of bias. The first presentation, the selection bias aspect (Panel A, Figure 5), occurs when time prior to exposure is excluded, leading to the exposed and control groups being followed up from different time points.</w:t>
      </w:r>
      <w:hyperlink w:anchor="ref-levesque2010a">
        <w:r>
          <w:rPr>
            <w:rStyle w:val="Hyperlink"/>
            <w:vertAlign w:val="superscript"/>
          </w:rPr>
          <w:t>181</w:t>
        </w:r>
      </w:hyperlink>
      <w:r>
        <w:t xml:space="preserve"> In this case, events that occur prior to the exposure event are missing from the analysis.</w:t>
      </w:r>
    </w:p>
    <w:p w14:paraId="310480D7" w14:textId="77777777" w:rsidR="00BE714A" w:rsidRDefault="00BE714A" w:rsidP="00BE714A">
      <w:pPr>
        <w:pStyle w:val="BodyText"/>
      </w:pPr>
      <w:r>
        <w:t>The second presentation of immortal time bias is as a type of misclassification bias (Panel B, Figure 5). It occurs when the exposure time prior to the exposure date, and any events occurring within it, is inappropriately assigned to the exposed group. This second presentation appears to be common in the existing literature, as many of the studies included in the review in Chapter 4 were identified as being at risk of immortal time bias following formal risk of bias assessment using the ROBINS-I tool (see Section @ref(#risk-of-bias-subheading))</w:t>
      </w:r>
    </w:p>
    <w:p w14:paraId="14CF9159" w14:textId="77777777" w:rsidR="00BE714A" w:rsidRDefault="00BE714A" w:rsidP="00BE714A">
      <w:pPr>
        <w:pStyle w:val="BodyText"/>
      </w:pPr>
      <w:r>
        <w:t>To address the potential for immortal time bias in our analysis, we employed a time-varying indicator of treatment status to correctly allocate time-at-risk to the exposed and unexposed groups.</w:t>
      </w:r>
      <w:hyperlink w:anchor="ref-levesque2010">
        <w:r>
          <w:rPr>
            <w:rStyle w:val="Hyperlink"/>
            <w:vertAlign w:val="superscript"/>
          </w:rPr>
          <w:t>182</w:t>
        </w:r>
      </w:hyperlink>
    </w:p>
    <w:p w14:paraId="7A07C39E" w14:textId="77777777" w:rsidR="00BE714A" w:rsidRDefault="00BE714A" w:rsidP="00BE714A">
      <w:pPr>
        <w:pStyle w:val="BodyText"/>
      </w:pPr>
      <w:r>
        <w:rPr>
          <w:noProof/>
        </w:rPr>
        <w:lastRenderedPageBreak/>
        <w:drawing>
          <wp:inline distT="0" distB="0" distL="0" distR="0" wp14:anchorId="1AE2A9A9" wp14:editId="04937E62">
            <wp:extent cx="5943600" cy="6491712"/>
            <wp:effectExtent l="0" t="0" r="0" b="0"/>
            <wp:docPr id="6" name="Picture" descr="Figure 5: Diagram illustrating immortal time bias"/>
            <wp:cNvGraphicFramePr/>
            <a:graphic xmlns:a="http://schemas.openxmlformats.org/drawingml/2006/main">
              <a:graphicData uri="http://schemas.openxmlformats.org/drawingml/2006/picture">
                <pic:pic xmlns:pic="http://schemas.openxmlformats.org/drawingml/2006/picture">
                  <pic:nvPicPr>
                    <pic:cNvPr id="0" name="Picture" descr="figures/sys-rev/prisma_flow.png"/>
                    <pic:cNvPicPr>
                      <a:picLocks noChangeAspect="1" noChangeArrowheads="1"/>
                    </pic:cNvPicPr>
                  </pic:nvPicPr>
                  <pic:blipFill>
                    <a:blip r:embed="rId17"/>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p w14:paraId="16E87EC2" w14:textId="77777777" w:rsidR="00BE714A" w:rsidRDefault="00BE714A" w:rsidP="00BE714A">
      <w:pPr>
        <w:pStyle w:val="Heading3"/>
      </w:pPr>
      <w:bookmarkStart w:id="112" w:name="sensitivity-analyses"/>
      <w:bookmarkEnd w:id="111"/>
      <w:r>
        <w:t>Sensitivity analyses</w:t>
      </w:r>
    </w:p>
    <w:p w14:paraId="7053A3C7" w14:textId="77777777" w:rsidR="00BE714A" w:rsidRDefault="00BE714A" w:rsidP="00BE714A">
      <w:pPr>
        <w:pStyle w:val="FirstParagraph"/>
      </w:pPr>
      <w:r>
        <w:t>To observe the effect of adjusting for additional covariates, I ran a model unadjusted except for age (captured via the time axis in the Cox model) and gender, and compared the results with the full adjusted model.</w:t>
      </w:r>
    </w:p>
    <w:p w14:paraId="53BEF830" w14:textId="77777777" w:rsidR="00BE714A" w:rsidRDefault="00BE714A" w:rsidP="00BE714A">
      <w:pPr>
        <w:pStyle w:val="BodyText"/>
      </w:pPr>
      <w:r>
        <w:t>Sensitivity cohorts were also created, stratifying first by year of entry into the cohort and second by remiving participants who may have been pregnant (as statins are contraindicated in pregnancy).</w:t>
      </w:r>
    </w:p>
    <w:p w14:paraId="60441CAE" w14:textId="77777777" w:rsidR="00BE714A" w:rsidRDefault="00BE714A" w:rsidP="00BE714A">
      <w:pPr>
        <w:pStyle w:val="BodyText"/>
      </w:pPr>
      <w:r>
        <w:lastRenderedPageBreak/>
        <w:t>Additional analyses stratified by outcome and drug class were also performed.</w:t>
      </w:r>
    </w:p>
    <w:p w14:paraId="300D37D9" w14:textId="77777777" w:rsidR="00BE714A" w:rsidRDefault="00BE714A" w:rsidP="00BE714A">
      <w:pPr>
        <w:pStyle w:val="BodyText"/>
      </w:pPr>
      <w:r>
        <w:t> </w:t>
      </w:r>
    </w:p>
    <w:p w14:paraId="0624443F" w14:textId="77777777" w:rsidR="00BE714A" w:rsidRDefault="00BE714A" w:rsidP="00BE714A">
      <w:pPr>
        <w:pStyle w:val="BodyText"/>
      </w:pPr>
      <w:r>
        <w:t>Exploring the results when using a different codelist</w:t>
      </w:r>
    </w:p>
    <w:p w14:paraId="385AD225" w14:textId="77777777" w:rsidR="00BE714A" w:rsidRDefault="00BE714A" w:rsidP="00BE714A">
      <w:pPr>
        <w:pStyle w:val="Heading2"/>
      </w:pPr>
      <w:bookmarkStart w:id="113" w:name="results-1"/>
      <w:bookmarkEnd w:id="101"/>
      <w:bookmarkEnd w:id="112"/>
      <w:r>
        <w:t>Results</w:t>
      </w:r>
    </w:p>
    <w:p w14:paraId="0F3CA432" w14:textId="77777777" w:rsidR="00BE714A" w:rsidRDefault="00BE714A" w:rsidP="00BE714A">
      <w:pPr>
        <w:pStyle w:val="Heading3"/>
      </w:pPr>
      <w:bookmarkStart w:id="114" w:name="patient-characteristics"/>
      <w:r>
        <w:t>Patient characteristics</w:t>
      </w:r>
    </w:p>
    <w:p w14:paraId="2473C1F8" w14:textId="77777777" w:rsidR="00BE714A" w:rsidRDefault="00BE714A" w:rsidP="00BE714A">
      <w:pPr>
        <w:pStyle w:val="FirstParagraph"/>
      </w:pPr>
      <w:r>
        <w:t>Of the 3,179,733 participants included in our extract, 1,684,564 met the inclusion criteria (Figure 6), with a total follow-up of 10,800,903 patient years at risk.</w:t>
      </w:r>
    </w:p>
    <w:p w14:paraId="07E51C97" w14:textId="77777777" w:rsidR="00BE714A" w:rsidRDefault="00BE714A" w:rsidP="00BE714A">
      <w:pPr>
        <w:pStyle w:val="BodyText"/>
      </w:pPr>
      <w:r>
        <w:t> </w:t>
      </w:r>
    </w:p>
    <w:p w14:paraId="7B8689FE" w14:textId="77777777" w:rsidR="00BE714A" w:rsidRDefault="00BE714A" w:rsidP="00BE714A">
      <w:pPr>
        <w:pStyle w:val="BodyText"/>
      </w:pPr>
      <w:r>
        <w:rPr>
          <w:noProof/>
        </w:rPr>
        <w:lastRenderedPageBreak/>
        <w:drawing>
          <wp:inline distT="0" distB="0" distL="0" distR="0" wp14:anchorId="29641BBE" wp14:editId="00890CF6">
            <wp:extent cx="5943600" cy="8192529"/>
            <wp:effectExtent l="0" t="0" r="0" b="0"/>
            <wp:docPr id="7" name="Picture" descr="Figure 6: Attrition of CPRD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figures/cprd-analysis/cohort_attrition_test.png"/>
                    <pic:cNvPicPr>
                      <a:picLocks noChangeAspect="1" noChangeArrowheads="1"/>
                    </pic:cNvPicPr>
                  </pic:nvPicPr>
                  <pic:blipFill>
                    <a:blip r:embed="rId18"/>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14:paraId="7368DDDD" w14:textId="77777777" w:rsidR="00BE714A" w:rsidRDefault="00BE714A" w:rsidP="00BE714A">
      <w:pPr>
        <w:pStyle w:val="BodyText"/>
      </w:pPr>
      <w:r>
        <w:lastRenderedPageBreak/>
        <w:t> </w:t>
      </w:r>
    </w:p>
    <w:p w14:paraId="19146C96" w14:textId="77777777" w:rsidR="00BE714A" w:rsidRDefault="00BE714A" w:rsidP="00BE714A">
      <w:pPr>
        <w:pStyle w:val="BodyText"/>
      </w:pPr>
      <w:r>
        <w:t>The median age at index was 57 years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 6.</w:t>
      </w:r>
    </w:p>
    <w:p w14:paraId="3F966F5D" w14:textId="77777777" w:rsidR="00BE714A" w:rsidRDefault="00BE714A" w:rsidP="00BE714A">
      <w:pPr>
        <w:pStyle w:val="TableCaption"/>
      </w:pPr>
      <w:r>
        <w:t>Table 6: Patient characteristics by drug class</w:t>
      </w:r>
    </w:p>
    <w:tbl>
      <w:tblPr>
        <w:tblW w:w="5000" w:type="pct"/>
        <w:tblLook w:val="0020" w:firstRow="1" w:lastRow="0" w:firstColumn="0" w:lastColumn="0" w:noHBand="0" w:noVBand="0"/>
      </w:tblPr>
      <w:tblGrid>
        <w:gridCol w:w="396"/>
        <w:gridCol w:w="1160"/>
        <w:gridCol w:w="968"/>
        <w:gridCol w:w="878"/>
        <w:gridCol w:w="878"/>
        <w:gridCol w:w="1107"/>
        <w:gridCol w:w="909"/>
        <w:gridCol w:w="909"/>
        <w:gridCol w:w="786"/>
        <w:gridCol w:w="836"/>
        <w:gridCol w:w="749"/>
      </w:tblGrid>
      <w:tr w:rsidR="00BE714A" w14:paraId="70F35881" w14:textId="77777777" w:rsidTr="003C1DD4">
        <w:tc>
          <w:tcPr>
            <w:tcW w:w="0" w:type="auto"/>
          </w:tcPr>
          <w:p w14:paraId="093B1775" w14:textId="77777777" w:rsidR="00BE714A" w:rsidRDefault="00BE714A" w:rsidP="003C1DD4"/>
        </w:tc>
        <w:tc>
          <w:tcPr>
            <w:tcW w:w="0" w:type="auto"/>
          </w:tcPr>
          <w:p w14:paraId="3AFFA0B9" w14:textId="77777777" w:rsidR="00BE714A" w:rsidRDefault="00BE714A" w:rsidP="003C1DD4"/>
        </w:tc>
        <w:tc>
          <w:tcPr>
            <w:tcW w:w="0" w:type="auto"/>
          </w:tcPr>
          <w:p w14:paraId="7BC59C0A" w14:textId="77777777" w:rsidR="00BE714A" w:rsidRDefault="00BE714A" w:rsidP="003C1DD4">
            <w:pPr>
              <w:pStyle w:val="Compact"/>
            </w:pPr>
            <w:r>
              <w:t>Whole Sample</w:t>
            </w:r>
          </w:p>
        </w:tc>
        <w:tc>
          <w:tcPr>
            <w:tcW w:w="0" w:type="auto"/>
          </w:tcPr>
          <w:p w14:paraId="67002CBB" w14:textId="77777777" w:rsidR="00BE714A" w:rsidRDefault="00BE714A" w:rsidP="003C1DD4">
            <w:pPr>
              <w:pStyle w:val="Compact"/>
            </w:pPr>
            <w:r>
              <w:t>None</w:t>
            </w:r>
          </w:p>
        </w:tc>
        <w:tc>
          <w:tcPr>
            <w:tcW w:w="0" w:type="auto"/>
          </w:tcPr>
          <w:p w14:paraId="0CC100F1" w14:textId="77777777" w:rsidR="00BE714A" w:rsidRDefault="00BE714A" w:rsidP="003C1DD4">
            <w:pPr>
              <w:pStyle w:val="Compact"/>
            </w:pPr>
            <w:r>
              <w:t>Statins</w:t>
            </w:r>
          </w:p>
        </w:tc>
        <w:tc>
          <w:tcPr>
            <w:tcW w:w="0" w:type="auto"/>
          </w:tcPr>
          <w:p w14:paraId="634DCC74" w14:textId="77777777" w:rsidR="00BE714A" w:rsidRDefault="00BE714A" w:rsidP="003C1DD4">
            <w:pPr>
              <w:pStyle w:val="Compact"/>
            </w:pPr>
            <w:r>
              <w:t>Bile acid sequestrants</w:t>
            </w:r>
          </w:p>
        </w:tc>
        <w:tc>
          <w:tcPr>
            <w:tcW w:w="0" w:type="auto"/>
          </w:tcPr>
          <w:p w14:paraId="3AA9731B" w14:textId="77777777" w:rsidR="00BE714A" w:rsidRDefault="00BE714A" w:rsidP="003C1DD4">
            <w:pPr>
              <w:pStyle w:val="Compact"/>
            </w:pPr>
            <w:r>
              <w:t>Ezetimibe</w:t>
            </w:r>
          </w:p>
        </w:tc>
        <w:tc>
          <w:tcPr>
            <w:tcW w:w="0" w:type="auto"/>
          </w:tcPr>
          <w:p w14:paraId="11B19B0B" w14:textId="77777777" w:rsidR="00BE714A" w:rsidRDefault="00BE714A" w:rsidP="003C1DD4">
            <w:pPr>
              <w:pStyle w:val="Compact"/>
            </w:pPr>
            <w:r>
              <w:t>Ezetimibe &amp; Statins</w:t>
            </w:r>
          </w:p>
        </w:tc>
        <w:tc>
          <w:tcPr>
            <w:tcW w:w="0" w:type="auto"/>
          </w:tcPr>
          <w:p w14:paraId="6595AC5E" w14:textId="77777777" w:rsidR="00BE714A" w:rsidRDefault="00BE714A" w:rsidP="003C1DD4">
            <w:pPr>
              <w:pStyle w:val="Compact"/>
            </w:pPr>
            <w:r>
              <w:t>Fibrates</w:t>
            </w:r>
          </w:p>
        </w:tc>
        <w:tc>
          <w:tcPr>
            <w:tcW w:w="0" w:type="auto"/>
          </w:tcPr>
          <w:p w14:paraId="3A0274E8" w14:textId="77777777" w:rsidR="00BE714A" w:rsidRDefault="00BE714A" w:rsidP="003C1DD4">
            <w:pPr>
              <w:pStyle w:val="Compact"/>
            </w:pPr>
            <w:r>
              <w:t>Nicotinic acid groups</w:t>
            </w:r>
          </w:p>
        </w:tc>
        <w:tc>
          <w:tcPr>
            <w:tcW w:w="0" w:type="auto"/>
          </w:tcPr>
          <w:p w14:paraId="0B4BAB32" w14:textId="77777777" w:rsidR="00BE714A" w:rsidRDefault="00BE714A" w:rsidP="003C1DD4">
            <w:pPr>
              <w:pStyle w:val="Compact"/>
            </w:pPr>
            <w:r>
              <w:t>Omega-3 Fatty Acid Groups</w:t>
            </w:r>
          </w:p>
        </w:tc>
      </w:tr>
      <w:tr w:rsidR="00BE714A" w14:paraId="573652B5" w14:textId="77777777" w:rsidTr="003C1DD4">
        <w:tc>
          <w:tcPr>
            <w:tcW w:w="0" w:type="auto"/>
          </w:tcPr>
          <w:p w14:paraId="429747AC" w14:textId="77777777" w:rsidR="00BE714A" w:rsidRDefault="00BE714A" w:rsidP="003C1DD4">
            <w:pPr>
              <w:pStyle w:val="Compact"/>
            </w:pPr>
            <w:r>
              <w:t>2</w:t>
            </w:r>
          </w:p>
        </w:tc>
        <w:tc>
          <w:tcPr>
            <w:tcW w:w="0" w:type="auto"/>
          </w:tcPr>
          <w:p w14:paraId="40A5603C" w14:textId="77777777" w:rsidR="00BE714A" w:rsidRDefault="00BE714A" w:rsidP="003C1DD4">
            <w:pPr>
              <w:pStyle w:val="Compact"/>
            </w:pPr>
            <w:r>
              <w:t>Sample size</w:t>
            </w:r>
          </w:p>
        </w:tc>
        <w:tc>
          <w:tcPr>
            <w:tcW w:w="0" w:type="auto"/>
          </w:tcPr>
          <w:p w14:paraId="2369B3F7" w14:textId="77777777" w:rsidR="00BE714A" w:rsidRDefault="00BE714A" w:rsidP="003C1DD4">
            <w:pPr>
              <w:pStyle w:val="Compact"/>
            </w:pPr>
            <w:r>
              <w:t>1695683</w:t>
            </w:r>
          </w:p>
        </w:tc>
        <w:tc>
          <w:tcPr>
            <w:tcW w:w="0" w:type="auto"/>
          </w:tcPr>
          <w:p w14:paraId="2929E03A" w14:textId="77777777" w:rsidR="00BE714A" w:rsidRDefault="00BE714A" w:rsidP="003C1DD4">
            <w:pPr>
              <w:pStyle w:val="Compact"/>
            </w:pPr>
            <w:r>
              <w:t>1095857</w:t>
            </w:r>
          </w:p>
        </w:tc>
        <w:tc>
          <w:tcPr>
            <w:tcW w:w="0" w:type="auto"/>
          </w:tcPr>
          <w:p w14:paraId="468BCE36" w14:textId="77777777" w:rsidR="00BE714A" w:rsidRDefault="00BE714A" w:rsidP="003C1DD4">
            <w:pPr>
              <w:pStyle w:val="Compact"/>
            </w:pPr>
            <w:r>
              <w:t>588455</w:t>
            </w:r>
          </w:p>
        </w:tc>
        <w:tc>
          <w:tcPr>
            <w:tcW w:w="0" w:type="auto"/>
          </w:tcPr>
          <w:p w14:paraId="7C72CFD8" w14:textId="77777777" w:rsidR="00BE714A" w:rsidRDefault="00BE714A" w:rsidP="003C1DD4">
            <w:pPr>
              <w:pStyle w:val="Compact"/>
            </w:pPr>
            <w:r>
              <w:t>5417</w:t>
            </w:r>
          </w:p>
        </w:tc>
        <w:tc>
          <w:tcPr>
            <w:tcW w:w="0" w:type="auto"/>
          </w:tcPr>
          <w:p w14:paraId="5B9C96B1" w14:textId="77777777" w:rsidR="00BE714A" w:rsidRDefault="00BE714A" w:rsidP="003C1DD4">
            <w:pPr>
              <w:pStyle w:val="Compact"/>
            </w:pPr>
            <w:r>
              <w:t>766</w:t>
            </w:r>
          </w:p>
        </w:tc>
        <w:tc>
          <w:tcPr>
            <w:tcW w:w="0" w:type="auto"/>
          </w:tcPr>
          <w:p w14:paraId="214DDCA5" w14:textId="77777777" w:rsidR="00BE714A" w:rsidRDefault="00BE714A" w:rsidP="003C1DD4">
            <w:pPr>
              <w:pStyle w:val="Compact"/>
            </w:pPr>
            <w:r>
              <w:t>127</w:t>
            </w:r>
          </w:p>
        </w:tc>
        <w:tc>
          <w:tcPr>
            <w:tcW w:w="0" w:type="auto"/>
          </w:tcPr>
          <w:p w14:paraId="43165F56" w14:textId="77777777" w:rsidR="00BE714A" w:rsidRDefault="00BE714A" w:rsidP="003C1DD4">
            <w:pPr>
              <w:pStyle w:val="Compact"/>
            </w:pPr>
            <w:r>
              <w:t>3896</w:t>
            </w:r>
          </w:p>
        </w:tc>
        <w:tc>
          <w:tcPr>
            <w:tcW w:w="0" w:type="auto"/>
          </w:tcPr>
          <w:p w14:paraId="4C544553" w14:textId="77777777" w:rsidR="00BE714A" w:rsidRDefault="00BE714A" w:rsidP="003C1DD4">
            <w:pPr>
              <w:pStyle w:val="Compact"/>
            </w:pPr>
            <w:r>
              <w:t>168</w:t>
            </w:r>
          </w:p>
        </w:tc>
        <w:tc>
          <w:tcPr>
            <w:tcW w:w="0" w:type="auto"/>
          </w:tcPr>
          <w:p w14:paraId="57F46E3F" w14:textId="77777777" w:rsidR="00BE714A" w:rsidRDefault="00BE714A" w:rsidP="003C1DD4">
            <w:pPr>
              <w:pStyle w:val="Compact"/>
            </w:pPr>
            <w:r>
              <w:t>997</w:t>
            </w:r>
          </w:p>
        </w:tc>
      </w:tr>
      <w:tr w:rsidR="00BE714A" w14:paraId="6664EA19" w14:textId="77777777" w:rsidTr="003C1DD4">
        <w:tc>
          <w:tcPr>
            <w:tcW w:w="0" w:type="auto"/>
          </w:tcPr>
          <w:p w14:paraId="5A0FD234" w14:textId="77777777" w:rsidR="00BE714A" w:rsidRDefault="00BE714A" w:rsidP="003C1DD4">
            <w:pPr>
              <w:pStyle w:val="Compact"/>
            </w:pPr>
            <w:r>
              <w:t>3</w:t>
            </w:r>
          </w:p>
        </w:tc>
        <w:tc>
          <w:tcPr>
            <w:tcW w:w="0" w:type="auto"/>
          </w:tcPr>
          <w:p w14:paraId="2BFFF6AC" w14:textId="77777777" w:rsidR="00BE714A" w:rsidRDefault="00BE714A" w:rsidP="003C1DD4">
            <w:pPr>
              <w:pStyle w:val="Compact"/>
            </w:pPr>
            <w:r>
              <w:t>Index year (median)</w:t>
            </w:r>
          </w:p>
        </w:tc>
        <w:tc>
          <w:tcPr>
            <w:tcW w:w="0" w:type="auto"/>
          </w:tcPr>
          <w:p w14:paraId="15A6FFE6" w14:textId="77777777" w:rsidR="00BE714A" w:rsidRDefault="00BE714A" w:rsidP="003C1DD4">
            <w:pPr>
              <w:pStyle w:val="Compact"/>
            </w:pPr>
            <w:r>
              <w:t>2006</w:t>
            </w:r>
          </w:p>
        </w:tc>
        <w:tc>
          <w:tcPr>
            <w:tcW w:w="0" w:type="auto"/>
          </w:tcPr>
          <w:p w14:paraId="42B3E51C" w14:textId="77777777" w:rsidR="00BE714A" w:rsidRDefault="00BE714A" w:rsidP="003C1DD4">
            <w:pPr>
              <w:pStyle w:val="Compact"/>
            </w:pPr>
            <w:r>
              <w:t>2007</w:t>
            </w:r>
          </w:p>
        </w:tc>
        <w:tc>
          <w:tcPr>
            <w:tcW w:w="0" w:type="auto"/>
          </w:tcPr>
          <w:p w14:paraId="0A6932C0" w14:textId="77777777" w:rsidR="00BE714A" w:rsidRDefault="00BE714A" w:rsidP="003C1DD4">
            <w:pPr>
              <w:pStyle w:val="Compact"/>
            </w:pPr>
            <w:r>
              <w:t>2004</w:t>
            </w:r>
          </w:p>
        </w:tc>
        <w:tc>
          <w:tcPr>
            <w:tcW w:w="0" w:type="auto"/>
          </w:tcPr>
          <w:p w14:paraId="00CC9F7C" w14:textId="77777777" w:rsidR="00BE714A" w:rsidRDefault="00BE714A" w:rsidP="003C1DD4">
            <w:pPr>
              <w:pStyle w:val="Compact"/>
            </w:pPr>
            <w:r>
              <w:t>2005</w:t>
            </w:r>
          </w:p>
        </w:tc>
        <w:tc>
          <w:tcPr>
            <w:tcW w:w="0" w:type="auto"/>
          </w:tcPr>
          <w:p w14:paraId="450F0035" w14:textId="77777777" w:rsidR="00BE714A" w:rsidRDefault="00BE714A" w:rsidP="003C1DD4">
            <w:pPr>
              <w:pStyle w:val="Compact"/>
            </w:pPr>
            <w:r>
              <w:t>2004</w:t>
            </w:r>
          </w:p>
        </w:tc>
        <w:tc>
          <w:tcPr>
            <w:tcW w:w="0" w:type="auto"/>
          </w:tcPr>
          <w:p w14:paraId="6B87D8E1" w14:textId="77777777" w:rsidR="00BE714A" w:rsidRDefault="00BE714A" w:rsidP="003C1DD4">
            <w:pPr>
              <w:pStyle w:val="Compact"/>
            </w:pPr>
            <w:r>
              <w:t>2005</w:t>
            </w:r>
          </w:p>
        </w:tc>
        <w:tc>
          <w:tcPr>
            <w:tcW w:w="0" w:type="auto"/>
          </w:tcPr>
          <w:p w14:paraId="55981D0F" w14:textId="77777777" w:rsidR="00BE714A" w:rsidRDefault="00BE714A" w:rsidP="003C1DD4">
            <w:pPr>
              <w:pStyle w:val="Compact"/>
            </w:pPr>
            <w:r>
              <w:t>2001</w:t>
            </w:r>
          </w:p>
        </w:tc>
        <w:tc>
          <w:tcPr>
            <w:tcW w:w="0" w:type="auto"/>
          </w:tcPr>
          <w:p w14:paraId="479FA2E3" w14:textId="77777777" w:rsidR="00BE714A" w:rsidRDefault="00BE714A" w:rsidP="003C1DD4">
            <w:pPr>
              <w:pStyle w:val="Compact"/>
            </w:pPr>
            <w:r>
              <w:t>2001</w:t>
            </w:r>
          </w:p>
        </w:tc>
        <w:tc>
          <w:tcPr>
            <w:tcW w:w="0" w:type="auto"/>
          </w:tcPr>
          <w:p w14:paraId="5238C185" w14:textId="77777777" w:rsidR="00BE714A" w:rsidRDefault="00BE714A" w:rsidP="003C1DD4">
            <w:pPr>
              <w:pStyle w:val="Compact"/>
            </w:pPr>
            <w:r>
              <w:t>2005</w:t>
            </w:r>
          </w:p>
        </w:tc>
      </w:tr>
      <w:tr w:rsidR="00BE714A" w14:paraId="1D00364A" w14:textId="77777777" w:rsidTr="003C1DD4">
        <w:tc>
          <w:tcPr>
            <w:tcW w:w="0" w:type="auto"/>
          </w:tcPr>
          <w:p w14:paraId="4875B8AB" w14:textId="77777777" w:rsidR="00BE714A" w:rsidRDefault="00BE714A" w:rsidP="003C1DD4">
            <w:pPr>
              <w:pStyle w:val="Compact"/>
            </w:pPr>
            <w:r>
              <w:t>4</w:t>
            </w:r>
          </w:p>
        </w:tc>
        <w:tc>
          <w:tcPr>
            <w:tcW w:w="0" w:type="auto"/>
          </w:tcPr>
          <w:p w14:paraId="673A4E10" w14:textId="77777777" w:rsidR="00BE714A" w:rsidRDefault="00BE714A" w:rsidP="003C1DD4">
            <w:pPr>
              <w:pStyle w:val="Compact"/>
            </w:pPr>
            <w:r>
              <w:t>Female</w:t>
            </w:r>
          </w:p>
        </w:tc>
        <w:tc>
          <w:tcPr>
            <w:tcW w:w="0" w:type="auto"/>
          </w:tcPr>
          <w:p w14:paraId="42D1A2C4" w14:textId="77777777" w:rsidR="00BE714A" w:rsidRDefault="00BE714A" w:rsidP="003C1DD4">
            <w:pPr>
              <w:pStyle w:val="Compact"/>
            </w:pPr>
            <w:r>
              <w:t>53.1% (900847)</w:t>
            </w:r>
          </w:p>
        </w:tc>
        <w:tc>
          <w:tcPr>
            <w:tcW w:w="0" w:type="auto"/>
          </w:tcPr>
          <w:p w14:paraId="7F5E02B4" w14:textId="77777777" w:rsidR="00BE714A" w:rsidRDefault="00BE714A" w:rsidP="003C1DD4">
            <w:pPr>
              <w:pStyle w:val="Compact"/>
            </w:pPr>
            <w:r>
              <w:t>56.3% (616801)</w:t>
            </w:r>
          </w:p>
        </w:tc>
        <w:tc>
          <w:tcPr>
            <w:tcW w:w="0" w:type="auto"/>
          </w:tcPr>
          <w:p w14:paraId="549ABADC" w14:textId="77777777" w:rsidR="00BE714A" w:rsidRDefault="00BE714A" w:rsidP="003C1DD4">
            <w:pPr>
              <w:pStyle w:val="Compact"/>
            </w:pPr>
            <w:r>
              <w:t>47.2% (277841)</w:t>
            </w:r>
          </w:p>
        </w:tc>
        <w:tc>
          <w:tcPr>
            <w:tcW w:w="0" w:type="auto"/>
          </w:tcPr>
          <w:p w14:paraId="4EFF7358" w14:textId="77777777" w:rsidR="00BE714A" w:rsidRDefault="00BE714A" w:rsidP="003C1DD4">
            <w:pPr>
              <w:pStyle w:val="Compact"/>
            </w:pPr>
            <w:r>
              <w:t>66.4% (3598)</w:t>
            </w:r>
          </w:p>
        </w:tc>
        <w:tc>
          <w:tcPr>
            <w:tcW w:w="0" w:type="auto"/>
          </w:tcPr>
          <w:p w14:paraId="38F8E69D" w14:textId="77777777" w:rsidR="00BE714A" w:rsidRDefault="00BE714A" w:rsidP="003C1DD4">
            <w:pPr>
              <w:pStyle w:val="Compact"/>
            </w:pPr>
            <w:r>
              <w:t>54.6% (418)</w:t>
            </w:r>
          </w:p>
        </w:tc>
        <w:tc>
          <w:tcPr>
            <w:tcW w:w="0" w:type="auto"/>
          </w:tcPr>
          <w:p w14:paraId="3FB3E13D" w14:textId="77777777" w:rsidR="00BE714A" w:rsidRDefault="00BE714A" w:rsidP="003C1DD4">
            <w:pPr>
              <w:pStyle w:val="Compact"/>
            </w:pPr>
            <w:r>
              <w:t>52.8% (67)</w:t>
            </w:r>
          </w:p>
        </w:tc>
        <w:tc>
          <w:tcPr>
            <w:tcW w:w="0" w:type="auto"/>
          </w:tcPr>
          <w:p w14:paraId="72D4B095" w14:textId="77777777" w:rsidR="00BE714A" w:rsidRDefault="00BE714A" w:rsidP="003C1DD4">
            <w:pPr>
              <w:pStyle w:val="Compact"/>
            </w:pPr>
            <w:r>
              <w:t>38.6% (1505)</w:t>
            </w:r>
          </w:p>
        </w:tc>
        <w:tc>
          <w:tcPr>
            <w:tcW w:w="0" w:type="auto"/>
          </w:tcPr>
          <w:p w14:paraId="648732A5" w14:textId="77777777" w:rsidR="00BE714A" w:rsidRDefault="00BE714A" w:rsidP="003C1DD4">
            <w:pPr>
              <w:pStyle w:val="Compact"/>
            </w:pPr>
            <w:r>
              <w:t>54.8% (92)</w:t>
            </w:r>
          </w:p>
        </w:tc>
        <w:tc>
          <w:tcPr>
            <w:tcW w:w="0" w:type="auto"/>
          </w:tcPr>
          <w:p w14:paraId="31AEE126" w14:textId="77777777" w:rsidR="00BE714A" w:rsidRDefault="00BE714A" w:rsidP="003C1DD4">
            <w:pPr>
              <w:pStyle w:val="Compact"/>
            </w:pPr>
            <w:r>
              <w:t>52.7% (525)</w:t>
            </w:r>
          </w:p>
        </w:tc>
      </w:tr>
      <w:tr w:rsidR="00BE714A" w14:paraId="19F79D20" w14:textId="77777777" w:rsidTr="003C1DD4">
        <w:tc>
          <w:tcPr>
            <w:tcW w:w="0" w:type="auto"/>
          </w:tcPr>
          <w:p w14:paraId="2C2F734D" w14:textId="77777777" w:rsidR="00BE714A" w:rsidRDefault="00BE714A" w:rsidP="003C1DD4">
            <w:pPr>
              <w:pStyle w:val="Compact"/>
            </w:pPr>
            <w:r>
              <w:t>5</w:t>
            </w:r>
          </w:p>
        </w:tc>
        <w:tc>
          <w:tcPr>
            <w:tcW w:w="0" w:type="auto"/>
          </w:tcPr>
          <w:p w14:paraId="33671037" w14:textId="77777777" w:rsidR="00BE714A" w:rsidRDefault="00BE714A" w:rsidP="003C1DD4">
            <w:pPr>
              <w:pStyle w:val="Compact"/>
            </w:pPr>
            <w:r>
              <w:t>Age</w:t>
            </w:r>
          </w:p>
        </w:tc>
        <w:tc>
          <w:tcPr>
            <w:tcW w:w="0" w:type="auto"/>
          </w:tcPr>
          <w:p w14:paraId="13E5CD26" w14:textId="77777777" w:rsidR="00BE714A" w:rsidRDefault="00BE714A" w:rsidP="003C1DD4">
            <w:pPr>
              <w:pStyle w:val="Compact"/>
            </w:pPr>
            <w:r>
              <w:t>57</w:t>
            </w:r>
          </w:p>
        </w:tc>
        <w:tc>
          <w:tcPr>
            <w:tcW w:w="0" w:type="auto"/>
          </w:tcPr>
          <w:p w14:paraId="71FBE300" w14:textId="77777777" w:rsidR="00BE714A" w:rsidRDefault="00BE714A" w:rsidP="003C1DD4">
            <w:pPr>
              <w:pStyle w:val="Compact"/>
            </w:pPr>
            <w:r>
              <w:t>54</w:t>
            </w:r>
          </w:p>
        </w:tc>
        <w:tc>
          <w:tcPr>
            <w:tcW w:w="0" w:type="auto"/>
          </w:tcPr>
          <w:p w14:paraId="674059AE" w14:textId="77777777" w:rsidR="00BE714A" w:rsidRDefault="00BE714A" w:rsidP="003C1DD4">
            <w:pPr>
              <w:pStyle w:val="Compact"/>
            </w:pPr>
            <w:r>
              <w:t>62</w:t>
            </w:r>
          </w:p>
        </w:tc>
        <w:tc>
          <w:tcPr>
            <w:tcW w:w="0" w:type="auto"/>
          </w:tcPr>
          <w:p w14:paraId="2ABD4A98" w14:textId="77777777" w:rsidR="00BE714A" w:rsidRDefault="00BE714A" w:rsidP="003C1DD4">
            <w:pPr>
              <w:pStyle w:val="Compact"/>
            </w:pPr>
            <w:r>
              <w:t>57</w:t>
            </w:r>
          </w:p>
        </w:tc>
        <w:tc>
          <w:tcPr>
            <w:tcW w:w="0" w:type="auto"/>
          </w:tcPr>
          <w:p w14:paraId="3AE36FA7" w14:textId="77777777" w:rsidR="00BE714A" w:rsidRDefault="00BE714A" w:rsidP="003C1DD4">
            <w:pPr>
              <w:pStyle w:val="Compact"/>
            </w:pPr>
            <w:r>
              <w:t>60</w:t>
            </w:r>
          </w:p>
        </w:tc>
        <w:tc>
          <w:tcPr>
            <w:tcW w:w="0" w:type="auto"/>
          </w:tcPr>
          <w:p w14:paraId="423F299E" w14:textId="77777777" w:rsidR="00BE714A" w:rsidRDefault="00BE714A" w:rsidP="003C1DD4">
            <w:pPr>
              <w:pStyle w:val="Compact"/>
            </w:pPr>
            <w:r>
              <w:t>57</w:t>
            </w:r>
          </w:p>
        </w:tc>
        <w:tc>
          <w:tcPr>
            <w:tcW w:w="0" w:type="auto"/>
          </w:tcPr>
          <w:p w14:paraId="0C2C64F9" w14:textId="77777777" w:rsidR="00BE714A" w:rsidRDefault="00BE714A" w:rsidP="003C1DD4">
            <w:pPr>
              <w:pStyle w:val="Compact"/>
            </w:pPr>
            <w:r>
              <w:t>58</w:t>
            </w:r>
          </w:p>
        </w:tc>
        <w:tc>
          <w:tcPr>
            <w:tcW w:w="0" w:type="auto"/>
          </w:tcPr>
          <w:p w14:paraId="1E2A5E61" w14:textId="77777777" w:rsidR="00BE714A" w:rsidRDefault="00BE714A" w:rsidP="003C1DD4">
            <w:pPr>
              <w:pStyle w:val="Compact"/>
            </w:pPr>
            <w:r>
              <w:t>62</w:t>
            </w:r>
          </w:p>
        </w:tc>
        <w:tc>
          <w:tcPr>
            <w:tcW w:w="0" w:type="auto"/>
          </w:tcPr>
          <w:p w14:paraId="5A73725F" w14:textId="77777777" w:rsidR="00BE714A" w:rsidRDefault="00BE714A" w:rsidP="003C1DD4">
            <w:pPr>
              <w:pStyle w:val="Compact"/>
            </w:pPr>
            <w:r>
              <w:t>56</w:t>
            </w:r>
          </w:p>
        </w:tc>
      </w:tr>
      <w:tr w:rsidR="00BE714A" w14:paraId="625AE40A" w14:textId="77777777" w:rsidTr="003C1DD4">
        <w:tc>
          <w:tcPr>
            <w:tcW w:w="0" w:type="auto"/>
          </w:tcPr>
          <w:p w14:paraId="4B539CB5" w14:textId="77777777" w:rsidR="00BE714A" w:rsidRDefault="00BE714A" w:rsidP="003C1DD4">
            <w:pPr>
              <w:pStyle w:val="Compact"/>
            </w:pPr>
            <w:r>
              <w:t>6</w:t>
            </w:r>
          </w:p>
        </w:tc>
        <w:tc>
          <w:tcPr>
            <w:tcW w:w="0" w:type="auto"/>
          </w:tcPr>
          <w:p w14:paraId="61AF9B8D" w14:textId="77777777" w:rsidR="00BE714A" w:rsidRDefault="00BE714A" w:rsidP="003C1DD4">
            <w:pPr>
              <w:pStyle w:val="Compact"/>
            </w:pPr>
            <w:r>
              <w:t>CAD</w:t>
            </w:r>
          </w:p>
        </w:tc>
        <w:tc>
          <w:tcPr>
            <w:tcW w:w="0" w:type="auto"/>
          </w:tcPr>
          <w:p w14:paraId="28EF5B39" w14:textId="77777777" w:rsidR="00BE714A" w:rsidRDefault="00BE714A" w:rsidP="003C1DD4">
            <w:pPr>
              <w:pStyle w:val="Compact"/>
            </w:pPr>
            <w:r>
              <w:t>0.4% (7180)</w:t>
            </w:r>
          </w:p>
        </w:tc>
        <w:tc>
          <w:tcPr>
            <w:tcW w:w="0" w:type="auto"/>
          </w:tcPr>
          <w:p w14:paraId="018B5BDF" w14:textId="77777777" w:rsidR="00BE714A" w:rsidRDefault="00BE714A" w:rsidP="003C1DD4">
            <w:pPr>
              <w:pStyle w:val="Compact"/>
            </w:pPr>
            <w:r>
              <w:t>0.1% (614)</w:t>
            </w:r>
          </w:p>
        </w:tc>
        <w:tc>
          <w:tcPr>
            <w:tcW w:w="0" w:type="auto"/>
          </w:tcPr>
          <w:p w14:paraId="5A503C66" w14:textId="77777777" w:rsidR="00BE714A" w:rsidRDefault="00BE714A" w:rsidP="003C1DD4">
            <w:pPr>
              <w:pStyle w:val="Compact"/>
            </w:pPr>
            <w:r>
              <w:t>1.1% (6487)</w:t>
            </w:r>
          </w:p>
        </w:tc>
        <w:tc>
          <w:tcPr>
            <w:tcW w:w="0" w:type="auto"/>
          </w:tcPr>
          <w:p w14:paraId="5329EC59" w14:textId="77777777" w:rsidR="00BE714A" w:rsidRDefault="00BE714A" w:rsidP="003C1DD4">
            <w:pPr>
              <w:pStyle w:val="Compact"/>
            </w:pPr>
            <w:r>
              <w:t>0.1% (6)</w:t>
            </w:r>
          </w:p>
        </w:tc>
        <w:tc>
          <w:tcPr>
            <w:tcW w:w="0" w:type="auto"/>
          </w:tcPr>
          <w:p w14:paraId="0A5CE8BA" w14:textId="77777777" w:rsidR="00BE714A" w:rsidRDefault="00BE714A" w:rsidP="003C1DD4">
            <w:pPr>
              <w:pStyle w:val="Compact"/>
            </w:pPr>
            <w:r>
              <w:t>0.9% (7)</w:t>
            </w:r>
          </w:p>
        </w:tc>
        <w:tc>
          <w:tcPr>
            <w:tcW w:w="0" w:type="auto"/>
          </w:tcPr>
          <w:p w14:paraId="2958EB9B" w14:textId="77777777" w:rsidR="00BE714A" w:rsidRDefault="00BE714A" w:rsidP="003C1DD4">
            <w:pPr>
              <w:pStyle w:val="Compact"/>
            </w:pPr>
            <w:r>
              <w:t>0.0% (0)</w:t>
            </w:r>
          </w:p>
        </w:tc>
        <w:tc>
          <w:tcPr>
            <w:tcW w:w="0" w:type="auto"/>
          </w:tcPr>
          <w:p w14:paraId="53537073" w14:textId="77777777" w:rsidR="00BE714A" w:rsidRDefault="00BE714A" w:rsidP="003C1DD4">
            <w:pPr>
              <w:pStyle w:val="Compact"/>
            </w:pPr>
            <w:r>
              <w:t>1.4% (53)</w:t>
            </w:r>
          </w:p>
        </w:tc>
        <w:tc>
          <w:tcPr>
            <w:tcW w:w="0" w:type="auto"/>
          </w:tcPr>
          <w:p w14:paraId="430DCF22" w14:textId="77777777" w:rsidR="00BE714A" w:rsidRDefault="00BE714A" w:rsidP="003C1DD4">
            <w:pPr>
              <w:pStyle w:val="Compact"/>
            </w:pPr>
            <w:r>
              <w:t>0.0% (0)</w:t>
            </w:r>
          </w:p>
        </w:tc>
        <w:tc>
          <w:tcPr>
            <w:tcW w:w="0" w:type="auto"/>
          </w:tcPr>
          <w:p w14:paraId="03D01FA6" w14:textId="77777777" w:rsidR="00BE714A" w:rsidRDefault="00BE714A" w:rsidP="003C1DD4">
            <w:pPr>
              <w:pStyle w:val="Compact"/>
            </w:pPr>
            <w:r>
              <w:t>1.3% (13)</w:t>
            </w:r>
          </w:p>
        </w:tc>
      </w:tr>
      <w:tr w:rsidR="00BE714A" w14:paraId="665FCEF0" w14:textId="77777777" w:rsidTr="003C1DD4">
        <w:tc>
          <w:tcPr>
            <w:tcW w:w="0" w:type="auto"/>
          </w:tcPr>
          <w:p w14:paraId="53EB5170" w14:textId="77777777" w:rsidR="00BE714A" w:rsidRDefault="00BE714A" w:rsidP="003C1DD4">
            <w:pPr>
              <w:pStyle w:val="Compact"/>
            </w:pPr>
            <w:r>
              <w:t>7</w:t>
            </w:r>
          </w:p>
        </w:tc>
        <w:tc>
          <w:tcPr>
            <w:tcW w:w="0" w:type="auto"/>
          </w:tcPr>
          <w:p w14:paraId="05A00E8E" w14:textId="77777777" w:rsidR="00BE714A" w:rsidRDefault="00BE714A" w:rsidP="003C1DD4">
            <w:pPr>
              <w:pStyle w:val="Compact"/>
            </w:pPr>
            <w:r>
              <w:t>CBS</w:t>
            </w:r>
          </w:p>
        </w:tc>
        <w:tc>
          <w:tcPr>
            <w:tcW w:w="0" w:type="auto"/>
          </w:tcPr>
          <w:p w14:paraId="685B2165" w14:textId="77777777" w:rsidR="00BE714A" w:rsidRDefault="00BE714A" w:rsidP="003C1DD4">
            <w:pPr>
              <w:pStyle w:val="Compact"/>
            </w:pPr>
            <w:r>
              <w:t>0.3% (5739)</w:t>
            </w:r>
          </w:p>
        </w:tc>
        <w:tc>
          <w:tcPr>
            <w:tcW w:w="0" w:type="auto"/>
          </w:tcPr>
          <w:p w14:paraId="0B1D084B" w14:textId="77777777" w:rsidR="00BE714A" w:rsidRDefault="00BE714A" w:rsidP="003C1DD4">
            <w:pPr>
              <w:pStyle w:val="Compact"/>
            </w:pPr>
            <w:r>
              <w:t>0.1% (701)</w:t>
            </w:r>
          </w:p>
        </w:tc>
        <w:tc>
          <w:tcPr>
            <w:tcW w:w="0" w:type="auto"/>
          </w:tcPr>
          <w:p w14:paraId="73D3EE99" w14:textId="77777777" w:rsidR="00BE714A" w:rsidRDefault="00BE714A" w:rsidP="003C1DD4">
            <w:pPr>
              <w:pStyle w:val="Compact"/>
            </w:pPr>
            <w:r>
              <w:t>0.8% (4947)</w:t>
            </w:r>
          </w:p>
        </w:tc>
        <w:tc>
          <w:tcPr>
            <w:tcW w:w="0" w:type="auto"/>
          </w:tcPr>
          <w:p w14:paraId="24755D1E" w14:textId="77777777" w:rsidR="00BE714A" w:rsidRDefault="00BE714A" w:rsidP="003C1DD4">
            <w:pPr>
              <w:pStyle w:val="Compact"/>
            </w:pPr>
            <w:r>
              <w:t>0.1% (4)</w:t>
            </w:r>
          </w:p>
        </w:tc>
        <w:tc>
          <w:tcPr>
            <w:tcW w:w="0" w:type="auto"/>
          </w:tcPr>
          <w:p w14:paraId="4582135A" w14:textId="77777777" w:rsidR="00BE714A" w:rsidRDefault="00BE714A" w:rsidP="003C1DD4">
            <w:pPr>
              <w:pStyle w:val="Compact"/>
            </w:pPr>
            <w:r>
              <w:t>0.4% (3)</w:t>
            </w:r>
          </w:p>
        </w:tc>
        <w:tc>
          <w:tcPr>
            <w:tcW w:w="0" w:type="auto"/>
          </w:tcPr>
          <w:p w14:paraId="2A2D3A2A" w14:textId="77777777" w:rsidR="00BE714A" w:rsidRDefault="00BE714A" w:rsidP="003C1DD4">
            <w:pPr>
              <w:pStyle w:val="Compact"/>
            </w:pPr>
            <w:r>
              <w:t>0.0% (0)</w:t>
            </w:r>
          </w:p>
        </w:tc>
        <w:tc>
          <w:tcPr>
            <w:tcW w:w="0" w:type="auto"/>
          </w:tcPr>
          <w:p w14:paraId="241D2843" w14:textId="77777777" w:rsidR="00BE714A" w:rsidRDefault="00BE714A" w:rsidP="003C1DD4">
            <w:pPr>
              <w:pStyle w:val="Compact"/>
            </w:pPr>
            <w:r>
              <w:t>2.0% (78)</w:t>
            </w:r>
          </w:p>
        </w:tc>
        <w:tc>
          <w:tcPr>
            <w:tcW w:w="0" w:type="auto"/>
          </w:tcPr>
          <w:p w14:paraId="0D9E655D" w14:textId="77777777" w:rsidR="00BE714A" w:rsidRDefault="00BE714A" w:rsidP="003C1DD4">
            <w:pPr>
              <w:pStyle w:val="Compact"/>
            </w:pPr>
            <w:r>
              <w:t>0.0% (0)</w:t>
            </w:r>
          </w:p>
        </w:tc>
        <w:tc>
          <w:tcPr>
            <w:tcW w:w="0" w:type="auto"/>
          </w:tcPr>
          <w:p w14:paraId="10A35E28" w14:textId="77777777" w:rsidR="00BE714A" w:rsidRDefault="00BE714A" w:rsidP="003C1DD4">
            <w:pPr>
              <w:pStyle w:val="Compact"/>
            </w:pPr>
            <w:r>
              <w:t>0.6% (6)</w:t>
            </w:r>
          </w:p>
        </w:tc>
      </w:tr>
      <w:tr w:rsidR="00BE714A" w14:paraId="7D88D9EC" w14:textId="77777777" w:rsidTr="003C1DD4">
        <w:tc>
          <w:tcPr>
            <w:tcW w:w="0" w:type="auto"/>
          </w:tcPr>
          <w:p w14:paraId="0492C60D" w14:textId="77777777" w:rsidR="00BE714A" w:rsidRDefault="00BE714A" w:rsidP="003C1DD4">
            <w:pPr>
              <w:pStyle w:val="Compact"/>
            </w:pPr>
            <w:r>
              <w:t>8</w:t>
            </w:r>
          </w:p>
        </w:tc>
        <w:tc>
          <w:tcPr>
            <w:tcW w:w="0" w:type="auto"/>
          </w:tcPr>
          <w:p w14:paraId="0DC493AD" w14:textId="77777777" w:rsidR="00BE714A" w:rsidRDefault="00BE714A" w:rsidP="003C1DD4">
            <w:pPr>
              <w:pStyle w:val="Compact"/>
            </w:pPr>
            <w:r>
              <w:t>CVD</w:t>
            </w:r>
          </w:p>
        </w:tc>
        <w:tc>
          <w:tcPr>
            <w:tcW w:w="0" w:type="auto"/>
          </w:tcPr>
          <w:p w14:paraId="49621B1B" w14:textId="77777777" w:rsidR="00BE714A" w:rsidRDefault="00BE714A" w:rsidP="003C1DD4">
            <w:pPr>
              <w:pStyle w:val="Compact"/>
            </w:pPr>
            <w:r>
              <w:t>2.2% (36680)</w:t>
            </w:r>
          </w:p>
        </w:tc>
        <w:tc>
          <w:tcPr>
            <w:tcW w:w="0" w:type="auto"/>
          </w:tcPr>
          <w:p w14:paraId="53B6AAAE" w14:textId="77777777" w:rsidR="00BE714A" w:rsidRDefault="00BE714A" w:rsidP="003C1DD4">
            <w:pPr>
              <w:pStyle w:val="Compact"/>
            </w:pPr>
            <w:r>
              <w:t>1.2% (12803)</w:t>
            </w:r>
          </w:p>
        </w:tc>
        <w:tc>
          <w:tcPr>
            <w:tcW w:w="0" w:type="auto"/>
          </w:tcPr>
          <w:p w14:paraId="21BEC72E" w14:textId="77777777" w:rsidR="00BE714A" w:rsidRDefault="00BE714A" w:rsidP="003C1DD4">
            <w:pPr>
              <w:pStyle w:val="Compact"/>
            </w:pPr>
            <w:r>
              <w:t>4.0% (23567)</w:t>
            </w:r>
          </w:p>
        </w:tc>
        <w:tc>
          <w:tcPr>
            <w:tcW w:w="0" w:type="auto"/>
          </w:tcPr>
          <w:p w14:paraId="2EEBEDC1" w14:textId="77777777" w:rsidR="00BE714A" w:rsidRDefault="00BE714A" w:rsidP="003C1DD4">
            <w:pPr>
              <w:pStyle w:val="Compact"/>
            </w:pPr>
            <w:r>
              <w:t>1.7% (90)</w:t>
            </w:r>
          </w:p>
        </w:tc>
        <w:tc>
          <w:tcPr>
            <w:tcW w:w="0" w:type="auto"/>
          </w:tcPr>
          <w:p w14:paraId="2C0CC7E0" w14:textId="77777777" w:rsidR="00BE714A" w:rsidRDefault="00BE714A" w:rsidP="003C1DD4">
            <w:pPr>
              <w:pStyle w:val="Compact"/>
            </w:pPr>
            <w:r>
              <w:t>2.6% (20)</w:t>
            </w:r>
          </w:p>
        </w:tc>
        <w:tc>
          <w:tcPr>
            <w:tcW w:w="0" w:type="auto"/>
          </w:tcPr>
          <w:p w14:paraId="015CB026" w14:textId="77777777" w:rsidR="00BE714A" w:rsidRDefault="00BE714A" w:rsidP="003C1DD4">
            <w:pPr>
              <w:pStyle w:val="Compact"/>
            </w:pPr>
            <w:r>
              <w:t>2.4% (3)</w:t>
            </w:r>
          </w:p>
        </w:tc>
        <w:tc>
          <w:tcPr>
            <w:tcW w:w="0" w:type="auto"/>
          </w:tcPr>
          <w:p w14:paraId="5BDE5820" w14:textId="77777777" w:rsidR="00BE714A" w:rsidRDefault="00BE714A" w:rsidP="003C1DD4">
            <w:pPr>
              <w:pStyle w:val="Compact"/>
            </w:pPr>
            <w:r>
              <w:t>4.4% (171)</w:t>
            </w:r>
          </w:p>
        </w:tc>
        <w:tc>
          <w:tcPr>
            <w:tcW w:w="0" w:type="auto"/>
          </w:tcPr>
          <w:p w14:paraId="7BE7B7E9" w14:textId="77777777" w:rsidR="00BE714A" w:rsidRDefault="00BE714A" w:rsidP="003C1DD4">
            <w:pPr>
              <w:pStyle w:val="Compact"/>
            </w:pPr>
            <w:r>
              <w:t>4.8% (8)</w:t>
            </w:r>
          </w:p>
        </w:tc>
        <w:tc>
          <w:tcPr>
            <w:tcW w:w="0" w:type="auto"/>
          </w:tcPr>
          <w:p w14:paraId="03876DB8" w14:textId="77777777" w:rsidR="00BE714A" w:rsidRDefault="00BE714A" w:rsidP="003C1DD4">
            <w:pPr>
              <w:pStyle w:val="Compact"/>
            </w:pPr>
            <w:r>
              <w:t>1.8% (18)</w:t>
            </w:r>
          </w:p>
        </w:tc>
      </w:tr>
      <w:tr w:rsidR="00BE714A" w14:paraId="12DECC85" w14:textId="77777777" w:rsidTr="003C1DD4">
        <w:tc>
          <w:tcPr>
            <w:tcW w:w="0" w:type="auto"/>
          </w:tcPr>
          <w:p w14:paraId="061D27C7" w14:textId="77777777" w:rsidR="00BE714A" w:rsidRDefault="00BE714A" w:rsidP="003C1DD4">
            <w:pPr>
              <w:pStyle w:val="Compact"/>
            </w:pPr>
            <w:r>
              <w:t>9</w:t>
            </w:r>
          </w:p>
        </w:tc>
        <w:tc>
          <w:tcPr>
            <w:tcW w:w="0" w:type="auto"/>
          </w:tcPr>
          <w:p w14:paraId="278BA648" w14:textId="77777777" w:rsidR="00BE714A" w:rsidRDefault="00BE714A" w:rsidP="003C1DD4">
            <w:pPr>
              <w:pStyle w:val="Compact"/>
            </w:pPr>
            <w:r>
              <w:t>Charlson (ever &gt; 0)</w:t>
            </w:r>
          </w:p>
        </w:tc>
        <w:tc>
          <w:tcPr>
            <w:tcW w:w="0" w:type="auto"/>
          </w:tcPr>
          <w:p w14:paraId="3376D958" w14:textId="77777777" w:rsidR="00BE714A" w:rsidRDefault="00BE714A" w:rsidP="003C1DD4">
            <w:pPr>
              <w:pStyle w:val="Compact"/>
            </w:pPr>
            <w:r>
              <w:t>31.0% (525566)</w:t>
            </w:r>
          </w:p>
        </w:tc>
        <w:tc>
          <w:tcPr>
            <w:tcW w:w="0" w:type="auto"/>
          </w:tcPr>
          <w:p w14:paraId="717CDFDB" w14:textId="77777777" w:rsidR="00BE714A" w:rsidRDefault="00BE714A" w:rsidP="003C1DD4">
            <w:pPr>
              <w:pStyle w:val="Compact"/>
            </w:pPr>
            <w:r>
              <w:t>25.5% (279520)</w:t>
            </w:r>
          </w:p>
        </w:tc>
        <w:tc>
          <w:tcPr>
            <w:tcW w:w="0" w:type="auto"/>
          </w:tcPr>
          <w:p w14:paraId="5EA4BB0F" w14:textId="77777777" w:rsidR="00BE714A" w:rsidRDefault="00BE714A" w:rsidP="003C1DD4">
            <w:pPr>
              <w:pStyle w:val="Compact"/>
            </w:pPr>
            <w:r>
              <w:t>40.9% (240925)</w:t>
            </w:r>
          </w:p>
        </w:tc>
        <w:tc>
          <w:tcPr>
            <w:tcW w:w="0" w:type="auto"/>
          </w:tcPr>
          <w:p w14:paraId="70A91ADE" w14:textId="77777777" w:rsidR="00BE714A" w:rsidRDefault="00BE714A" w:rsidP="003C1DD4">
            <w:pPr>
              <w:pStyle w:val="Compact"/>
            </w:pPr>
            <w:r>
              <w:t>42.6% (2308)</w:t>
            </w:r>
          </w:p>
        </w:tc>
        <w:tc>
          <w:tcPr>
            <w:tcW w:w="0" w:type="auto"/>
          </w:tcPr>
          <w:p w14:paraId="2278B07C" w14:textId="77777777" w:rsidR="00BE714A" w:rsidRDefault="00BE714A" w:rsidP="003C1DD4">
            <w:pPr>
              <w:pStyle w:val="Compact"/>
            </w:pPr>
            <w:r>
              <w:t>41.8% (320)</w:t>
            </w:r>
          </w:p>
        </w:tc>
        <w:tc>
          <w:tcPr>
            <w:tcW w:w="0" w:type="auto"/>
          </w:tcPr>
          <w:p w14:paraId="0B174603" w14:textId="77777777" w:rsidR="00BE714A" w:rsidRDefault="00BE714A" w:rsidP="003C1DD4">
            <w:pPr>
              <w:pStyle w:val="Compact"/>
            </w:pPr>
            <w:r>
              <w:t>24.4% (31)</w:t>
            </w:r>
          </w:p>
        </w:tc>
        <w:tc>
          <w:tcPr>
            <w:tcW w:w="0" w:type="auto"/>
          </w:tcPr>
          <w:p w14:paraId="16E5A713" w14:textId="77777777" w:rsidR="00BE714A" w:rsidRDefault="00BE714A" w:rsidP="003C1DD4">
            <w:pPr>
              <w:pStyle w:val="Compact"/>
            </w:pPr>
            <w:r>
              <w:t>50.9% (1983)</w:t>
            </w:r>
          </w:p>
        </w:tc>
        <w:tc>
          <w:tcPr>
            <w:tcW w:w="0" w:type="auto"/>
          </w:tcPr>
          <w:p w14:paraId="03475068" w14:textId="77777777" w:rsidR="00BE714A" w:rsidRDefault="00BE714A" w:rsidP="003C1DD4">
            <w:pPr>
              <w:pStyle w:val="Compact"/>
            </w:pPr>
            <w:r>
              <w:t>44.6% (75)</w:t>
            </w:r>
          </w:p>
        </w:tc>
        <w:tc>
          <w:tcPr>
            <w:tcW w:w="0" w:type="auto"/>
          </w:tcPr>
          <w:p w14:paraId="61E46AB7" w14:textId="77777777" w:rsidR="00BE714A" w:rsidRDefault="00BE714A" w:rsidP="003C1DD4">
            <w:pPr>
              <w:pStyle w:val="Compact"/>
            </w:pPr>
            <w:r>
              <w:t>40.5% (404)</w:t>
            </w:r>
          </w:p>
        </w:tc>
      </w:tr>
      <w:tr w:rsidR="00BE714A" w14:paraId="55970BC9" w14:textId="77777777" w:rsidTr="003C1DD4">
        <w:tc>
          <w:tcPr>
            <w:tcW w:w="0" w:type="auto"/>
          </w:tcPr>
          <w:p w14:paraId="0858D33A" w14:textId="77777777" w:rsidR="00BE714A" w:rsidRDefault="00BE714A" w:rsidP="003C1DD4">
            <w:pPr>
              <w:pStyle w:val="Compact"/>
            </w:pPr>
            <w:r>
              <w:t>10</w:t>
            </w:r>
          </w:p>
        </w:tc>
        <w:tc>
          <w:tcPr>
            <w:tcW w:w="0" w:type="auto"/>
          </w:tcPr>
          <w:p w14:paraId="52AC016E" w14:textId="77777777" w:rsidR="00BE714A" w:rsidRDefault="00BE714A" w:rsidP="003C1DD4">
            <w:pPr>
              <w:pStyle w:val="Compact"/>
            </w:pPr>
            <w:r>
              <w:t>IMD-2010 (median)</w:t>
            </w:r>
          </w:p>
        </w:tc>
        <w:tc>
          <w:tcPr>
            <w:tcW w:w="0" w:type="auto"/>
          </w:tcPr>
          <w:p w14:paraId="2BBFBCFE" w14:textId="77777777" w:rsidR="00BE714A" w:rsidRDefault="00BE714A" w:rsidP="003C1DD4">
            <w:pPr>
              <w:pStyle w:val="Compact"/>
            </w:pPr>
            <w:r>
              <w:t>9</w:t>
            </w:r>
          </w:p>
        </w:tc>
        <w:tc>
          <w:tcPr>
            <w:tcW w:w="0" w:type="auto"/>
          </w:tcPr>
          <w:p w14:paraId="75C2228E" w14:textId="77777777" w:rsidR="00BE714A" w:rsidRDefault="00BE714A" w:rsidP="003C1DD4">
            <w:pPr>
              <w:pStyle w:val="Compact"/>
            </w:pPr>
            <w:r>
              <w:t>8</w:t>
            </w:r>
          </w:p>
        </w:tc>
        <w:tc>
          <w:tcPr>
            <w:tcW w:w="0" w:type="auto"/>
          </w:tcPr>
          <w:p w14:paraId="33B489F6" w14:textId="77777777" w:rsidR="00BE714A" w:rsidRDefault="00BE714A" w:rsidP="003C1DD4">
            <w:pPr>
              <w:pStyle w:val="Compact"/>
            </w:pPr>
            <w:r>
              <w:t>9</w:t>
            </w:r>
          </w:p>
        </w:tc>
        <w:tc>
          <w:tcPr>
            <w:tcW w:w="0" w:type="auto"/>
          </w:tcPr>
          <w:p w14:paraId="301D7D42" w14:textId="77777777" w:rsidR="00BE714A" w:rsidRDefault="00BE714A" w:rsidP="003C1DD4">
            <w:pPr>
              <w:pStyle w:val="Compact"/>
            </w:pPr>
            <w:r>
              <w:t>8</w:t>
            </w:r>
          </w:p>
        </w:tc>
        <w:tc>
          <w:tcPr>
            <w:tcW w:w="0" w:type="auto"/>
          </w:tcPr>
          <w:p w14:paraId="765B0D1D" w14:textId="77777777" w:rsidR="00BE714A" w:rsidRDefault="00BE714A" w:rsidP="003C1DD4">
            <w:pPr>
              <w:pStyle w:val="Compact"/>
            </w:pPr>
            <w:r>
              <w:t>9</w:t>
            </w:r>
          </w:p>
        </w:tc>
        <w:tc>
          <w:tcPr>
            <w:tcW w:w="0" w:type="auto"/>
          </w:tcPr>
          <w:p w14:paraId="1E12FDF5" w14:textId="77777777" w:rsidR="00BE714A" w:rsidRDefault="00BE714A" w:rsidP="003C1DD4">
            <w:pPr>
              <w:pStyle w:val="Compact"/>
            </w:pPr>
            <w:r>
              <w:t>13</w:t>
            </w:r>
          </w:p>
        </w:tc>
        <w:tc>
          <w:tcPr>
            <w:tcW w:w="0" w:type="auto"/>
          </w:tcPr>
          <w:p w14:paraId="59A5738C" w14:textId="77777777" w:rsidR="00BE714A" w:rsidRDefault="00BE714A" w:rsidP="003C1DD4">
            <w:pPr>
              <w:pStyle w:val="Compact"/>
            </w:pPr>
            <w:r>
              <w:t>10</w:t>
            </w:r>
          </w:p>
        </w:tc>
        <w:tc>
          <w:tcPr>
            <w:tcW w:w="0" w:type="auto"/>
          </w:tcPr>
          <w:p w14:paraId="3B4EB001" w14:textId="77777777" w:rsidR="00BE714A" w:rsidRDefault="00BE714A" w:rsidP="003C1DD4">
            <w:pPr>
              <w:pStyle w:val="Compact"/>
            </w:pPr>
            <w:r>
              <w:t>11</w:t>
            </w:r>
          </w:p>
        </w:tc>
        <w:tc>
          <w:tcPr>
            <w:tcW w:w="0" w:type="auto"/>
          </w:tcPr>
          <w:p w14:paraId="54C2F0A7" w14:textId="77777777" w:rsidR="00BE714A" w:rsidRDefault="00BE714A" w:rsidP="003C1DD4">
            <w:pPr>
              <w:pStyle w:val="Compact"/>
            </w:pPr>
            <w:r>
              <w:t>10</w:t>
            </w:r>
          </w:p>
        </w:tc>
      </w:tr>
      <w:tr w:rsidR="00BE714A" w14:paraId="5A55A7E0" w14:textId="77777777" w:rsidTr="003C1DD4">
        <w:tc>
          <w:tcPr>
            <w:tcW w:w="0" w:type="auto"/>
          </w:tcPr>
          <w:p w14:paraId="1EAC050C" w14:textId="77777777" w:rsidR="00BE714A" w:rsidRDefault="00BE714A" w:rsidP="003C1DD4">
            <w:pPr>
              <w:pStyle w:val="Compact"/>
            </w:pPr>
            <w:r>
              <w:lastRenderedPageBreak/>
              <w:t>11</w:t>
            </w:r>
          </w:p>
        </w:tc>
        <w:tc>
          <w:tcPr>
            <w:tcW w:w="0" w:type="auto"/>
          </w:tcPr>
          <w:p w14:paraId="484A6DD5" w14:textId="77777777" w:rsidR="00BE714A" w:rsidRDefault="00BE714A" w:rsidP="003C1DD4">
            <w:pPr>
              <w:pStyle w:val="Compact"/>
            </w:pPr>
            <w:r>
              <w:t>Consulation rate (mean/SD)</w:t>
            </w:r>
          </w:p>
        </w:tc>
        <w:tc>
          <w:tcPr>
            <w:tcW w:w="0" w:type="auto"/>
          </w:tcPr>
          <w:p w14:paraId="6A64615D" w14:textId="77777777" w:rsidR="00BE714A" w:rsidRDefault="00BE714A" w:rsidP="003C1DD4">
            <w:pPr>
              <w:pStyle w:val="Compact"/>
            </w:pPr>
            <w:r>
              <w:t>5.4 (5.5)</w:t>
            </w:r>
          </w:p>
        </w:tc>
        <w:tc>
          <w:tcPr>
            <w:tcW w:w="0" w:type="auto"/>
          </w:tcPr>
          <w:p w14:paraId="27F81696" w14:textId="77777777" w:rsidR="00BE714A" w:rsidRDefault="00BE714A" w:rsidP="003C1DD4">
            <w:pPr>
              <w:pStyle w:val="Compact"/>
            </w:pPr>
            <w:r>
              <w:t>5.0 (5.0)</w:t>
            </w:r>
          </w:p>
        </w:tc>
        <w:tc>
          <w:tcPr>
            <w:tcW w:w="0" w:type="auto"/>
          </w:tcPr>
          <w:p w14:paraId="73873E3F" w14:textId="77777777" w:rsidR="00BE714A" w:rsidRDefault="00BE714A" w:rsidP="003C1DD4">
            <w:pPr>
              <w:pStyle w:val="Compact"/>
            </w:pPr>
            <w:r>
              <w:t>6.3 (6.1)</w:t>
            </w:r>
          </w:p>
        </w:tc>
        <w:tc>
          <w:tcPr>
            <w:tcW w:w="0" w:type="auto"/>
          </w:tcPr>
          <w:p w14:paraId="266BFB36" w14:textId="77777777" w:rsidR="00BE714A" w:rsidRDefault="00BE714A" w:rsidP="003C1DD4">
            <w:pPr>
              <w:pStyle w:val="Compact"/>
            </w:pPr>
            <w:r>
              <w:t>8.6 (7.4)</w:t>
            </w:r>
          </w:p>
        </w:tc>
        <w:tc>
          <w:tcPr>
            <w:tcW w:w="0" w:type="auto"/>
          </w:tcPr>
          <w:p w14:paraId="17911811" w14:textId="77777777" w:rsidR="00BE714A" w:rsidRDefault="00BE714A" w:rsidP="003C1DD4">
            <w:pPr>
              <w:pStyle w:val="Compact"/>
            </w:pPr>
            <w:r>
              <w:t>7.4 (6.6)</w:t>
            </w:r>
          </w:p>
        </w:tc>
        <w:tc>
          <w:tcPr>
            <w:tcW w:w="0" w:type="auto"/>
          </w:tcPr>
          <w:p w14:paraId="345508A9" w14:textId="77777777" w:rsidR="00BE714A" w:rsidRDefault="00BE714A" w:rsidP="003C1DD4">
            <w:pPr>
              <w:pStyle w:val="Compact"/>
            </w:pPr>
            <w:r>
              <w:t>4.8 (4.3)</w:t>
            </w:r>
          </w:p>
        </w:tc>
        <w:tc>
          <w:tcPr>
            <w:tcW w:w="0" w:type="auto"/>
          </w:tcPr>
          <w:p w14:paraId="3D3A15FC" w14:textId="77777777" w:rsidR="00BE714A" w:rsidRDefault="00BE714A" w:rsidP="003C1DD4">
            <w:pPr>
              <w:pStyle w:val="Compact"/>
            </w:pPr>
            <w:r>
              <w:t>7.1 (6.2)</w:t>
            </w:r>
          </w:p>
        </w:tc>
        <w:tc>
          <w:tcPr>
            <w:tcW w:w="0" w:type="auto"/>
          </w:tcPr>
          <w:p w14:paraId="786A2F2C" w14:textId="77777777" w:rsidR="00BE714A" w:rsidRDefault="00BE714A" w:rsidP="003C1DD4">
            <w:pPr>
              <w:pStyle w:val="Compact"/>
            </w:pPr>
            <w:r>
              <w:t>9.3 (7.7)</w:t>
            </w:r>
          </w:p>
        </w:tc>
        <w:tc>
          <w:tcPr>
            <w:tcW w:w="0" w:type="auto"/>
          </w:tcPr>
          <w:p w14:paraId="1CA0A7E4" w14:textId="77777777" w:rsidR="00BE714A" w:rsidRDefault="00BE714A" w:rsidP="003C1DD4">
            <w:pPr>
              <w:pStyle w:val="Compact"/>
            </w:pPr>
            <w:r>
              <w:t>8.0 (8.0)</w:t>
            </w:r>
          </w:p>
        </w:tc>
      </w:tr>
      <w:tr w:rsidR="00BE714A" w14:paraId="0E96D801" w14:textId="77777777" w:rsidTr="003C1DD4">
        <w:tc>
          <w:tcPr>
            <w:tcW w:w="0" w:type="auto"/>
          </w:tcPr>
          <w:p w14:paraId="2316123F" w14:textId="77777777" w:rsidR="00BE714A" w:rsidRDefault="00BE714A" w:rsidP="003C1DD4">
            <w:pPr>
              <w:pStyle w:val="Compact"/>
            </w:pPr>
            <w:r>
              <w:t>12</w:t>
            </w:r>
          </w:p>
        </w:tc>
        <w:tc>
          <w:tcPr>
            <w:tcW w:w="0" w:type="auto"/>
          </w:tcPr>
          <w:p w14:paraId="20C6B482" w14:textId="77777777" w:rsidR="00BE714A" w:rsidRDefault="00BE714A" w:rsidP="003C1DD4">
            <w:pPr>
              <w:pStyle w:val="Compact"/>
            </w:pPr>
            <w:r>
              <w:t>Alcohol (ever)</w:t>
            </w:r>
          </w:p>
        </w:tc>
        <w:tc>
          <w:tcPr>
            <w:tcW w:w="0" w:type="auto"/>
          </w:tcPr>
          <w:p w14:paraId="0207ACDB" w14:textId="77777777" w:rsidR="00BE714A" w:rsidRDefault="00BE714A" w:rsidP="003C1DD4">
            <w:pPr>
              <w:pStyle w:val="Compact"/>
            </w:pPr>
            <w:r>
              <w:t>85.8% (1455443)</w:t>
            </w:r>
          </w:p>
        </w:tc>
        <w:tc>
          <w:tcPr>
            <w:tcW w:w="0" w:type="auto"/>
          </w:tcPr>
          <w:p w14:paraId="7B7F07ED" w14:textId="77777777" w:rsidR="00BE714A" w:rsidRDefault="00BE714A" w:rsidP="003C1DD4">
            <w:pPr>
              <w:pStyle w:val="Compact"/>
            </w:pPr>
            <w:r>
              <w:t>86.5% (947716)</w:t>
            </w:r>
          </w:p>
        </w:tc>
        <w:tc>
          <w:tcPr>
            <w:tcW w:w="0" w:type="auto"/>
          </w:tcPr>
          <w:p w14:paraId="535FFC0B" w14:textId="77777777" w:rsidR="00BE714A" w:rsidRDefault="00BE714A" w:rsidP="003C1DD4">
            <w:pPr>
              <w:pStyle w:val="Compact"/>
            </w:pPr>
            <w:r>
              <w:t>84.7% (498304)</w:t>
            </w:r>
          </w:p>
        </w:tc>
        <w:tc>
          <w:tcPr>
            <w:tcW w:w="0" w:type="auto"/>
          </w:tcPr>
          <w:p w14:paraId="245526F6" w14:textId="77777777" w:rsidR="00BE714A" w:rsidRDefault="00BE714A" w:rsidP="003C1DD4">
            <w:pPr>
              <w:pStyle w:val="Compact"/>
            </w:pPr>
            <w:r>
              <w:t>82.8% (4487)</w:t>
            </w:r>
          </w:p>
        </w:tc>
        <w:tc>
          <w:tcPr>
            <w:tcW w:w="0" w:type="auto"/>
          </w:tcPr>
          <w:p w14:paraId="71C47398" w14:textId="77777777" w:rsidR="00BE714A" w:rsidRDefault="00BE714A" w:rsidP="003C1DD4">
            <w:pPr>
              <w:pStyle w:val="Compact"/>
            </w:pPr>
            <w:r>
              <w:t>83.9% (643)</w:t>
            </w:r>
          </w:p>
        </w:tc>
        <w:tc>
          <w:tcPr>
            <w:tcW w:w="0" w:type="auto"/>
          </w:tcPr>
          <w:p w14:paraId="18939252" w14:textId="77777777" w:rsidR="00BE714A" w:rsidRDefault="00BE714A" w:rsidP="003C1DD4">
            <w:pPr>
              <w:pStyle w:val="Compact"/>
            </w:pPr>
            <w:r>
              <w:t>87.4% (111)</w:t>
            </w:r>
          </w:p>
        </w:tc>
        <w:tc>
          <w:tcPr>
            <w:tcW w:w="0" w:type="auto"/>
          </w:tcPr>
          <w:p w14:paraId="70611041" w14:textId="77777777" w:rsidR="00BE714A" w:rsidRDefault="00BE714A" w:rsidP="003C1DD4">
            <w:pPr>
              <w:pStyle w:val="Compact"/>
            </w:pPr>
            <w:r>
              <w:t>82.8% (3226)</w:t>
            </w:r>
          </w:p>
        </w:tc>
        <w:tc>
          <w:tcPr>
            <w:tcW w:w="0" w:type="auto"/>
          </w:tcPr>
          <w:p w14:paraId="56B97DDB" w14:textId="77777777" w:rsidR="00BE714A" w:rsidRDefault="00BE714A" w:rsidP="003C1DD4">
            <w:pPr>
              <w:pStyle w:val="Compact"/>
            </w:pPr>
            <w:r>
              <w:t>82.7% (139)</w:t>
            </w:r>
          </w:p>
        </w:tc>
        <w:tc>
          <w:tcPr>
            <w:tcW w:w="0" w:type="auto"/>
          </w:tcPr>
          <w:p w14:paraId="251E184C" w14:textId="77777777" w:rsidR="00BE714A" w:rsidRDefault="00BE714A" w:rsidP="003C1DD4">
            <w:pPr>
              <w:pStyle w:val="Compact"/>
            </w:pPr>
            <w:r>
              <w:t>81.9% (817)</w:t>
            </w:r>
          </w:p>
        </w:tc>
      </w:tr>
      <w:tr w:rsidR="00BE714A" w14:paraId="0692F328" w14:textId="77777777" w:rsidTr="003C1DD4">
        <w:tc>
          <w:tcPr>
            <w:tcW w:w="0" w:type="auto"/>
          </w:tcPr>
          <w:p w14:paraId="4BE96146" w14:textId="77777777" w:rsidR="00BE714A" w:rsidRDefault="00BE714A" w:rsidP="003C1DD4">
            <w:pPr>
              <w:pStyle w:val="Compact"/>
            </w:pPr>
            <w:r>
              <w:t>13</w:t>
            </w:r>
          </w:p>
        </w:tc>
        <w:tc>
          <w:tcPr>
            <w:tcW w:w="0" w:type="auto"/>
          </w:tcPr>
          <w:p w14:paraId="53459C23" w14:textId="77777777" w:rsidR="00BE714A" w:rsidRDefault="00BE714A" w:rsidP="003C1DD4">
            <w:pPr>
              <w:pStyle w:val="Compact"/>
            </w:pPr>
            <w:r>
              <w:t>Smoking (ever)</w:t>
            </w:r>
          </w:p>
        </w:tc>
        <w:tc>
          <w:tcPr>
            <w:tcW w:w="0" w:type="auto"/>
          </w:tcPr>
          <w:p w14:paraId="3083BF29" w14:textId="77777777" w:rsidR="00BE714A" w:rsidRDefault="00BE714A" w:rsidP="003C1DD4">
            <w:pPr>
              <w:pStyle w:val="Compact"/>
            </w:pPr>
            <w:r>
              <w:t>51.1% (866207)</w:t>
            </w:r>
          </w:p>
        </w:tc>
        <w:tc>
          <w:tcPr>
            <w:tcW w:w="0" w:type="auto"/>
          </w:tcPr>
          <w:p w14:paraId="49495692" w14:textId="77777777" w:rsidR="00BE714A" w:rsidRDefault="00BE714A" w:rsidP="003C1DD4">
            <w:pPr>
              <w:pStyle w:val="Compact"/>
            </w:pPr>
            <w:r>
              <w:t>47.0% (515192)</w:t>
            </w:r>
          </w:p>
        </w:tc>
        <w:tc>
          <w:tcPr>
            <w:tcW w:w="0" w:type="auto"/>
          </w:tcPr>
          <w:p w14:paraId="1D8AEE3E" w14:textId="77777777" w:rsidR="00BE714A" w:rsidRDefault="00BE714A" w:rsidP="003C1DD4">
            <w:pPr>
              <w:pStyle w:val="Compact"/>
            </w:pPr>
            <w:r>
              <w:t>58.5% (344540)</w:t>
            </w:r>
          </w:p>
        </w:tc>
        <w:tc>
          <w:tcPr>
            <w:tcW w:w="0" w:type="auto"/>
          </w:tcPr>
          <w:p w14:paraId="75E273C5" w14:textId="77777777" w:rsidR="00BE714A" w:rsidRDefault="00BE714A" w:rsidP="003C1DD4">
            <w:pPr>
              <w:pStyle w:val="Compact"/>
            </w:pPr>
            <w:r>
              <w:t>55.2% (2990)</w:t>
            </w:r>
          </w:p>
        </w:tc>
        <w:tc>
          <w:tcPr>
            <w:tcW w:w="0" w:type="auto"/>
          </w:tcPr>
          <w:p w14:paraId="0B805610" w14:textId="77777777" w:rsidR="00BE714A" w:rsidRDefault="00BE714A" w:rsidP="003C1DD4">
            <w:pPr>
              <w:pStyle w:val="Compact"/>
            </w:pPr>
            <w:r>
              <w:t>57.4% (440)</w:t>
            </w:r>
          </w:p>
        </w:tc>
        <w:tc>
          <w:tcPr>
            <w:tcW w:w="0" w:type="auto"/>
          </w:tcPr>
          <w:p w14:paraId="55726347" w14:textId="77777777" w:rsidR="00BE714A" w:rsidRDefault="00BE714A" w:rsidP="003C1DD4">
            <w:pPr>
              <w:pStyle w:val="Compact"/>
            </w:pPr>
            <w:r>
              <w:t>60.6% (77)</w:t>
            </w:r>
          </w:p>
        </w:tc>
        <w:tc>
          <w:tcPr>
            <w:tcW w:w="0" w:type="auto"/>
          </w:tcPr>
          <w:p w14:paraId="20576EDD" w14:textId="77777777" w:rsidR="00BE714A" w:rsidRDefault="00BE714A" w:rsidP="003C1DD4">
            <w:pPr>
              <w:pStyle w:val="Compact"/>
            </w:pPr>
            <w:r>
              <w:t>60.1% (2342)</w:t>
            </w:r>
          </w:p>
        </w:tc>
        <w:tc>
          <w:tcPr>
            <w:tcW w:w="0" w:type="auto"/>
          </w:tcPr>
          <w:p w14:paraId="5544E67B" w14:textId="77777777" w:rsidR="00BE714A" w:rsidRDefault="00BE714A" w:rsidP="003C1DD4">
            <w:pPr>
              <w:pStyle w:val="Compact"/>
            </w:pPr>
            <w:r>
              <w:t>53.6% (90)</w:t>
            </w:r>
          </w:p>
        </w:tc>
        <w:tc>
          <w:tcPr>
            <w:tcW w:w="0" w:type="auto"/>
          </w:tcPr>
          <w:p w14:paraId="4F4AE07D" w14:textId="77777777" w:rsidR="00BE714A" w:rsidRDefault="00BE714A" w:rsidP="003C1DD4">
            <w:pPr>
              <w:pStyle w:val="Compact"/>
            </w:pPr>
            <w:r>
              <w:t>53.8% (536)</w:t>
            </w:r>
          </w:p>
        </w:tc>
      </w:tr>
      <w:tr w:rsidR="00BE714A" w14:paraId="5CE2DCF8" w14:textId="77777777" w:rsidTr="003C1DD4">
        <w:tc>
          <w:tcPr>
            <w:tcW w:w="0" w:type="auto"/>
          </w:tcPr>
          <w:p w14:paraId="4E86ED8B" w14:textId="77777777" w:rsidR="00BE714A" w:rsidRDefault="00BE714A" w:rsidP="003C1DD4">
            <w:pPr>
              <w:pStyle w:val="Compact"/>
            </w:pPr>
            <w:r>
              <w:t>14</w:t>
            </w:r>
          </w:p>
        </w:tc>
        <w:tc>
          <w:tcPr>
            <w:tcW w:w="0" w:type="auto"/>
          </w:tcPr>
          <w:p w14:paraId="2953C730" w14:textId="77777777" w:rsidR="00BE714A" w:rsidRDefault="00BE714A" w:rsidP="003C1DD4">
            <w:pPr>
              <w:pStyle w:val="Compact"/>
            </w:pPr>
            <w:r>
              <w:t>BMI (mean/SD)</w:t>
            </w:r>
          </w:p>
        </w:tc>
        <w:tc>
          <w:tcPr>
            <w:tcW w:w="0" w:type="auto"/>
          </w:tcPr>
          <w:p w14:paraId="0E0D402D" w14:textId="77777777" w:rsidR="00BE714A" w:rsidRDefault="00BE714A" w:rsidP="003C1DD4">
            <w:pPr>
              <w:pStyle w:val="Compact"/>
            </w:pPr>
            <w:r>
              <w:t>27.0 (5.3)</w:t>
            </w:r>
          </w:p>
        </w:tc>
        <w:tc>
          <w:tcPr>
            <w:tcW w:w="0" w:type="auto"/>
          </w:tcPr>
          <w:p w14:paraId="2D63B99E" w14:textId="77777777" w:rsidR="00BE714A" w:rsidRDefault="00BE714A" w:rsidP="003C1DD4">
            <w:pPr>
              <w:pStyle w:val="Compact"/>
            </w:pPr>
            <w:r>
              <w:t>26.7 (5.2)</w:t>
            </w:r>
          </w:p>
        </w:tc>
        <w:tc>
          <w:tcPr>
            <w:tcW w:w="0" w:type="auto"/>
          </w:tcPr>
          <w:p w14:paraId="65D4AFDF" w14:textId="77777777" w:rsidR="00BE714A" w:rsidRDefault="00BE714A" w:rsidP="003C1DD4">
            <w:pPr>
              <w:pStyle w:val="Compact"/>
            </w:pPr>
            <w:r>
              <w:t>27.7 (5.3)</w:t>
            </w:r>
          </w:p>
        </w:tc>
        <w:tc>
          <w:tcPr>
            <w:tcW w:w="0" w:type="auto"/>
          </w:tcPr>
          <w:p w14:paraId="2B6BF72C" w14:textId="77777777" w:rsidR="00BE714A" w:rsidRDefault="00BE714A" w:rsidP="003C1DD4">
            <w:pPr>
              <w:pStyle w:val="Compact"/>
            </w:pPr>
            <w:r>
              <w:t>26.8 (5.8)</w:t>
            </w:r>
          </w:p>
        </w:tc>
        <w:tc>
          <w:tcPr>
            <w:tcW w:w="0" w:type="auto"/>
          </w:tcPr>
          <w:p w14:paraId="67F621CF" w14:textId="77777777" w:rsidR="00BE714A" w:rsidRDefault="00BE714A" w:rsidP="003C1DD4">
            <w:pPr>
              <w:pStyle w:val="Compact"/>
            </w:pPr>
            <w:r>
              <w:t>28.1 (5.7)</w:t>
            </w:r>
          </w:p>
        </w:tc>
        <w:tc>
          <w:tcPr>
            <w:tcW w:w="0" w:type="auto"/>
          </w:tcPr>
          <w:p w14:paraId="687BDF55" w14:textId="77777777" w:rsidR="00BE714A" w:rsidRDefault="00BE714A" w:rsidP="003C1DD4">
            <w:pPr>
              <w:pStyle w:val="Compact"/>
            </w:pPr>
            <w:r>
              <w:t>28.1 (4.9)</w:t>
            </w:r>
          </w:p>
        </w:tc>
        <w:tc>
          <w:tcPr>
            <w:tcW w:w="0" w:type="auto"/>
          </w:tcPr>
          <w:p w14:paraId="7333B79D" w14:textId="77777777" w:rsidR="00BE714A" w:rsidRDefault="00BE714A" w:rsidP="003C1DD4">
            <w:pPr>
              <w:pStyle w:val="Compact"/>
            </w:pPr>
            <w:r>
              <w:t>29.0 (5.2)</w:t>
            </w:r>
          </w:p>
        </w:tc>
        <w:tc>
          <w:tcPr>
            <w:tcW w:w="0" w:type="auto"/>
          </w:tcPr>
          <w:p w14:paraId="2217E5EB" w14:textId="77777777" w:rsidR="00BE714A" w:rsidRDefault="00BE714A" w:rsidP="003C1DD4">
            <w:pPr>
              <w:pStyle w:val="Compact"/>
            </w:pPr>
            <w:r>
              <w:t>26.4 (5.0)</w:t>
            </w:r>
          </w:p>
        </w:tc>
        <w:tc>
          <w:tcPr>
            <w:tcW w:w="0" w:type="auto"/>
          </w:tcPr>
          <w:p w14:paraId="09DC20CC" w14:textId="77777777" w:rsidR="00BE714A" w:rsidRDefault="00BE714A" w:rsidP="003C1DD4">
            <w:pPr>
              <w:pStyle w:val="Compact"/>
            </w:pPr>
            <w:r>
              <w:t>26.8 (5.5)</w:t>
            </w:r>
          </w:p>
        </w:tc>
      </w:tr>
      <w:tr w:rsidR="00BE714A" w14:paraId="7CA5AF31" w14:textId="77777777" w:rsidTr="003C1DD4">
        <w:tc>
          <w:tcPr>
            <w:tcW w:w="0" w:type="auto"/>
          </w:tcPr>
          <w:p w14:paraId="0643EC0A" w14:textId="77777777" w:rsidR="00BE714A" w:rsidRDefault="00BE714A" w:rsidP="003C1DD4">
            <w:pPr>
              <w:pStyle w:val="Compact"/>
            </w:pPr>
            <w:r>
              <w:t>15</w:t>
            </w:r>
          </w:p>
        </w:tc>
        <w:tc>
          <w:tcPr>
            <w:tcW w:w="0" w:type="auto"/>
          </w:tcPr>
          <w:p w14:paraId="76C2FC38" w14:textId="77777777" w:rsidR="00BE714A" w:rsidRDefault="00BE714A" w:rsidP="003C1DD4">
            <w:pPr>
              <w:pStyle w:val="Compact"/>
            </w:pPr>
            <w:r>
              <w:t>PAD</w:t>
            </w:r>
          </w:p>
        </w:tc>
        <w:tc>
          <w:tcPr>
            <w:tcW w:w="0" w:type="auto"/>
          </w:tcPr>
          <w:p w14:paraId="3152E037" w14:textId="77777777" w:rsidR="00BE714A" w:rsidRDefault="00BE714A" w:rsidP="003C1DD4">
            <w:pPr>
              <w:pStyle w:val="Compact"/>
            </w:pPr>
            <w:r>
              <w:t>0.8% (12879)</w:t>
            </w:r>
          </w:p>
        </w:tc>
        <w:tc>
          <w:tcPr>
            <w:tcW w:w="0" w:type="auto"/>
          </w:tcPr>
          <w:p w14:paraId="537058CC" w14:textId="77777777" w:rsidR="00BE714A" w:rsidRDefault="00BE714A" w:rsidP="003C1DD4">
            <w:pPr>
              <w:pStyle w:val="Compact"/>
            </w:pPr>
            <w:r>
              <w:t>0.4% (4204)</w:t>
            </w:r>
          </w:p>
        </w:tc>
        <w:tc>
          <w:tcPr>
            <w:tcW w:w="0" w:type="auto"/>
          </w:tcPr>
          <w:p w14:paraId="180B7A81" w14:textId="77777777" w:rsidR="00BE714A" w:rsidRDefault="00BE714A" w:rsidP="003C1DD4">
            <w:pPr>
              <w:pStyle w:val="Compact"/>
            </w:pPr>
            <w:r>
              <w:t>1.4% (8524)</w:t>
            </w:r>
          </w:p>
        </w:tc>
        <w:tc>
          <w:tcPr>
            <w:tcW w:w="0" w:type="auto"/>
          </w:tcPr>
          <w:p w14:paraId="0B676C07" w14:textId="77777777" w:rsidR="00BE714A" w:rsidRDefault="00BE714A" w:rsidP="003C1DD4">
            <w:pPr>
              <w:pStyle w:val="Compact"/>
            </w:pPr>
            <w:r>
              <w:t>0.9% (47)</w:t>
            </w:r>
          </w:p>
        </w:tc>
        <w:tc>
          <w:tcPr>
            <w:tcW w:w="0" w:type="auto"/>
          </w:tcPr>
          <w:p w14:paraId="19A7EEC2" w14:textId="77777777" w:rsidR="00BE714A" w:rsidRDefault="00BE714A" w:rsidP="003C1DD4">
            <w:pPr>
              <w:pStyle w:val="Compact"/>
            </w:pPr>
            <w:r>
              <w:t>0.9% (7)</w:t>
            </w:r>
          </w:p>
        </w:tc>
        <w:tc>
          <w:tcPr>
            <w:tcW w:w="0" w:type="auto"/>
          </w:tcPr>
          <w:p w14:paraId="5A7F5461" w14:textId="77777777" w:rsidR="00BE714A" w:rsidRDefault="00BE714A" w:rsidP="003C1DD4">
            <w:pPr>
              <w:pStyle w:val="Compact"/>
            </w:pPr>
            <w:r>
              <w:t>0.8% (1)</w:t>
            </w:r>
          </w:p>
        </w:tc>
        <w:tc>
          <w:tcPr>
            <w:tcW w:w="0" w:type="auto"/>
          </w:tcPr>
          <w:p w14:paraId="61D4E727" w14:textId="77777777" w:rsidR="00BE714A" w:rsidRDefault="00BE714A" w:rsidP="003C1DD4">
            <w:pPr>
              <w:pStyle w:val="Compact"/>
            </w:pPr>
            <w:r>
              <w:t>1.9% (75)</w:t>
            </w:r>
          </w:p>
        </w:tc>
        <w:tc>
          <w:tcPr>
            <w:tcW w:w="0" w:type="auto"/>
          </w:tcPr>
          <w:p w14:paraId="3FB49BCF" w14:textId="77777777" w:rsidR="00BE714A" w:rsidRDefault="00BE714A" w:rsidP="003C1DD4">
            <w:pPr>
              <w:pStyle w:val="Compact"/>
            </w:pPr>
            <w:r>
              <w:t>6.5% (11)</w:t>
            </w:r>
          </w:p>
        </w:tc>
        <w:tc>
          <w:tcPr>
            <w:tcW w:w="0" w:type="auto"/>
          </w:tcPr>
          <w:p w14:paraId="0ECA2979" w14:textId="77777777" w:rsidR="00BE714A" w:rsidRDefault="00BE714A" w:rsidP="003C1DD4">
            <w:pPr>
              <w:pStyle w:val="Compact"/>
            </w:pPr>
            <w:r>
              <w:t>1.0% (10)</w:t>
            </w:r>
          </w:p>
        </w:tc>
      </w:tr>
      <w:tr w:rsidR="00BE714A" w14:paraId="2BC67E2D" w14:textId="77777777" w:rsidTr="003C1DD4">
        <w:tc>
          <w:tcPr>
            <w:tcW w:w="0" w:type="auto"/>
          </w:tcPr>
          <w:p w14:paraId="7B3ED964" w14:textId="77777777" w:rsidR="00BE714A" w:rsidRDefault="00BE714A" w:rsidP="003C1DD4">
            <w:pPr>
              <w:pStyle w:val="Compact"/>
            </w:pPr>
            <w:r>
              <w:t>16</w:t>
            </w:r>
          </w:p>
        </w:tc>
        <w:tc>
          <w:tcPr>
            <w:tcW w:w="0" w:type="auto"/>
          </w:tcPr>
          <w:p w14:paraId="3526D56D" w14:textId="77777777" w:rsidR="00BE714A" w:rsidRDefault="00BE714A" w:rsidP="003C1DD4">
            <w:pPr>
              <w:pStyle w:val="Compact"/>
            </w:pPr>
            <w:r>
              <w:t>Hypertension</w:t>
            </w:r>
          </w:p>
        </w:tc>
        <w:tc>
          <w:tcPr>
            <w:tcW w:w="0" w:type="auto"/>
          </w:tcPr>
          <w:p w14:paraId="2DD6996E" w14:textId="77777777" w:rsidR="00BE714A" w:rsidRDefault="00BE714A" w:rsidP="003C1DD4">
            <w:pPr>
              <w:pStyle w:val="Compact"/>
            </w:pPr>
            <w:r>
              <w:t>16.1% (273011)</w:t>
            </w:r>
          </w:p>
        </w:tc>
        <w:tc>
          <w:tcPr>
            <w:tcW w:w="0" w:type="auto"/>
          </w:tcPr>
          <w:p w14:paraId="1CC8DAD8" w14:textId="77777777" w:rsidR="00BE714A" w:rsidRDefault="00BE714A" w:rsidP="003C1DD4">
            <w:pPr>
              <w:pStyle w:val="Compact"/>
            </w:pPr>
            <w:r>
              <w:t>11.6% (126891)</w:t>
            </w:r>
          </w:p>
        </w:tc>
        <w:tc>
          <w:tcPr>
            <w:tcW w:w="0" w:type="auto"/>
          </w:tcPr>
          <w:p w14:paraId="608047B0" w14:textId="77777777" w:rsidR="00BE714A" w:rsidRDefault="00BE714A" w:rsidP="003C1DD4">
            <w:pPr>
              <w:pStyle w:val="Compact"/>
            </w:pPr>
            <w:r>
              <w:t>24.5% (144010)</w:t>
            </w:r>
          </w:p>
        </w:tc>
        <w:tc>
          <w:tcPr>
            <w:tcW w:w="0" w:type="auto"/>
          </w:tcPr>
          <w:p w14:paraId="344B261F" w14:textId="77777777" w:rsidR="00BE714A" w:rsidRDefault="00BE714A" w:rsidP="003C1DD4">
            <w:pPr>
              <w:pStyle w:val="Compact"/>
            </w:pPr>
            <w:r>
              <w:t>12.9% (697)</w:t>
            </w:r>
          </w:p>
        </w:tc>
        <w:tc>
          <w:tcPr>
            <w:tcW w:w="0" w:type="auto"/>
          </w:tcPr>
          <w:p w14:paraId="42023E6A" w14:textId="77777777" w:rsidR="00BE714A" w:rsidRDefault="00BE714A" w:rsidP="003C1DD4">
            <w:pPr>
              <w:pStyle w:val="Compact"/>
            </w:pPr>
            <w:r>
              <w:t>23.9% (183)</w:t>
            </w:r>
          </w:p>
        </w:tc>
        <w:tc>
          <w:tcPr>
            <w:tcW w:w="0" w:type="auto"/>
          </w:tcPr>
          <w:p w14:paraId="6B214976" w14:textId="77777777" w:rsidR="00BE714A" w:rsidRDefault="00BE714A" w:rsidP="003C1DD4">
            <w:pPr>
              <w:pStyle w:val="Compact"/>
            </w:pPr>
            <w:r>
              <w:t>25.2% (32)</w:t>
            </w:r>
          </w:p>
        </w:tc>
        <w:tc>
          <w:tcPr>
            <w:tcW w:w="0" w:type="auto"/>
          </w:tcPr>
          <w:p w14:paraId="770C35B7" w14:textId="77777777" w:rsidR="00BE714A" w:rsidRDefault="00BE714A" w:rsidP="003C1DD4">
            <w:pPr>
              <w:pStyle w:val="Compact"/>
            </w:pPr>
            <w:r>
              <w:t>25.8% (1006)</w:t>
            </w:r>
          </w:p>
        </w:tc>
        <w:tc>
          <w:tcPr>
            <w:tcW w:w="0" w:type="auto"/>
          </w:tcPr>
          <w:p w14:paraId="2A75A571" w14:textId="77777777" w:rsidR="00BE714A" w:rsidRDefault="00BE714A" w:rsidP="003C1DD4">
            <w:pPr>
              <w:pStyle w:val="Compact"/>
            </w:pPr>
            <w:r>
              <w:t>21.4% (36)</w:t>
            </w:r>
          </w:p>
        </w:tc>
        <w:tc>
          <w:tcPr>
            <w:tcW w:w="0" w:type="auto"/>
          </w:tcPr>
          <w:p w14:paraId="7E58B28B" w14:textId="77777777" w:rsidR="00BE714A" w:rsidRDefault="00BE714A" w:rsidP="003C1DD4">
            <w:pPr>
              <w:pStyle w:val="Compact"/>
            </w:pPr>
            <w:r>
              <w:t>15.6% (156)</w:t>
            </w:r>
          </w:p>
        </w:tc>
      </w:tr>
      <w:tr w:rsidR="00BE714A" w14:paraId="27042C7B" w14:textId="77777777" w:rsidTr="003C1DD4">
        <w:tc>
          <w:tcPr>
            <w:tcW w:w="0" w:type="auto"/>
          </w:tcPr>
          <w:p w14:paraId="78E34B9A" w14:textId="77777777" w:rsidR="00BE714A" w:rsidRDefault="00BE714A" w:rsidP="003C1DD4">
            <w:pPr>
              <w:pStyle w:val="Compact"/>
            </w:pPr>
            <w:r>
              <w:t>17</w:t>
            </w:r>
          </w:p>
        </w:tc>
        <w:tc>
          <w:tcPr>
            <w:tcW w:w="0" w:type="auto"/>
          </w:tcPr>
          <w:p w14:paraId="42D8492F" w14:textId="77777777" w:rsidR="00BE714A" w:rsidRDefault="00BE714A" w:rsidP="003C1DD4">
            <w:pPr>
              <w:pStyle w:val="Compact"/>
            </w:pPr>
            <w:r>
              <w:t>Total cholesterol (mean/SD)</w:t>
            </w:r>
          </w:p>
        </w:tc>
        <w:tc>
          <w:tcPr>
            <w:tcW w:w="0" w:type="auto"/>
          </w:tcPr>
          <w:p w14:paraId="7E7C5BD3" w14:textId="77777777" w:rsidR="00BE714A" w:rsidRDefault="00BE714A" w:rsidP="003C1DD4">
            <w:pPr>
              <w:pStyle w:val="Compact"/>
            </w:pPr>
            <w:r>
              <w:t>5.7 (12.4)</w:t>
            </w:r>
          </w:p>
        </w:tc>
        <w:tc>
          <w:tcPr>
            <w:tcW w:w="0" w:type="auto"/>
          </w:tcPr>
          <w:p w14:paraId="03DB9FFF" w14:textId="77777777" w:rsidR="00BE714A" w:rsidRDefault="00BE714A" w:rsidP="003C1DD4">
            <w:pPr>
              <w:pStyle w:val="Compact"/>
            </w:pPr>
            <w:r>
              <w:t>5.5 (10.8)</w:t>
            </w:r>
          </w:p>
        </w:tc>
        <w:tc>
          <w:tcPr>
            <w:tcW w:w="0" w:type="auto"/>
          </w:tcPr>
          <w:p w14:paraId="1B95B44F" w14:textId="77777777" w:rsidR="00BE714A" w:rsidRDefault="00BE714A" w:rsidP="003C1DD4">
            <w:pPr>
              <w:pStyle w:val="Compact"/>
            </w:pPr>
            <w:r>
              <w:t>6.2 (15.3)</w:t>
            </w:r>
          </w:p>
        </w:tc>
        <w:tc>
          <w:tcPr>
            <w:tcW w:w="0" w:type="auto"/>
          </w:tcPr>
          <w:p w14:paraId="5932F6CA" w14:textId="77777777" w:rsidR="00BE714A" w:rsidRDefault="00BE714A" w:rsidP="003C1DD4">
            <w:pPr>
              <w:pStyle w:val="Compact"/>
            </w:pPr>
            <w:r>
              <w:t>5.3 (1.3)</w:t>
            </w:r>
          </w:p>
        </w:tc>
        <w:tc>
          <w:tcPr>
            <w:tcW w:w="0" w:type="auto"/>
          </w:tcPr>
          <w:p w14:paraId="13329726" w14:textId="77777777" w:rsidR="00BE714A" w:rsidRDefault="00BE714A" w:rsidP="003C1DD4">
            <w:pPr>
              <w:pStyle w:val="Compact"/>
            </w:pPr>
            <w:r>
              <w:t>7.1 (26.5)</w:t>
            </w:r>
          </w:p>
        </w:tc>
        <w:tc>
          <w:tcPr>
            <w:tcW w:w="0" w:type="auto"/>
          </w:tcPr>
          <w:p w14:paraId="16DD58A3" w14:textId="77777777" w:rsidR="00BE714A" w:rsidRDefault="00BE714A" w:rsidP="003C1DD4">
            <w:pPr>
              <w:pStyle w:val="Compact"/>
            </w:pPr>
            <w:r>
              <w:t>6.7 (1.5)</w:t>
            </w:r>
          </w:p>
        </w:tc>
        <w:tc>
          <w:tcPr>
            <w:tcW w:w="0" w:type="auto"/>
          </w:tcPr>
          <w:p w14:paraId="449E11CC" w14:textId="77777777" w:rsidR="00BE714A" w:rsidRDefault="00BE714A" w:rsidP="003C1DD4">
            <w:pPr>
              <w:pStyle w:val="Compact"/>
            </w:pPr>
            <w:r>
              <w:t>6.4 (5.6)</w:t>
            </w:r>
          </w:p>
        </w:tc>
        <w:tc>
          <w:tcPr>
            <w:tcW w:w="0" w:type="auto"/>
          </w:tcPr>
          <w:p w14:paraId="7F1D9BDE" w14:textId="77777777" w:rsidR="00BE714A" w:rsidRDefault="00BE714A" w:rsidP="003C1DD4">
            <w:pPr>
              <w:pStyle w:val="Compact"/>
            </w:pPr>
            <w:r>
              <w:t>5.4 (1.5)</w:t>
            </w:r>
          </w:p>
        </w:tc>
        <w:tc>
          <w:tcPr>
            <w:tcW w:w="0" w:type="auto"/>
          </w:tcPr>
          <w:p w14:paraId="2DF18EE8" w14:textId="77777777" w:rsidR="00BE714A" w:rsidRDefault="00BE714A" w:rsidP="003C1DD4">
            <w:pPr>
              <w:pStyle w:val="Compact"/>
            </w:pPr>
            <w:r>
              <w:t>5.6 (1.7)</w:t>
            </w:r>
          </w:p>
        </w:tc>
      </w:tr>
      <w:tr w:rsidR="00BE714A" w14:paraId="66823D21" w14:textId="77777777" w:rsidTr="003C1DD4">
        <w:tc>
          <w:tcPr>
            <w:tcW w:w="0" w:type="auto"/>
          </w:tcPr>
          <w:p w14:paraId="662B281F" w14:textId="77777777" w:rsidR="00BE714A" w:rsidRDefault="00BE714A" w:rsidP="003C1DD4">
            <w:pPr>
              <w:pStyle w:val="Compact"/>
            </w:pPr>
            <w:r>
              <w:t>23</w:t>
            </w:r>
          </w:p>
        </w:tc>
        <w:tc>
          <w:tcPr>
            <w:tcW w:w="0" w:type="auto"/>
          </w:tcPr>
          <w:p w14:paraId="20AF2B5E" w14:textId="77777777" w:rsidR="00BE714A" w:rsidRDefault="00BE714A" w:rsidP="003C1DD4">
            <w:pPr>
              <w:pStyle w:val="Compact"/>
            </w:pPr>
            <w:r>
              <w:t>LDL cholesterol (mean/SD)</w:t>
            </w:r>
          </w:p>
        </w:tc>
        <w:tc>
          <w:tcPr>
            <w:tcW w:w="0" w:type="auto"/>
          </w:tcPr>
          <w:p w14:paraId="7B1F8385" w14:textId="77777777" w:rsidR="00BE714A" w:rsidRDefault="00BE714A" w:rsidP="003C1DD4">
            <w:pPr>
              <w:pStyle w:val="Compact"/>
            </w:pPr>
            <w:r>
              <w:t>3.6 (4.8)</w:t>
            </w:r>
          </w:p>
        </w:tc>
        <w:tc>
          <w:tcPr>
            <w:tcW w:w="0" w:type="auto"/>
          </w:tcPr>
          <w:p w14:paraId="0305855F" w14:textId="77777777" w:rsidR="00BE714A" w:rsidRDefault="00BE714A" w:rsidP="003C1DD4">
            <w:pPr>
              <w:pStyle w:val="Compact"/>
            </w:pPr>
            <w:r>
              <w:t>3.4 (5.2)</w:t>
            </w:r>
          </w:p>
        </w:tc>
        <w:tc>
          <w:tcPr>
            <w:tcW w:w="0" w:type="auto"/>
          </w:tcPr>
          <w:p w14:paraId="05DA5153" w14:textId="77777777" w:rsidR="00BE714A" w:rsidRDefault="00BE714A" w:rsidP="003C1DD4">
            <w:pPr>
              <w:pStyle w:val="Compact"/>
            </w:pPr>
            <w:r>
              <w:t>4.0 (3.6)</w:t>
            </w:r>
          </w:p>
        </w:tc>
        <w:tc>
          <w:tcPr>
            <w:tcW w:w="0" w:type="auto"/>
          </w:tcPr>
          <w:p w14:paraId="236E9F65" w14:textId="77777777" w:rsidR="00BE714A" w:rsidRDefault="00BE714A" w:rsidP="003C1DD4">
            <w:pPr>
              <w:pStyle w:val="Compact"/>
            </w:pPr>
            <w:r>
              <w:t>3.1 (1.0)</w:t>
            </w:r>
          </w:p>
        </w:tc>
        <w:tc>
          <w:tcPr>
            <w:tcW w:w="0" w:type="auto"/>
          </w:tcPr>
          <w:p w14:paraId="65E59FAD" w14:textId="77777777" w:rsidR="00BE714A" w:rsidRDefault="00BE714A" w:rsidP="003C1DD4">
            <w:pPr>
              <w:pStyle w:val="Compact"/>
            </w:pPr>
            <w:r>
              <w:t>3.9 (1.1)</w:t>
            </w:r>
          </w:p>
        </w:tc>
        <w:tc>
          <w:tcPr>
            <w:tcW w:w="0" w:type="auto"/>
          </w:tcPr>
          <w:p w14:paraId="352B9111" w14:textId="77777777" w:rsidR="00BE714A" w:rsidRDefault="00BE714A" w:rsidP="003C1DD4">
            <w:pPr>
              <w:pStyle w:val="Compact"/>
            </w:pPr>
            <w:r>
              <w:t>4.2 (1.0)</w:t>
            </w:r>
          </w:p>
        </w:tc>
        <w:tc>
          <w:tcPr>
            <w:tcW w:w="0" w:type="auto"/>
          </w:tcPr>
          <w:p w14:paraId="636919D5" w14:textId="77777777" w:rsidR="00BE714A" w:rsidRDefault="00BE714A" w:rsidP="003C1DD4">
            <w:pPr>
              <w:pStyle w:val="Compact"/>
            </w:pPr>
            <w:r>
              <w:t>3.3 (1.8)</w:t>
            </w:r>
          </w:p>
        </w:tc>
        <w:tc>
          <w:tcPr>
            <w:tcW w:w="0" w:type="auto"/>
          </w:tcPr>
          <w:p w14:paraId="5210E65B" w14:textId="77777777" w:rsidR="00BE714A" w:rsidRDefault="00BE714A" w:rsidP="003C1DD4">
            <w:pPr>
              <w:pStyle w:val="Compact"/>
            </w:pPr>
            <w:r>
              <w:t>3.4 (0.9)</w:t>
            </w:r>
          </w:p>
        </w:tc>
        <w:tc>
          <w:tcPr>
            <w:tcW w:w="0" w:type="auto"/>
          </w:tcPr>
          <w:p w14:paraId="6D621310" w14:textId="77777777" w:rsidR="00BE714A" w:rsidRDefault="00BE714A" w:rsidP="003C1DD4">
            <w:pPr>
              <w:pStyle w:val="Compact"/>
            </w:pPr>
            <w:r>
              <w:t>3.2 (1.0)</w:t>
            </w:r>
          </w:p>
        </w:tc>
      </w:tr>
      <w:tr w:rsidR="00BE714A" w14:paraId="0E6AD719" w14:textId="77777777" w:rsidTr="003C1DD4">
        <w:tc>
          <w:tcPr>
            <w:tcW w:w="0" w:type="auto"/>
          </w:tcPr>
          <w:p w14:paraId="2D6FFF9E" w14:textId="77777777" w:rsidR="00BE714A" w:rsidRDefault="00BE714A" w:rsidP="003C1DD4">
            <w:pPr>
              <w:pStyle w:val="Compact"/>
            </w:pPr>
            <w:r>
              <w:t>18</w:t>
            </w:r>
          </w:p>
        </w:tc>
        <w:tc>
          <w:tcPr>
            <w:tcW w:w="0" w:type="auto"/>
          </w:tcPr>
          <w:p w14:paraId="3CAE2811" w14:textId="77777777" w:rsidR="00BE714A" w:rsidRDefault="00BE714A" w:rsidP="003C1DD4">
            <w:pPr>
              <w:pStyle w:val="Compact"/>
            </w:pPr>
            <w:r>
              <w:t>CKD</w:t>
            </w:r>
          </w:p>
        </w:tc>
        <w:tc>
          <w:tcPr>
            <w:tcW w:w="0" w:type="auto"/>
          </w:tcPr>
          <w:p w14:paraId="0043DB96" w14:textId="77777777" w:rsidR="00BE714A" w:rsidRDefault="00BE714A" w:rsidP="003C1DD4">
            <w:pPr>
              <w:pStyle w:val="Compact"/>
            </w:pPr>
            <w:r>
              <w:t>0.1% (1391)</w:t>
            </w:r>
          </w:p>
        </w:tc>
        <w:tc>
          <w:tcPr>
            <w:tcW w:w="0" w:type="auto"/>
          </w:tcPr>
          <w:p w14:paraId="464BC0F0" w14:textId="77777777" w:rsidR="00BE714A" w:rsidRDefault="00BE714A" w:rsidP="003C1DD4">
            <w:pPr>
              <w:pStyle w:val="Compact"/>
            </w:pPr>
            <w:r>
              <w:t>0.1% (814)</w:t>
            </w:r>
          </w:p>
        </w:tc>
        <w:tc>
          <w:tcPr>
            <w:tcW w:w="0" w:type="auto"/>
          </w:tcPr>
          <w:p w14:paraId="6335A0E9" w14:textId="77777777" w:rsidR="00BE714A" w:rsidRDefault="00BE714A" w:rsidP="003C1DD4">
            <w:pPr>
              <w:pStyle w:val="Compact"/>
            </w:pPr>
            <w:r>
              <w:t>0.1% (566)</w:t>
            </w:r>
          </w:p>
        </w:tc>
        <w:tc>
          <w:tcPr>
            <w:tcW w:w="0" w:type="auto"/>
          </w:tcPr>
          <w:p w14:paraId="1B6AFE30" w14:textId="77777777" w:rsidR="00BE714A" w:rsidRDefault="00BE714A" w:rsidP="003C1DD4">
            <w:pPr>
              <w:pStyle w:val="Compact"/>
            </w:pPr>
            <w:r>
              <w:t>0.1% (7)</w:t>
            </w:r>
          </w:p>
        </w:tc>
        <w:tc>
          <w:tcPr>
            <w:tcW w:w="0" w:type="auto"/>
          </w:tcPr>
          <w:p w14:paraId="72A62E5B" w14:textId="77777777" w:rsidR="00BE714A" w:rsidRDefault="00BE714A" w:rsidP="003C1DD4">
            <w:pPr>
              <w:pStyle w:val="Compact"/>
            </w:pPr>
            <w:r>
              <w:t>0.1% (1)</w:t>
            </w:r>
          </w:p>
        </w:tc>
        <w:tc>
          <w:tcPr>
            <w:tcW w:w="0" w:type="auto"/>
          </w:tcPr>
          <w:p w14:paraId="6C4D5EBA" w14:textId="77777777" w:rsidR="00BE714A" w:rsidRDefault="00BE714A" w:rsidP="003C1DD4">
            <w:pPr>
              <w:pStyle w:val="Compact"/>
            </w:pPr>
            <w:r>
              <w:t>0.0% (0)</w:t>
            </w:r>
          </w:p>
        </w:tc>
        <w:tc>
          <w:tcPr>
            <w:tcW w:w="0" w:type="auto"/>
          </w:tcPr>
          <w:p w14:paraId="6F380791" w14:textId="77777777" w:rsidR="00BE714A" w:rsidRDefault="00BE714A" w:rsidP="003C1DD4">
            <w:pPr>
              <w:pStyle w:val="Compact"/>
            </w:pPr>
            <w:r>
              <w:t>0.0% (0)</w:t>
            </w:r>
          </w:p>
        </w:tc>
        <w:tc>
          <w:tcPr>
            <w:tcW w:w="0" w:type="auto"/>
          </w:tcPr>
          <w:p w14:paraId="53874B92" w14:textId="77777777" w:rsidR="00BE714A" w:rsidRDefault="00BE714A" w:rsidP="003C1DD4">
            <w:pPr>
              <w:pStyle w:val="Compact"/>
            </w:pPr>
            <w:r>
              <w:t>0.0% (0)</w:t>
            </w:r>
          </w:p>
        </w:tc>
        <w:tc>
          <w:tcPr>
            <w:tcW w:w="0" w:type="auto"/>
          </w:tcPr>
          <w:p w14:paraId="086B10A9" w14:textId="77777777" w:rsidR="00BE714A" w:rsidRDefault="00BE714A" w:rsidP="003C1DD4">
            <w:pPr>
              <w:pStyle w:val="Compact"/>
            </w:pPr>
            <w:r>
              <w:t>0.3% (3)</w:t>
            </w:r>
          </w:p>
        </w:tc>
      </w:tr>
      <w:tr w:rsidR="00BE714A" w14:paraId="06575BC2" w14:textId="77777777" w:rsidTr="003C1DD4">
        <w:tc>
          <w:tcPr>
            <w:tcW w:w="0" w:type="auto"/>
          </w:tcPr>
          <w:p w14:paraId="33CA9A4C" w14:textId="77777777" w:rsidR="00BE714A" w:rsidRDefault="00BE714A" w:rsidP="003C1DD4">
            <w:pPr>
              <w:pStyle w:val="Compact"/>
            </w:pPr>
            <w:r>
              <w:t>19</w:t>
            </w:r>
          </w:p>
        </w:tc>
        <w:tc>
          <w:tcPr>
            <w:tcW w:w="0" w:type="auto"/>
          </w:tcPr>
          <w:p w14:paraId="7E8E22A2" w14:textId="77777777" w:rsidR="00BE714A" w:rsidRDefault="00BE714A" w:rsidP="003C1DD4">
            <w:pPr>
              <w:pStyle w:val="Compact"/>
            </w:pPr>
            <w:r>
              <w:t>Type 1 Diabetes</w:t>
            </w:r>
          </w:p>
        </w:tc>
        <w:tc>
          <w:tcPr>
            <w:tcW w:w="0" w:type="auto"/>
          </w:tcPr>
          <w:p w14:paraId="2DD39691" w14:textId="77777777" w:rsidR="00BE714A" w:rsidRDefault="00BE714A" w:rsidP="003C1DD4">
            <w:pPr>
              <w:pStyle w:val="Compact"/>
            </w:pPr>
            <w:r>
              <w:t>0.2% (4057)</w:t>
            </w:r>
          </w:p>
        </w:tc>
        <w:tc>
          <w:tcPr>
            <w:tcW w:w="0" w:type="auto"/>
          </w:tcPr>
          <w:p w14:paraId="2943F9F1" w14:textId="77777777" w:rsidR="00BE714A" w:rsidRDefault="00BE714A" w:rsidP="003C1DD4">
            <w:pPr>
              <w:pStyle w:val="Compact"/>
            </w:pPr>
            <w:r>
              <w:t>0.1% (795)</w:t>
            </w:r>
          </w:p>
        </w:tc>
        <w:tc>
          <w:tcPr>
            <w:tcW w:w="0" w:type="auto"/>
          </w:tcPr>
          <w:p w14:paraId="2FD84E0C" w14:textId="77777777" w:rsidR="00BE714A" w:rsidRDefault="00BE714A" w:rsidP="003C1DD4">
            <w:pPr>
              <w:pStyle w:val="Compact"/>
            </w:pPr>
            <w:r>
              <w:t>0.5% (3206)</w:t>
            </w:r>
          </w:p>
        </w:tc>
        <w:tc>
          <w:tcPr>
            <w:tcW w:w="0" w:type="auto"/>
          </w:tcPr>
          <w:p w14:paraId="1836DE61" w14:textId="77777777" w:rsidR="00BE714A" w:rsidRDefault="00BE714A" w:rsidP="003C1DD4">
            <w:pPr>
              <w:pStyle w:val="Compact"/>
            </w:pPr>
            <w:r>
              <w:t>0.3% (14)</w:t>
            </w:r>
          </w:p>
        </w:tc>
        <w:tc>
          <w:tcPr>
            <w:tcW w:w="0" w:type="auto"/>
          </w:tcPr>
          <w:p w14:paraId="0BFDF5AD" w14:textId="77777777" w:rsidR="00BE714A" w:rsidRDefault="00BE714A" w:rsidP="003C1DD4">
            <w:pPr>
              <w:pStyle w:val="Compact"/>
            </w:pPr>
            <w:r>
              <w:t>1.0% (8)</w:t>
            </w:r>
          </w:p>
        </w:tc>
        <w:tc>
          <w:tcPr>
            <w:tcW w:w="0" w:type="auto"/>
          </w:tcPr>
          <w:p w14:paraId="28C6976F" w14:textId="77777777" w:rsidR="00BE714A" w:rsidRDefault="00BE714A" w:rsidP="003C1DD4">
            <w:pPr>
              <w:pStyle w:val="Compact"/>
            </w:pPr>
            <w:r>
              <w:t>0.8% (1)</w:t>
            </w:r>
          </w:p>
        </w:tc>
        <w:tc>
          <w:tcPr>
            <w:tcW w:w="0" w:type="auto"/>
          </w:tcPr>
          <w:p w14:paraId="65AC4FE5" w14:textId="77777777" w:rsidR="00BE714A" w:rsidRDefault="00BE714A" w:rsidP="003C1DD4">
            <w:pPr>
              <w:pStyle w:val="Compact"/>
            </w:pPr>
            <w:r>
              <w:t>0.8% (31)</w:t>
            </w:r>
          </w:p>
        </w:tc>
        <w:tc>
          <w:tcPr>
            <w:tcW w:w="0" w:type="auto"/>
          </w:tcPr>
          <w:p w14:paraId="1E81E47A" w14:textId="77777777" w:rsidR="00BE714A" w:rsidRDefault="00BE714A" w:rsidP="003C1DD4">
            <w:pPr>
              <w:pStyle w:val="Compact"/>
            </w:pPr>
            <w:r>
              <w:t>0.6% (1)</w:t>
            </w:r>
          </w:p>
        </w:tc>
        <w:tc>
          <w:tcPr>
            <w:tcW w:w="0" w:type="auto"/>
          </w:tcPr>
          <w:p w14:paraId="7826DF74" w14:textId="77777777" w:rsidR="00BE714A" w:rsidRDefault="00BE714A" w:rsidP="003C1DD4">
            <w:pPr>
              <w:pStyle w:val="Compact"/>
            </w:pPr>
            <w:r>
              <w:t>0.1% (1)</w:t>
            </w:r>
          </w:p>
        </w:tc>
      </w:tr>
      <w:tr w:rsidR="00BE714A" w14:paraId="642E058D" w14:textId="77777777" w:rsidTr="003C1DD4">
        <w:tc>
          <w:tcPr>
            <w:tcW w:w="0" w:type="auto"/>
          </w:tcPr>
          <w:p w14:paraId="6067C344" w14:textId="77777777" w:rsidR="00BE714A" w:rsidRDefault="00BE714A" w:rsidP="003C1DD4">
            <w:pPr>
              <w:pStyle w:val="Compact"/>
            </w:pPr>
            <w:r>
              <w:t>24</w:t>
            </w:r>
          </w:p>
        </w:tc>
        <w:tc>
          <w:tcPr>
            <w:tcW w:w="0" w:type="auto"/>
          </w:tcPr>
          <w:p w14:paraId="07BB04D6" w14:textId="77777777" w:rsidR="00BE714A" w:rsidRDefault="00BE714A" w:rsidP="003C1DD4">
            <w:pPr>
              <w:pStyle w:val="Compact"/>
            </w:pPr>
            <w:r>
              <w:t>Type 2 Diabetes</w:t>
            </w:r>
          </w:p>
        </w:tc>
        <w:tc>
          <w:tcPr>
            <w:tcW w:w="0" w:type="auto"/>
          </w:tcPr>
          <w:p w14:paraId="2CB54642" w14:textId="77777777" w:rsidR="00BE714A" w:rsidRDefault="00BE714A" w:rsidP="003C1DD4">
            <w:pPr>
              <w:pStyle w:val="Compact"/>
            </w:pPr>
            <w:r>
              <w:t>2.9% (49381)</w:t>
            </w:r>
          </w:p>
        </w:tc>
        <w:tc>
          <w:tcPr>
            <w:tcW w:w="0" w:type="auto"/>
          </w:tcPr>
          <w:p w14:paraId="41551483" w14:textId="77777777" w:rsidR="00BE714A" w:rsidRDefault="00BE714A" w:rsidP="003C1DD4">
            <w:pPr>
              <w:pStyle w:val="Compact"/>
            </w:pPr>
            <w:r>
              <w:t>1.1% (12376)</w:t>
            </w:r>
          </w:p>
        </w:tc>
        <w:tc>
          <w:tcPr>
            <w:tcW w:w="0" w:type="auto"/>
          </w:tcPr>
          <w:p w14:paraId="7800CAD1" w14:textId="77777777" w:rsidR="00BE714A" w:rsidRDefault="00BE714A" w:rsidP="003C1DD4">
            <w:pPr>
              <w:pStyle w:val="Compact"/>
            </w:pPr>
            <w:r>
              <w:t>6.1% (36182)</w:t>
            </w:r>
          </w:p>
        </w:tc>
        <w:tc>
          <w:tcPr>
            <w:tcW w:w="0" w:type="auto"/>
          </w:tcPr>
          <w:p w14:paraId="51719CF9" w14:textId="77777777" w:rsidR="00BE714A" w:rsidRDefault="00BE714A" w:rsidP="003C1DD4">
            <w:pPr>
              <w:pStyle w:val="Compact"/>
            </w:pPr>
            <w:r>
              <w:t>2.3% (124)</w:t>
            </w:r>
          </w:p>
        </w:tc>
        <w:tc>
          <w:tcPr>
            <w:tcW w:w="0" w:type="auto"/>
          </w:tcPr>
          <w:p w14:paraId="0E9FEFC6" w14:textId="77777777" w:rsidR="00BE714A" w:rsidRDefault="00BE714A" w:rsidP="003C1DD4">
            <w:pPr>
              <w:pStyle w:val="Compact"/>
            </w:pPr>
            <w:r>
              <w:t>5.4% (41)</w:t>
            </w:r>
          </w:p>
        </w:tc>
        <w:tc>
          <w:tcPr>
            <w:tcW w:w="0" w:type="auto"/>
          </w:tcPr>
          <w:p w14:paraId="28BE4750" w14:textId="77777777" w:rsidR="00BE714A" w:rsidRDefault="00BE714A" w:rsidP="003C1DD4">
            <w:pPr>
              <w:pStyle w:val="Compact"/>
            </w:pPr>
            <w:r>
              <w:t>4.7% (6)</w:t>
            </w:r>
          </w:p>
        </w:tc>
        <w:tc>
          <w:tcPr>
            <w:tcW w:w="0" w:type="auto"/>
          </w:tcPr>
          <w:p w14:paraId="26C28D5F" w14:textId="77777777" w:rsidR="00BE714A" w:rsidRDefault="00BE714A" w:rsidP="003C1DD4">
            <w:pPr>
              <w:pStyle w:val="Compact"/>
            </w:pPr>
            <w:r>
              <w:t>15.8% (617)</w:t>
            </w:r>
          </w:p>
        </w:tc>
        <w:tc>
          <w:tcPr>
            <w:tcW w:w="0" w:type="auto"/>
          </w:tcPr>
          <w:p w14:paraId="10B65007" w14:textId="77777777" w:rsidR="00BE714A" w:rsidRDefault="00BE714A" w:rsidP="003C1DD4">
            <w:pPr>
              <w:pStyle w:val="Compact"/>
            </w:pPr>
            <w:r>
              <w:t>4.2% (7)</w:t>
            </w:r>
          </w:p>
        </w:tc>
        <w:tc>
          <w:tcPr>
            <w:tcW w:w="0" w:type="auto"/>
          </w:tcPr>
          <w:p w14:paraId="3D28E034" w14:textId="77777777" w:rsidR="00BE714A" w:rsidRDefault="00BE714A" w:rsidP="003C1DD4">
            <w:pPr>
              <w:pStyle w:val="Compact"/>
            </w:pPr>
            <w:r>
              <w:t>2.8% (28)</w:t>
            </w:r>
          </w:p>
        </w:tc>
      </w:tr>
    </w:tbl>
    <w:p w14:paraId="5497EA2F" w14:textId="77777777" w:rsidR="00BE714A" w:rsidRDefault="00BE714A" w:rsidP="00BE714A">
      <w:pPr>
        <w:pStyle w:val="BodyText"/>
      </w:pPr>
      <w:r>
        <w:lastRenderedPageBreak/>
        <w:t>A substantial majority (98.1%) of participants prescribed a lipid-regulating agent were prescribed a statin. We excluded the “Ezetimibe and statins” and “Nicotinic acid groups” classes from subsequent analysis based on the extremely small number of participants in these groups (Table 6). The “Ezetimibe and statins” treatment group represent those prescribed a treatment containing both ezetimibe and statins, rather than those where the two treats were prescribed concurrently.</w:t>
      </w:r>
    </w:p>
    <w:p w14:paraId="62FFDF7E" w14:textId="77777777" w:rsidR="00BE714A" w:rsidRDefault="00BE714A" w:rsidP="00BE714A">
      <w:pPr>
        <w:pStyle w:val="BodyText"/>
      </w:pPr>
      <w:r>
        <w:t> </w:t>
      </w:r>
    </w:p>
    <w:p w14:paraId="0D2DDD7D" w14:textId="77777777" w:rsidR="00BE714A" w:rsidRDefault="00BE714A" w:rsidP="00BE714A">
      <w:pPr>
        <w:pStyle w:val="TableCaption"/>
      </w:pPr>
      <w:r>
        <w:t>Table 7: Participants who stopped, switched or added treatements by initial treatment type</w:t>
      </w:r>
    </w:p>
    <w:tbl>
      <w:tblPr>
        <w:tblW w:w="4999" w:type="pct"/>
        <w:tblLook w:val="0020" w:firstRow="1" w:lastRow="0" w:firstColumn="0" w:lastColumn="0" w:noHBand="0" w:noVBand="0"/>
      </w:tblPr>
      <w:tblGrid>
        <w:gridCol w:w="432"/>
        <w:gridCol w:w="984"/>
        <w:gridCol w:w="1016"/>
        <w:gridCol w:w="1016"/>
        <w:gridCol w:w="1293"/>
        <w:gridCol w:w="1053"/>
        <w:gridCol w:w="1053"/>
        <w:gridCol w:w="905"/>
        <w:gridCol w:w="964"/>
        <w:gridCol w:w="860"/>
      </w:tblGrid>
      <w:tr w:rsidR="00BE714A" w14:paraId="7C1315C1" w14:textId="77777777" w:rsidTr="003C1DD4">
        <w:tc>
          <w:tcPr>
            <w:tcW w:w="0" w:type="auto"/>
          </w:tcPr>
          <w:p w14:paraId="3396A96D" w14:textId="77777777" w:rsidR="00BE714A" w:rsidRDefault="00BE714A" w:rsidP="003C1DD4"/>
        </w:tc>
        <w:tc>
          <w:tcPr>
            <w:tcW w:w="0" w:type="auto"/>
          </w:tcPr>
          <w:p w14:paraId="35EE8A19" w14:textId="77777777" w:rsidR="00BE714A" w:rsidRDefault="00BE714A" w:rsidP="003C1DD4"/>
        </w:tc>
        <w:tc>
          <w:tcPr>
            <w:tcW w:w="0" w:type="auto"/>
          </w:tcPr>
          <w:p w14:paraId="1B34B035" w14:textId="77777777" w:rsidR="00BE714A" w:rsidRDefault="00BE714A" w:rsidP="003C1DD4">
            <w:pPr>
              <w:pStyle w:val="Compact"/>
            </w:pPr>
            <w:r>
              <w:t>Whole Sample</w:t>
            </w:r>
          </w:p>
        </w:tc>
        <w:tc>
          <w:tcPr>
            <w:tcW w:w="0" w:type="auto"/>
          </w:tcPr>
          <w:p w14:paraId="4F58B3E6" w14:textId="77777777" w:rsidR="00BE714A" w:rsidRDefault="00BE714A" w:rsidP="003C1DD4">
            <w:pPr>
              <w:pStyle w:val="Compact"/>
            </w:pPr>
            <w:r>
              <w:t>Statins</w:t>
            </w:r>
          </w:p>
        </w:tc>
        <w:tc>
          <w:tcPr>
            <w:tcW w:w="0" w:type="auto"/>
          </w:tcPr>
          <w:p w14:paraId="18FA65CF" w14:textId="77777777" w:rsidR="00BE714A" w:rsidRDefault="00BE714A" w:rsidP="003C1DD4">
            <w:pPr>
              <w:pStyle w:val="Compact"/>
            </w:pPr>
            <w:r>
              <w:t>Bile acid sequestrants</w:t>
            </w:r>
          </w:p>
        </w:tc>
        <w:tc>
          <w:tcPr>
            <w:tcW w:w="0" w:type="auto"/>
          </w:tcPr>
          <w:p w14:paraId="59207536" w14:textId="77777777" w:rsidR="00BE714A" w:rsidRDefault="00BE714A" w:rsidP="003C1DD4">
            <w:pPr>
              <w:pStyle w:val="Compact"/>
            </w:pPr>
            <w:r>
              <w:t>Ezetimibe</w:t>
            </w:r>
          </w:p>
        </w:tc>
        <w:tc>
          <w:tcPr>
            <w:tcW w:w="0" w:type="auto"/>
          </w:tcPr>
          <w:p w14:paraId="4D3D8F9A" w14:textId="77777777" w:rsidR="00BE714A" w:rsidRDefault="00BE714A" w:rsidP="003C1DD4">
            <w:pPr>
              <w:pStyle w:val="Compact"/>
            </w:pPr>
            <w:r>
              <w:t>Ezetimibe &amp; Statins</w:t>
            </w:r>
          </w:p>
        </w:tc>
        <w:tc>
          <w:tcPr>
            <w:tcW w:w="0" w:type="auto"/>
          </w:tcPr>
          <w:p w14:paraId="4DBAF1DE" w14:textId="77777777" w:rsidR="00BE714A" w:rsidRDefault="00BE714A" w:rsidP="003C1DD4">
            <w:pPr>
              <w:pStyle w:val="Compact"/>
            </w:pPr>
            <w:r>
              <w:t>Fibrates</w:t>
            </w:r>
          </w:p>
        </w:tc>
        <w:tc>
          <w:tcPr>
            <w:tcW w:w="0" w:type="auto"/>
          </w:tcPr>
          <w:p w14:paraId="17DDB335" w14:textId="77777777" w:rsidR="00BE714A" w:rsidRDefault="00BE714A" w:rsidP="003C1DD4">
            <w:pPr>
              <w:pStyle w:val="Compact"/>
            </w:pPr>
            <w:r>
              <w:t>Nicotinic acid groups</w:t>
            </w:r>
          </w:p>
        </w:tc>
        <w:tc>
          <w:tcPr>
            <w:tcW w:w="0" w:type="auto"/>
          </w:tcPr>
          <w:p w14:paraId="2F30BEC3" w14:textId="77777777" w:rsidR="00BE714A" w:rsidRDefault="00BE714A" w:rsidP="003C1DD4">
            <w:pPr>
              <w:pStyle w:val="Compact"/>
            </w:pPr>
            <w:r>
              <w:t>Omega-3 Fatty Acid Groups</w:t>
            </w:r>
          </w:p>
        </w:tc>
      </w:tr>
      <w:tr w:rsidR="00BE714A" w14:paraId="266D56DE" w14:textId="77777777" w:rsidTr="003C1DD4">
        <w:tc>
          <w:tcPr>
            <w:tcW w:w="0" w:type="auto"/>
          </w:tcPr>
          <w:p w14:paraId="033681EE" w14:textId="77777777" w:rsidR="00BE714A" w:rsidRDefault="00BE714A" w:rsidP="003C1DD4">
            <w:pPr>
              <w:pStyle w:val="Compact"/>
            </w:pPr>
            <w:r>
              <w:t>20</w:t>
            </w:r>
          </w:p>
        </w:tc>
        <w:tc>
          <w:tcPr>
            <w:tcW w:w="0" w:type="auto"/>
          </w:tcPr>
          <w:p w14:paraId="5D2341D4" w14:textId="77777777" w:rsidR="00BE714A" w:rsidRDefault="00BE714A" w:rsidP="003C1DD4">
            <w:pPr>
              <w:pStyle w:val="Compact"/>
            </w:pPr>
            <w:r>
              <w:t>Stopped</w:t>
            </w:r>
          </w:p>
        </w:tc>
        <w:tc>
          <w:tcPr>
            <w:tcW w:w="0" w:type="auto"/>
          </w:tcPr>
          <w:p w14:paraId="2CA14EF7" w14:textId="77777777" w:rsidR="00BE714A" w:rsidRDefault="00BE714A" w:rsidP="003C1DD4">
            <w:pPr>
              <w:pStyle w:val="Compact"/>
            </w:pPr>
            <w:r>
              <w:t>6.8% (115899)</w:t>
            </w:r>
          </w:p>
        </w:tc>
        <w:tc>
          <w:tcPr>
            <w:tcW w:w="0" w:type="auto"/>
          </w:tcPr>
          <w:p w14:paraId="435F2841" w14:textId="77777777" w:rsidR="00BE714A" w:rsidRDefault="00BE714A" w:rsidP="003C1DD4">
            <w:pPr>
              <w:pStyle w:val="Compact"/>
            </w:pPr>
            <w:r>
              <w:t>19.0% (111798)</w:t>
            </w:r>
          </w:p>
        </w:tc>
        <w:tc>
          <w:tcPr>
            <w:tcW w:w="0" w:type="auto"/>
          </w:tcPr>
          <w:p w14:paraId="34982D3D" w14:textId="77777777" w:rsidR="00BE714A" w:rsidRDefault="00BE714A" w:rsidP="003C1DD4">
            <w:pPr>
              <w:pStyle w:val="Compact"/>
            </w:pPr>
            <w:r>
              <w:t>55.9% (3028)</w:t>
            </w:r>
          </w:p>
        </w:tc>
        <w:tc>
          <w:tcPr>
            <w:tcW w:w="0" w:type="auto"/>
          </w:tcPr>
          <w:p w14:paraId="4D0C5F04" w14:textId="77777777" w:rsidR="00BE714A" w:rsidRDefault="00BE714A" w:rsidP="003C1DD4">
            <w:pPr>
              <w:pStyle w:val="Compact"/>
            </w:pPr>
            <w:r>
              <w:t>19.6% (150)</w:t>
            </w:r>
          </w:p>
        </w:tc>
        <w:tc>
          <w:tcPr>
            <w:tcW w:w="0" w:type="auto"/>
          </w:tcPr>
          <w:p w14:paraId="6EA5FED5" w14:textId="77777777" w:rsidR="00BE714A" w:rsidRDefault="00BE714A" w:rsidP="003C1DD4">
            <w:pPr>
              <w:pStyle w:val="Compact"/>
            </w:pPr>
            <w:r>
              <w:t>12.6% (16)</w:t>
            </w:r>
          </w:p>
        </w:tc>
        <w:tc>
          <w:tcPr>
            <w:tcW w:w="0" w:type="auto"/>
          </w:tcPr>
          <w:p w14:paraId="712E1E2C" w14:textId="77777777" w:rsidR="00BE714A" w:rsidRDefault="00BE714A" w:rsidP="003C1DD4">
            <w:pPr>
              <w:pStyle w:val="Compact"/>
            </w:pPr>
            <w:r>
              <w:t>12.3% (478)</w:t>
            </w:r>
          </w:p>
        </w:tc>
        <w:tc>
          <w:tcPr>
            <w:tcW w:w="0" w:type="auto"/>
          </w:tcPr>
          <w:p w14:paraId="1148744D" w14:textId="77777777" w:rsidR="00BE714A" w:rsidRDefault="00BE714A" w:rsidP="003C1DD4">
            <w:pPr>
              <w:pStyle w:val="Compact"/>
            </w:pPr>
            <w:r>
              <w:t>44.0% (74)</w:t>
            </w:r>
          </w:p>
        </w:tc>
        <w:tc>
          <w:tcPr>
            <w:tcW w:w="0" w:type="auto"/>
          </w:tcPr>
          <w:p w14:paraId="23A25A42" w14:textId="77777777" w:rsidR="00BE714A" w:rsidRDefault="00BE714A" w:rsidP="003C1DD4">
            <w:pPr>
              <w:pStyle w:val="Compact"/>
            </w:pPr>
            <w:r>
              <w:t>35.6% (355)</w:t>
            </w:r>
          </w:p>
        </w:tc>
      </w:tr>
      <w:tr w:rsidR="00BE714A" w14:paraId="0EBA48DB" w14:textId="77777777" w:rsidTr="003C1DD4">
        <w:tc>
          <w:tcPr>
            <w:tcW w:w="0" w:type="auto"/>
          </w:tcPr>
          <w:p w14:paraId="4BAA41AA" w14:textId="77777777" w:rsidR="00BE714A" w:rsidRDefault="00BE714A" w:rsidP="003C1DD4">
            <w:pPr>
              <w:pStyle w:val="Compact"/>
            </w:pPr>
            <w:r>
              <w:t>21</w:t>
            </w:r>
          </w:p>
        </w:tc>
        <w:tc>
          <w:tcPr>
            <w:tcW w:w="0" w:type="auto"/>
          </w:tcPr>
          <w:p w14:paraId="5DA5E761" w14:textId="77777777" w:rsidR="00BE714A" w:rsidRDefault="00BE714A" w:rsidP="003C1DD4">
            <w:pPr>
              <w:pStyle w:val="Compact"/>
            </w:pPr>
            <w:r>
              <w:t>Added</w:t>
            </w:r>
          </w:p>
        </w:tc>
        <w:tc>
          <w:tcPr>
            <w:tcW w:w="0" w:type="auto"/>
          </w:tcPr>
          <w:p w14:paraId="40AA5F29" w14:textId="77777777" w:rsidR="00BE714A" w:rsidRDefault="00BE714A" w:rsidP="003C1DD4">
            <w:pPr>
              <w:pStyle w:val="Compact"/>
            </w:pPr>
            <w:r>
              <w:t>1.6% (27470)</w:t>
            </w:r>
          </w:p>
        </w:tc>
        <w:tc>
          <w:tcPr>
            <w:tcW w:w="0" w:type="auto"/>
          </w:tcPr>
          <w:p w14:paraId="63118973" w14:textId="77777777" w:rsidR="00BE714A" w:rsidRDefault="00BE714A" w:rsidP="003C1DD4">
            <w:pPr>
              <w:pStyle w:val="Compact"/>
            </w:pPr>
            <w:r>
              <w:t>4.4% (26018)</w:t>
            </w:r>
          </w:p>
        </w:tc>
        <w:tc>
          <w:tcPr>
            <w:tcW w:w="0" w:type="auto"/>
          </w:tcPr>
          <w:p w14:paraId="32D2EDA6" w14:textId="77777777" w:rsidR="00BE714A" w:rsidRDefault="00BE714A" w:rsidP="003C1DD4">
            <w:pPr>
              <w:pStyle w:val="Compact"/>
            </w:pPr>
            <w:r>
              <w:t>3.5% (192)</w:t>
            </w:r>
          </w:p>
        </w:tc>
        <w:tc>
          <w:tcPr>
            <w:tcW w:w="0" w:type="auto"/>
          </w:tcPr>
          <w:p w14:paraId="60F3D038" w14:textId="77777777" w:rsidR="00BE714A" w:rsidRDefault="00BE714A" w:rsidP="003C1DD4">
            <w:pPr>
              <w:pStyle w:val="Compact"/>
            </w:pPr>
            <w:r>
              <w:t>18.9% (145)</w:t>
            </w:r>
          </w:p>
        </w:tc>
        <w:tc>
          <w:tcPr>
            <w:tcW w:w="0" w:type="auto"/>
          </w:tcPr>
          <w:p w14:paraId="0487E929" w14:textId="77777777" w:rsidR="00BE714A" w:rsidRDefault="00BE714A" w:rsidP="003C1DD4">
            <w:pPr>
              <w:pStyle w:val="Compact"/>
            </w:pPr>
            <w:r>
              <w:t>3.9% (5)</w:t>
            </w:r>
          </w:p>
        </w:tc>
        <w:tc>
          <w:tcPr>
            <w:tcW w:w="0" w:type="auto"/>
          </w:tcPr>
          <w:p w14:paraId="6D088430" w14:textId="77777777" w:rsidR="00BE714A" w:rsidRDefault="00BE714A" w:rsidP="003C1DD4">
            <w:pPr>
              <w:pStyle w:val="Compact"/>
            </w:pPr>
            <w:r>
              <w:t>21.6% (841)</w:t>
            </w:r>
          </w:p>
        </w:tc>
        <w:tc>
          <w:tcPr>
            <w:tcW w:w="0" w:type="auto"/>
          </w:tcPr>
          <w:p w14:paraId="7AC40B69" w14:textId="77777777" w:rsidR="00BE714A" w:rsidRDefault="00BE714A" w:rsidP="003C1DD4">
            <w:pPr>
              <w:pStyle w:val="Compact"/>
            </w:pPr>
            <w:r>
              <w:t>4.2% (7)</w:t>
            </w:r>
          </w:p>
        </w:tc>
        <w:tc>
          <w:tcPr>
            <w:tcW w:w="0" w:type="auto"/>
          </w:tcPr>
          <w:p w14:paraId="4DF6C397" w14:textId="77777777" w:rsidR="00BE714A" w:rsidRDefault="00BE714A" w:rsidP="003C1DD4">
            <w:pPr>
              <w:pStyle w:val="Compact"/>
            </w:pPr>
            <w:r>
              <w:t>26.3% (262)</w:t>
            </w:r>
          </w:p>
        </w:tc>
      </w:tr>
      <w:tr w:rsidR="00BE714A" w14:paraId="3B00BCA4" w14:textId="77777777" w:rsidTr="003C1DD4">
        <w:tc>
          <w:tcPr>
            <w:tcW w:w="0" w:type="auto"/>
          </w:tcPr>
          <w:p w14:paraId="1B89BA99" w14:textId="77777777" w:rsidR="00BE714A" w:rsidRDefault="00BE714A" w:rsidP="003C1DD4">
            <w:pPr>
              <w:pStyle w:val="Compact"/>
            </w:pPr>
            <w:r>
              <w:t>22</w:t>
            </w:r>
          </w:p>
        </w:tc>
        <w:tc>
          <w:tcPr>
            <w:tcW w:w="0" w:type="auto"/>
          </w:tcPr>
          <w:p w14:paraId="0DC84C89" w14:textId="77777777" w:rsidR="00BE714A" w:rsidRDefault="00BE714A" w:rsidP="003C1DD4">
            <w:pPr>
              <w:pStyle w:val="Compact"/>
            </w:pPr>
            <w:r>
              <w:t>Switched</w:t>
            </w:r>
          </w:p>
        </w:tc>
        <w:tc>
          <w:tcPr>
            <w:tcW w:w="0" w:type="auto"/>
          </w:tcPr>
          <w:p w14:paraId="582CEC26" w14:textId="77777777" w:rsidR="00BE714A" w:rsidRDefault="00BE714A" w:rsidP="003C1DD4">
            <w:pPr>
              <w:pStyle w:val="Compact"/>
            </w:pPr>
            <w:r>
              <w:t>0.9% (14956)</w:t>
            </w:r>
          </w:p>
        </w:tc>
        <w:tc>
          <w:tcPr>
            <w:tcW w:w="0" w:type="auto"/>
          </w:tcPr>
          <w:p w14:paraId="4E6C597A" w14:textId="77777777" w:rsidR="00BE714A" w:rsidRDefault="00BE714A" w:rsidP="003C1DD4">
            <w:pPr>
              <w:pStyle w:val="Compact"/>
            </w:pPr>
            <w:r>
              <w:t>2.0% (12014)</w:t>
            </w:r>
          </w:p>
        </w:tc>
        <w:tc>
          <w:tcPr>
            <w:tcW w:w="0" w:type="auto"/>
          </w:tcPr>
          <w:p w14:paraId="2DB177D6" w14:textId="77777777" w:rsidR="00BE714A" w:rsidRDefault="00BE714A" w:rsidP="003C1DD4">
            <w:pPr>
              <w:pStyle w:val="Compact"/>
            </w:pPr>
            <w:r>
              <w:t>11.3% (614)</w:t>
            </w:r>
          </w:p>
        </w:tc>
        <w:tc>
          <w:tcPr>
            <w:tcW w:w="0" w:type="auto"/>
          </w:tcPr>
          <w:p w14:paraId="0C4F1068" w14:textId="77777777" w:rsidR="00BE714A" w:rsidRDefault="00BE714A" w:rsidP="003C1DD4">
            <w:pPr>
              <w:pStyle w:val="Compact"/>
            </w:pPr>
            <w:r>
              <w:t>34.5% (264)</w:t>
            </w:r>
          </w:p>
        </w:tc>
        <w:tc>
          <w:tcPr>
            <w:tcW w:w="0" w:type="auto"/>
          </w:tcPr>
          <w:p w14:paraId="50351A15" w14:textId="77777777" w:rsidR="00BE714A" w:rsidRDefault="00BE714A" w:rsidP="003C1DD4">
            <w:pPr>
              <w:pStyle w:val="Compact"/>
            </w:pPr>
            <w:r>
              <w:t>64.6% (82)</w:t>
            </w:r>
          </w:p>
        </w:tc>
        <w:tc>
          <w:tcPr>
            <w:tcW w:w="0" w:type="auto"/>
          </w:tcPr>
          <w:p w14:paraId="2036693A" w14:textId="77777777" w:rsidR="00BE714A" w:rsidRDefault="00BE714A" w:rsidP="003C1DD4">
            <w:pPr>
              <w:pStyle w:val="Compact"/>
            </w:pPr>
            <w:r>
              <w:t>44.0% (1714)</w:t>
            </w:r>
          </w:p>
        </w:tc>
        <w:tc>
          <w:tcPr>
            <w:tcW w:w="0" w:type="auto"/>
          </w:tcPr>
          <w:p w14:paraId="626FA87D" w14:textId="77777777" w:rsidR="00BE714A" w:rsidRDefault="00BE714A" w:rsidP="003C1DD4">
            <w:pPr>
              <w:pStyle w:val="Compact"/>
            </w:pPr>
            <w:r>
              <w:t>44.6% (75)</w:t>
            </w:r>
          </w:p>
        </w:tc>
        <w:tc>
          <w:tcPr>
            <w:tcW w:w="0" w:type="auto"/>
          </w:tcPr>
          <w:p w14:paraId="709FBC1E" w14:textId="77777777" w:rsidR="00BE714A" w:rsidRDefault="00BE714A" w:rsidP="003C1DD4">
            <w:pPr>
              <w:pStyle w:val="Compact"/>
            </w:pPr>
            <w:r>
              <w:t>19.4% (193)</w:t>
            </w:r>
          </w:p>
        </w:tc>
      </w:tr>
    </w:tbl>
    <w:p w14:paraId="2651AF3B" w14:textId="77777777" w:rsidR="00BE714A" w:rsidRDefault="00BE714A" w:rsidP="00BE714A">
      <w:pPr>
        <w:pStyle w:val="BodyText"/>
      </w:pPr>
      <w:r>
        <w:t> </w:t>
      </w:r>
    </w:p>
    <w:p w14:paraId="26BC2122" w14:textId="77777777" w:rsidR="00BE714A" w:rsidRDefault="00BE714A" w:rsidP="00BE714A">
      <w:pPr>
        <w:pStyle w:val="BodyText"/>
      </w:pPr>
      <w:r>
        <w:t> </w:t>
      </w:r>
    </w:p>
    <w:p w14:paraId="1A4FDFC2" w14:textId="77777777" w:rsidR="00BE714A" w:rsidRDefault="00BE714A" w:rsidP="00BE714A">
      <w:pPr>
        <w:pStyle w:val="Heading3"/>
      </w:pPr>
      <w:bookmarkStart w:id="115" w:name="missing-data-1"/>
      <w:bookmarkEnd w:id="114"/>
      <w:r>
        <w:t>Missing data</w:t>
      </w:r>
    </w:p>
    <w:p w14:paraId="0547D71E" w14:textId="77777777" w:rsidR="00BE714A" w:rsidRDefault="00BE714A" w:rsidP="00BE714A">
      <w:pPr>
        <w:pStyle w:val="FirstParagraph"/>
      </w:pPr>
      <w:r>
        <w:t>Full covariate information was available for 451,897 participants (26.6%). Six key variables had some missing data: IMD 2010 score, a proxy for socioeconomic position that is measured as twentiles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14:paraId="301451DF" w14:textId="77777777" w:rsidR="00BE714A" w:rsidRDefault="00BE714A" w:rsidP="00BE714A">
      <w:pPr>
        <w:pStyle w:val="BodyText"/>
      </w:pPr>
      <w:r>
        <w:t> </w:t>
      </w:r>
    </w:p>
    <w:p w14:paraId="1695A5CA" w14:textId="77777777" w:rsidR="00BE714A" w:rsidRDefault="00BE714A" w:rsidP="00BE714A">
      <w:pPr>
        <w:pStyle w:val="Heading3"/>
      </w:pPr>
      <w:bookmarkStart w:id="116" w:name="primary-analysis"/>
      <w:bookmarkEnd w:id="115"/>
      <w:r>
        <w:lastRenderedPageBreak/>
        <w:t>Primary analysis</w:t>
      </w:r>
    </w:p>
    <w:p w14:paraId="0605FEB1" w14:textId="77777777" w:rsidR="00BE714A" w:rsidRDefault="00BE714A" w:rsidP="00BE714A">
      <w:pPr>
        <w:pStyle w:val="FirstParagraph"/>
      </w:pPr>
      <w:r>
        <w:t>All results described below are from the fully adjusted model. The results of the age-only model are presented in Supplementary Figure 3, and demonstrate that adjustment for additional covariates had a minimal effect.</w:t>
      </w:r>
    </w:p>
    <w:p w14:paraId="2F088AA4" w14:textId="77777777" w:rsidR="00BE714A" w:rsidRDefault="00BE714A" w:rsidP="00BE714A">
      <w:pPr>
        <w:pStyle w:val="BodyText"/>
      </w:pPr>
      <w:r>
        <w:t>(ref:cprdPrimary-scap) Results from primary analyses of CPRD data</w:t>
      </w:r>
    </w:p>
    <w:p w14:paraId="75BB9436" w14:textId="77777777" w:rsidR="00BE714A" w:rsidRDefault="00BE714A" w:rsidP="00BE714A">
      <w:pPr>
        <w:pStyle w:val="BodyText"/>
      </w:pPr>
      <w:r>
        <w:rPr>
          <w:noProof/>
        </w:rPr>
        <w:drawing>
          <wp:inline distT="0" distB="0" distL="0" distR="0" wp14:anchorId="24C2F10A" wp14:editId="65A5E4E6">
            <wp:extent cx="5943600" cy="3301733"/>
            <wp:effectExtent l="0" t="0" r="0" b="0"/>
            <wp:docPr id="8" name="Picture" descr="Figure 7: Results from primary analyses of CPRD data:"/>
            <wp:cNvGraphicFramePr/>
            <a:graphic xmlns:a="http://schemas.openxmlformats.org/drawingml/2006/main">
              <a:graphicData uri="http://schemas.openxmlformats.org/drawingml/2006/picture">
                <pic:pic xmlns:pic="http://schemas.openxmlformats.org/drawingml/2006/picture">
                  <pic:nvPicPr>
                    <pic:cNvPr id="0" name="Picture" descr="figures/cprd-analysis/fp_p1.jpeg"/>
                    <pic:cNvPicPr>
                      <a:picLocks noChangeAspect="1" noChangeArrowheads="1"/>
                    </pic:cNvPicPr>
                  </pic:nvPicPr>
                  <pic:blipFill>
                    <a:blip r:embed="rId19"/>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3831C544" w14:textId="77777777" w:rsidR="00BE714A" w:rsidRDefault="00BE714A" w:rsidP="00BE714A">
      <w:pPr>
        <w:pStyle w:val="BodyText"/>
      </w:pPr>
      <w:r>
        <w:t> </w:t>
      </w:r>
    </w:p>
    <w:p w14:paraId="6869A009" w14:textId="77777777" w:rsidR="00BE714A" w:rsidRDefault="00BE714A" w:rsidP="00BE714A">
      <w:pPr>
        <w:pStyle w:val="BodyText"/>
      </w:pPr>
      <w:r>
        <w:rPr>
          <w:b/>
          <w:bCs/>
        </w:rPr>
        <w:t>Alzheimer’s disease</w:t>
      </w:r>
    </w:p>
    <w:p w14:paraId="372D6D69" w14:textId="77777777" w:rsidR="00BE714A" w:rsidRDefault="00BE714A" w:rsidP="00BE714A">
      <w:pPr>
        <w:pStyle w:val="BodyText"/>
      </w:pPr>
      <w:r>
        <w:t>As shown in Figure 7, the results of the analysis do not support an effect of lipid-regulating agents on probable (HR: 0.98, 95%CI: 0.94-1.01) and possible (HR: 0.97, 95%CI: 0.93-1.01) Alzheimer’s disease when compared with no treatment, with the exception of fibrates on probable Alzheimer’s disease (HR: 1.28, 95%CI: 1.08-1.52).</w:t>
      </w:r>
    </w:p>
    <w:p w14:paraId="64CB1D73" w14:textId="77777777" w:rsidR="00BE714A" w:rsidRDefault="00BE714A" w:rsidP="00BE714A">
      <w:pPr>
        <w:pStyle w:val="BodyText"/>
      </w:pPr>
      <w:r>
        <w:t> </w:t>
      </w:r>
    </w:p>
    <w:p w14:paraId="5F35A97B" w14:textId="77777777" w:rsidR="00BE714A" w:rsidRDefault="00BE714A" w:rsidP="00BE714A">
      <w:pPr>
        <w:pStyle w:val="BodyText"/>
      </w:pPr>
      <w:r>
        <w:rPr>
          <w:b/>
          <w:bCs/>
        </w:rPr>
        <w:t>Non-Alzheimer’s disease dementias</w:t>
      </w:r>
    </w:p>
    <w:p w14:paraId="28B3B252" w14:textId="77777777" w:rsidR="00BE714A" w:rsidRDefault="00BE714A" w:rsidP="00BE714A">
      <w:pPr>
        <w:pStyle w:val="BodyText"/>
      </w:pPr>
      <w:r>
        <w:t>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14:paraId="10CCB714" w14:textId="77777777" w:rsidR="00BE714A" w:rsidRDefault="00BE714A" w:rsidP="00BE714A">
      <w:pPr>
        <w:pStyle w:val="BodyText"/>
      </w:pPr>
      <w:r>
        <w:t> </w:t>
      </w:r>
    </w:p>
    <w:p w14:paraId="18983217" w14:textId="77777777" w:rsidR="00BE714A" w:rsidRDefault="00BE714A" w:rsidP="00BE714A">
      <w:pPr>
        <w:pStyle w:val="BodyText"/>
      </w:pPr>
      <w:r>
        <w:rPr>
          <w:b/>
          <w:bCs/>
        </w:rPr>
        <w:t>All-cause dementia</w:t>
      </w:r>
    </w:p>
    <w:p w14:paraId="21C65C32" w14:textId="77777777" w:rsidR="00BE714A" w:rsidRDefault="00BE714A" w:rsidP="00BE714A">
      <w:pPr>
        <w:pStyle w:val="BodyText"/>
      </w:pPr>
      <w:r>
        <w:lastRenderedPageBreak/>
        <w:t>For the composite all-cause dementia outcome, I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14:paraId="51CBBAB6" w14:textId="77777777" w:rsidR="00BE714A" w:rsidRDefault="00BE714A" w:rsidP="00BE714A">
      <w:pPr>
        <w:pStyle w:val="BodyText"/>
      </w:pPr>
      <w:r>
        <w:t> </w:t>
      </w:r>
    </w:p>
    <w:p w14:paraId="0FC6BC13" w14:textId="77777777" w:rsidR="00BE714A" w:rsidRDefault="00BE714A" w:rsidP="00BE714A">
      <w:pPr>
        <w:pStyle w:val="Heading3"/>
      </w:pPr>
      <w:bookmarkStart w:id="117" w:name="sensitivity-analyses-1"/>
      <w:bookmarkEnd w:id="116"/>
      <w:r>
        <w:t>Sensitivity analyses</w:t>
      </w:r>
    </w:p>
    <w:p w14:paraId="5629E437" w14:textId="77777777" w:rsidR="00BE714A" w:rsidRDefault="00BE714A" w:rsidP="00BE714A">
      <w:pPr>
        <w:pStyle w:val="FirstParagraph"/>
      </w:pPr>
      <w:r>
        <w:rPr>
          <w:b/>
          <w:bCs/>
        </w:rPr>
        <w:t>Choice of time axis</w:t>
      </w:r>
    </w:p>
    <w:p w14:paraId="2024FE7B" w14:textId="77777777" w:rsidR="00BE714A" w:rsidRDefault="00BE714A" w:rsidP="00BE714A">
      <w:pPr>
        <w:pStyle w:val="BodyText"/>
      </w:pPr>
      <w:r>
        <w:rPr>
          <w:b/>
          <w:bCs/>
        </w:rPr>
        <w:t>Complete case versus imputed data</w:t>
      </w:r>
    </w:p>
    <w:p w14:paraId="464368C2" w14:textId="77777777" w:rsidR="00BE714A" w:rsidRDefault="00BE714A" w:rsidP="00BE714A">
      <w:pPr>
        <w:pStyle w:val="BodyText"/>
      </w:pPr>
      <w:r>
        <w:rPr>
          <w:b/>
          <w:bCs/>
        </w:rPr>
        <w:t>Unadjusted versus full adjusted models</w:t>
      </w:r>
    </w:p>
    <w:p w14:paraId="2316BD89" w14:textId="77777777" w:rsidR="00BE714A" w:rsidRDefault="00BE714A" w:rsidP="00BE714A">
      <w:pPr>
        <w:pStyle w:val="BodyText"/>
      </w:pPr>
      <w:r>
        <w:rPr>
          <w:b/>
          <w:bCs/>
        </w:rPr>
        <w:t>Sensitivity cohorts</w:t>
      </w:r>
    </w:p>
    <w:p w14:paraId="3A71E931" w14:textId="77777777" w:rsidR="00BE714A" w:rsidRDefault="00BE714A" w:rsidP="00BE714A">
      <w:pPr>
        <w:pStyle w:val="BodyText"/>
      </w:pPr>
      <w:r>
        <w:t>When stratifying based on year of entry to the cohort, I observed no variation in risk by time period in any subgroup except for probable Alzheimer’s disease (Figure ??). Removing participants coded as female and aged 55 and under at index from our analysis had minimal effect on our estimates (Figure ??).</w:t>
      </w:r>
    </w:p>
    <w:p w14:paraId="3F0BCE06" w14:textId="77777777" w:rsidR="00BE714A" w:rsidRDefault="00BE714A" w:rsidP="00BE714A">
      <w:pPr>
        <w:pStyle w:val="BodyText"/>
      </w:pPr>
      <w:r>
        <w:rPr>
          <w:b/>
          <w:bCs/>
        </w:rPr>
        <w:t>By statin type</w:t>
      </w:r>
    </w:p>
    <w:p w14:paraId="42EB921F" w14:textId="77777777" w:rsidR="00BE714A" w:rsidRDefault="00BE714A" w:rsidP="00BE714A">
      <w:pPr>
        <w:pStyle w:val="BodyText"/>
      </w:pPr>
      <w:r>
        <w:t>As detailed in the introduction, the properties of statins may be important in their effect, based on the ability of lip</w:t>
      </w:r>
    </w:p>
    <w:p w14:paraId="62519636" w14:textId="77777777" w:rsidR="00BE714A" w:rsidRDefault="00BE714A" w:rsidP="00BE714A">
      <w:pPr>
        <w:pStyle w:val="BodyText"/>
      </w:pPr>
      <w:r>
        <w:rPr>
          <w:b/>
          <w:bCs/>
        </w:rPr>
        <w:t>Control outcomes</w:t>
      </w:r>
    </w:p>
    <w:p w14:paraId="6EFC857C" w14:textId="77777777" w:rsidR="00BE714A" w:rsidRDefault="00BE714A" w:rsidP="00BE714A">
      <w:pPr>
        <w:pStyle w:val="BodyText"/>
      </w:pPr>
      <w:r>
        <w:t xml:space="preserve">Using the fully adjusted model, the for the backpain negative control outcome was </w:t>
      </w:r>
      <w:r>
        <w:rPr>
          <w:b/>
          <w:bCs/>
        </w:rPr>
        <w:t>PLACEHOLDER</w:t>
      </w:r>
      <w:r>
        <w:t xml:space="preserve"> and the ischemic heart disease was </w:t>
      </w:r>
      <w:r>
        <w:rPr>
          <w:b/>
          <w:bCs/>
        </w:rPr>
        <w:t>PLACEHOLDER</w:t>
      </w:r>
    </w:p>
    <w:p w14:paraId="6899C727" w14:textId="77777777" w:rsidR="00BE714A" w:rsidRDefault="00BE714A" w:rsidP="00BE714A">
      <w:pPr>
        <w:pStyle w:val="BodyText"/>
      </w:pPr>
      <w:r>
        <w:t> </w:t>
      </w:r>
    </w:p>
    <w:p w14:paraId="6E7A0C97" w14:textId="77777777" w:rsidR="00BE714A" w:rsidRDefault="00BE714A" w:rsidP="00BE714A">
      <w:pPr>
        <w:pStyle w:val="Heading2"/>
      </w:pPr>
      <w:bookmarkStart w:id="118" w:name="discussion-2"/>
      <w:bookmarkEnd w:id="113"/>
      <w:bookmarkEnd w:id="117"/>
      <w:r>
        <w:t>Discussion</w:t>
      </w:r>
    </w:p>
    <w:p w14:paraId="5B41EC7F" w14:textId="77777777" w:rsidR="00BE714A" w:rsidRDefault="00BE714A" w:rsidP="00BE714A">
      <w:pPr>
        <w:pStyle w:val="Heading3"/>
      </w:pPr>
      <w:bookmarkStart w:id="119" w:name="main-findings"/>
      <w:r>
        <w:t>Main findings</w:t>
      </w:r>
    </w:p>
    <w:p w14:paraId="0B1AB6DB" w14:textId="77777777" w:rsidR="00BE714A" w:rsidRDefault="00BE714A" w:rsidP="00BE714A">
      <w:pPr>
        <w:pStyle w:val="FirstParagraph"/>
      </w:pPr>
      <w:r>
        <w:t>Lipid-regulating agents had a small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14:paraId="1AE5A68F" w14:textId="77777777" w:rsidR="00BE714A" w:rsidRDefault="00BE714A" w:rsidP="00BE714A">
      <w:pPr>
        <w:pStyle w:val="BodyText"/>
      </w:pPr>
      <w:r>
        <w:t>The effect estimate seems to increase as the casemix ratio of Alzheimers:vascular dementia decreases.</w:t>
      </w:r>
    </w:p>
    <w:p w14:paraId="77337BDC" w14:textId="77777777" w:rsidR="00BE714A" w:rsidRDefault="00BE714A" w:rsidP="00BE714A">
      <w:pPr>
        <w:pStyle w:val="BodyText"/>
      </w:pPr>
      <w:r>
        <w:lastRenderedPageBreak/>
        <w:t>The fact that a similar increased risk of IHD is observed in those taking statins likely means that those who end up taking statins (or another lipid regulating agent) are inherently different from those who do not in some way that this analysis does not account for.</w:t>
      </w:r>
    </w:p>
    <w:p w14:paraId="0D23A4CE" w14:textId="77777777" w:rsidR="00BE714A" w:rsidRDefault="00BE714A" w:rsidP="00BE714A">
      <w:pPr>
        <w:pStyle w:val="BodyText"/>
      </w:pPr>
      <w:r>
        <w:t>Likely confounding by indication</w:t>
      </w:r>
    </w:p>
    <w:p w14:paraId="2B762C4F" w14:textId="77777777" w:rsidR="00BE714A" w:rsidRDefault="00BE714A" w:rsidP="00BE714A">
      <w:pPr>
        <w:pStyle w:val="BodyText"/>
      </w:pPr>
      <w:r>
        <w:t>Confounding by indication occurs when an unobserved variable both prompts exposure to the intervention and modifies a participants risk of the outcome. In this case, this confounder would prompt prescription of statins (or another lipid regultating agent) but also represent a vascular risk factor that contributes to the development of the control outcome (ischemic heart disease) and also dementia outcomes with an increasing casemix of vascular origin (e.g. the vascular dementia and other dementia endpoints)</w:t>
      </w:r>
    </w:p>
    <w:p w14:paraId="6F8E9263" w14:textId="77777777" w:rsidR="00BE714A" w:rsidRDefault="00BE714A" w:rsidP="00BE714A">
      <w:pPr>
        <w:pStyle w:val="BodyText"/>
      </w:pPr>
      <w:r>
        <w:t>In causal inference language, statins and dementia are said to be d-connected (see Figure 8), as there is an open “backdoor” path between them, via the</w:t>
      </w:r>
    </w:p>
    <w:p w14:paraId="4B92C8F0" w14:textId="77777777" w:rsidR="00BE714A" w:rsidRDefault="00BE714A" w:rsidP="00BE714A">
      <w:pPr>
        <w:pStyle w:val="BodyText"/>
      </w:pPr>
      <w:r>
        <w:t>Alternatively, rather than a single variable, it is likely that those that take statins are different in a myriad of ways, each of which contributes a</w:t>
      </w:r>
    </w:p>
    <w:p w14:paraId="59338B75" w14:textId="77777777" w:rsidR="00BE714A" w:rsidRDefault="00BE714A" w:rsidP="00BE714A">
      <w:pPr>
        <w:pStyle w:val="BodyText"/>
      </w:pPr>
      <w:r>
        <w:t>A common example of this bias</w:t>
      </w:r>
    </w:p>
    <w:p w14:paraId="2979F367" w14:textId="77777777" w:rsidR="00BE714A" w:rsidRDefault="00BE714A" w:rsidP="00BE714A">
      <w:pPr>
        <w:pStyle w:val="BodyText"/>
      </w:pPr>
      <w:r>
        <w:t>While this analysis has attempted to adjust for several baseline variables that my prompt</w:t>
      </w:r>
    </w:p>
    <w:p w14:paraId="467B7F79" w14:textId="77777777" w:rsidR="00BE714A" w:rsidRDefault="00BE714A" w:rsidP="00BE714A">
      <w:pPr>
        <w:pStyle w:val="BodyText"/>
      </w:pPr>
      <w:r>
        <w:t>Possible further analysis techniques would be the use of</w:t>
      </w:r>
    </w:p>
    <w:p w14:paraId="0AD6229F" w14:textId="77777777" w:rsidR="00BE714A" w:rsidRDefault="00BE714A" w:rsidP="00BE714A">
      <w:pPr>
        <w:pStyle w:val="BodyText"/>
      </w:pPr>
      <w:r>
        <w:t>(ref:indicationBias-cap) Causal diagram (directed acyclic graph) illustrating confounding by indication</w:t>
      </w:r>
    </w:p>
    <w:p w14:paraId="53FAE32F" w14:textId="77777777" w:rsidR="00BE714A" w:rsidRDefault="00BE714A" w:rsidP="00BE714A">
      <w:pPr>
        <w:pStyle w:val="BodyText"/>
      </w:pPr>
      <w:r>
        <w:rPr>
          <w:noProof/>
        </w:rPr>
        <w:drawing>
          <wp:inline distT="0" distB="0" distL="0" distR="0" wp14:anchorId="284B2FD9" wp14:editId="6777635C">
            <wp:extent cx="5943600" cy="2228849"/>
            <wp:effectExtent l="0" t="0" r="0" b="0"/>
            <wp:docPr id="9" name="Picture" descr="Figure 8: (ref:indicationBias-cap)"/>
            <wp:cNvGraphicFramePr/>
            <a:graphic xmlns:a="http://schemas.openxmlformats.org/drawingml/2006/main">
              <a:graphicData uri="http://schemas.openxmlformats.org/drawingml/2006/picture">
                <pic:pic xmlns:pic="http://schemas.openxmlformats.org/drawingml/2006/picture">
                  <pic:nvPicPr>
                    <pic:cNvPr id="0" name="Picture" descr="figures/cprd-analysis/indicationBias.png"/>
                    <pic:cNvPicPr>
                      <a:picLocks noChangeAspect="1" noChangeArrowheads="1"/>
                    </pic:cNvPicPr>
                  </pic:nvPicPr>
                  <pic:blipFill>
                    <a:blip r:embed="rId20"/>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14:paraId="5AEA6F78" w14:textId="77777777" w:rsidR="00BE714A" w:rsidRDefault="00BE714A" w:rsidP="00BE714A">
      <w:pPr>
        <w:pStyle w:val="BodyText"/>
      </w:pPr>
      <w:r>
        <w:t>Similar suprising findings for the effect of statins on</w:t>
      </w:r>
    </w:p>
    <w:p w14:paraId="6EC32FEC" w14:textId="77777777" w:rsidR="00BE714A" w:rsidRDefault="00BE714A" w:rsidP="00BE714A">
      <w:pPr>
        <w:pStyle w:val="BodyText"/>
      </w:pPr>
      <w:r>
        <w:t>In essence, this</w:t>
      </w:r>
    </w:p>
    <w:p w14:paraId="51126F10" w14:textId="77777777" w:rsidR="00BE714A" w:rsidRDefault="00BE714A" w:rsidP="00BE714A">
      <w:pPr>
        <w:pStyle w:val="BodyText"/>
      </w:pPr>
      <w:r>
        <w:t> </w:t>
      </w:r>
    </w:p>
    <w:p w14:paraId="4B3B9C3E" w14:textId="77777777" w:rsidR="00BE714A" w:rsidRDefault="00BE714A" w:rsidP="00BE714A">
      <w:pPr>
        <w:pStyle w:val="Heading3"/>
      </w:pPr>
      <w:bookmarkStart w:id="120" w:name="comparison-to-other-literature"/>
      <w:bookmarkEnd w:id="119"/>
      <w:r>
        <w:t>Comparison to other literature</w:t>
      </w:r>
    </w:p>
    <w:p w14:paraId="48E5D1C9" w14:textId="77777777" w:rsidR="00BE714A" w:rsidRDefault="00BE714A" w:rsidP="00BE714A">
      <w:pPr>
        <w:pStyle w:val="FirstParagraph"/>
      </w:pPr>
      <w:r>
        <w:t>Much of the existing literature focuses on the association of statins alone with neurodegenerative outcomes, with other lipid-regulating agents being grouped as “non-</w:t>
      </w:r>
      <w:r>
        <w:lastRenderedPageBreak/>
        <w:t>statin cholesterol-lowering drugs”.</w:t>
      </w:r>
      <w:hyperlink w:anchor="ref-ancelin2012">
        <w:r>
          <w:rPr>
            <w:rStyle w:val="Hyperlink"/>
            <w:vertAlign w:val="superscript"/>
          </w:rPr>
          <w:t>183</w:t>
        </w:r>
      </w:hyperlink>
      <w:r>
        <w:t xml:space="preserve"> This echoes the distribution of participants among subgroups in our analysis, with the statin subgroup including almost all participants.</w:t>
      </w:r>
    </w:p>
    <w:p w14:paraId="33ADEF00" w14:textId="77777777" w:rsidR="00BE714A" w:rsidRDefault="00BE714A" w:rsidP="00BE714A">
      <w:pPr>
        <w:pStyle w:val="BodyText"/>
      </w:pPr>
      <w:r>
        <w:t xml:space="preserve">Several previous studies have demonstrated that statins are the overwhelmingly favoured methods of cholesterol control. </w:t>
      </w:r>
    </w:p>
    <w:p w14:paraId="32B6AAD1" w14:textId="77777777" w:rsidR="00BE714A" w:rsidRDefault="00BE714A" w:rsidP="00BE714A">
      <w:pPr>
        <w:pStyle w:val="BodyText"/>
      </w:pPr>
      <w:r>
        <w:t> </w:t>
      </w:r>
    </w:p>
    <w:p w14:paraId="24C3E945" w14:textId="77777777" w:rsidR="00BE714A" w:rsidRDefault="00BE714A" w:rsidP="00BE714A">
      <w:pPr>
        <w:pStyle w:val="BodyText"/>
      </w:pPr>
      <w:r>
        <w:rPr>
          <w:b/>
          <w:bCs/>
        </w:rPr>
        <w:t>Statins and all-cause dementia</w:t>
      </w:r>
    </w:p>
    <w:p w14:paraId="0AD8D1A3" w14:textId="77777777" w:rsidR="00BE714A" w:rsidRDefault="00BE714A" w:rsidP="00BE714A">
      <w:pPr>
        <w:pStyle w:val="BodyText"/>
      </w:pPr>
      <w:r>
        <w:t>A recent Cochrane Review identified two randomized trials comparing treatment with statins versus non-treatment for the prevention of dementia, only one of which presented information on the incidence of dementia.</w:t>
      </w:r>
      <w:hyperlink w:anchor="ref-mcguinness2016a">
        <w:r>
          <w:rPr>
            <w:rStyle w:val="Hyperlink"/>
            <w:vertAlign w:val="superscript"/>
          </w:rPr>
          <w:t>62</w:t>
        </w:r>
      </w:hyperlink>
      <w:r>
        <w:t xml:space="preserve"> This study (Heart Protection Study) showed no effect of treatment with simvastatin on all-cause dementia risk (OR: 1.00, 95%CI:0.61-1.65),</w:t>
      </w:r>
      <w:hyperlink w:anchor="X49f9892f062f4edfe92b37e5c1639cb4f6c013f">
        <w:r>
          <w:rPr>
            <w:rStyle w:val="Hyperlink"/>
            <w:vertAlign w:val="superscript"/>
          </w:rPr>
          <w:t>184</w:t>
        </w:r>
      </w:hyperlink>
      <w:r>
        <w:t xml:space="preserve"> but concerns were raised over the diagnostic criteria used. A meta-analysis of 30 observational studies found a reduced risk of all-cause dementia was associated with statin treatment (RR 0.83, 95%CI: 0.79–0.87).</w:t>
      </w:r>
      <w:hyperlink w:anchor="ref-poly2020">
        <w:r>
          <w:rPr>
            <w:rStyle w:val="Hyperlink"/>
            <w:vertAlign w:val="superscript"/>
          </w:rPr>
          <w:t>185</w:t>
        </w:r>
      </w:hyperlink>
    </w:p>
    <w:p w14:paraId="3AEF1E53" w14:textId="77777777" w:rsidR="00BE714A" w:rsidRDefault="00BE714A" w:rsidP="00BE714A">
      <w:pPr>
        <w:pStyle w:val="BodyText"/>
      </w:pPr>
      <w:r>
        <w:t>These sources of evidence conflict with the findings of our analysis, where statin use was associated with an increased risk of all-cause dementia. However, some of the included studies in the meta-analysis specifically exclude vascular dementia from the definition of all-cause dementia,</w:t>
      </w:r>
      <w:hyperlink w:anchor="ref-chao2015">
        <w:r>
          <w:rPr>
            <w:rStyle w:val="Hyperlink"/>
            <w:vertAlign w:val="superscript"/>
          </w:rPr>
          <w:t>186</w:t>
        </w:r>
      </w:hyperlink>
      <w:r>
        <w:t xml:space="preserve"> which may lead to a artifical protective effect of statins on all-cause dementia</w:t>
      </w:r>
    </w:p>
    <w:p w14:paraId="026B3444" w14:textId="77777777" w:rsidR="00BE714A" w:rsidRDefault="00BE714A" w:rsidP="00BE714A">
      <w:pPr>
        <w:pStyle w:val="BodyText"/>
      </w:pPr>
      <w:r>
        <w:t> </w:t>
      </w:r>
    </w:p>
    <w:p w14:paraId="65C0CD92" w14:textId="77777777" w:rsidR="00BE714A" w:rsidRDefault="00BE714A" w:rsidP="00BE714A">
      <w:pPr>
        <w:pStyle w:val="BodyText"/>
      </w:pPr>
      <w:r>
        <w:rPr>
          <w:b/>
          <w:bCs/>
        </w:rPr>
        <w:t>Statins and Alzheimer’s disease</w:t>
      </w:r>
    </w:p>
    <w:p w14:paraId="309B5513" w14:textId="77777777" w:rsidR="00BE714A" w:rsidRDefault="00BE714A" w:rsidP="00BE714A">
      <w:pPr>
        <w:pStyle w:val="BodyText"/>
      </w:pPr>
      <w:r>
        <w:t>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hyperlink w:anchor="ref-poly2020">
        <w:r>
          <w:rPr>
            <w:rStyle w:val="Hyperlink"/>
            <w:vertAlign w:val="superscript"/>
          </w:rPr>
          <w:t>185</w:t>
        </w:r>
      </w:hyperlink>
      <w:r>
        <w:t xml:space="preserve"> In addition, a recent Mendelian randomization study examining the effect of genetic inhibition of HMGCR on Alzheimer’s disease found a small reduction in risk of Alzheimer’s disease, comparable in magnitude to our findings, but could not rule out no effect (OR: 0.91, 95%CI: 0.63-1.31).</w:t>
      </w:r>
      <w:hyperlink w:anchor="ref-williams">
        <w:r>
          <w:rPr>
            <w:rStyle w:val="Hyperlink"/>
            <w:vertAlign w:val="superscript"/>
          </w:rPr>
          <w:t>187</w:t>
        </w:r>
      </w:hyperlink>
    </w:p>
    <w:p w14:paraId="521B8E1F" w14:textId="77777777" w:rsidR="00BE714A" w:rsidRDefault="00BE714A" w:rsidP="00BE714A">
      <w:pPr>
        <w:pStyle w:val="BodyText"/>
      </w:pPr>
      <w:r>
        <w:t>An additional analysis found no difference in effect between lipophilic and hydrophilic statins for the prevention of Alzheimer’s disease, consistent with a recent meta-analysis.</w:t>
      </w:r>
      <w:hyperlink w:anchor="ref-chu2018">
        <w:r>
          <w:rPr>
            <w:rStyle w:val="Hyperlink"/>
            <w:vertAlign w:val="superscript"/>
          </w:rPr>
          <w:t>188</w:t>
        </w:r>
      </w:hyperlink>
    </w:p>
    <w:p w14:paraId="06281B66" w14:textId="77777777" w:rsidR="00BE714A" w:rsidRDefault="00BE714A" w:rsidP="00BE714A">
      <w:pPr>
        <w:pStyle w:val="BodyText"/>
      </w:pPr>
      <w:r>
        <w:t> </w:t>
      </w:r>
    </w:p>
    <w:p w14:paraId="4BAFCD41" w14:textId="77777777" w:rsidR="00BE714A" w:rsidRDefault="00BE714A" w:rsidP="00BE714A">
      <w:pPr>
        <w:pStyle w:val="BodyText"/>
      </w:pPr>
      <w:r>
        <w:rPr>
          <w:b/>
          <w:bCs/>
        </w:rPr>
        <w:t>Statins and non-Alzheimer’s disease dementia</w:t>
      </w:r>
    </w:p>
    <w:p w14:paraId="32620F1B" w14:textId="77777777" w:rsidR="00BE714A" w:rsidRDefault="00BE714A" w:rsidP="00BE714A">
      <w:pPr>
        <w:pStyle w:val="BodyText"/>
      </w:pPr>
      <w:r>
        <w:t>Much less literature is available on the association between lipid-regulating agents and vascular dementia or other dementia. A recent review found four observational studies examining the association of statins and vascular dementia found no effect (RR:0.93, 95% CI 0.74–1.16).</w:t>
      </w:r>
      <w:hyperlink w:anchor="ref-poly2020">
        <w:r>
          <w:rPr>
            <w:rStyle w:val="Hyperlink"/>
            <w:vertAlign w:val="superscript"/>
          </w:rPr>
          <w:t>185</w:t>
        </w:r>
      </w:hyperlink>
      <w:r>
        <w:t xml:space="preserve"> This contrasts with the increased effect found in our analysis. An additional analysis found that lipophilic statins were more harmful than hydrophilic statins in vascular dementia, potentially due to their ability to cross the blood brain barrier.</w:t>
      </w:r>
    </w:p>
    <w:p w14:paraId="76EA4623" w14:textId="77777777" w:rsidR="00BE714A" w:rsidRDefault="00BE714A" w:rsidP="00BE714A">
      <w:pPr>
        <w:pStyle w:val="BodyText"/>
      </w:pPr>
      <w:r>
        <w:t> </w:t>
      </w:r>
    </w:p>
    <w:p w14:paraId="1491A9EC" w14:textId="77777777" w:rsidR="00BE714A" w:rsidRDefault="00BE714A" w:rsidP="00BE714A">
      <w:pPr>
        <w:pStyle w:val="BodyText"/>
      </w:pPr>
      <w:r>
        <w:rPr>
          <w:b/>
          <w:bCs/>
        </w:rPr>
        <w:lastRenderedPageBreak/>
        <w:t>Other drug classes</w:t>
      </w:r>
    </w:p>
    <w:p w14:paraId="33308A4B" w14:textId="77777777" w:rsidR="00BE714A" w:rsidRDefault="00BE714A" w:rsidP="00BE714A">
      <w:pPr>
        <w:pStyle w:val="BodyText"/>
      </w:pPr>
      <w:r>
        <w:t>Apart from statins, few studies examining a lipid-regulating agent have been reported. One of the few classes for which data was available were fibrates, which were shown to have no effect on all-cause dementia,</w:t>
      </w:r>
      <w:hyperlink w:anchor="ref-ancelin2012">
        <w:r>
          <w:rPr>
            <w:rStyle w:val="Hyperlink"/>
            <w:vertAlign w:val="superscript"/>
          </w:rPr>
          <w:t>183</w:t>
        </w:r>
      </w:hyperlink>
      <w:r>
        <w:t xml:space="preserve"> inconsistent with our finding of a small increase in all-cause dementia risk in those prescribed a fibrate.</w:t>
      </w:r>
    </w:p>
    <w:p w14:paraId="683624A1" w14:textId="77777777" w:rsidR="00BE714A" w:rsidRDefault="00BE714A" w:rsidP="00BE714A">
      <w:pPr>
        <w:pStyle w:val="BodyText"/>
      </w:pPr>
      <w:r>
        <w:t>To our knowledge, there is no previous study of the effect of preventative treatment with ezetimibe on any dementia outcome, and so I cannot compare our unexpected finding that treatment with the drug associated with an increased risk of the vascular and other dementia outcomes.</w:t>
      </w:r>
    </w:p>
    <w:p w14:paraId="002815F9" w14:textId="77777777" w:rsidR="00BE714A" w:rsidRDefault="00BE714A" w:rsidP="00BE714A">
      <w:pPr>
        <w:pStyle w:val="BodyText"/>
      </w:pPr>
      <w:r>
        <w:t> </w:t>
      </w:r>
    </w:p>
    <w:p w14:paraId="1CDFB100" w14:textId="77777777" w:rsidR="00BE714A" w:rsidRDefault="00BE714A" w:rsidP="00BE714A">
      <w:pPr>
        <w:pStyle w:val="Heading3"/>
      </w:pPr>
      <w:bookmarkStart w:id="121" w:name="strengths-and-limitations"/>
      <w:bookmarkEnd w:id="120"/>
      <w:r>
        <w:t>Strengths and limitations</w:t>
      </w:r>
    </w:p>
    <w:p w14:paraId="4C9601AD" w14:textId="77777777" w:rsidR="00BE714A" w:rsidRDefault="00BE714A" w:rsidP="00BE714A">
      <w:pPr>
        <w:pStyle w:val="FirstParagraph"/>
      </w:pPr>
      <w:r>
        <w:t>There are two primary strenghts to this analysis compared to others available in the literature:</w:t>
      </w:r>
    </w:p>
    <w:p w14:paraId="31CB264F" w14:textId="77777777" w:rsidR="00BE714A" w:rsidRDefault="00BE714A" w:rsidP="00BE714A">
      <w:pPr>
        <w:pStyle w:val="Compact"/>
        <w:numPr>
          <w:ilvl w:val="0"/>
          <w:numId w:val="41"/>
        </w:numPr>
      </w:pPr>
      <w:r>
        <w:rPr>
          <w:i/>
          <w:iCs/>
        </w:rPr>
        <w:t>Size of the CPRD and length of follow-up:</w:t>
      </w:r>
      <w:r>
        <w:t xml:space="preserve"> Having reviewed the other studies identified by the systematic review in Chapter 4, this analysis of 1,684,564 participants is one of the largest studies of this research question.</w:t>
      </w:r>
    </w:p>
    <w:p w14:paraId="59898415" w14:textId="77777777" w:rsidR="00BE714A" w:rsidRDefault="00BE714A" w:rsidP="00BE714A">
      <w:pPr>
        <w:pStyle w:val="Compact"/>
        <w:numPr>
          <w:ilvl w:val="0"/>
          <w:numId w:val="41"/>
        </w:numPr>
      </w:pPr>
      <w:r>
        <w:rPr>
          <w:i/>
          <w:iCs/>
        </w:rPr>
        <w:t>Addressing the limitations of other observational analyses:</w:t>
      </w:r>
      <w:r>
        <w:t xml:space="preserve"> Analyzing this data has provided the opportunity to use a separate analytical technique to many of the studies identified in the systematic review, As an example, the Hippsley-Cox BMJ paper examining the effect of statins, which makes use of the THIN EHR database, likely suffers from immortal time bias as exposed and unexposed participants are not followed up from a common time point.</w:t>
      </w:r>
      <w:hyperlink w:anchor="ref-hippisley-cox2010">
        <w:r>
          <w:rPr>
            <w:rStyle w:val="Hyperlink"/>
            <w:vertAlign w:val="superscript"/>
          </w:rPr>
          <w:t>189</w:t>
        </w:r>
      </w:hyperlink>
      <w:r>
        <w:t xml:space="preserve"> As touched on in the section above, this provides an additional evidence point with a different source and direction of bias, which is useful for the triangulation aspect of the thesis.</w:t>
      </w:r>
    </w:p>
    <w:p w14:paraId="0B9CFC3D" w14:textId="77777777" w:rsidR="00BE714A" w:rsidRDefault="00BE714A" w:rsidP="00BE714A">
      <w:pPr>
        <w:pStyle w:val="FirstParagraph"/>
      </w:pPr>
      <w:r>
        <w:t>However, the findings of this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hyperlink w:anchor="ref-wilkinson2018">
        <w:r>
          <w:rPr>
            <w:rStyle w:val="Hyperlink"/>
            <w:vertAlign w:val="superscript"/>
          </w:rPr>
          <w:t>190</w:t>
        </w:r>
      </w:hyperlink>
      <w:r>
        <w:rPr>
          <w:vertAlign w:val="superscript"/>
        </w:rPr>
        <w:t>,</w:t>
      </w:r>
      <w:hyperlink w:anchor="ref-mcguinness2019b">
        <w:r>
          <w:rPr>
            <w:rStyle w:val="Hyperlink"/>
            <w:vertAlign w:val="superscript"/>
          </w:rPr>
          <w:t>191</w:t>
        </w:r>
      </w:hyperlink>
    </w:p>
    <w:p w14:paraId="20856523" w14:textId="77777777" w:rsidR="00BE714A" w:rsidRDefault="00BE714A" w:rsidP="00BE714A">
      <w:pPr>
        <w:pStyle w:val="BodyText"/>
      </w:pPr>
      <w:r>
        <w:t xml:space="preserve">This analysis may be subject to confounding by indication, which occurs when factors that affect whether a participant is exposed also affect their outcome. We attempted to address this by limiting inclusion to those either prescribed or “at risk” of being prescribed, which was determined using an elevated test result. We also adjusted for several additional potential confounding variables. However, the negative control analysis of back pain demonstrated a harmful association with lipid-regulating agent use, indicting that this findings may be biased by residual confounding. Important confounding variables for which I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w:t>
      </w:r>
      <w:r>
        <w:lastRenderedPageBreak/>
        <w:t>hypercholesterolaemia, and a history of taking lipid-regulating agents such as statins or ezetimibe.</w:t>
      </w:r>
      <w:hyperlink w:anchor="ref-korologou-linden2020">
        <w:r>
          <w:rPr>
            <w:rStyle w:val="Hyperlink"/>
            <w:vertAlign w:val="superscript"/>
          </w:rPr>
          <w:t>192</w:t>
        </w:r>
      </w:hyperlink>
      <w:r>
        <w:t xml:space="preserve"> This finding, combined with the potential for differential misclassification between Alzheimer’s disease and vascular dementia, could explain part of the observed association between lipid-regulating agents and vascular dementia.</w:t>
      </w:r>
    </w:p>
    <w:p w14:paraId="3885B34D" w14:textId="77777777" w:rsidR="00BE714A" w:rsidRDefault="00BE714A" w:rsidP="00BE714A">
      <w:pPr>
        <w:pStyle w:val="BodyText"/>
      </w:pPr>
      <w:r>
        <w:t>Finally, there is also the potential for reverse causation in this analysis. Dementia and associated conditions have a long prodromal period, during which preclinial disease could cause indications for the prescription of a lipid-regulating agent.</w:t>
      </w:r>
    </w:p>
    <w:p w14:paraId="7C3C64AA" w14:textId="77777777" w:rsidR="00BE714A" w:rsidRDefault="00BE714A" w:rsidP="00BE714A">
      <w:pPr>
        <w:pStyle w:val="BodyText"/>
      </w:pPr>
      <w:r>
        <w:t> </w:t>
      </w:r>
    </w:p>
    <w:p w14:paraId="33EEC9D7" w14:textId="77777777" w:rsidR="00BE714A" w:rsidRDefault="00BE714A" w:rsidP="00BE714A">
      <w:pPr>
        <w:pStyle w:val="Heading3"/>
      </w:pPr>
      <w:bookmarkStart w:id="122" w:name="use-of-alternative-code-lists"/>
      <w:bookmarkEnd w:id="121"/>
      <w:r>
        <w:t>Use of alternative code lists</w:t>
      </w:r>
    </w:p>
    <w:p w14:paraId="6AC20F26" w14:textId="77777777" w:rsidR="00BE714A" w:rsidRDefault="00BE714A" w:rsidP="00BE714A">
      <w:pPr>
        <w:pStyle w:val="FirstParagraph"/>
      </w:pPr>
      <w:r>
        <w:t xml:space="preserve">WHen using the Smeeth et al codelists were </w:t>
      </w:r>
      <w:r>
        <w:rPr>
          <w:b/>
          <w:bCs/>
        </w:rPr>
        <w:t>PLACEHOLDER</w:t>
      </w:r>
      <w:r>
        <w:t xml:space="preserve"> for Alzheimer’s disease and </w:t>
      </w:r>
      <w:r>
        <w:rPr>
          <w:b/>
          <w:bCs/>
        </w:rPr>
        <w:t>PLACEHOLDER</w:t>
      </w:r>
      <w:r>
        <w:t xml:space="preserve"> for</w:t>
      </w:r>
    </w:p>
    <w:p w14:paraId="31CC2109" w14:textId="77777777" w:rsidR="00BE714A" w:rsidRDefault="00BE714A" w:rsidP="00BE714A">
      <w:pPr>
        <w:pStyle w:val="BodyText"/>
      </w:pPr>
      <w:r>
        <w:t>However, direct comparison between the results is difficul</w:t>
      </w:r>
    </w:p>
    <w:p w14:paraId="7F1C3640" w14:textId="77777777" w:rsidR="00BE714A" w:rsidRDefault="00BE714A" w:rsidP="00BE714A">
      <w:pPr>
        <w:pStyle w:val="BodyText"/>
      </w:pPr>
      <w:r>
        <w:t>Misclassification of outcomes, as discussed in the section above, is not the only issue introduced by the use of EHR codes to define outcomes. Comparing and contrasting between different studies is particularly difficult because of the impact that the use of different code list can have on the analysis</w:t>
      </w:r>
      <w:hyperlink w:anchor="ref-wilkinson2018a">
        <w:r>
          <w:rPr>
            <w:rStyle w:val="Hyperlink"/>
            <w:vertAlign w:val="superscript"/>
          </w:rPr>
          <w:t>193</w:t>
        </w:r>
      </w:hyperlink>
      <w:r>
        <w:rPr>
          <w:vertAlign w:val="superscript"/>
        </w:rPr>
        <w:t>,</w:t>
      </w:r>
      <w:hyperlink w:anchor="ref-mcguinness2019c">
        <w:r>
          <w:rPr>
            <w:rStyle w:val="Hyperlink"/>
            <w:vertAlign w:val="superscript"/>
          </w:rPr>
          <w:t>194</w:t>
        </w:r>
      </w:hyperlink>
      <w:r>
        <w:t xml:space="preserve"> This is a particular challenge in comparing research across different time-periods and coding systems. Previous work has demonstrated that electronic health records have variable positive and negative predictive values, based substantially on the exact code-lists used to define each outcome.</w:t>
      </w:r>
    </w:p>
    <w:p w14:paraId="785A293C" w14:textId="77777777" w:rsidR="00BE714A" w:rsidRDefault="00BE714A" w:rsidP="00BE714A">
      <w:pPr>
        <w:pStyle w:val="BodyText"/>
      </w:pPr>
      <w:r>
        <w:t>As part of my exploration of the unexpected results, I attempted to replicate the analyses of another research group (Smeeth et al.)</w:t>
      </w:r>
      <w:r>
        <w:rPr>
          <w:b/>
          <w:bCs/>
        </w:rPr>
        <w:t>[CITATION NEEDED]</w:t>
      </w:r>
      <w:r>
        <w:t xml:space="preserve"> that employed a different approach to explore the effect of statin use on dementia outcomes.</w:t>
      </w:r>
    </w:p>
    <w:p w14:paraId="35ECE9E5" w14:textId="77777777" w:rsidR="00BE714A" w:rsidRDefault="00BE714A" w:rsidP="00BE714A">
      <w:pPr>
        <w:pStyle w:val="BodyText"/>
      </w:pPr>
      <w:r>
        <w:t>However, there was a large difference in the dementia “case mix”, or proportion of different dementia diagnoses, between the two analyses, particularly in terms of the number of Alzheimer cases as a percentage of total dementia cases. The reason for this discrepancy between this analysis study and the previous paper is due to two things. While all of the codes used to define Alzheimer’s in the Smeeth paper are included in my “Probable Alzheimer’s” code-list, I included several additional codes used to define this outcome (including, for example, “Eu00013: [X]Alzheimer’s disease type 2”). Several of the codes in my “Possible Alzheimer’s” code list are included in the “Other dementia” code list used by Smeeth.</w:t>
      </w:r>
    </w:p>
    <w:p w14:paraId="5CD5BCD9" w14:textId="77777777" w:rsidR="00BE714A" w:rsidRDefault="00BE714A" w:rsidP="00BE714A">
      <w:pPr>
        <w:pStyle w:val="BodyText"/>
      </w:pPr>
      <w:r>
        <w:t>Using the Smeeth code-list, I obtained a similar breakdown of cases to that paper, with Alzheimer’s disease being a lot less frequent than when using our code-lists (which is not surprising based on the points above).</w:t>
      </w:r>
    </w:p>
    <w:p w14:paraId="0EBAB5B0" w14:textId="77777777" w:rsidR="00BE714A" w:rsidRDefault="00BE714A" w:rsidP="00BE714A">
      <w:pPr>
        <w:pStyle w:val="BodyText"/>
      </w:pPr>
      <w:r>
        <w:t> </w:t>
      </w:r>
    </w:p>
    <w:p w14:paraId="2BD8E726" w14:textId="77777777" w:rsidR="00BE714A" w:rsidRDefault="00BE714A" w:rsidP="00BE714A">
      <w:pPr>
        <w:pStyle w:val="BodyText"/>
      </w:pPr>
      <w:r>
        <w:rPr>
          <w:noProof/>
        </w:rPr>
        <w:lastRenderedPageBreak/>
        <w:drawing>
          <wp:inline distT="0" distB="0" distL="0" distR="0" wp14:anchorId="6A2B9DDB" wp14:editId="2653C7CE">
            <wp:extent cx="5943600" cy="3120803"/>
            <wp:effectExtent l="0" t="0" r="0" b="0"/>
            <wp:docPr id="10" name="Picture" descr="Figure 9: Comparison of code used in this analysis with those used in the Smeeth et al. 2010 paper"/>
            <wp:cNvGraphicFramePr/>
            <a:graphic xmlns:a="http://schemas.openxmlformats.org/drawingml/2006/main">
              <a:graphicData uri="http://schemas.openxmlformats.org/drawingml/2006/picture">
                <pic:pic xmlns:pic="http://schemas.openxmlformats.org/drawingml/2006/picture">
                  <pic:nvPicPr>
                    <pic:cNvPr id="0" name="Picture" descr="figures/cprd-analysis/sankey_diagram.png"/>
                    <pic:cNvPicPr>
                      <a:picLocks noChangeAspect="1" noChangeArrowheads="1"/>
                    </pic:cNvPicPr>
                  </pic:nvPicPr>
                  <pic:blipFill>
                    <a:blip r:embed="rId21"/>
                    <a:stretch>
                      <a:fillRect/>
                    </a:stretch>
                  </pic:blipFill>
                  <pic:spPr bwMode="auto">
                    <a:xfrm>
                      <a:off x="0" y="0"/>
                      <a:ext cx="5943600" cy="3120803"/>
                    </a:xfrm>
                    <a:prstGeom prst="rect">
                      <a:avLst/>
                    </a:prstGeom>
                    <a:noFill/>
                    <a:ln w="9525">
                      <a:noFill/>
                      <a:headEnd/>
                      <a:tailEnd/>
                    </a:ln>
                  </pic:spPr>
                </pic:pic>
              </a:graphicData>
            </a:graphic>
          </wp:inline>
        </w:drawing>
      </w:r>
      <w:r>
        <w:t xml:space="preserve"> </w:t>
      </w:r>
    </w:p>
    <w:p w14:paraId="3B2857D9" w14:textId="77777777" w:rsidR="00BE714A" w:rsidRDefault="00BE714A" w:rsidP="00BE714A">
      <w:pPr>
        <w:pStyle w:val="BodyText"/>
      </w:pPr>
      <w:r>
        <w:t> </w:t>
      </w:r>
    </w:p>
    <w:p w14:paraId="15BEFEC5" w14:textId="77777777" w:rsidR="00BE714A" w:rsidRDefault="00BE714A" w:rsidP="00BE714A">
      <w:pPr>
        <w:pStyle w:val="BodyText"/>
      </w:pPr>
      <w:r>
        <w:t> </w:t>
      </w:r>
    </w:p>
    <w:p w14:paraId="5B40845C" w14:textId="77777777" w:rsidR="00BE714A" w:rsidRDefault="00BE714A" w:rsidP="00BE714A">
      <w:pPr>
        <w:pStyle w:val="Heading3"/>
      </w:pPr>
      <w:bookmarkStart w:id="123" w:name="cprd-data-avail"/>
      <w:bookmarkEnd w:id="122"/>
      <w:r>
        <w:t>Enabling easy synthesis of this analysis</w:t>
      </w:r>
    </w:p>
    <w:p w14:paraId="5522B17C" w14:textId="77777777" w:rsidR="00BE714A" w:rsidRDefault="00BE714A" w:rsidP="00BE714A">
      <w:pPr>
        <w:pStyle w:val="FirstParagraph"/>
      </w:pPr>
      <w:r>
        <w:t>In light of my own experiences in attempting to extract information for papers assessing preventative measures, as documented in Section 4.8.4, the outputs from this analysis are described in detail in both.</w:t>
      </w:r>
    </w:p>
    <w:p w14:paraId="2EFFC9C0" w14:textId="77777777" w:rsidR="00BE714A" w:rsidRDefault="00BE714A" w:rsidP="00BE714A">
      <w:pPr>
        <w:pStyle w:val="BodyText"/>
      </w:pPr>
      <w:r>
        <w:t xml:space="preserve">All code, Read codelist and summary statistics (i.e. the tables presented in this chapter, plus summary tables of effect estimates) are readily available in machine readable formats (i.e. as comma separated values, or CSV, files) from the archived repository for this project. </w:t>
      </w:r>
    </w:p>
    <w:p w14:paraId="25EB8D37" w14:textId="77777777" w:rsidR="00BE714A" w:rsidRDefault="00BE714A" w:rsidP="00BE714A">
      <w:pPr>
        <w:pStyle w:val="BodyText"/>
      </w:pPr>
      <w:r>
        <w:t xml:space="preserve">The raw data supporting this analysis is not available, as access to the CPRD data is controlled by a data monitoring committee. Interested researchers can apply directly to the In this scenario, sharing the code represents a </w:t>
      </w:r>
    </w:p>
    <w:p w14:paraId="58952EE0" w14:textId="77777777" w:rsidR="00BE714A" w:rsidRDefault="00BE714A" w:rsidP="00BE714A">
      <w:pPr>
        <w:pStyle w:val="BodyText"/>
      </w:pPr>
      <w:r>
        <w:t>As such, this analyses has been reported in line with the Strengthening the Reporting of Observational Studies in Epidemiology (STROBE) reporting guidelines</w:t>
      </w:r>
      <w:hyperlink w:anchor="ref-vandenbroucke2007">
        <w:r>
          <w:rPr>
            <w:rStyle w:val="Hyperlink"/>
            <w:vertAlign w:val="superscript"/>
          </w:rPr>
          <w:t>195</w:t>
        </w:r>
      </w:hyperlink>
      <w:r>
        <w:t xml:space="preserve"> (see Appendix ?? for the STROBE checklist). </w:t>
      </w:r>
    </w:p>
    <w:p w14:paraId="6E34348B" w14:textId="77777777" w:rsidR="00BE714A" w:rsidRDefault="00BE714A" w:rsidP="00BE714A">
      <w:pPr>
        <w:pStyle w:val="BodyText"/>
      </w:pPr>
      <w:r>
        <w:t> </w:t>
      </w:r>
    </w:p>
    <w:p w14:paraId="63D0AB49" w14:textId="77777777" w:rsidR="00BE714A" w:rsidRDefault="00BE714A" w:rsidP="00BE714A">
      <w:pPr>
        <w:pStyle w:val="Heading3"/>
      </w:pPr>
      <w:bookmarkStart w:id="124" w:name="conclusions"/>
      <w:bookmarkEnd w:id="123"/>
      <w:r>
        <w:t>Conclusions</w:t>
      </w:r>
    </w:p>
    <w:p w14:paraId="5747F3D9" w14:textId="77777777" w:rsidR="00BE714A" w:rsidRDefault="00BE714A" w:rsidP="00BE714A">
      <w:pPr>
        <w:pStyle w:val="FirstParagraph"/>
      </w:pPr>
      <w:r>
        <w:t xml:space="preserve">This chapter has provided new evidence on the potential repurposing of lipid-regulating agents for the prevention of all-cause dementia, Alzheimer’s disease, vascular dementia, and other dementia. It found that the use of lipid-regulating agents was associated with a small reduction in probable or possible Alzheimer’s disease, and with an increased risk of all-cause, vascular and other dementias. In all cases, the estimated associations were driven </w:t>
      </w:r>
      <w:r>
        <w:lastRenderedPageBreak/>
        <w:t>by those observed in the statin subgroup, which comprised the majority of participants in this cohort.</w:t>
      </w:r>
    </w:p>
    <w:p w14:paraId="7E62ADFC" w14:textId="77777777" w:rsidR="00BE714A" w:rsidRDefault="00BE714A" w:rsidP="00BE714A">
      <w:pPr>
        <w:pStyle w:val="BodyText"/>
      </w:pPr>
      <w:r>
        <w:t>This chapter attempted to account for important sources of bias and provide a comparison with other available literature, as identified in the systematic review presented in Chapter 4. However, there is a strong potential for unmeasured confounding by indication and differential misclassification of the outcome on the basis of exposure, which raises questions about our findings, in particular the unexpected increase in risk of vascular dementia associated with statin use. This is supported by our findings for the negative and positive control outcomes used. Future research using large scale electronic health records should aim to address these potential biases, potentially using a analytical design that more closely emulates a trial.</w:t>
      </w:r>
      <w:hyperlink w:anchor="ref-danaei2013b">
        <w:r>
          <w:rPr>
            <w:rStyle w:val="Hyperlink"/>
            <w:vertAlign w:val="superscript"/>
          </w:rPr>
          <w:t>196</w:t>
        </w:r>
      </w:hyperlink>
    </w:p>
    <w:p w14:paraId="2AB99ACD" w14:textId="77777777" w:rsidR="00BE714A" w:rsidRDefault="00BE714A" w:rsidP="00BE714A">
      <w:pPr>
        <w:pStyle w:val="BodyText"/>
      </w:pPr>
      <w:r>
        <w:t>The unexpected increase in vascular dementia risk with statin use is particularly interesting given the absence of vascular dementia in the published literature, as highlighted by the previous chapter (see Section 4.7.8) . It is possible that previous research identified a similar effect and via a publication bias mechanism, these results did not make it into the evidence base.</w:t>
      </w:r>
    </w:p>
    <w:p w14:paraId="2D7486DC" w14:textId="77777777" w:rsidR="00BE714A" w:rsidRDefault="00BE714A" w:rsidP="00BE714A">
      <w:pPr>
        <w:pStyle w:val="BodyText"/>
      </w:pPr>
      <w:r>
        <w:t>Regardless, this analysis has provided an additional source of evidence for the triangulation exercise presented in Chapter 7.</w:t>
      </w:r>
    </w:p>
    <w:p w14:paraId="6A667E56" w14:textId="77777777" w:rsidR="00BE714A" w:rsidRDefault="00BE714A" w:rsidP="00BE714A">
      <w:pPr>
        <w:pStyle w:val="BodyText"/>
      </w:pPr>
      <w:r>
        <w:t>In the following Chapter, the dataset described here is incorporated along with several other datasets</w:t>
      </w:r>
    </w:p>
    <w:p w14:paraId="79098FF7" w14:textId="77777777" w:rsidR="00BE714A" w:rsidRDefault="00BE714A" w:rsidP="00BE714A">
      <w:r>
        <w:br w:type="page"/>
      </w:r>
    </w:p>
    <w:p w14:paraId="7EE4F80E" w14:textId="77777777" w:rsidR="00BE714A" w:rsidRDefault="00BE714A" w:rsidP="00BE714A">
      <w:pPr>
        <w:pStyle w:val="Heading2"/>
      </w:pPr>
      <w:bookmarkStart w:id="125" w:name="references-2"/>
      <w:bookmarkEnd w:id="118"/>
      <w:bookmarkEnd w:id="124"/>
      <w:r>
        <w:lastRenderedPageBreak/>
        <w:t>References</w:t>
      </w:r>
    </w:p>
    <w:p w14:paraId="310D1EB5" w14:textId="77777777" w:rsidR="00BE714A" w:rsidRDefault="00BE714A" w:rsidP="00BE714A">
      <w:pPr>
        <w:pStyle w:val="Heading1"/>
      </w:pPr>
      <w:bookmarkStart w:id="126" w:name="ipd-heading"/>
      <w:bookmarkEnd w:id="98"/>
      <w:bookmarkEnd w:id="125"/>
      <w:r>
        <w:t>Individual participant data meta-analysis</w:t>
      </w:r>
    </w:p>
    <w:p w14:paraId="5F5FD5B3" w14:textId="77777777" w:rsidR="00BE714A" w:rsidRDefault="00BE714A" w:rsidP="00BE714A">
      <w:pPr>
        <w:pStyle w:val="FirstParagraph"/>
      </w:pPr>
    </w:p>
    <w:p w14:paraId="7A962CF5" w14:textId="77777777" w:rsidR="00BE714A" w:rsidRDefault="00BE714A" w:rsidP="00BE714A">
      <w:pPr>
        <w:pStyle w:val="Heading2"/>
      </w:pPr>
      <w:bookmarkStart w:id="127" w:name="methods-2"/>
      <w:r>
        <w:t>Methods</w:t>
      </w:r>
    </w:p>
    <w:p w14:paraId="6E47B9A6" w14:textId="77777777" w:rsidR="00BE714A" w:rsidRDefault="00BE714A" w:rsidP="00BE714A">
      <w:pPr>
        <w:pStyle w:val="Heading3"/>
      </w:pPr>
      <w:bookmarkStart w:id="128" w:name="data-sources"/>
      <w:r>
        <w:t>Data sources</w:t>
      </w:r>
    </w:p>
    <w:p w14:paraId="50A9FEE1" w14:textId="77777777" w:rsidR="00BE714A" w:rsidRDefault="00BE714A" w:rsidP="00BE714A">
      <w:pPr>
        <w:pStyle w:val="FirstParagraph"/>
      </w:pPr>
      <w:r>
        <w:t>Several cohort studies were approach</w:t>
      </w:r>
    </w:p>
    <w:p w14:paraId="24A3D508" w14:textId="77777777" w:rsidR="00BE714A" w:rsidRDefault="00BE714A" w:rsidP="00BE714A">
      <w:pPr>
        <w:pStyle w:val="BodyText"/>
      </w:pPr>
      <w:r>
        <w:t>As part of this Chapter, I will use individual patient data from a range of sources. These sources are described here in detail for reference.</w:t>
      </w:r>
    </w:p>
    <w:p w14:paraId="3C305ED6" w14:textId="77777777" w:rsidR="00BE714A" w:rsidRDefault="00BE714A" w:rsidP="00BE714A">
      <w:pPr>
        <w:pStyle w:val="BodyText"/>
      </w:pPr>
      <w:r>
        <w:t>Should also include a list of reasons why specific additional cohorts were not included - some like the EHR might be too big to get</w:t>
      </w:r>
    </w:p>
    <w:p w14:paraId="26B303CC" w14:textId="77777777" w:rsidR="00BE714A" w:rsidRDefault="00BE714A" w:rsidP="00BE714A">
      <w:pPr>
        <w:pStyle w:val="BodyText"/>
      </w:pPr>
      <w:r>
        <w:t>Each should have:</w:t>
      </w:r>
    </w:p>
    <w:p w14:paraId="3CA56A99" w14:textId="77777777" w:rsidR="00BE714A" w:rsidRDefault="00BE714A" w:rsidP="00BE714A">
      <w:pPr>
        <w:pStyle w:val="Compact"/>
        <w:numPr>
          <w:ilvl w:val="0"/>
          <w:numId w:val="42"/>
        </w:numPr>
      </w:pPr>
      <w:r>
        <w:t>Description (including observation period, numbers, numbers with outcome, etc)</w:t>
      </w:r>
    </w:p>
    <w:p w14:paraId="30F73FFB" w14:textId="77777777" w:rsidR="00BE714A" w:rsidRDefault="00BE714A" w:rsidP="00BE714A">
      <w:pPr>
        <w:pStyle w:val="Compact"/>
        <w:numPr>
          <w:ilvl w:val="0"/>
          <w:numId w:val="42"/>
        </w:numPr>
      </w:pPr>
      <w:r>
        <w:t>Whether they are a known genetically at-risk cohort</w:t>
      </w:r>
    </w:p>
    <w:p w14:paraId="185E5634" w14:textId="77777777" w:rsidR="00BE714A" w:rsidRDefault="00BE714A" w:rsidP="00BE714A">
      <w:pPr>
        <w:pStyle w:val="Heading3"/>
      </w:pPr>
      <w:bookmarkStart w:id="129" w:name="epic-norfolk"/>
      <w:bookmarkEnd w:id="128"/>
      <w:r>
        <w:t>Epic Norfolk</w:t>
      </w:r>
    </w:p>
    <w:p w14:paraId="761DD072" w14:textId="77777777" w:rsidR="00BE714A" w:rsidRDefault="00BE714A" w:rsidP="00BE714A">
      <w:pPr>
        <w:pStyle w:val="FirstParagraph"/>
      </w:pPr>
      <w:r>
        <w:t>The European Prospective Investigation of Cancer - Norfolk is a</w:t>
      </w:r>
      <w:hyperlink w:anchor="ref-riboli1997">
        <w:r>
          <w:rPr>
            <w:rStyle w:val="Hyperlink"/>
            <w:vertAlign w:val="superscript"/>
          </w:rPr>
          <w:t>197</w:t>
        </w:r>
      </w:hyperlink>
      <w:r>
        <w:rPr>
          <w:vertAlign w:val="superscript"/>
        </w:rPr>
        <w:t>,</w:t>
      </w:r>
      <w:hyperlink w:anchor="ref-riboli2002">
        <w:r>
          <w:rPr>
            <w:rStyle w:val="Hyperlink"/>
            <w:vertAlign w:val="superscript"/>
          </w:rPr>
          <w:t>198</w:t>
        </w:r>
      </w:hyperlink>
    </w:p>
    <w:p w14:paraId="70D29129" w14:textId="77777777" w:rsidR="00BE714A" w:rsidRDefault="00BE714A" w:rsidP="00BE714A">
      <w:pPr>
        <w:pStyle w:val="BodyText"/>
      </w:pPr>
      <w:r>
        <w:t>Different approaches to combining subgroups.</w:t>
      </w:r>
      <w:hyperlink w:anchor="ref-fisher2017">
        <w:r>
          <w:rPr>
            <w:rStyle w:val="Hyperlink"/>
            <w:vertAlign w:val="superscript"/>
          </w:rPr>
          <w:t>199</w:t>
        </w:r>
      </w:hyperlink>
    </w:p>
    <w:p w14:paraId="5917B386" w14:textId="77777777" w:rsidR="00BE714A" w:rsidRDefault="00BE714A" w:rsidP="00BE714A">
      <w:pPr>
        <w:pStyle w:val="Heading2"/>
      </w:pPr>
      <w:bookmarkStart w:id="130" w:name="risk-of-bias-assessment"/>
      <w:bookmarkEnd w:id="127"/>
      <w:bookmarkEnd w:id="129"/>
      <w:r>
        <w:t>Risk of bias assessment</w:t>
      </w:r>
    </w:p>
    <w:p w14:paraId="7D4F0F97" w14:textId="77777777" w:rsidR="00BE714A" w:rsidRDefault="00BE714A" w:rsidP="00BE714A">
      <w:pPr>
        <w:pStyle w:val="FirstParagraph"/>
      </w:pPr>
      <w:r>
        <w:t>Risk of bias assessment was performed for each of the included cohorts using the relevant tool described in Section 4.6.4.</w:t>
      </w:r>
    </w:p>
    <w:p w14:paraId="5D1613FB" w14:textId="77777777" w:rsidR="00BE714A" w:rsidRDefault="00BE714A" w:rsidP="00BE714A">
      <w:pPr>
        <w:pStyle w:val="Heading2"/>
      </w:pPr>
      <w:bookmarkStart w:id="131" w:name="data-cleaning"/>
      <w:bookmarkEnd w:id="130"/>
      <w:r>
        <w:t>Data cleaning</w:t>
      </w:r>
    </w:p>
    <w:p w14:paraId="33097567" w14:textId="77777777" w:rsidR="00BE714A" w:rsidRDefault="00BE714A" w:rsidP="00BE714A">
      <w:pPr>
        <w:pStyle w:val="Heading2"/>
      </w:pPr>
      <w:bookmarkStart w:id="132" w:name="discussion-3"/>
      <w:bookmarkEnd w:id="131"/>
      <w:r>
        <w:t>Discussion</w:t>
      </w:r>
    </w:p>
    <w:p w14:paraId="0CE9B581" w14:textId="77777777" w:rsidR="00BE714A" w:rsidRDefault="00BE714A" w:rsidP="00BE714A">
      <w:pPr>
        <w:pStyle w:val="FirstParagraph"/>
      </w:pPr>
      <w:r>
        <w:t>Letters sent to all cohorts identified through the systematic review - will need quite a bit here on the numbers approached and how they responsed if at all. Will also need to comment on the additional tactics used.</w:t>
      </w:r>
    </w:p>
    <w:p w14:paraId="7CE4DB78" w14:textId="77777777" w:rsidR="00BE714A" w:rsidRDefault="00BE714A" w:rsidP="00BE714A">
      <w:pPr>
        <w:pStyle w:val="BodyText"/>
      </w:pPr>
      <w:r>
        <w:t>This is likely due to my junior position as a early a</w:t>
      </w:r>
    </w:p>
    <w:p w14:paraId="72C480FA" w14:textId="77777777" w:rsidR="00BE714A" w:rsidRDefault="00BE714A" w:rsidP="00BE714A">
      <w:pPr>
        <w:pStyle w:val="BodyText"/>
      </w:pPr>
      <w:r>
        <w:t>Range of reasons why data is not readily available.</w:t>
      </w:r>
    </w:p>
    <w:p w14:paraId="7794F6B8" w14:textId="77777777" w:rsidR="00BE714A" w:rsidRDefault="00BE714A" w:rsidP="00BE714A">
      <w:pPr>
        <w:pStyle w:val="BodyText"/>
      </w:pPr>
      <w:r>
        <w:t>Unfortunately,</w:t>
      </w:r>
    </w:p>
    <w:p w14:paraId="28C9F372" w14:textId="77777777" w:rsidR="00BE714A" w:rsidRDefault="00BE714A" w:rsidP="00BE714A">
      <w:pPr>
        <w:pStyle w:val="BodyText"/>
      </w:pPr>
      <w:r>
        <w:t>As part of this, an analysis of</w:t>
      </w:r>
    </w:p>
    <w:p w14:paraId="668D26F7" w14:textId="77777777" w:rsidR="00BE714A" w:rsidRDefault="00BE714A" w:rsidP="00BE714A">
      <w:pPr>
        <w:pStyle w:val="Heading2"/>
      </w:pPr>
      <w:bookmarkStart w:id="133" w:name="discussion-4"/>
      <w:bookmarkEnd w:id="132"/>
      <w:r>
        <w:lastRenderedPageBreak/>
        <w:t>Discussion</w:t>
      </w:r>
    </w:p>
    <w:p w14:paraId="501CC7AB" w14:textId="77777777" w:rsidR="00BE714A" w:rsidRDefault="00BE714A" w:rsidP="00BE714A">
      <w:pPr>
        <w:pStyle w:val="FirstParagraph"/>
      </w:pPr>
      <w:r>
        <w:t>Describe your experience of trying to access the DPUK - while a great resources, furstrating at times.</w:t>
      </w:r>
    </w:p>
    <w:p w14:paraId="7B24C136" w14:textId="77777777" w:rsidR="00BE714A" w:rsidRDefault="00BE714A" w:rsidP="00BE714A">
      <w:pPr>
        <w:pStyle w:val="Heading1"/>
      </w:pPr>
      <w:bookmarkStart w:id="134" w:name="discussion-heading"/>
      <w:bookmarkEnd w:id="126"/>
      <w:bookmarkEnd w:id="133"/>
      <w:r>
        <w:t>Discussion</w:t>
      </w:r>
    </w:p>
    <w:p w14:paraId="4C152981" w14:textId="77777777" w:rsidR="00BE714A" w:rsidRDefault="00BE714A" w:rsidP="00BE714A">
      <w:pPr>
        <w:pStyle w:val="Heading2"/>
      </w:pPr>
      <w:bookmarkStart w:id="135" w:name="Xaed70c6bfbe9ac75ed11abe63d990e0ab7358f2"/>
      <w:r>
        <w:t>Triangulation across exisiting evidence and evidence produced in this thesis</w:t>
      </w:r>
    </w:p>
    <w:p w14:paraId="62E6217D" w14:textId="77777777" w:rsidR="00BE714A" w:rsidRDefault="00BE714A" w:rsidP="00BE714A">
      <w:pPr>
        <w:pStyle w:val="FirstParagraph"/>
      </w:pPr>
      <w:r>
        <w:t>Using the review of the literature as a guide to identify useful further studies that could be performed, I then performed .</w:t>
      </w:r>
    </w:p>
    <w:p w14:paraId="319F9A45" w14:textId="77777777" w:rsidR="00BE714A" w:rsidRDefault="00BE714A" w:rsidP="00BE714A">
      <w:pPr>
        <w:pStyle w:val="BodyText"/>
      </w:pPr>
      <w:r>
        <w:t>Summary table of different studies and results</w:t>
      </w:r>
    </w:p>
    <w:p w14:paraId="52EE0515" w14:textId="77777777" w:rsidR="00BE714A" w:rsidRDefault="00BE714A" w:rsidP="00BE714A">
      <w:pPr>
        <w:pStyle w:val="Heading2"/>
      </w:pPr>
      <w:bookmarkStart w:id="136" w:name="discussion-of-e-values"/>
      <w:bookmarkEnd w:id="135"/>
      <w:r>
        <w:t>Discussion of E-values</w:t>
      </w:r>
    </w:p>
    <w:p w14:paraId="1045E36E" w14:textId="77777777" w:rsidR="00BE714A" w:rsidRDefault="00BE714A" w:rsidP="00BE714A">
      <w:pPr>
        <w:pStyle w:val="FirstParagraph"/>
      </w:pPr>
      <w:r>
        <w:t>How strong unmeasured confounding would have to be in order to explain the observed effect.</w:t>
      </w:r>
    </w:p>
    <w:p w14:paraId="64329C8B" w14:textId="77777777" w:rsidR="00BE714A" w:rsidRDefault="00BE714A" w:rsidP="00BE714A">
      <w:pPr>
        <w:pStyle w:val="BodyText"/>
      </w:pPr>
      <w:r>
        <w:t>Heavily criticised in a range of papers.</w:t>
      </w:r>
    </w:p>
    <w:p w14:paraId="04AC796F" w14:textId="77777777" w:rsidR="00BE714A" w:rsidRDefault="00BE714A" w:rsidP="00BE714A">
      <w:pPr>
        <w:pStyle w:val="Heading2"/>
      </w:pPr>
      <w:bookmarkStart w:id="137" w:name="X19a11de4ab8606b74b5ad332dc48f14a8936b74"/>
      <w:bookmarkEnd w:id="136"/>
      <w:r>
        <w:t>Use of concensus panel to bring everything together</w:t>
      </w:r>
    </w:p>
    <w:p w14:paraId="67BB513E" w14:textId="77777777" w:rsidR="00BE714A" w:rsidRDefault="00BE714A" w:rsidP="00BE714A">
      <w:pPr>
        <w:pStyle w:val="Heading2"/>
      </w:pPr>
      <w:bookmarkStart w:id="138" w:name="additional-topics-for-the-discussion"/>
      <w:bookmarkEnd w:id="137"/>
      <w:r>
        <w:t>Additional topics for the discussion</w:t>
      </w:r>
    </w:p>
    <w:p w14:paraId="1828A106" w14:textId="77777777" w:rsidR="00BE714A" w:rsidRDefault="00BE714A" w:rsidP="00BE714A">
      <w:pPr>
        <w:pStyle w:val="FirstParagraph"/>
      </w:pPr>
      <w:r>
        <w:t>There are several addition topics I would like to cover:</w:t>
      </w:r>
    </w:p>
    <w:p w14:paraId="69B6336D" w14:textId="77777777" w:rsidR="00BE714A" w:rsidRDefault="00BE714A" w:rsidP="00BE714A">
      <w:pPr>
        <w:pStyle w:val="Compact"/>
        <w:numPr>
          <w:ilvl w:val="0"/>
          <w:numId w:val="43"/>
        </w:numPr>
      </w:pPr>
      <w:r>
        <w:t>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14:paraId="0DDFCB0C" w14:textId="77777777" w:rsidR="00BE714A" w:rsidRDefault="00BE714A" w:rsidP="00BE714A">
      <w:pPr>
        <w:pStyle w:val="Heading2"/>
      </w:pPr>
      <w:bookmarkStart w:id="139" w:name="X3b130fc6d67361b601b7baea6ee52fa2c3412e8"/>
      <w:bookmarkEnd w:id="138"/>
      <w:r>
        <w:t>Summary of findings (and implications for policy makers)</w:t>
      </w:r>
    </w:p>
    <w:p w14:paraId="5D7D34CB" w14:textId="77777777" w:rsidR="00BE714A" w:rsidRDefault="00BE714A" w:rsidP="00BE714A">
      <w:pPr>
        <w:pStyle w:val="Heading2"/>
      </w:pPr>
      <w:bookmarkStart w:id="140" w:name="strengths-and-limitations-1"/>
      <w:bookmarkEnd w:id="139"/>
      <w:r>
        <w:t>Strengths and Limitations</w:t>
      </w:r>
    </w:p>
    <w:p w14:paraId="275F3ABF" w14:textId="77777777" w:rsidR="00BE714A" w:rsidRDefault="00BE714A" w:rsidP="00BE714A">
      <w:pPr>
        <w:pStyle w:val="FirstParagraph"/>
      </w:pPr>
      <w:r>
        <w:t>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14:paraId="0B5D738D" w14:textId="77777777" w:rsidR="00BE714A" w:rsidRDefault="00BE714A" w:rsidP="00BE714A">
      <w:pPr>
        <w:pStyle w:val="BodyText"/>
      </w:pPr>
      <w:r>
        <w:t>Need for large simple trials for common disease where small treatment effect can have large effect -</w:t>
      </w:r>
      <w:hyperlink w:anchor="ref-yusuf1984">
        <w:r>
          <w:rPr>
            <w:rStyle w:val="Hyperlink"/>
            <w:vertAlign w:val="superscript"/>
          </w:rPr>
          <w:t>200</w:t>
        </w:r>
      </w:hyperlink>
    </w:p>
    <w:p w14:paraId="1B26AA9D" w14:textId="77777777" w:rsidR="00BE714A" w:rsidRDefault="00BE714A" w:rsidP="00BE714A">
      <w:pPr>
        <w:pStyle w:val="Heading2"/>
      </w:pPr>
      <w:bookmarkStart w:id="141" w:name="reproducible-research"/>
      <w:bookmarkEnd w:id="140"/>
      <w:r>
        <w:lastRenderedPageBreak/>
        <w:t>Reproducible research</w:t>
      </w:r>
    </w:p>
    <w:p w14:paraId="356BF9F7" w14:textId="77777777" w:rsidR="00BE714A" w:rsidRDefault="00BE714A" w:rsidP="00BE714A">
      <w:pPr>
        <w:pStyle w:val="FirstParagraph"/>
      </w:pPr>
      <w:r>
        <w:t>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14:paraId="0A6143AA" w14:textId="77777777" w:rsidR="00BE714A" w:rsidRDefault="00BE714A" w:rsidP="00BE714A">
      <w:pPr>
        <w:pStyle w:val="BodyText"/>
      </w:pPr>
      <w:r>
        <w:t>Containerisation was used to ensure that the code is reproducible, in line iwht best practices</w:t>
      </w:r>
    </w:p>
    <w:p w14:paraId="506D7672" w14:textId="77777777" w:rsidR="00BE714A" w:rsidRDefault="00BE714A" w:rsidP="00BE714A">
      <w:pPr>
        <w:pStyle w:val="BodyText"/>
      </w:pPr>
      <w:r>
        <w:t>Commentary on the fact that the best you can do is replicate vs reproducible (due the closed nature of the data).</w:t>
      </w:r>
    </w:p>
    <w:p w14:paraId="1265DB45" w14:textId="77777777" w:rsidR="00BE714A" w:rsidRDefault="00BE714A" w:rsidP="00BE714A">
      <w:pPr>
        <w:pStyle w:val="BodyText"/>
      </w:pPr>
      <w:r>
        <w:t>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14:paraId="68999019" w14:textId="77777777" w:rsidR="00BE714A" w:rsidRDefault="00BE714A" w:rsidP="00BE714A">
      <w:pPr>
        <w:pStyle w:val="Heading2"/>
      </w:pPr>
      <w:bookmarkStart w:id="142" w:name="disc-PPI"/>
      <w:bookmarkEnd w:id="141"/>
      <w:r>
        <w:t>Public involvement and engagement</w:t>
      </w:r>
    </w:p>
    <w:p w14:paraId="663A0B76" w14:textId="77777777" w:rsidR="00BE714A" w:rsidRDefault="00BE714A" w:rsidP="00BE714A">
      <w:pPr>
        <w:pStyle w:val="FirstParagraph"/>
      </w:pPr>
      <w:r>
        <w:t>Involving and engaging the public and patients has been a central theme to this thesis.</w:t>
      </w:r>
    </w:p>
    <w:p w14:paraId="5BD69BC9" w14:textId="77777777" w:rsidR="00BE714A" w:rsidRDefault="00BE714A" w:rsidP="00BE714A">
      <w:pPr>
        <w:pStyle w:val="BodyText"/>
      </w:pPr>
      <w:r>
        <w:t>Public engagement activities included</w:t>
      </w:r>
    </w:p>
    <w:p w14:paraId="532359C4" w14:textId="77777777" w:rsidR="00BE714A" w:rsidRDefault="00BE714A" w:rsidP="00BE714A">
      <w:pPr>
        <w:pStyle w:val="BodyText"/>
      </w:pPr>
      <w:r>
        <w:t>Public involvement also steered the creation of the topic</w:t>
      </w:r>
    </w:p>
    <w:p w14:paraId="0E3795B0" w14:textId="77777777" w:rsidR="00BE714A" w:rsidRDefault="00BE714A" w:rsidP="00BE714A">
      <w:pPr>
        <w:pStyle w:val="BodyText"/>
      </w:pPr>
      <w:r>
        <w:t>P</w:t>
      </w:r>
    </w:p>
    <w:p w14:paraId="0576407B" w14:textId="77777777" w:rsidR="00BE714A" w:rsidRDefault="00BE714A" w:rsidP="00BE714A">
      <w:pPr>
        <w:pStyle w:val="Heading2"/>
      </w:pPr>
      <w:bookmarkStart w:id="143" w:name="future-work"/>
      <w:bookmarkEnd w:id="142"/>
      <w:r>
        <w:t>Future work</w:t>
      </w:r>
    </w:p>
    <w:p w14:paraId="2494635C" w14:textId="77777777" w:rsidR="00BE714A" w:rsidRDefault="00BE714A" w:rsidP="00BE714A">
      <w:pPr>
        <w:pStyle w:val="Heading2"/>
      </w:pPr>
      <w:bookmarkStart w:id="144" w:name="overall-conclusions"/>
      <w:bookmarkEnd w:id="143"/>
      <w:r>
        <w:t>Overall conclusions</w:t>
      </w:r>
    </w:p>
    <w:p w14:paraId="6BB48E7F" w14:textId="77777777" w:rsidR="00BE714A" w:rsidRDefault="00BE714A" w:rsidP="00BE714A">
      <w:pPr>
        <w:pStyle w:val="Heading1"/>
      </w:pPr>
      <w:bookmarkStart w:id="145" w:name="bibliography"/>
      <w:bookmarkEnd w:id="134"/>
      <w:bookmarkEnd w:id="144"/>
      <w:r>
        <w:t>Bibliography</w:t>
      </w:r>
    </w:p>
    <w:p w14:paraId="08CB8252" w14:textId="77777777" w:rsidR="00BE714A" w:rsidRDefault="00BE714A" w:rsidP="00BE714A">
      <w:pPr>
        <w:pStyle w:val="Heading1"/>
      </w:pPr>
      <w:bookmarkStart w:id="146" w:name="bibliography-1"/>
      <w:bookmarkEnd w:id="145"/>
      <w:r>
        <w:t>Bibliography</w:t>
      </w:r>
    </w:p>
    <w:p w14:paraId="025331B9" w14:textId="77777777" w:rsidR="00BE714A" w:rsidRDefault="00BE714A" w:rsidP="00BE714A">
      <w:pPr>
        <w:pStyle w:val="Bibliography"/>
      </w:pPr>
      <w:bookmarkStart w:id="147" w:name="ref-edition2013diagnostic"/>
      <w:bookmarkStart w:id="148" w:name="refs"/>
      <w:r>
        <w:t xml:space="preserve">1. </w:t>
      </w:r>
      <w:r>
        <w:tab/>
        <w:t xml:space="preserve">Edition, F. &amp; others. Diagnostic and statistical manual of mental disorders. </w:t>
      </w:r>
      <w:r>
        <w:rPr>
          <w:i/>
          <w:iCs/>
        </w:rPr>
        <w:t>Am Psychiatric Assoc</w:t>
      </w:r>
      <w:r>
        <w:t xml:space="preserve"> </w:t>
      </w:r>
      <w:r>
        <w:rPr>
          <w:b/>
          <w:bCs/>
        </w:rPr>
        <w:t>21</w:t>
      </w:r>
      <w:r>
        <w:t>, (2013).</w:t>
      </w:r>
    </w:p>
    <w:p w14:paraId="4CA746F2" w14:textId="77777777" w:rsidR="00BE714A" w:rsidRDefault="00BE714A" w:rsidP="00BE714A">
      <w:pPr>
        <w:pStyle w:val="Bibliography"/>
      </w:pPr>
      <w:bookmarkStart w:id="149" w:name="ref-cerejeira2012"/>
      <w:bookmarkEnd w:id="147"/>
      <w:r>
        <w:t xml:space="preserve">2. </w:t>
      </w:r>
      <w:r>
        <w:tab/>
        <w:t xml:space="preserve">Cerejeira, J., Lagarto, L. &amp; Mukaetova-Ladinska, E. B. Behavioral and Psychological Symptoms of Dementia. </w:t>
      </w:r>
      <w:r>
        <w:rPr>
          <w:i/>
          <w:iCs/>
        </w:rPr>
        <w:t>Frontiers in Neurology</w:t>
      </w:r>
      <w:r>
        <w:t xml:space="preserve"> </w:t>
      </w:r>
      <w:r>
        <w:rPr>
          <w:b/>
          <w:bCs/>
        </w:rPr>
        <w:t>3</w:t>
      </w:r>
      <w:r>
        <w:t>, (2012).</w:t>
      </w:r>
    </w:p>
    <w:p w14:paraId="4859895C" w14:textId="77777777" w:rsidR="00BE714A" w:rsidRDefault="00BE714A" w:rsidP="00BE714A">
      <w:pPr>
        <w:pStyle w:val="Bibliography"/>
      </w:pPr>
      <w:bookmarkStart w:id="150" w:name="ref-kumar2013"/>
      <w:bookmarkEnd w:id="149"/>
      <w:r>
        <w:t xml:space="preserve">3. </w:t>
      </w:r>
      <w:r>
        <w:tab/>
        <w:t xml:space="preserve">Kumar, C. S. &amp; Kuriakose, J. R. End-of-life care issues in advanced dementia. </w:t>
      </w:r>
      <w:r>
        <w:rPr>
          <w:i/>
          <w:iCs/>
        </w:rPr>
        <w:t>Mental Health in Family Medicine</w:t>
      </w:r>
      <w:r>
        <w:t xml:space="preserve"> </w:t>
      </w:r>
      <w:r>
        <w:rPr>
          <w:b/>
          <w:bCs/>
        </w:rPr>
        <w:t>10</w:t>
      </w:r>
      <w:r>
        <w:t>, 129–132 (2013).</w:t>
      </w:r>
    </w:p>
    <w:p w14:paraId="2DF757EE" w14:textId="77777777" w:rsidR="00BE714A" w:rsidRDefault="00BE714A" w:rsidP="00BE714A">
      <w:pPr>
        <w:pStyle w:val="Bibliography"/>
      </w:pPr>
      <w:bookmarkStart w:id="151" w:name="ref-burns2009"/>
      <w:bookmarkEnd w:id="150"/>
      <w:r>
        <w:t xml:space="preserve">4. </w:t>
      </w:r>
      <w:r>
        <w:tab/>
        <w:t xml:space="preserve">Burns, A. &amp; Iliffe, S. Dementia. </w:t>
      </w:r>
      <w:r>
        <w:rPr>
          <w:i/>
          <w:iCs/>
        </w:rPr>
        <w:t>BMJ</w:t>
      </w:r>
      <w:r>
        <w:t xml:space="preserve"> </w:t>
      </w:r>
      <w:r>
        <w:rPr>
          <w:b/>
          <w:bCs/>
        </w:rPr>
        <w:t>338</w:t>
      </w:r>
      <w:r>
        <w:t>, b75 (2009).</w:t>
      </w:r>
    </w:p>
    <w:p w14:paraId="04F50035" w14:textId="77777777" w:rsidR="00BE714A" w:rsidRDefault="00BE714A" w:rsidP="00BE714A">
      <w:pPr>
        <w:pStyle w:val="Bibliography"/>
      </w:pPr>
      <w:bookmarkStart w:id="152" w:name="ref-robinson2015"/>
      <w:bookmarkEnd w:id="151"/>
      <w:r>
        <w:t xml:space="preserve">5. </w:t>
      </w:r>
      <w:r>
        <w:tab/>
        <w:t xml:space="preserve">Robinson, L., Tang, E. &amp; Taylor, J.-P. Dementia: Timely diagnosis and early intervention. </w:t>
      </w:r>
      <w:r>
        <w:rPr>
          <w:i/>
          <w:iCs/>
        </w:rPr>
        <w:t>BMJ</w:t>
      </w:r>
      <w:r>
        <w:t xml:space="preserve"> </w:t>
      </w:r>
      <w:r>
        <w:rPr>
          <w:b/>
          <w:bCs/>
        </w:rPr>
        <w:t>350</w:t>
      </w:r>
      <w:r>
        <w:t>, h3029 (2015).</w:t>
      </w:r>
    </w:p>
    <w:p w14:paraId="4615B451" w14:textId="77777777" w:rsidR="00BE714A" w:rsidRDefault="00BE714A" w:rsidP="00BE714A">
      <w:pPr>
        <w:pStyle w:val="Bibliography"/>
      </w:pPr>
      <w:bookmarkStart w:id="153" w:name="ref-iadecola2013"/>
      <w:bookmarkEnd w:id="152"/>
      <w:r>
        <w:lastRenderedPageBreak/>
        <w:t xml:space="preserve">6. </w:t>
      </w:r>
      <w:r>
        <w:tab/>
        <w:t xml:space="preserve">Iadecola, C. The pathobiology of vascular dementia. </w:t>
      </w:r>
      <w:r>
        <w:rPr>
          <w:i/>
          <w:iCs/>
        </w:rPr>
        <w:t>Neuron</w:t>
      </w:r>
      <w:r>
        <w:t xml:space="preserve"> </w:t>
      </w:r>
      <w:r>
        <w:rPr>
          <w:b/>
          <w:bCs/>
        </w:rPr>
        <w:t>80</w:t>
      </w:r>
      <w:r>
        <w:t>, (2013).</w:t>
      </w:r>
    </w:p>
    <w:p w14:paraId="49B350B5" w14:textId="77777777" w:rsidR="00BE714A" w:rsidRDefault="00BE714A" w:rsidP="00BE714A">
      <w:pPr>
        <w:pStyle w:val="Bibliography"/>
      </w:pPr>
      <w:bookmarkStart w:id="154" w:name="ref-venkat2015"/>
      <w:bookmarkEnd w:id="153"/>
      <w:r>
        <w:t xml:space="preserve">7. </w:t>
      </w:r>
      <w:r>
        <w:tab/>
        <w:t xml:space="preserve">Venkat, P., Chopp, M. &amp; Chen, J. Models and Mechanisms of Vascular Dementia. </w:t>
      </w:r>
      <w:r>
        <w:rPr>
          <w:i/>
          <w:iCs/>
        </w:rPr>
        <w:t>Experimental neurology</w:t>
      </w:r>
      <w:r>
        <w:t xml:space="preserve"> </w:t>
      </w:r>
      <w:r>
        <w:rPr>
          <w:b/>
          <w:bCs/>
        </w:rPr>
        <w:t>272</w:t>
      </w:r>
      <w:r>
        <w:t>, 97–108 (2015).</w:t>
      </w:r>
    </w:p>
    <w:p w14:paraId="7F2BFBF4" w14:textId="77777777" w:rsidR="00BE714A" w:rsidRDefault="00BE714A" w:rsidP="00BE714A">
      <w:pPr>
        <w:pStyle w:val="Bibliography"/>
      </w:pPr>
      <w:bookmarkStart w:id="155" w:name="ref-custodio2017"/>
      <w:bookmarkEnd w:id="154"/>
      <w:r>
        <w:t xml:space="preserve">8. </w:t>
      </w:r>
      <w:r>
        <w:tab/>
        <w:t xml:space="preserve">Custodio, N. </w:t>
      </w:r>
      <w:r>
        <w:rPr>
          <w:i/>
          <w:iCs/>
        </w:rPr>
        <w:t>et al.</w:t>
      </w:r>
      <w:r>
        <w:t xml:space="preserve"> Mixed dementia: A review of the evidence. </w:t>
      </w:r>
      <w:r>
        <w:rPr>
          <w:i/>
          <w:iCs/>
        </w:rPr>
        <w:t>Dementia &amp; Neuropsychologia</w:t>
      </w:r>
      <w:r>
        <w:t xml:space="preserve"> </w:t>
      </w:r>
      <w:r>
        <w:rPr>
          <w:b/>
          <w:bCs/>
        </w:rPr>
        <w:t>11</w:t>
      </w:r>
      <w:r>
        <w:t>, 364–370 (2017).</w:t>
      </w:r>
    </w:p>
    <w:p w14:paraId="556DB56D" w14:textId="77777777" w:rsidR="00BE714A" w:rsidRDefault="00BE714A" w:rsidP="00BE714A">
      <w:pPr>
        <w:pStyle w:val="Bibliography"/>
      </w:pPr>
      <w:bookmarkStart w:id="156" w:name="ref-sheehan2012"/>
      <w:bookmarkEnd w:id="155"/>
      <w:r>
        <w:t xml:space="preserve">9. </w:t>
      </w:r>
      <w:r>
        <w:tab/>
        <w:t xml:space="preserve">Sheehan, B. Assessment scales in dementia. </w:t>
      </w:r>
      <w:r>
        <w:rPr>
          <w:i/>
          <w:iCs/>
        </w:rPr>
        <w:t>Therapeutic Advances in Neurological Disorders</w:t>
      </w:r>
      <w:r>
        <w:t xml:space="preserve"> </w:t>
      </w:r>
      <w:r>
        <w:rPr>
          <w:b/>
          <w:bCs/>
        </w:rPr>
        <w:t>5</w:t>
      </w:r>
      <w:r>
        <w:t>, 349–358 (2012).</w:t>
      </w:r>
    </w:p>
    <w:p w14:paraId="6CD6051D" w14:textId="77777777" w:rsidR="00BE714A" w:rsidRDefault="00BE714A" w:rsidP="00BE714A">
      <w:pPr>
        <w:pStyle w:val="Bibliography"/>
      </w:pPr>
      <w:bookmarkStart w:id="157" w:name="ref-dubois2007"/>
      <w:bookmarkEnd w:id="156"/>
      <w:r>
        <w:t xml:space="preserve">10. </w:t>
      </w:r>
      <w:r>
        <w:tab/>
        <w:t xml:space="preserve">Dubois, B. </w:t>
      </w:r>
      <w:r>
        <w:rPr>
          <w:i/>
          <w:iCs/>
        </w:rPr>
        <w:t>et al.</w:t>
      </w:r>
      <w:r>
        <w:t xml:space="preserve"> Research criteria for the diagnosis of Alzheimer’s disease: Revising the NINCDSADRDA criteria. </w:t>
      </w:r>
      <w:r>
        <w:rPr>
          <w:i/>
          <w:iCs/>
        </w:rPr>
        <w:t>The Lancet Neurology</w:t>
      </w:r>
      <w:r>
        <w:t xml:space="preserve"> </w:t>
      </w:r>
      <w:r>
        <w:rPr>
          <w:b/>
          <w:bCs/>
        </w:rPr>
        <w:t>6</w:t>
      </w:r>
      <w:r>
        <w:t>, 734–746 (2007).</w:t>
      </w:r>
    </w:p>
    <w:p w14:paraId="698F26AA" w14:textId="77777777" w:rsidR="00BE714A" w:rsidRDefault="00BE714A" w:rsidP="00BE714A">
      <w:pPr>
        <w:pStyle w:val="Bibliography"/>
      </w:pPr>
      <w:bookmarkStart w:id="158" w:name="ref-roman1993vascular"/>
      <w:bookmarkEnd w:id="157"/>
      <w:r>
        <w:t xml:space="preserve">11. </w:t>
      </w:r>
      <w:r>
        <w:tab/>
        <w:t xml:space="preserve">Román, G. C. </w:t>
      </w:r>
      <w:r>
        <w:rPr>
          <w:i/>
          <w:iCs/>
        </w:rPr>
        <w:t>et al.</w:t>
      </w:r>
      <w:r>
        <w:t xml:space="preserve"> Vascular dementia: Diagnostic criteria for research studies: Report of the NINDS-AIREN International Workshop. </w:t>
      </w:r>
      <w:r>
        <w:rPr>
          <w:i/>
          <w:iCs/>
        </w:rPr>
        <w:t>Neurology</w:t>
      </w:r>
      <w:r>
        <w:t xml:space="preserve"> </w:t>
      </w:r>
      <w:r>
        <w:rPr>
          <w:b/>
          <w:bCs/>
        </w:rPr>
        <w:t>43</w:t>
      </w:r>
      <w:r>
        <w:t>, 250–250 (1993).</w:t>
      </w:r>
    </w:p>
    <w:p w14:paraId="33CB2EC9" w14:textId="77777777" w:rsidR="00BE714A" w:rsidRDefault="00BE714A" w:rsidP="00BE714A">
      <w:pPr>
        <w:pStyle w:val="Bibliography"/>
      </w:pPr>
      <w:bookmarkStart w:id="159" w:name="ref-prince2016"/>
      <w:bookmarkEnd w:id="158"/>
      <w:r>
        <w:t xml:space="preserve">12. </w:t>
      </w:r>
      <w:r>
        <w:tab/>
        <w:t xml:space="preserve">Prince, M. </w:t>
      </w:r>
      <w:r>
        <w:rPr>
          <w:i/>
          <w:iCs/>
        </w:rPr>
        <w:t>et al.</w:t>
      </w:r>
      <w:r>
        <w:t xml:space="preserve"> Recent global trends in the prevalence and incidence of dementia, and survival with dementia. </w:t>
      </w:r>
      <w:r>
        <w:rPr>
          <w:i/>
          <w:iCs/>
        </w:rPr>
        <w:t>Alzheimer’s Research &amp; Therapy</w:t>
      </w:r>
      <w:r>
        <w:t xml:space="preserve"> </w:t>
      </w:r>
      <w:r>
        <w:rPr>
          <w:b/>
          <w:bCs/>
        </w:rPr>
        <w:t>8</w:t>
      </w:r>
      <w:r>
        <w:t>, (2016).</w:t>
      </w:r>
    </w:p>
    <w:p w14:paraId="14CEA57F" w14:textId="77777777" w:rsidR="00BE714A" w:rsidRDefault="00BE714A" w:rsidP="00BE714A">
      <w:pPr>
        <w:pStyle w:val="Bibliography"/>
      </w:pPr>
      <w:bookmarkStart w:id="160" w:name="ref-flier2005"/>
      <w:bookmarkEnd w:id="159"/>
      <w:r>
        <w:t xml:space="preserve">13. </w:t>
      </w:r>
      <w:r>
        <w:tab/>
        <w:t xml:space="preserve">Flier, W. M. van der &amp; Scheltens, P. Epidemiology and risk factors of dementia. </w:t>
      </w:r>
      <w:r>
        <w:rPr>
          <w:i/>
          <w:iCs/>
        </w:rPr>
        <w:t>Journal of Neurology, Neurosurgery &amp; Psychiatry</w:t>
      </w:r>
      <w:r>
        <w:t xml:space="preserve"> </w:t>
      </w:r>
      <w:r>
        <w:rPr>
          <w:b/>
          <w:bCs/>
        </w:rPr>
        <w:t>76</w:t>
      </w:r>
      <w:r>
        <w:t>, v2–v7 (2005).</w:t>
      </w:r>
    </w:p>
    <w:p w14:paraId="56AFAFC2" w14:textId="77777777" w:rsidR="00BE714A" w:rsidRDefault="00BE714A" w:rsidP="00BE714A">
      <w:pPr>
        <w:pStyle w:val="Bibliography"/>
      </w:pPr>
      <w:bookmarkStart w:id="161" w:name="ref-baker2019"/>
      <w:bookmarkEnd w:id="160"/>
      <w:r>
        <w:t xml:space="preserve">14. </w:t>
      </w:r>
      <w:r>
        <w:tab/>
        <w:t xml:space="preserve">Baker, C., Jarrett, T. &amp; Powell, T. </w:t>
      </w:r>
      <w:r>
        <w:rPr>
          <w:i/>
          <w:iCs/>
        </w:rPr>
        <w:t>Dementia: Policy, services and statistics overview</w:t>
      </w:r>
      <w:r>
        <w:t>. (2019).</w:t>
      </w:r>
    </w:p>
    <w:p w14:paraId="2CF68F47" w14:textId="77777777" w:rsidR="00BE714A" w:rsidRDefault="00BE714A" w:rsidP="00BE714A">
      <w:pPr>
        <w:pStyle w:val="Bibliography"/>
      </w:pPr>
      <w:bookmarkStart w:id="162" w:name="ref-wittenberg2019"/>
      <w:bookmarkEnd w:id="161"/>
      <w:r>
        <w:t xml:space="preserve">15. </w:t>
      </w:r>
      <w:r>
        <w:tab/>
        <w:t xml:space="preserve">Wittenberg, R. </w:t>
      </w:r>
      <w:r>
        <w:rPr>
          <w:i/>
          <w:iCs/>
        </w:rPr>
        <w:t>et al.</w:t>
      </w:r>
      <w:r>
        <w:t xml:space="preserve"> The costs of dementia in England. </w:t>
      </w:r>
      <w:r>
        <w:rPr>
          <w:i/>
          <w:iCs/>
        </w:rPr>
        <w:t>International Journal of Geriatric Psychiatry</w:t>
      </w:r>
      <w:r>
        <w:t xml:space="preserve"> </w:t>
      </w:r>
      <w:r>
        <w:rPr>
          <w:b/>
          <w:bCs/>
        </w:rPr>
        <w:t>34</w:t>
      </w:r>
      <w:r>
        <w:t>, 1095–1103 (2019).</w:t>
      </w:r>
    </w:p>
    <w:p w14:paraId="09E35C8E" w14:textId="77777777" w:rsidR="00BE714A" w:rsidRDefault="00BE714A" w:rsidP="00BE714A">
      <w:pPr>
        <w:pStyle w:val="Bibliography"/>
      </w:pPr>
      <w:bookmarkStart w:id="163" w:name="ref-prince2014dementia"/>
      <w:bookmarkEnd w:id="162"/>
      <w:r>
        <w:t xml:space="preserve">16. </w:t>
      </w:r>
      <w:r>
        <w:tab/>
        <w:t xml:space="preserve">Prince, M., Albanese, E., Guerchet, M., Prina, M. &amp; others. Dementia and risk reduction: An analysis of protective and modifiable factors. </w:t>
      </w:r>
      <w:r>
        <w:rPr>
          <w:i/>
          <w:iCs/>
        </w:rPr>
        <w:t>World Alzheimer Report</w:t>
      </w:r>
      <w:r>
        <w:t xml:space="preserve"> 66–83 (2014).</w:t>
      </w:r>
    </w:p>
    <w:p w14:paraId="72626B2E" w14:textId="77777777" w:rsidR="00BE714A" w:rsidRDefault="00BE714A" w:rsidP="00BE714A">
      <w:pPr>
        <w:pStyle w:val="Bibliography"/>
      </w:pPr>
      <w:bookmarkStart w:id="164" w:name="ref-cummings2020"/>
      <w:bookmarkEnd w:id="163"/>
      <w:r>
        <w:t xml:space="preserve">17. </w:t>
      </w:r>
      <w:r>
        <w:tab/>
        <w:t xml:space="preserve">Cummings, J., Lee, G., Ritter, A., Sabbagh, M. &amp; Zhong, K. Alzheimer’s disease drug development pipeline: 2020. </w:t>
      </w:r>
      <w:r>
        <w:rPr>
          <w:i/>
          <w:iCs/>
        </w:rPr>
        <w:t>Alzheimer’s &amp; Dementia: Translational Research &amp; Clinical Interventions</w:t>
      </w:r>
      <w:r>
        <w:t xml:space="preserve"> </w:t>
      </w:r>
      <w:r>
        <w:rPr>
          <w:b/>
          <w:bCs/>
        </w:rPr>
        <w:t>6</w:t>
      </w:r>
      <w:r>
        <w:t>, e12050 (2020).</w:t>
      </w:r>
    </w:p>
    <w:p w14:paraId="44B6BB5F" w14:textId="77777777" w:rsidR="00BE714A" w:rsidRDefault="00BE714A" w:rsidP="00BE714A">
      <w:pPr>
        <w:pStyle w:val="Bibliography"/>
      </w:pPr>
      <w:bookmarkStart w:id="165" w:name="ref-hampel2018"/>
      <w:bookmarkEnd w:id="164"/>
      <w:r>
        <w:t xml:space="preserve">18. </w:t>
      </w:r>
      <w:r>
        <w:tab/>
        <w:t xml:space="preserve">Hampel, H. </w:t>
      </w:r>
      <w:r>
        <w:rPr>
          <w:i/>
          <w:iCs/>
        </w:rPr>
        <w:t>et al.</w:t>
      </w:r>
      <w:r>
        <w:t xml:space="preserve"> The cholinergic system in the pathophysiology and treatment of Alzheimer’s disease. </w:t>
      </w:r>
      <w:r>
        <w:rPr>
          <w:i/>
          <w:iCs/>
        </w:rPr>
        <w:t>Brain</w:t>
      </w:r>
      <w:r>
        <w:t xml:space="preserve"> </w:t>
      </w:r>
      <w:r>
        <w:rPr>
          <w:b/>
          <w:bCs/>
        </w:rPr>
        <w:t>141</w:t>
      </w:r>
      <w:r>
        <w:t>, 1917–1933 (2018).</w:t>
      </w:r>
    </w:p>
    <w:p w14:paraId="313F0880" w14:textId="77777777" w:rsidR="00BE714A" w:rsidRDefault="00BE714A" w:rsidP="00BE714A">
      <w:pPr>
        <w:pStyle w:val="Bibliography"/>
      </w:pPr>
      <w:bookmarkStart w:id="166" w:name="ref-pariente2008"/>
      <w:bookmarkEnd w:id="165"/>
      <w:r>
        <w:t xml:space="preserve">19. </w:t>
      </w:r>
      <w:r>
        <w:tab/>
        <w:t xml:space="preserve">Pariente, A. </w:t>
      </w:r>
      <w:r>
        <w:rPr>
          <w:i/>
          <w:iCs/>
        </w:rPr>
        <w:t>et al.</w:t>
      </w:r>
      <w:r>
        <w:t xml:space="preserve"> Prevalence of cholinesterase inhibitors in subjects with dementia in Europe. </w:t>
      </w:r>
      <w:r>
        <w:rPr>
          <w:i/>
          <w:iCs/>
        </w:rPr>
        <w:t>Pharmacoepidemiology and Drug Safety</w:t>
      </w:r>
      <w:r>
        <w:t xml:space="preserve"> </w:t>
      </w:r>
      <w:r>
        <w:rPr>
          <w:b/>
          <w:bCs/>
        </w:rPr>
        <w:t>17</w:t>
      </w:r>
      <w:r>
        <w:t>, 655–660 (2008).</w:t>
      </w:r>
    </w:p>
    <w:p w14:paraId="5A35D9EF" w14:textId="77777777" w:rsidR="00BE714A" w:rsidRDefault="00BE714A" w:rsidP="00BE714A">
      <w:pPr>
        <w:pStyle w:val="Bibliography"/>
      </w:pPr>
      <w:bookmarkStart w:id="167" w:name="ref-marucci2020"/>
      <w:bookmarkEnd w:id="166"/>
      <w:r>
        <w:t xml:space="preserve">20. </w:t>
      </w:r>
      <w:r>
        <w:tab/>
        <w:t xml:space="preserve">Marucci, G. </w:t>
      </w:r>
      <w:r>
        <w:rPr>
          <w:i/>
          <w:iCs/>
        </w:rPr>
        <w:t>et al.</w:t>
      </w:r>
      <w:r>
        <w:t xml:space="preserve"> Efficacy of acetylcholinesterase inhibitors in Alzheimer’s disease. </w:t>
      </w:r>
      <w:r>
        <w:rPr>
          <w:i/>
          <w:iCs/>
        </w:rPr>
        <w:t>Neuropharmacology</w:t>
      </w:r>
      <w:r>
        <w:t xml:space="preserve"> 108352 (2020). doi:</w:t>
      </w:r>
      <w:hyperlink r:id="rId22">
        <w:r>
          <w:rPr>
            <w:rStyle w:val="Hyperlink"/>
          </w:rPr>
          <w:t>10.1016/j.neuropharm.2020.108352</w:t>
        </w:r>
      </w:hyperlink>
    </w:p>
    <w:p w14:paraId="5EF691F2" w14:textId="77777777" w:rsidR="00BE714A" w:rsidRDefault="00BE714A" w:rsidP="00BE714A">
      <w:pPr>
        <w:pStyle w:val="Bibliography"/>
      </w:pPr>
      <w:bookmarkStart w:id="168" w:name="ref-francis2010"/>
      <w:bookmarkEnd w:id="167"/>
      <w:r>
        <w:t xml:space="preserve">21. </w:t>
      </w:r>
      <w:r>
        <w:tab/>
        <w:t xml:space="preserve">Francis, P. T., Ramírez, M. J. &amp; Lai, M. K. Neurochemical basis for symptomatic treatment of Alzheimer’s disease. </w:t>
      </w:r>
      <w:r>
        <w:rPr>
          <w:i/>
          <w:iCs/>
        </w:rPr>
        <w:t>Neuropharmacology</w:t>
      </w:r>
      <w:r>
        <w:t xml:space="preserve"> </w:t>
      </w:r>
      <w:r>
        <w:rPr>
          <w:b/>
          <w:bCs/>
        </w:rPr>
        <w:t>59</w:t>
      </w:r>
      <w:r>
        <w:t>, 221–229 (2010).</w:t>
      </w:r>
    </w:p>
    <w:p w14:paraId="3449CEE0" w14:textId="77777777" w:rsidR="00BE714A" w:rsidRDefault="00BE714A" w:rsidP="00BE714A">
      <w:pPr>
        <w:pStyle w:val="Bibliography"/>
      </w:pPr>
      <w:bookmarkStart w:id="169" w:name="ref-winblad2016a"/>
      <w:bookmarkEnd w:id="168"/>
      <w:r>
        <w:lastRenderedPageBreak/>
        <w:t xml:space="preserve">22. </w:t>
      </w:r>
      <w:r>
        <w:tab/>
        <w:t xml:space="preserve">Winblad, B. </w:t>
      </w:r>
      <w:r>
        <w:rPr>
          <w:i/>
          <w:iCs/>
        </w:rPr>
        <w:t>et al.</w:t>
      </w:r>
      <w:r>
        <w:t xml:space="preserve"> Defeating Alzheimer’s disease and other dementias: A priority for European science and society. </w:t>
      </w:r>
      <w:r>
        <w:rPr>
          <w:i/>
          <w:iCs/>
        </w:rPr>
        <w:t>The Lancet Neurology</w:t>
      </w:r>
      <w:r>
        <w:t xml:space="preserve"> </w:t>
      </w:r>
      <w:r>
        <w:rPr>
          <w:b/>
          <w:bCs/>
        </w:rPr>
        <w:t>15</w:t>
      </w:r>
      <w:r>
        <w:t>, 455–532 (2016).</w:t>
      </w:r>
    </w:p>
    <w:p w14:paraId="0E9238AD" w14:textId="77777777" w:rsidR="00BE714A" w:rsidRDefault="00BE714A" w:rsidP="00BE714A">
      <w:pPr>
        <w:pStyle w:val="Bibliography"/>
      </w:pPr>
      <w:bookmarkStart w:id="170" w:name="ref-feingold2000"/>
      <w:bookmarkEnd w:id="169"/>
      <w:r>
        <w:t xml:space="preserve">23. </w:t>
      </w:r>
      <w:r>
        <w:tab/>
        <w:t xml:space="preserve">Feingold, K. R. Introduction to Lipids and Lipoproteins. in </w:t>
      </w:r>
      <w:r>
        <w:rPr>
          <w:i/>
          <w:iCs/>
        </w:rPr>
        <w:t>Endotext</w:t>
      </w:r>
      <w:r>
        <w:t xml:space="preserve"> (eds. Feingold, K. R. et al.) (MDText.com, Inc., 2000).</w:t>
      </w:r>
    </w:p>
    <w:p w14:paraId="1A94FB66" w14:textId="77777777" w:rsidR="00BE714A" w:rsidRDefault="00BE714A" w:rsidP="00BE714A">
      <w:pPr>
        <w:pStyle w:val="Bibliography"/>
      </w:pPr>
      <w:bookmarkStart w:id="171" w:name="ref-peters2019"/>
      <w:bookmarkEnd w:id="170"/>
      <w:r>
        <w:t xml:space="preserve">24. </w:t>
      </w:r>
      <w:r>
        <w:tab/>
        <w:t xml:space="preserve">Peters, R. </w:t>
      </w:r>
      <w:r>
        <w:rPr>
          <w:i/>
          <w:iCs/>
        </w:rPr>
        <w:t>et al.</w:t>
      </w:r>
      <w:r>
        <w:t xml:space="preserve"> Combining modifiable risk factors and risk of dementia: A systematic review and meta-analysis. </w:t>
      </w:r>
      <w:r>
        <w:rPr>
          <w:i/>
          <w:iCs/>
        </w:rPr>
        <w:t>BMJ Open</w:t>
      </w:r>
      <w:r>
        <w:t xml:space="preserve"> </w:t>
      </w:r>
      <w:r>
        <w:rPr>
          <w:b/>
          <w:bCs/>
        </w:rPr>
        <w:t>9</w:t>
      </w:r>
      <w:r>
        <w:t>, e022846 (2019).</w:t>
      </w:r>
    </w:p>
    <w:p w14:paraId="607D3485" w14:textId="77777777" w:rsidR="00BE714A" w:rsidRDefault="00BE714A" w:rsidP="00BE714A">
      <w:pPr>
        <w:pStyle w:val="Bibliography"/>
      </w:pPr>
      <w:bookmarkStart w:id="172" w:name="ref-ansteya"/>
      <w:bookmarkEnd w:id="171"/>
      <w:r>
        <w:t xml:space="preserve">25. </w:t>
      </w:r>
      <w:r>
        <w:tab/>
        <w:t xml:space="preserve">Anstey, K. J., Ee, N., Eramudugolla, R., Jagger, C. &amp; Peters, R. A Systematic Review of Meta-Analyses that Evaluate Risk Factors for Dementia to Evaluate the Quantity, Quality, and Global Representativeness of Evidence. </w:t>
      </w:r>
      <w:r>
        <w:rPr>
          <w:i/>
          <w:iCs/>
        </w:rPr>
        <w:t>Journal of Alzheimer’s Disease</w:t>
      </w:r>
      <w:r>
        <w:t xml:space="preserve"> </w:t>
      </w:r>
      <w:r>
        <w:rPr>
          <w:b/>
          <w:bCs/>
        </w:rPr>
        <w:t>70</w:t>
      </w:r>
      <w:r>
        <w:t>, S165–S186</w:t>
      </w:r>
    </w:p>
    <w:p w14:paraId="3E54C28F" w14:textId="77777777" w:rsidR="00BE714A" w:rsidRDefault="00BE714A" w:rsidP="00BE714A">
      <w:pPr>
        <w:pStyle w:val="Bibliography"/>
      </w:pPr>
      <w:bookmarkStart w:id="173" w:name="ref-hughes2020association"/>
      <w:bookmarkEnd w:id="172"/>
      <w:r>
        <w:t xml:space="preserve">26. </w:t>
      </w:r>
      <w:r>
        <w:tab/>
        <w:t xml:space="preserve">Hughes, D. </w:t>
      </w:r>
      <w:r>
        <w:rPr>
          <w:i/>
          <w:iCs/>
        </w:rPr>
        <w:t>et al.</w:t>
      </w:r>
      <w:r>
        <w:t xml:space="preserve"> Association of blood pressure lowering with incident dementia or cognitive impairment: A systematic review and meta-analysis. </w:t>
      </w:r>
      <w:r>
        <w:rPr>
          <w:i/>
          <w:iCs/>
        </w:rPr>
        <w:t>Jama</w:t>
      </w:r>
      <w:r>
        <w:t xml:space="preserve"> </w:t>
      </w:r>
      <w:r>
        <w:rPr>
          <w:b/>
          <w:bCs/>
        </w:rPr>
        <w:t>323</w:t>
      </w:r>
      <w:r>
        <w:t>, 1934–1944 (2020).</w:t>
      </w:r>
    </w:p>
    <w:p w14:paraId="54B8C589" w14:textId="77777777" w:rsidR="00BE714A" w:rsidRDefault="00BE714A" w:rsidP="00BE714A">
      <w:pPr>
        <w:pStyle w:val="Bibliography"/>
      </w:pPr>
      <w:bookmarkStart w:id="174" w:name="ref-norton2014potential"/>
      <w:bookmarkEnd w:id="173"/>
      <w:r>
        <w:t xml:space="preserve">27. </w:t>
      </w:r>
      <w:r>
        <w:tab/>
        <w:t xml:space="preserve">Norton, S., Matthews, F. E., Barnes, D. E., Yaffe, K. &amp; Brayne, C. Potential for primary prevention of Alzheimer’s disease: An analysis of population-based data. </w:t>
      </w:r>
      <w:r>
        <w:rPr>
          <w:i/>
          <w:iCs/>
        </w:rPr>
        <w:t>The Lancet Neurology</w:t>
      </w:r>
      <w:r>
        <w:t xml:space="preserve"> </w:t>
      </w:r>
      <w:r>
        <w:rPr>
          <w:b/>
          <w:bCs/>
        </w:rPr>
        <w:t>13</w:t>
      </w:r>
      <w:r>
        <w:t>, 788–794 (2014).</w:t>
      </w:r>
    </w:p>
    <w:p w14:paraId="4F7EED96" w14:textId="77777777" w:rsidR="00BE714A" w:rsidRDefault="00BE714A" w:rsidP="00BE714A">
      <w:pPr>
        <w:pStyle w:val="Bibliography"/>
      </w:pPr>
      <w:bookmarkStart w:id="175" w:name="ref-pushpakom2019a"/>
      <w:bookmarkEnd w:id="174"/>
      <w:r>
        <w:t xml:space="preserve">28. </w:t>
      </w:r>
      <w:r>
        <w:tab/>
        <w:t xml:space="preserve">Pushpakom, S. </w:t>
      </w:r>
      <w:r>
        <w:rPr>
          <w:i/>
          <w:iCs/>
        </w:rPr>
        <w:t>et al.</w:t>
      </w:r>
      <w:r>
        <w:t xml:space="preserve"> Drug repurposing: Progress, challenges and recommendations. </w:t>
      </w:r>
      <w:r>
        <w:rPr>
          <w:i/>
          <w:iCs/>
        </w:rPr>
        <w:t>Nature Reviews Drug Discovery</w:t>
      </w:r>
      <w:r>
        <w:t xml:space="preserve"> </w:t>
      </w:r>
      <w:r>
        <w:rPr>
          <w:b/>
          <w:bCs/>
        </w:rPr>
        <w:t>18</w:t>
      </w:r>
      <w:r>
        <w:t>, 41–58 (2019).</w:t>
      </w:r>
    </w:p>
    <w:p w14:paraId="536D8502" w14:textId="77777777" w:rsidR="00BE714A" w:rsidRDefault="00BE714A" w:rsidP="00BE714A">
      <w:pPr>
        <w:pStyle w:val="Bibliography"/>
      </w:pPr>
      <w:bookmarkStart w:id="176" w:name="ref-laufs2020"/>
      <w:bookmarkEnd w:id="175"/>
      <w:r>
        <w:t xml:space="preserve">29. </w:t>
      </w:r>
      <w:r>
        <w:tab/>
        <w:t xml:space="preserve">Laufs, U., Parhofer, K. G., Ginsberg, H. N. &amp; Hegele, R. A. Clinical review on triglycerides. </w:t>
      </w:r>
      <w:r>
        <w:rPr>
          <w:i/>
          <w:iCs/>
        </w:rPr>
        <w:t>European Heart Journal</w:t>
      </w:r>
      <w:r>
        <w:t xml:space="preserve"> </w:t>
      </w:r>
      <w:r>
        <w:rPr>
          <w:b/>
          <w:bCs/>
        </w:rPr>
        <w:t>41</w:t>
      </w:r>
      <w:r>
        <w:t>, 99–109c (2020).</w:t>
      </w:r>
    </w:p>
    <w:p w14:paraId="2B947EAF" w14:textId="77777777" w:rsidR="00BE714A" w:rsidRDefault="00BE714A" w:rsidP="00BE714A">
      <w:pPr>
        <w:pStyle w:val="Bibliography"/>
      </w:pPr>
      <w:bookmarkStart w:id="177" w:name="ref-zampelas2019"/>
      <w:bookmarkEnd w:id="176"/>
      <w:r>
        <w:t xml:space="preserve">30. </w:t>
      </w:r>
      <w:r>
        <w:tab/>
        <w:t xml:space="preserve">Zampelas, A. &amp; Magriplis, E. New Insights into Cholesterol Functions: A Friend or an Enemy? </w:t>
      </w:r>
      <w:r>
        <w:rPr>
          <w:i/>
          <w:iCs/>
        </w:rPr>
        <w:t>Nutrients</w:t>
      </w:r>
      <w:r>
        <w:t xml:space="preserve"> </w:t>
      </w:r>
      <w:r>
        <w:rPr>
          <w:b/>
          <w:bCs/>
        </w:rPr>
        <w:t>11</w:t>
      </w:r>
      <w:r>
        <w:t>, (2019).</w:t>
      </w:r>
    </w:p>
    <w:p w14:paraId="7ACCDB0F" w14:textId="77777777" w:rsidR="00BE714A" w:rsidRDefault="00BE714A" w:rsidP="00BE714A">
      <w:pPr>
        <w:pStyle w:val="Bibliography"/>
      </w:pPr>
      <w:bookmarkStart w:id="178" w:name="ref-friedewald1972"/>
      <w:bookmarkEnd w:id="177"/>
      <w:r>
        <w:t xml:space="preserve">31. </w:t>
      </w:r>
      <w:r>
        <w:tab/>
        <w:t xml:space="preserve">Friedewald, W. T., Levy, R. I. &amp; Fredrickson, D. S. Estimation of the Concentration of Low-Density Lipoprotein Cholesterol in Plasma, Without Use of the Preparative Ultracentrifuge. </w:t>
      </w:r>
      <w:r>
        <w:rPr>
          <w:i/>
          <w:iCs/>
        </w:rPr>
        <w:t>Clinical Chemistry</w:t>
      </w:r>
      <w:r>
        <w:t xml:space="preserve"> </w:t>
      </w:r>
      <w:r>
        <w:rPr>
          <w:b/>
          <w:bCs/>
        </w:rPr>
        <w:t>18</w:t>
      </w:r>
      <w:r>
        <w:t>, 499–502 (1972).</w:t>
      </w:r>
    </w:p>
    <w:p w14:paraId="1FFCC656" w14:textId="77777777" w:rsidR="00BE714A" w:rsidRDefault="00BE714A" w:rsidP="00BE714A">
      <w:pPr>
        <w:pStyle w:val="Bibliography"/>
      </w:pPr>
      <w:bookmarkStart w:id="179" w:name="ref-national2002third"/>
      <w:bookmarkEnd w:id="178"/>
      <w:r>
        <w:t xml:space="preserve">32. </w:t>
      </w:r>
      <w:r>
        <w:tab/>
        <w:t xml:space="preserve">Detection, N. C. E. P. (US). E. P. on. </w:t>
      </w:r>
      <w:r>
        <w:rPr>
          <w:i/>
          <w:iCs/>
        </w:rPr>
        <w:t>Third report of the National Cholesterol Education Program (NCEP) Expert Panel on detection, evaluation, and treatment of high blood cholesterol in adults (Adult Treatment Panel III)</w:t>
      </w:r>
      <w:r>
        <w:t>. (The Program, 2002).</w:t>
      </w:r>
    </w:p>
    <w:p w14:paraId="3F519CB2" w14:textId="77777777" w:rsidR="00BE714A" w:rsidRDefault="00BE714A" w:rsidP="00BE714A">
      <w:pPr>
        <w:pStyle w:val="Bibliography"/>
      </w:pPr>
      <w:bookmarkStart w:id="180" w:name="ref-nelson2013"/>
      <w:bookmarkEnd w:id="179"/>
      <w:r>
        <w:t xml:space="preserve">33. </w:t>
      </w:r>
      <w:r>
        <w:tab/>
        <w:t xml:space="preserve">Nelson, R. H. Hyperlipidemia as a Risk Factor for Cardiovascular Disease. </w:t>
      </w:r>
      <w:r>
        <w:rPr>
          <w:i/>
          <w:iCs/>
        </w:rPr>
        <w:t>Primary care</w:t>
      </w:r>
      <w:r>
        <w:t xml:space="preserve"> </w:t>
      </w:r>
      <w:r>
        <w:rPr>
          <w:b/>
          <w:bCs/>
        </w:rPr>
        <w:t>40</w:t>
      </w:r>
      <w:r>
        <w:t>, 195–211 (2013).</w:t>
      </w:r>
    </w:p>
    <w:p w14:paraId="38F52F22" w14:textId="77777777" w:rsidR="00BE714A" w:rsidRDefault="00BE714A" w:rsidP="00BE714A">
      <w:pPr>
        <w:pStyle w:val="Bibliography"/>
      </w:pPr>
      <w:bookmarkStart w:id="181" w:name="ref-libby2019"/>
      <w:bookmarkEnd w:id="180"/>
      <w:r>
        <w:t xml:space="preserve">34. </w:t>
      </w:r>
      <w:r>
        <w:tab/>
        <w:t xml:space="preserve">Libby, P. </w:t>
      </w:r>
      <w:r>
        <w:rPr>
          <w:i/>
          <w:iCs/>
        </w:rPr>
        <w:t>et al.</w:t>
      </w:r>
      <w:r>
        <w:t xml:space="preserve"> Atherosclerosis. </w:t>
      </w:r>
      <w:r>
        <w:rPr>
          <w:i/>
          <w:iCs/>
        </w:rPr>
        <w:t>Nature Reviews Disease Primers</w:t>
      </w:r>
      <w:r>
        <w:t xml:space="preserve"> </w:t>
      </w:r>
      <w:r>
        <w:rPr>
          <w:b/>
          <w:bCs/>
        </w:rPr>
        <w:t>5</w:t>
      </w:r>
      <w:r>
        <w:t>, 1–18 (2019).</w:t>
      </w:r>
    </w:p>
    <w:p w14:paraId="311DF65B" w14:textId="77777777" w:rsidR="00BE714A" w:rsidRDefault="00BE714A" w:rsidP="00BE714A">
      <w:pPr>
        <w:pStyle w:val="Bibliography"/>
      </w:pPr>
      <w:bookmarkStart w:id="182" w:name="ref-collins2016"/>
      <w:bookmarkEnd w:id="181"/>
      <w:r>
        <w:t xml:space="preserve">35. </w:t>
      </w:r>
      <w:r>
        <w:tab/>
        <w:t xml:space="preserve">Collins, R. </w:t>
      </w:r>
      <w:r>
        <w:rPr>
          <w:i/>
          <w:iCs/>
        </w:rPr>
        <w:t>et al.</w:t>
      </w:r>
      <w:r>
        <w:t xml:space="preserve"> Interpretation of the evidence for the efficacy and safety of statin therapy. </w:t>
      </w:r>
      <w:r>
        <w:rPr>
          <w:i/>
          <w:iCs/>
        </w:rPr>
        <w:t>The Lancet</w:t>
      </w:r>
      <w:r>
        <w:t xml:space="preserve"> </w:t>
      </w:r>
      <w:r>
        <w:rPr>
          <w:b/>
          <w:bCs/>
        </w:rPr>
        <w:t>388</w:t>
      </w:r>
      <w:r>
        <w:t>, 2532–2561 (2016).</w:t>
      </w:r>
    </w:p>
    <w:p w14:paraId="6580D414" w14:textId="77777777" w:rsidR="00BE714A" w:rsidRDefault="00BE714A" w:rsidP="00BE714A">
      <w:pPr>
        <w:pStyle w:val="Bibliography"/>
      </w:pPr>
      <w:bookmarkStart w:id="183" w:name="ref-kosoglou2005"/>
      <w:bookmarkEnd w:id="182"/>
      <w:r>
        <w:t xml:space="preserve">36. </w:t>
      </w:r>
      <w:r>
        <w:tab/>
        <w:t xml:space="preserve">Kosoglou, T. </w:t>
      </w:r>
      <w:r>
        <w:rPr>
          <w:i/>
          <w:iCs/>
        </w:rPr>
        <w:t>et al.</w:t>
      </w:r>
      <w:r>
        <w:t xml:space="preserve"> Ezetimibe: A review of its metabolism, pharmacokinetics and drug interactions. </w:t>
      </w:r>
      <w:r>
        <w:rPr>
          <w:i/>
          <w:iCs/>
        </w:rPr>
        <w:t>Clinical Pharmacokinetics</w:t>
      </w:r>
      <w:r>
        <w:t xml:space="preserve"> </w:t>
      </w:r>
      <w:r>
        <w:rPr>
          <w:b/>
          <w:bCs/>
        </w:rPr>
        <w:t>44</w:t>
      </w:r>
      <w:r>
        <w:t>, 467–494 (2005).</w:t>
      </w:r>
    </w:p>
    <w:p w14:paraId="1A54E6FF" w14:textId="77777777" w:rsidR="00BE714A" w:rsidRDefault="00BE714A" w:rsidP="00BE714A">
      <w:pPr>
        <w:pStyle w:val="Bibliography"/>
      </w:pPr>
      <w:bookmarkStart w:id="184" w:name="ref-genest2006"/>
      <w:bookmarkEnd w:id="183"/>
      <w:r>
        <w:lastRenderedPageBreak/>
        <w:t xml:space="preserve">37. </w:t>
      </w:r>
      <w:r>
        <w:tab/>
        <w:t xml:space="preserve">Genest, J. Combination of statin and ezetimibe for the treatment of dyslipidemias and the prevention of coronary artery disease. </w:t>
      </w:r>
      <w:r>
        <w:rPr>
          <w:i/>
          <w:iCs/>
        </w:rPr>
        <w:t>The Canadian Journal of Cardiology</w:t>
      </w:r>
      <w:r>
        <w:t xml:space="preserve"> </w:t>
      </w:r>
      <w:r>
        <w:rPr>
          <w:b/>
          <w:bCs/>
        </w:rPr>
        <w:t>22</w:t>
      </w:r>
      <w:r>
        <w:t>, 863–867 (2006).</w:t>
      </w:r>
    </w:p>
    <w:p w14:paraId="462E9569" w14:textId="77777777" w:rsidR="00BE714A" w:rsidRDefault="00BE714A" w:rsidP="00BE714A">
      <w:pPr>
        <w:pStyle w:val="Bibliography"/>
      </w:pPr>
      <w:bookmarkStart w:id="185" w:name="ref-chaudhary2017"/>
      <w:bookmarkEnd w:id="184"/>
      <w:r>
        <w:t xml:space="preserve">38. </w:t>
      </w:r>
      <w:r>
        <w:tab/>
        <w:t xml:space="preserve">Chaudhary, R., Garg, J., Shah, N. &amp; Sumner, A. PCSK9 inhibitors: A new era of lipid lowering therapy. </w:t>
      </w:r>
      <w:r>
        <w:rPr>
          <w:i/>
          <w:iCs/>
        </w:rPr>
        <w:t>World Journal of Cardiology</w:t>
      </w:r>
      <w:r>
        <w:t xml:space="preserve"> </w:t>
      </w:r>
      <w:r>
        <w:rPr>
          <w:b/>
          <w:bCs/>
        </w:rPr>
        <w:t>9</w:t>
      </w:r>
      <w:r>
        <w:t>, 76–91 (2017).</w:t>
      </w:r>
    </w:p>
    <w:p w14:paraId="0426AFA5" w14:textId="77777777" w:rsidR="00BE714A" w:rsidRDefault="00BE714A" w:rsidP="00BE714A">
      <w:pPr>
        <w:pStyle w:val="Bibliography"/>
      </w:pPr>
      <w:bookmarkStart w:id="186" w:name="ref-mckenney2004new"/>
      <w:bookmarkEnd w:id="185"/>
      <w:r>
        <w:t xml:space="preserve">39. </w:t>
      </w:r>
      <w:r>
        <w:tab/>
        <w:t xml:space="preserve">McKenney, J. New perspectives on the use of niacin in the treatment of lipid disorders. </w:t>
      </w:r>
      <w:r>
        <w:rPr>
          <w:i/>
          <w:iCs/>
        </w:rPr>
        <w:t>Archives of internal medicine</w:t>
      </w:r>
      <w:r>
        <w:t xml:space="preserve"> </w:t>
      </w:r>
      <w:r>
        <w:rPr>
          <w:b/>
          <w:bCs/>
        </w:rPr>
        <w:t>164</w:t>
      </w:r>
      <w:r>
        <w:t>, 697–705 (2004).</w:t>
      </w:r>
    </w:p>
    <w:p w14:paraId="5B2CFFE4" w14:textId="77777777" w:rsidR="00BE714A" w:rsidRDefault="00BE714A" w:rsidP="00BE714A">
      <w:pPr>
        <w:pStyle w:val="Bibliography"/>
      </w:pPr>
      <w:bookmarkStart w:id="187" w:name="ref-skulas-rayannc.2019"/>
      <w:bookmarkEnd w:id="186"/>
      <w:r>
        <w:t xml:space="preserve">40. </w:t>
      </w:r>
      <w:r>
        <w:tab/>
        <w:t xml:space="preserve">Skulas-Ray Ann C. </w:t>
      </w:r>
      <w:r>
        <w:rPr>
          <w:i/>
          <w:iCs/>
        </w:rPr>
        <w:t>et al.</w:t>
      </w:r>
      <w:r>
        <w:t xml:space="preserve"> Omega-3 Fatty Acids for the Management of Hypertriglyceridemia: A Science Advisory From the American Heart Association. </w:t>
      </w:r>
      <w:r>
        <w:rPr>
          <w:i/>
          <w:iCs/>
        </w:rPr>
        <w:t>Circulation</w:t>
      </w:r>
      <w:r>
        <w:t xml:space="preserve"> </w:t>
      </w:r>
      <w:r>
        <w:rPr>
          <w:b/>
          <w:bCs/>
        </w:rPr>
        <w:t>140</w:t>
      </w:r>
      <w:r>
        <w:t>, e673–e691 (2019).</w:t>
      </w:r>
    </w:p>
    <w:p w14:paraId="6861BB72" w14:textId="77777777" w:rsidR="00BE714A" w:rsidRDefault="00BE714A" w:rsidP="00BE714A">
      <w:pPr>
        <w:pStyle w:val="Bibliography"/>
      </w:pPr>
      <w:bookmarkStart w:id="188" w:name="ref-burns2003"/>
      <w:bookmarkEnd w:id="187"/>
      <w:r>
        <w:t xml:space="preserve">41. </w:t>
      </w:r>
      <w:r>
        <w:tab/>
        <w:t xml:space="preserve">Burns, M. P. </w:t>
      </w:r>
      <w:r>
        <w:rPr>
          <w:i/>
          <w:iCs/>
        </w:rPr>
        <w:t>et al.</w:t>
      </w:r>
      <w:r>
        <w:t xml:space="preserve"> Co-localization of cholesterol, apolipoprotein E and fibrillar A</w:t>
      </w:r>
      <m:oMath>
        <m:r>
          <w:rPr>
            <w:rFonts w:ascii="Cambria Math" w:hAnsi="Cambria Math"/>
          </w:rPr>
          <m:t>β</m:t>
        </m:r>
      </m:oMath>
      <w:r>
        <w:t xml:space="preserve"> in amyloid plaques. </w:t>
      </w:r>
      <w:r>
        <w:rPr>
          <w:i/>
          <w:iCs/>
        </w:rPr>
        <w:t>Molecular Brain Research</w:t>
      </w:r>
      <w:r>
        <w:t xml:space="preserve"> </w:t>
      </w:r>
      <w:r>
        <w:rPr>
          <w:b/>
          <w:bCs/>
        </w:rPr>
        <w:t>110</w:t>
      </w:r>
      <w:r>
        <w:t>, 119–125 (2003).</w:t>
      </w:r>
    </w:p>
    <w:p w14:paraId="0860FAA8" w14:textId="77777777" w:rsidR="00BE714A" w:rsidRDefault="00BE714A" w:rsidP="00BE714A">
      <w:pPr>
        <w:pStyle w:val="Bibliography"/>
      </w:pPr>
      <w:bookmarkStart w:id="189" w:name="ref-mizuno1999"/>
      <w:bookmarkEnd w:id="188"/>
      <w:r>
        <w:t xml:space="preserve">42. </w:t>
      </w:r>
      <w:r>
        <w:tab/>
        <w:t xml:space="preserve">Mizuno, T. </w:t>
      </w:r>
      <w:r>
        <w:rPr>
          <w:i/>
          <w:iCs/>
        </w:rPr>
        <w:t>et al.</w:t>
      </w:r>
      <w:r>
        <w:t xml:space="preserve"> Cholesterol-dependent Generation of a Seeding Amyloid </w:t>
      </w:r>
      <m:oMath>
        <m:r>
          <w:rPr>
            <w:rFonts w:ascii="Cambria Math" w:hAnsi="Cambria Math"/>
          </w:rPr>
          <m:t>β</m:t>
        </m:r>
      </m:oMath>
      <w:r>
        <w:t xml:space="preserve">-Protein in Cell Culture *. </w:t>
      </w:r>
      <w:r>
        <w:rPr>
          <w:i/>
          <w:iCs/>
        </w:rPr>
        <w:t>Journal of Biological Chemistry</w:t>
      </w:r>
      <w:r>
        <w:t xml:space="preserve"> </w:t>
      </w:r>
      <w:r>
        <w:rPr>
          <w:b/>
          <w:bCs/>
        </w:rPr>
        <w:t>274</w:t>
      </w:r>
      <w:r>
        <w:t>, 15110–15114 (1999).</w:t>
      </w:r>
    </w:p>
    <w:p w14:paraId="0B7CA446" w14:textId="77777777" w:rsidR="00BE714A" w:rsidRDefault="00BE714A" w:rsidP="00BE714A">
      <w:pPr>
        <w:pStyle w:val="Bibliography"/>
      </w:pPr>
      <w:bookmarkStart w:id="190" w:name="ref-beecham2014"/>
      <w:bookmarkEnd w:id="189"/>
      <w:r>
        <w:t xml:space="preserve">43. </w:t>
      </w:r>
      <w:r>
        <w:tab/>
        <w:t xml:space="preserve">Beecham, G. W. </w:t>
      </w:r>
      <w:r>
        <w:rPr>
          <w:i/>
          <w:iCs/>
        </w:rPr>
        <w:t>et al.</w:t>
      </w:r>
      <w:r>
        <w:t xml:space="preserve"> Genome-Wide Association Meta-analysis of Neuropathologic Features of Alzheimer’s Disease and Related Dementias. </w:t>
      </w:r>
      <w:r>
        <w:rPr>
          <w:i/>
          <w:iCs/>
        </w:rPr>
        <w:t>PLoS Genetics</w:t>
      </w:r>
      <w:r>
        <w:t xml:space="preserve"> </w:t>
      </w:r>
      <w:r>
        <w:rPr>
          <w:b/>
          <w:bCs/>
        </w:rPr>
        <w:t>10</w:t>
      </w:r>
      <w:r>
        <w:t>, (2014).</w:t>
      </w:r>
    </w:p>
    <w:p w14:paraId="47B6CF78" w14:textId="77777777" w:rsidR="00BE714A" w:rsidRDefault="00BE714A" w:rsidP="00BE714A">
      <w:pPr>
        <w:pStyle w:val="Bibliography"/>
      </w:pPr>
      <w:bookmarkStart w:id="191" w:name="ref-harold2009"/>
      <w:bookmarkEnd w:id="190"/>
      <w:r>
        <w:t xml:space="preserve">44. </w:t>
      </w:r>
      <w:r>
        <w:tab/>
        <w:t xml:space="preserve">Harold, D. </w:t>
      </w:r>
      <w:r>
        <w:rPr>
          <w:i/>
          <w:iCs/>
        </w:rPr>
        <w:t>et al.</w:t>
      </w:r>
      <w:r>
        <w:t xml:space="preserve"> Genome-wide association study identifies variants at CLU and PICALM associated with Alzheimer’s disease, and shows evidence for additional susceptibility genes. </w:t>
      </w:r>
      <w:r>
        <w:rPr>
          <w:i/>
          <w:iCs/>
        </w:rPr>
        <w:t>Nature genetics</w:t>
      </w:r>
      <w:r>
        <w:t xml:space="preserve"> </w:t>
      </w:r>
      <w:r>
        <w:rPr>
          <w:b/>
          <w:bCs/>
        </w:rPr>
        <w:t>41</w:t>
      </w:r>
      <w:r>
        <w:t>, 1088–1093 (2009).</w:t>
      </w:r>
    </w:p>
    <w:p w14:paraId="4B4217B8" w14:textId="77777777" w:rsidR="00BE714A" w:rsidRDefault="00BE714A" w:rsidP="00BE714A">
      <w:pPr>
        <w:pStyle w:val="Bibliography"/>
      </w:pPr>
      <w:bookmarkStart w:id="192" w:name="ref-meng2007"/>
      <w:bookmarkEnd w:id="191"/>
      <w:r>
        <w:t xml:space="preserve">45. </w:t>
      </w:r>
      <w:r>
        <w:tab/>
        <w:t xml:space="preserve">Meng, Y. </w:t>
      </w:r>
      <w:r>
        <w:rPr>
          <w:i/>
          <w:iCs/>
        </w:rPr>
        <w:t>et al.</w:t>
      </w:r>
      <w:r>
        <w:t xml:space="preserve"> Association between SORL1 and Alzheimer disease in a genome-wide study. </w:t>
      </w:r>
      <w:r>
        <w:rPr>
          <w:i/>
          <w:iCs/>
        </w:rPr>
        <w:t>Neuroreport</w:t>
      </w:r>
      <w:r>
        <w:t xml:space="preserve"> </w:t>
      </w:r>
      <w:r>
        <w:rPr>
          <w:b/>
          <w:bCs/>
        </w:rPr>
        <w:t>18</w:t>
      </w:r>
      <w:r>
        <w:t>, 1761–1764 (2007).</w:t>
      </w:r>
    </w:p>
    <w:p w14:paraId="4194C19D" w14:textId="77777777" w:rsidR="00BE714A" w:rsidRDefault="00BE714A" w:rsidP="00BE714A">
      <w:pPr>
        <w:pStyle w:val="Bibliography"/>
      </w:pPr>
      <w:bookmarkStart w:id="193" w:name="ref-kivipelto2002"/>
      <w:bookmarkEnd w:id="192"/>
      <w:r>
        <w:t xml:space="preserve">46. </w:t>
      </w:r>
      <w:r>
        <w:tab/>
        <w:t xml:space="preserve">Kivipelto, M. </w:t>
      </w:r>
      <w:r>
        <w:rPr>
          <w:i/>
          <w:iCs/>
        </w:rPr>
        <w:t>et al.</w:t>
      </w:r>
      <w:r>
        <w:t xml:space="preserve"> Apolipoprotein E </w:t>
      </w:r>
      <m:oMath>
        <m:r>
          <w:rPr>
            <w:rFonts w:ascii="Cambria Math" w:hAnsi="Cambria Math"/>
          </w:rPr>
          <m:t>E</m:t>
        </m:r>
      </m:oMath>
      <w:r>
        <w:t xml:space="preserve">4 Allele, Elevated Midlife Total Cholesterol Level, and High Midlife Systolic Blood Pressure Are Independent Risk Factors for Late-Life Alzheimer Disease. </w:t>
      </w:r>
      <w:r>
        <w:rPr>
          <w:i/>
          <w:iCs/>
        </w:rPr>
        <w:t>Annals of Internal Medicine</w:t>
      </w:r>
      <w:r>
        <w:t xml:space="preserve"> </w:t>
      </w:r>
      <w:r>
        <w:rPr>
          <w:b/>
          <w:bCs/>
        </w:rPr>
        <w:t>137</w:t>
      </w:r>
      <w:r>
        <w:t>, 149–155 (2002).</w:t>
      </w:r>
    </w:p>
    <w:p w14:paraId="02D480BA" w14:textId="77777777" w:rsidR="00BE714A" w:rsidRDefault="00BE714A" w:rsidP="00BE714A">
      <w:pPr>
        <w:pStyle w:val="Bibliography"/>
      </w:pPr>
      <w:bookmarkStart w:id="194" w:name="ref-kivipelto2005"/>
      <w:bookmarkEnd w:id="193"/>
      <w:r>
        <w:t xml:space="preserve">47. </w:t>
      </w:r>
      <w:r>
        <w:tab/>
        <w:t xml:space="preserve">Kivipelto, M. </w:t>
      </w:r>
      <w:r>
        <w:rPr>
          <w:i/>
          <w:iCs/>
        </w:rPr>
        <w:t>et al.</w:t>
      </w:r>
      <w:r>
        <w:t xml:space="preserve"> Obesity and vascular risk factors at midlife and the risk of dementia and Alzheimer disease. </w:t>
      </w:r>
      <w:r>
        <w:rPr>
          <w:i/>
          <w:iCs/>
        </w:rPr>
        <w:t>Archives of Neurology</w:t>
      </w:r>
      <w:r>
        <w:t xml:space="preserve"> </w:t>
      </w:r>
      <w:r>
        <w:rPr>
          <w:b/>
          <w:bCs/>
        </w:rPr>
        <w:t>62</w:t>
      </w:r>
      <w:r>
        <w:t>, 1556–1560 (2005).</w:t>
      </w:r>
    </w:p>
    <w:p w14:paraId="2D5B0722" w14:textId="77777777" w:rsidR="00BE714A" w:rsidRDefault="00BE714A" w:rsidP="00BE714A">
      <w:pPr>
        <w:pStyle w:val="Bibliography"/>
      </w:pPr>
      <w:bookmarkStart w:id="195" w:name="ref-schilling2017"/>
      <w:bookmarkEnd w:id="194"/>
      <w:r>
        <w:t xml:space="preserve">48. </w:t>
      </w:r>
      <w:r>
        <w:tab/>
        <w:t xml:space="preserve">Schilling, S. </w:t>
      </w:r>
      <w:r>
        <w:rPr>
          <w:i/>
          <w:iCs/>
        </w:rPr>
        <w:t>et al.</w:t>
      </w:r>
      <w:r>
        <w:t xml:space="preserve"> Differential associations of plasma lipids with incident dementia and dementia subtypes in the 3C Study: A longitudinal, population-based prospective cohort study. </w:t>
      </w:r>
      <w:r>
        <w:rPr>
          <w:i/>
          <w:iCs/>
        </w:rPr>
        <w:t>PLoS medicine</w:t>
      </w:r>
      <w:r>
        <w:t xml:space="preserve"> </w:t>
      </w:r>
      <w:r>
        <w:rPr>
          <w:b/>
          <w:bCs/>
        </w:rPr>
        <w:t>14</w:t>
      </w:r>
      <w:r>
        <w:t>, e1002265 (2017).</w:t>
      </w:r>
    </w:p>
    <w:p w14:paraId="182D7999" w14:textId="77777777" w:rsidR="00BE714A" w:rsidRDefault="00BE714A" w:rsidP="00BE714A">
      <w:pPr>
        <w:pStyle w:val="Bibliography"/>
      </w:pPr>
      <w:bookmarkStart w:id="196" w:name="ref-solomon2009"/>
      <w:bookmarkEnd w:id="195"/>
      <w:r>
        <w:t xml:space="preserve">49. </w:t>
      </w:r>
      <w:r>
        <w:tab/>
        <w:t xml:space="preserve">Solomon, A., Kivipelto, M., Wolozin, B., Zhou, J. &amp; Whitmer, R. A. Midlife Serum Cholesterol and Increased Risk of Alzheimer’s and Vascular Dementia Three Decades Later. </w:t>
      </w:r>
      <w:r>
        <w:rPr>
          <w:i/>
          <w:iCs/>
        </w:rPr>
        <w:t>Dementia and Geriatric Cognitive Disorders</w:t>
      </w:r>
      <w:r>
        <w:t xml:space="preserve"> </w:t>
      </w:r>
      <w:r>
        <w:rPr>
          <w:b/>
          <w:bCs/>
        </w:rPr>
        <w:t>28</w:t>
      </w:r>
      <w:r>
        <w:t>, 75–80 (2009).</w:t>
      </w:r>
    </w:p>
    <w:p w14:paraId="239EAFAF" w14:textId="77777777" w:rsidR="00BE714A" w:rsidRDefault="00BE714A" w:rsidP="00BE714A">
      <w:pPr>
        <w:pStyle w:val="Bibliography"/>
      </w:pPr>
      <w:bookmarkStart w:id="197" w:name="ref-whitmer2005"/>
      <w:bookmarkEnd w:id="196"/>
      <w:r>
        <w:t xml:space="preserve">50. </w:t>
      </w:r>
      <w:r>
        <w:tab/>
        <w:t xml:space="preserve">Whitmer, R. A., Sidney, S., Selby, J., Johnston, S. C. &amp; Yaffe, K. Midlife cardiovascular risk factors and risk of dementia in late life. </w:t>
      </w:r>
      <w:r>
        <w:rPr>
          <w:i/>
          <w:iCs/>
        </w:rPr>
        <w:t>Neurology</w:t>
      </w:r>
      <w:r>
        <w:t xml:space="preserve"> </w:t>
      </w:r>
      <w:r>
        <w:rPr>
          <w:b/>
          <w:bCs/>
        </w:rPr>
        <w:t>64</w:t>
      </w:r>
      <w:r>
        <w:t>, 277–281 (2005).</w:t>
      </w:r>
    </w:p>
    <w:p w14:paraId="19C6A2E5" w14:textId="77777777" w:rsidR="00BE714A" w:rsidRDefault="00BE714A" w:rsidP="00BE714A">
      <w:pPr>
        <w:pStyle w:val="Bibliography"/>
      </w:pPr>
      <w:bookmarkStart w:id="198" w:name="ref-li2005a"/>
      <w:bookmarkEnd w:id="197"/>
      <w:r>
        <w:t xml:space="preserve">51. </w:t>
      </w:r>
      <w:r>
        <w:tab/>
        <w:t xml:space="preserve">Li, G. </w:t>
      </w:r>
      <w:r>
        <w:rPr>
          <w:i/>
          <w:iCs/>
        </w:rPr>
        <w:t>et al.</w:t>
      </w:r>
      <w:r>
        <w:t xml:space="preserve"> Serum cholesterol and risk of Alzheimer disease: A community-based cohort study. </w:t>
      </w:r>
      <w:r>
        <w:rPr>
          <w:i/>
          <w:iCs/>
        </w:rPr>
        <w:t>Neurology</w:t>
      </w:r>
      <w:r>
        <w:t xml:space="preserve"> </w:t>
      </w:r>
      <w:r>
        <w:rPr>
          <w:b/>
          <w:bCs/>
        </w:rPr>
        <w:t>65</w:t>
      </w:r>
      <w:r>
        <w:t>, 1045–1050 (2005).</w:t>
      </w:r>
    </w:p>
    <w:p w14:paraId="7463E841" w14:textId="77777777" w:rsidR="00BE714A" w:rsidRDefault="00BE714A" w:rsidP="00BE714A">
      <w:pPr>
        <w:pStyle w:val="Bibliography"/>
      </w:pPr>
      <w:bookmarkStart w:id="199" w:name="ref-mainous2005"/>
      <w:bookmarkEnd w:id="198"/>
      <w:r>
        <w:lastRenderedPageBreak/>
        <w:t xml:space="preserve">52. </w:t>
      </w:r>
      <w:r>
        <w:tab/>
        <w:t xml:space="preserve">Mainous, A. G., Eschenbach, S. L., Wells, B. J., Everett, C. J. &amp; Gill, J. M. Cholesterol, transferrin saturation, and the development of dementia and Alzheimer’s disease: Results from an 18-year population-based cohort. </w:t>
      </w:r>
      <w:r>
        <w:rPr>
          <w:i/>
          <w:iCs/>
        </w:rPr>
        <w:t>Family Medicine</w:t>
      </w:r>
      <w:r>
        <w:t xml:space="preserve"> </w:t>
      </w:r>
      <w:r>
        <w:rPr>
          <w:b/>
          <w:bCs/>
        </w:rPr>
        <w:t>37</w:t>
      </w:r>
      <w:r>
        <w:t>, 36–42 (2005).</w:t>
      </w:r>
    </w:p>
    <w:p w14:paraId="37D2073D" w14:textId="77777777" w:rsidR="00BE714A" w:rsidRDefault="00BE714A" w:rsidP="00BE714A">
      <w:pPr>
        <w:pStyle w:val="Bibliography"/>
      </w:pPr>
      <w:bookmarkStart w:id="200" w:name="ref-mielke2010"/>
      <w:bookmarkEnd w:id="199"/>
      <w:r>
        <w:t xml:space="preserve">53. </w:t>
      </w:r>
      <w:r>
        <w:tab/>
        <w:t xml:space="preserve">Mielke, M. M. </w:t>
      </w:r>
      <w:r>
        <w:rPr>
          <w:i/>
          <w:iCs/>
        </w:rPr>
        <w:t>et al.</w:t>
      </w:r>
      <w:r>
        <w:t xml:space="preserve"> The 32-year relationship between cholesterol and dementia from midlife to late life. </w:t>
      </w:r>
      <w:r>
        <w:rPr>
          <w:i/>
          <w:iCs/>
        </w:rPr>
        <w:t>Neurology</w:t>
      </w:r>
      <w:r>
        <w:t xml:space="preserve"> </w:t>
      </w:r>
      <w:r>
        <w:rPr>
          <w:b/>
          <w:bCs/>
        </w:rPr>
        <w:t>75</w:t>
      </w:r>
      <w:r>
        <w:t>, 1888–1895 (2010).</w:t>
      </w:r>
    </w:p>
    <w:p w14:paraId="0F6C924B" w14:textId="77777777" w:rsidR="00BE714A" w:rsidRDefault="00BE714A" w:rsidP="00BE714A">
      <w:pPr>
        <w:pStyle w:val="Bibliography"/>
      </w:pPr>
      <w:bookmarkStart w:id="201" w:name="ref-tan2003a"/>
      <w:bookmarkEnd w:id="200"/>
      <w:r>
        <w:t xml:space="preserve">54. </w:t>
      </w:r>
      <w:r>
        <w:tab/>
        <w:t xml:space="preserve">Tan, Z. S. </w:t>
      </w:r>
      <w:r>
        <w:rPr>
          <w:i/>
          <w:iCs/>
        </w:rPr>
        <w:t>et al.</w:t>
      </w:r>
      <w:r>
        <w:t xml:space="preserve"> Plasma Total Cholesterol Level as a Risk Factor for Alzheimer Disease: The Framingham Study. </w:t>
      </w:r>
      <w:r>
        <w:rPr>
          <w:i/>
          <w:iCs/>
        </w:rPr>
        <w:t>Archives of Internal Medicine</w:t>
      </w:r>
      <w:r>
        <w:t xml:space="preserve"> </w:t>
      </w:r>
      <w:r>
        <w:rPr>
          <w:b/>
          <w:bCs/>
        </w:rPr>
        <w:t>163</w:t>
      </w:r>
      <w:r>
        <w:t>, 1053 (2003).</w:t>
      </w:r>
    </w:p>
    <w:p w14:paraId="533506A2" w14:textId="77777777" w:rsidR="00BE714A" w:rsidRDefault="00BE714A" w:rsidP="00BE714A">
      <w:pPr>
        <w:pStyle w:val="Bibliography"/>
      </w:pPr>
      <w:bookmarkStart w:id="202" w:name="ref-mielke2005"/>
      <w:bookmarkEnd w:id="201"/>
      <w:r>
        <w:t xml:space="preserve">55. </w:t>
      </w:r>
      <w:r>
        <w:tab/>
        <w:t xml:space="preserve">Mielke, M. M. </w:t>
      </w:r>
      <w:r>
        <w:rPr>
          <w:i/>
          <w:iCs/>
        </w:rPr>
        <w:t>et al.</w:t>
      </w:r>
      <w:r>
        <w:t xml:space="preserve"> High total cholesterol levels in late life associated with a reduced risk of dementia. </w:t>
      </w:r>
      <w:r>
        <w:rPr>
          <w:i/>
          <w:iCs/>
        </w:rPr>
        <w:t>Neurology</w:t>
      </w:r>
      <w:r>
        <w:t xml:space="preserve"> </w:t>
      </w:r>
      <w:r>
        <w:rPr>
          <w:b/>
          <w:bCs/>
        </w:rPr>
        <w:t>64</w:t>
      </w:r>
      <w:r>
        <w:t>, 1689–1695 (2005).</w:t>
      </w:r>
    </w:p>
    <w:p w14:paraId="344C6851" w14:textId="77777777" w:rsidR="00BE714A" w:rsidRDefault="00BE714A" w:rsidP="00BE714A">
      <w:pPr>
        <w:pStyle w:val="Bibliography"/>
      </w:pPr>
      <w:bookmarkStart w:id="203" w:name="ref-reitz2004a"/>
      <w:bookmarkEnd w:id="202"/>
      <w:r>
        <w:t xml:space="preserve">56. </w:t>
      </w:r>
      <w:r>
        <w:tab/>
        <w:t xml:space="preserve">Reitz, C., Tang, M.-X., Luchsinger, J. &amp; Mayeux, R. Relation of plasma lipids to Alzheimer disease and vascular dementia. </w:t>
      </w:r>
      <w:r>
        <w:rPr>
          <w:i/>
          <w:iCs/>
        </w:rPr>
        <w:t>Archives of Neurology</w:t>
      </w:r>
      <w:r>
        <w:t xml:space="preserve"> </w:t>
      </w:r>
      <w:r>
        <w:rPr>
          <w:b/>
          <w:bCs/>
        </w:rPr>
        <w:t>61</w:t>
      </w:r>
      <w:r>
        <w:t>, 705–714 (2004).</w:t>
      </w:r>
    </w:p>
    <w:p w14:paraId="724AC1BE" w14:textId="77777777" w:rsidR="00BE714A" w:rsidRDefault="00BE714A" w:rsidP="00BE714A">
      <w:pPr>
        <w:pStyle w:val="Bibliography"/>
      </w:pPr>
      <w:bookmarkStart w:id="204" w:name="ref-moroney1999"/>
      <w:bookmarkEnd w:id="203"/>
      <w:r>
        <w:t xml:space="preserve">57. </w:t>
      </w:r>
      <w:r>
        <w:tab/>
        <w:t xml:space="preserve">Moroney, J. T. Low-Density Lipoprotein Cholesterol and the Risk of Dementia With Stroke. </w:t>
      </w:r>
      <w:r>
        <w:rPr>
          <w:i/>
          <w:iCs/>
        </w:rPr>
        <w:t>JAMA</w:t>
      </w:r>
      <w:r>
        <w:t xml:space="preserve"> </w:t>
      </w:r>
      <w:r>
        <w:rPr>
          <w:b/>
          <w:bCs/>
        </w:rPr>
        <w:t>282</w:t>
      </w:r>
      <w:r>
        <w:t>, 254 (1999).</w:t>
      </w:r>
    </w:p>
    <w:p w14:paraId="38F77974" w14:textId="77777777" w:rsidR="00BE714A" w:rsidRDefault="00BE714A" w:rsidP="00BE714A">
      <w:pPr>
        <w:pStyle w:val="Bibliography"/>
      </w:pPr>
      <w:bookmarkStart w:id="205" w:name="ref-anstey"/>
      <w:bookmarkEnd w:id="204"/>
      <w:r>
        <w:t xml:space="preserve">58. </w:t>
      </w:r>
      <w:r>
        <w:tab/>
        <w:t xml:space="preserve">Anstey, K. J., Ashby-Mitchell, K. &amp; Peters, R. Updating the Evidence on the Association between Serum Cholesterol and Risk of Late-Life Dementia: Review and Meta-Analysis. </w:t>
      </w:r>
      <w:r>
        <w:rPr>
          <w:i/>
          <w:iCs/>
        </w:rPr>
        <w:t>Journal of Alzheimer’s Disease</w:t>
      </w:r>
      <w:r>
        <w:t xml:space="preserve"> </w:t>
      </w:r>
      <w:r>
        <w:rPr>
          <w:b/>
          <w:bCs/>
        </w:rPr>
        <w:t>56</w:t>
      </w:r>
      <w:r>
        <w:t>, 215–228</w:t>
      </w:r>
    </w:p>
    <w:p w14:paraId="08FB327B" w14:textId="77777777" w:rsidR="00BE714A" w:rsidRDefault="00BE714A" w:rsidP="00BE714A">
      <w:pPr>
        <w:pStyle w:val="Bibliography"/>
      </w:pPr>
      <w:bookmarkStart w:id="206" w:name="ref-chu2018b"/>
      <w:bookmarkEnd w:id="205"/>
      <w:r>
        <w:t xml:space="preserve">59. </w:t>
      </w:r>
      <w:r>
        <w:tab/>
        <w:t xml:space="preserve">Chu, C.-S. </w:t>
      </w:r>
      <w:r>
        <w:rPr>
          <w:i/>
          <w:iCs/>
        </w:rPr>
        <w:t>et al.</w:t>
      </w:r>
      <w:r>
        <w:t xml:space="preserve"> Use of statins and the risk of dementia and mild cognitive impairment: A systematic review and meta-analysis. </w:t>
      </w:r>
      <w:r>
        <w:rPr>
          <w:i/>
          <w:iCs/>
        </w:rPr>
        <w:t>Scientific Reports</w:t>
      </w:r>
      <w:r>
        <w:t xml:space="preserve"> </w:t>
      </w:r>
      <w:r>
        <w:rPr>
          <w:b/>
          <w:bCs/>
        </w:rPr>
        <w:t>8</w:t>
      </w:r>
      <w:r>
        <w:t>, 5804 (2018).</w:t>
      </w:r>
    </w:p>
    <w:p w14:paraId="27CC5C45" w14:textId="77777777" w:rsidR="00BE714A" w:rsidRDefault="00BE714A" w:rsidP="00BE714A">
      <w:pPr>
        <w:pStyle w:val="Bibliography"/>
      </w:pPr>
      <w:bookmarkStart w:id="207" w:name="ref-poly2020c"/>
      <w:bookmarkEnd w:id="206"/>
      <w:r>
        <w:t xml:space="preserve">60. </w:t>
      </w:r>
      <w:r>
        <w:tab/>
        <w:t xml:space="preserve">Poly, T. N. </w:t>
      </w:r>
      <w:r>
        <w:rPr>
          <w:i/>
          <w:iCs/>
        </w:rPr>
        <w:t>et al.</w:t>
      </w:r>
      <w:r>
        <w:t xml:space="preserve"> Association between Use of Statin and Risk of Dementia: A Meta-Analysis of Observational Studies. </w:t>
      </w:r>
      <w:r>
        <w:rPr>
          <w:i/>
          <w:iCs/>
        </w:rPr>
        <w:t>Neuroepidemiology</w:t>
      </w:r>
      <w:r>
        <w:t xml:space="preserve"> </w:t>
      </w:r>
      <w:r>
        <w:rPr>
          <w:b/>
          <w:bCs/>
        </w:rPr>
        <w:t>54</w:t>
      </w:r>
      <w:r>
        <w:t>, 214–226 (2020).</w:t>
      </w:r>
    </w:p>
    <w:p w14:paraId="65FC96C2" w14:textId="77777777" w:rsidR="00BE714A" w:rsidRDefault="00BE714A" w:rsidP="00BE714A">
      <w:pPr>
        <w:pStyle w:val="Bibliography"/>
      </w:pPr>
      <w:bookmarkStart w:id="208" w:name="ref-ritchie2015"/>
      <w:bookmarkEnd w:id="207"/>
      <w:r>
        <w:t xml:space="preserve">61. </w:t>
      </w:r>
      <w:r>
        <w:tab/>
        <w:t xml:space="preserve">Ritchie, C. W., Terrera, G. M. &amp; Quinn, T. J. Dementia trials and dementia tribulations: Methodological and analytical challenges in dementia research. </w:t>
      </w:r>
      <w:r>
        <w:rPr>
          <w:i/>
          <w:iCs/>
        </w:rPr>
        <w:t>Alzheimer’s Research &amp; Therapy</w:t>
      </w:r>
      <w:r>
        <w:t xml:space="preserve"> </w:t>
      </w:r>
      <w:r>
        <w:rPr>
          <w:b/>
          <w:bCs/>
        </w:rPr>
        <w:t>7</w:t>
      </w:r>
      <w:r>
        <w:t>, 31 (2015).</w:t>
      </w:r>
    </w:p>
    <w:p w14:paraId="26308C8F" w14:textId="77777777" w:rsidR="00BE714A" w:rsidRDefault="00BE714A" w:rsidP="00BE714A">
      <w:pPr>
        <w:pStyle w:val="Bibliography"/>
      </w:pPr>
      <w:bookmarkStart w:id="209" w:name="ref-mcguinness2016a"/>
      <w:bookmarkEnd w:id="208"/>
      <w:r>
        <w:t xml:space="preserve">62. </w:t>
      </w:r>
      <w:r>
        <w:tab/>
        <w:t xml:space="preserve">McGuinness, B., Craig, D., Bullock, R. &amp; Passmore, P. Statins for the prevention of dementia. </w:t>
      </w:r>
      <w:r>
        <w:rPr>
          <w:i/>
          <w:iCs/>
        </w:rPr>
        <w:t>Cochrane Database of Systematic Reviews</w:t>
      </w:r>
      <w:r>
        <w:t xml:space="preserve"> (2016). doi:</w:t>
      </w:r>
      <w:hyperlink r:id="rId23">
        <w:r>
          <w:rPr>
            <w:rStyle w:val="Hyperlink"/>
          </w:rPr>
          <w:t>10.1002/14651858.CD003160.pub3</w:t>
        </w:r>
      </w:hyperlink>
    </w:p>
    <w:p w14:paraId="2F8D1BFF" w14:textId="77777777" w:rsidR="00BE714A" w:rsidRDefault="00BE714A" w:rsidP="00BE714A">
      <w:pPr>
        <w:pStyle w:val="Bibliography"/>
      </w:pPr>
      <w:bookmarkStart w:id="210" w:name="ref-trompet2010"/>
      <w:bookmarkEnd w:id="209"/>
      <w:r>
        <w:t xml:space="preserve">63. </w:t>
      </w:r>
      <w:r>
        <w:tab/>
        <w:t xml:space="preserve">Trompet, S. </w:t>
      </w:r>
      <w:r>
        <w:rPr>
          <w:i/>
          <w:iCs/>
        </w:rPr>
        <w:t>et al.</w:t>
      </w:r>
      <w:r>
        <w:t xml:space="preserve"> Pravastatin and cognitive function in the elderly. Results of the PROSPER study. </w:t>
      </w:r>
      <w:r>
        <w:rPr>
          <w:i/>
          <w:iCs/>
        </w:rPr>
        <w:t>Journal of Neurology</w:t>
      </w:r>
      <w:r>
        <w:t xml:space="preserve"> </w:t>
      </w:r>
      <w:r>
        <w:rPr>
          <w:b/>
          <w:bCs/>
        </w:rPr>
        <w:t>257</w:t>
      </w:r>
      <w:r>
        <w:t>, 85–90 (2010).</w:t>
      </w:r>
    </w:p>
    <w:p w14:paraId="5377DB81" w14:textId="77777777" w:rsidR="00BE714A" w:rsidRDefault="00BE714A" w:rsidP="00BE714A">
      <w:pPr>
        <w:pStyle w:val="Bibliography"/>
      </w:pPr>
      <w:bookmarkStart w:id="211" w:name="ref-2002"/>
      <w:bookmarkEnd w:id="210"/>
      <w:r>
        <w:t xml:space="preserve">64. </w:t>
      </w:r>
      <w:r>
        <w:tab/>
        <w:t xml:space="preserve">MRC/BHF Heart Protection Study of cholesterol lowering with simvastatin in 20 536 high-risk individuals: A randomised placebocontrolled trial. </w:t>
      </w:r>
      <w:r>
        <w:rPr>
          <w:i/>
          <w:iCs/>
        </w:rPr>
        <w:t>The Lancet</w:t>
      </w:r>
      <w:r>
        <w:t xml:space="preserve"> </w:t>
      </w:r>
      <w:r>
        <w:rPr>
          <w:b/>
          <w:bCs/>
        </w:rPr>
        <w:t>360</w:t>
      </w:r>
      <w:r>
        <w:t>, 7–22 (2002).</w:t>
      </w:r>
    </w:p>
    <w:p w14:paraId="382CC3D9" w14:textId="77777777" w:rsidR="00BE714A" w:rsidRDefault="00BE714A" w:rsidP="00BE714A">
      <w:pPr>
        <w:pStyle w:val="Bibliography"/>
      </w:pPr>
      <w:bookmarkStart w:id="212" w:name="ref-mcguinness2016b"/>
      <w:bookmarkEnd w:id="211"/>
      <w:r>
        <w:t xml:space="preserve">65. </w:t>
      </w:r>
      <w:r>
        <w:tab/>
        <w:t xml:space="preserve">McGuinness, B., Craig, D., Bullock, R. &amp; Passmore, P. Statins for the prevention of dementia. </w:t>
      </w:r>
      <w:r>
        <w:rPr>
          <w:i/>
          <w:iCs/>
        </w:rPr>
        <w:t>Cochrane Database of Systematic Reviews</w:t>
      </w:r>
      <w:r>
        <w:t xml:space="preserve"> (2016). doi:</w:t>
      </w:r>
      <w:hyperlink r:id="rId24">
        <w:r>
          <w:rPr>
            <w:rStyle w:val="Hyperlink"/>
          </w:rPr>
          <w:t>10.1002/14651858.CD003160.pub3</w:t>
        </w:r>
      </w:hyperlink>
    </w:p>
    <w:p w14:paraId="28622976" w14:textId="77777777" w:rsidR="00BE714A" w:rsidRDefault="00BE714A" w:rsidP="00BE714A">
      <w:pPr>
        <w:pStyle w:val="Bibliography"/>
      </w:pPr>
      <w:bookmarkStart w:id="213" w:name="ref-daveysmith2014"/>
      <w:bookmarkEnd w:id="212"/>
      <w:r>
        <w:t xml:space="preserve">66. </w:t>
      </w:r>
      <w:r>
        <w:tab/>
        <w:t xml:space="preserve">Davey Smith, G. &amp; Hemani, G. Mendelian randomization: Genetic anchors for causal inference in epidemiological studies. </w:t>
      </w:r>
      <w:r>
        <w:rPr>
          <w:i/>
          <w:iCs/>
        </w:rPr>
        <w:t>Human Molecular Genetics</w:t>
      </w:r>
      <w:r>
        <w:t xml:space="preserve"> </w:t>
      </w:r>
      <w:r>
        <w:rPr>
          <w:b/>
          <w:bCs/>
        </w:rPr>
        <w:t>23</w:t>
      </w:r>
      <w:r>
        <w:t>, R89–R98 (2014).</w:t>
      </w:r>
    </w:p>
    <w:p w14:paraId="58DD4E3C" w14:textId="77777777" w:rsidR="00BE714A" w:rsidRDefault="00BE714A" w:rsidP="00BE714A">
      <w:pPr>
        <w:pStyle w:val="Bibliography"/>
      </w:pPr>
      <w:bookmarkStart w:id="214" w:name="ref-greenland2000"/>
      <w:bookmarkEnd w:id="213"/>
      <w:r>
        <w:lastRenderedPageBreak/>
        <w:t xml:space="preserve">67. </w:t>
      </w:r>
      <w:r>
        <w:tab/>
        <w:t xml:space="preserve">Greenland, S. An introduction to instrumental variables for epidemiologists. </w:t>
      </w:r>
      <w:r>
        <w:rPr>
          <w:i/>
          <w:iCs/>
        </w:rPr>
        <w:t>International Journal of Epidemiology</w:t>
      </w:r>
      <w:r>
        <w:t xml:space="preserve"> </w:t>
      </w:r>
      <w:r>
        <w:rPr>
          <w:b/>
          <w:bCs/>
        </w:rPr>
        <w:t>29</w:t>
      </w:r>
      <w:r>
        <w:t>, 722–729 (2000).</w:t>
      </w:r>
    </w:p>
    <w:p w14:paraId="3D0F40BE" w14:textId="77777777" w:rsidR="00BE714A" w:rsidRDefault="00BE714A" w:rsidP="00BE714A">
      <w:pPr>
        <w:pStyle w:val="Bibliography"/>
      </w:pPr>
      <w:bookmarkStart w:id="215" w:name="ref-davies2018"/>
      <w:bookmarkEnd w:id="214"/>
      <w:r>
        <w:t xml:space="preserve">68. </w:t>
      </w:r>
      <w:r>
        <w:tab/>
        <w:t xml:space="preserve">Davies, N. M., Holmes, M. V. &amp; Smith, G. D. Reading Mendelian randomisation studies: A guide, glossary, and checklist for clinicians. </w:t>
      </w:r>
      <w:r>
        <w:rPr>
          <w:i/>
          <w:iCs/>
        </w:rPr>
        <w:t>BMJ</w:t>
      </w:r>
      <w:r>
        <w:t xml:space="preserve"> </w:t>
      </w:r>
      <w:r>
        <w:rPr>
          <w:b/>
          <w:bCs/>
        </w:rPr>
        <w:t>362</w:t>
      </w:r>
      <w:r>
        <w:t>, k601 (2018).</w:t>
      </w:r>
    </w:p>
    <w:p w14:paraId="0D3396E9" w14:textId="77777777" w:rsidR="00BE714A" w:rsidRDefault="00BE714A" w:rsidP="00BE714A">
      <w:pPr>
        <w:pStyle w:val="Bibliography"/>
      </w:pPr>
      <w:bookmarkStart w:id="216" w:name="ref-larsson2017c"/>
      <w:bookmarkEnd w:id="215"/>
      <w:r>
        <w:t xml:space="preserve">69. </w:t>
      </w:r>
      <w:r>
        <w:tab/>
        <w:t xml:space="preserve">Larsson, S. C. </w:t>
      </w:r>
      <w:r>
        <w:rPr>
          <w:i/>
          <w:iCs/>
        </w:rPr>
        <w:t>et al.</w:t>
      </w:r>
      <w:r>
        <w:t xml:space="preserve"> Modifiable pathways in Alzheimer’s disease: Mendelian randomisation analysis. </w:t>
      </w:r>
      <w:r>
        <w:rPr>
          <w:i/>
          <w:iCs/>
        </w:rPr>
        <w:t>BMJ</w:t>
      </w:r>
      <w:r>
        <w:t xml:space="preserve"> </w:t>
      </w:r>
      <w:r>
        <w:rPr>
          <w:b/>
          <w:bCs/>
        </w:rPr>
        <w:t>359</w:t>
      </w:r>
      <w:r>
        <w:t>, j5375 (2017).</w:t>
      </w:r>
    </w:p>
    <w:p w14:paraId="0F3132FA" w14:textId="77777777" w:rsidR="00BE714A" w:rsidRDefault="00BE714A" w:rsidP="00BE714A">
      <w:pPr>
        <w:pStyle w:val="Bibliography"/>
      </w:pPr>
      <w:bookmarkStart w:id="217" w:name="ref-ostergaard2015"/>
      <w:bookmarkEnd w:id="216"/>
      <w:r>
        <w:t xml:space="preserve">70. </w:t>
      </w:r>
      <w:r>
        <w:tab/>
        <w:t xml:space="preserve">Østergaard, S. D. </w:t>
      </w:r>
      <w:r>
        <w:rPr>
          <w:i/>
          <w:iCs/>
        </w:rPr>
        <w:t>et al.</w:t>
      </w:r>
      <w:r>
        <w:t xml:space="preserve"> Associations between Potentially Modifiable Risk Factors and Alzheimer Disease: A Mendelian Randomization Study. </w:t>
      </w:r>
      <w:r>
        <w:rPr>
          <w:i/>
          <w:iCs/>
        </w:rPr>
        <w:t>PLOS Medicine</w:t>
      </w:r>
      <w:r>
        <w:t xml:space="preserve"> </w:t>
      </w:r>
      <w:r>
        <w:rPr>
          <w:b/>
          <w:bCs/>
        </w:rPr>
        <w:t>12</w:t>
      </w:r>
      <w:r>
        <w:t>, e1001841 (2015).</w:t>
      </w:r>
    </w:p>
    <w:p w14:paraId="6D7D5B7D" w14:textId="77777777" w:rsidR="00BE714A" w:rsidRDefault="00BE714A" w:rsidP="00BE714A">
      <w:pPr>
        <w:pStyle w:val="Bibliography"/>
      </w:pPr>
      <w:bookmarkStart w:id="218" w:name="ref-kim2009"/>
      <w:bookmarkEnd w:id="217"/>
      <w:r>
        <w:t xml:space="preserve">71. </w:t>
      </w:r>
      <w:r>
        <w:tab/>
        <w:t xml:space="preserve">Kim, J., Basak, J. M. &amp; Holtzman, D. M. The Role of Apolipoprotein E in Alzheimer’s Disease. </w:t>
      </w:r>
      <w:r>
        <w:rPr>
          <w:i/>
          <w:iCs/>
        </w:rPr>
        <w:t>Neuron</w:t>
      </w:r>
      <w:r>
        <w:t xml:space="preserve"> </w:t>
      </w:r>
      <w:r>
        <w:rPr>
          <w:b/>
          <w:bCs/>
        </w:rPr>
        <w:t>63</w:t>
      </w:r>
      <w:r>
        <w:t>, 287–303 (2009).</w:t>
      </w:r>
    </w:p>
    <w:p w14:paraId="7D2BACDD" w14:textId="77777777" w:rsidR="00BE714A" w:rsidRDefault="00BE714A" w:rsidP="00BE714A">
      <w:pPr>
        <w:pStyle w:val="Bibliography"/>
      </w:pPr>
      <w:bookmarkStart w:id="219" w:name="ref-benn2017"/>
      <w:bookmarkEnd w:id="218"/>
      <w:r>
        <w:t xml:space="preserve">72. </w:t>
      </w:r>
      <w:r>
        <w:tab/>
        <w:t xml:space="preserve">Benn, M., Nordestgaard, B. G., Frikke-Schmidt, R. &amp; Tybjærg-Hansen, A. Low LDL cholesterol, PCSK9 and HMGCR genetic variation, and risk of Alzheimer’s disease and Parkinson’s disease: Mendelian randomisation study. </w:t>
      </w:r>
      <w:r>
        <w:rPr>
          <w:i/>
          <w:iCs/>
        </w:rPr>
        <w:t>BMJ</w:t>
      </w:r>
      <w:r>
        <w:t xml:space="preserve"> </w:t>
      </w:r>
      <w:r>
        <w:rPr>
          <w:b/>
          <w:bCs/>
        </w:rPr>
        <w:t>357</w:t>
      </w:r>
      <w:r>
        <w:t>, j1648 (2017).</w:t>
      </w:r>
    </w:p>
    <w:p w14:paraId="0F938E34" w14:textId="77777777" w:rsidR="00BE714A" w:rsidRDefault="00BE714A" w:rsidP="00BE714A">
      <w:pPr>
        <w:pStyle w:val="Bibliography"/>
      </w:pPr>
      <w:bookmarkStart w:id="220" w:name="ref-donnelly2018a"/>
      <w:bookmarkEnd w:id="219"/>
      <w:r>
        <w:t xml:space="preserve">73. </w:t>
      </w:r>
      <w:r>
        <w:tab/>
        <w:t xml:space="preserve">Donnelly, C. A. </w:t>
      </w:r>
      <w:r>
        <w:rPr>
          <w:i/>
          <w:iCs/>
        </w:rPr>
        <w:t>et al.</w:t>
      </w:r>
      <w:r>
        <w:t xml:space="preserve"> Four principles to make evidence synthesis more useful for policy. </w:t>
      </w:r>
      <w:r>
        <w:rPr>
          <w:i/>
          <w:iCs/>
        </w:rPr>
        <w:t>Nature</w:t>
      </w:r>
      <w:r>
        <w:t xml:space="preserve"> </w:t>
      </w:r>
      <w:r>
        <w:rPr>
          <w:b/>
          <w:bCs/>
        </w:rPr>
        <w:t>558</w:t>
      </w:r>
      <w:r>
        <w:t>, 361–364 (2018).</w:t>
      </w:r>
    </w:p>
    <w:p w14:paraId="2AC3145E" w14:textId="77777777" w:rsidR="00BE714A" w:rsidRDefault="00BE714A" w:rsidP="00BE714A">
      <w:pPr>
        <w:pStyle w:val="Bibliography"/>
      </w:pPr>
      <w:bookmarkStart w:id="221" w:name="ref-chandler2019chapter"/>
      <w:bookmarkEnd w:id="220"/>
      <w:r>
        <w:t xml:space="preserve">74. </w:t>
      </w:r>
      <w:r>
        <w:tab/>
        <w:t xml:space="preserve">Chandler, J., Higgins, J., Deeks, J., Davenport, C. &amp; Clarke, M. J. Chapter 1: Introduction. in </w:t>
      </w:r>
      <w:r>
        <w:rPr>
          <w:i/>
          <w:iCs/>
        </w:rPr>
        <w:t>Cochrane Handbook for Systematic Reviews of Interventions version 6.2 (updated February 2021)</w:t>
      </w:r>
      <w:r>
        <w:t xml:space="preserve"> </w:t>
      </w:r>
      <w:r>
        <w:rPr>
          <w:b/>
          <w:bCs/>
        </w:rPr>
        <w:t>5</w:t>
      </w:r>
      <w:r>
        <w:t>, (Cochrane, 2020).</w:t>
      </w:r>
    </w:p>
    <w:p w14:paraId="18F12BD3" w14:textId="77777777" w:rsidR="00BE714A" w:rsidRDefault="00BE714A" w:rsidP="00BE714A">
      <w:pPr>
        <w:pStyle w:val="Bibliography"/>
      </w:pPr>
      <w:bookmarkStart w:id="222" w:name="ref-conn2003"/>
      <w:bookmarkEnd w:id="221"/>
      <w:r>
        <w:t xml:space="preserve">75. </w:t>
      </w:r>
      <w:r>
        <w:tab/>
        <w:t xml:space="preserve">Conn, V. S., Valentine, J. C., Cooper, H. M. &amp; Rantz, M. J. Grey literature in meta-analyses. </w:t>
      </w:r>
      <w:r>
        <w:rPr>
          <w:i/>
          <w:iCs/>
        </w:rPr>
        <w:t>Nursing Research</w:t>
      </w:r>
      <w:r>
        <w:t xml:space="preserve"> </w:t>
      </w:r>
      <w:r>
        <w:rPr>
          <w:b/>
          <w:bCs/>
        </w:rPr>
        <w:t>52</w:t>
      </w:r>
      <w:r>
        <w:t>, 256–261 (2003 Jul-Aug).</w:t>
      </w:r>
    </w:p>
    <w:p w14:paraId="772AF0AD" w14:textId="77777777" w:rsidR="00BE714A" w:rsidRDefault="00BE714A" w:rsidP="00BE714A">
      <w:pPr>
        <w:pStyle w:val="Bibliography"/>
      </w:pPr>
      <w:bookmarkStart w:id="223" w:name="ref-mcauley2000"/>
      <w:bookmarkEnd w:id="222"/>
      <w:r>
        <w:t xml:space="preserve">76. </w:t>
      </w:r>
      <w:r>
        <w:tab/>
        <w:t xml:space="preserve">McAuley, L., Pham, B., Tugwell, P. &amp; Moher, D. Does the inclusion of grey literature influence estimates of intervention effectiveness reported in meta-analyses? </w:t>
      </w:r>
      <w:r>
        <w:rPr>
          <w:i/>
          <w:iCs/>
        </w:rPr>
        <w:t>Lancet (London, England)</w:t>
      </w:r>
      <w:r>
        <w:t xml:space="preserve"> </w:t>
      </w:r>
      <w:r>
        <w:rPr>
          <w:b/>
          <w:bCs/>
        </w:rPr>
        <w:t>356</w:t>
      </w:r>
      <w:r>
        <w:t>, 1228–1231 (2000).</w:t>
      </w:r>
    </w:p>
    <w:p w14:paraId="45601170" w14:textId="77777777" w:rsidR="00BE714A" w:rsidRDefault="00BE714A" w:rsidP="00BE714A">
      <w:pPr>
        <w:pStyle w:val="Bibliography"/>
      </w:pPr>
      <w:bookmarkStart w:id="224" w:name="ref-hopewell2007"/>
      <w:bookmarkEnd w:id="223"/>
      <w:r>
        <w:t xml:space="preserve">77. </w:t>
      </w:r>
      <w:r>
        <w:tab/>
        <w:t xml:space="preserve">Hopewell, S., McDonald, S., Clarke, M. &amp; Egger, M. Grey literature in meta-analyses of randomized trials of health care interventions. </w:t>
      </w:r>
      <w:r>
        <w:rPr>
          <w:i/>
          <w:iCs/>
        </w:rPr>
        <w:t>The Cochrane Database of Systematic Reviews</w:t>
      </w:r>
      <w:r>
        <w:t xml:space="preserve"> MR000010 (2007). doi:</w:t>
      </w:r>
      <w:hyperlink r:id="rId25">
        <w:r>
          <w:rPr>
            <w:rStyle w:val="Hyperlink"/>
          </w:rPr>
          <w:t>10.1002/14651858.MR000010.pub3</w:t>
        </w:r>
      </w:hyperlink>
    </w:p>
    <w:p w14:paraId="1189C171" w14:textId="77777777" w:rsidR="00BE714A" w:rsidRDefault="00BE714A" w:rsidP="00BE714A">
      <w:pPr>
        <w:pStyle w:val="Bibliography"/>
      </w:pPr>
      <w:bookmarkStart w:id="225" w:name="ref-lefebvre2019searching"/>
      <w:bookmarkEnd w:id="224"/>
      <w:r>
        <w:t xml:space="preserve">78. </w:t>
      </w:r>
      <w:r>
        <w:tab/>
        <w:t xml:space="preserve">Lefebvre, C. </w:t>
      </w:r>
      <w:r>
        <w:rPr>
          <w:i/>
          <w:iCs/>
        </w:rPr>
        <w:t>et al.</w:t>
      </w:r>
      <w:r>
        <w:t xml:space="preserve"> Chapter 4: Searching for and selecting studies. in </w:t>
      </w:r>
      <w:r>
        <w:rPr>
          <w:i/>
          <w:iCs/>
        </w:rPr>
        <w:t>Cochrane Handbook for Systematic Reviews of Interventions version 6.2 (updated February 2021)</w:t>
      </w:r>
      <w:r>
        <w:t xml:space="preserve"> 67–107 (Cochrane, 2020).</w:t>
      </w:r>
    </w:p>
    <w:p w14:paraId="6CCED807" w14:textId="77777777" w:rsidR="00BE714A" w:rsidRDefault="00BE714A" w:rsidP="00BE714A">
      <w:pPr>
        <w:pStyle w:val="Bibliography"/>
      </w:pPr>
      <w:bookmarkStart w:id="226" w:name="ref-committeeonpublicationethicscope2018"/>
      <w:bookmarkEnd w:id="225"/>
      <w:r>
        <w:t xml:space="preserve">79. </w:t>
      </w:r>
      <w:r>
        <w:tab/>
        <w:t xml:space="preserve">Committee on Publication Ethics (COPE). </w:t>
      </w:r>
      <w:r>
        <w:rPr>
          <w:i/>
          <w:iCs/>
        </w:rPr>
        <w:t>Discussion Document: Preprints</w:t>
      </w:r>
      <w:r>
        <w:t>. (2018).</w:t>
      </w:r>
    </w:p>
    <w:p w14:paraId="5642656D" w14:textId="77777777" w:rsidR="00BE714A" w:rsidRDefault="00BE714A" w:rsidP="00BE714A">
      <w:pPr>
        <w:pStyle w:val="Bibliography"/>
      </w:pPr>
      <w:bookmarkStart w:id="227" w:name="ref-vale2016"/>
      <w:bookmarkEnd w:id="226"/>
      <w:r>
        <w:t xml:space="preserve">80. </w:t>
      </w:r>
      <w:r>
        <w:tab/>
        <w:t xml:space="preserve">Vale, R. D. &amp; Hyman, A. A. Priority of discovery in the life sciences. </w:t>
      </w:r>
      <w:r>
        <w:rPr>
          <w:i/>
          <w:iCs/>
        </w:rPr>
        <w:t>eLife</w:t>
      </w:r>
      <w:r>
        <w:t xml:space="preserve"> </w:t>
      </w:r>
      <w:r>
        <w:rPr>
          <w:b/>
          <w:bCs/>
        </w:rPr>
        <w:t>5</w:t>
      </w:r>
      <w:r>
        <w:t>, e16931 (2016).</w:t>
      </w:r>
    </w:p>
    <w:p w14:paraId="4C39DB31" w14:textId="77777777" w:rsidR="00BE714A" w:rsidRDefault="00BE714A" w:rsidP="00BE714A">
      <w:pPr>
        <w:pStyle w:val="Bibliography"/>
      </w:pPr>
      <w:bookmarkStart w:id="228" w:name="ref-fraser2020a"/>
      <w:bookmarkEnd w:id="227"/>
      <w:r>
        <w:t xml:space="preserve">81. </w:t>
      </w:r>
      <w:r>
        <w:tab/>
        <w:t xml:space="preserve">Fraser, N. </w:t>
      </w:r>
      <w:r>
        <w:rPr>
          <w:i/>
          <w:iCs/>
        </w:rPr>
        <w:t>et al.</w:t>
      </w:r>
      <w:r>
        <w:t xml:space="preserve"> Preprinting a pandemic: The role of preprints in the COVID-19 pandemic. </w:t>
      </w:r>
      <w:r>
        <w:rPr>
          <w:i/>
          <w:iCs/>
        </w:rPr>
        <w:t>bioRxiv</w:t>
      </w:r>
      <w:r>
        <w:t xml:space="preserve"> 2020.05.22.111294 (2020). doi:</w:t>
      </w:r>
      <w:hyperlink r:id="rId26">
        <w:r>
          <w:rPr>
            <w:rStyle w:val="Hyperlink"/>
          </w:rPr>
          <w:t>10.1101/2020.05.22.111294</w:t>
        </w:r>
      </w:hyperlink>
    </w:p>
    <w:p w14:paraId="629AC369" w14:textId="77777777" w:rsidR="00BE714A" w:rsidRDefault="00BE714A" w:rsidP="00BE714A">
      <w:pPr>
        <w:pStyle w:val="Bibliography"/>
      </w:pPr>
      <w:bookmarkStart w:id="229" w:name="ref-rosenthal1979"/>
      <w:bookmarkEnd w:id="228"/>
      <w:r>
        <w:lastRenderedPageBreak/>
        <w:t xml:space="preserve">82. </w:t>
      </w:r>
      <w:r>
        <w:tab/>
        <w:t xml:space="preserve">Rosenthal, R. The file drawer problem and tolerance for null results. </w:t>
      </w:r>
      <w:r>
        <w:rPr>
          <w:i/>
          <w:iCs/>
        </w:rPr>
        <w:t>Psychological Bulletin</w:t>
      </w:r>
      <w:r>
        <w:t xml:space="preserve"> </w:t>
      </w:r>
      <w:r>
        <w:rPr>
          <w:b/>
          <w:bCs/>
        </w:rPr>
        <w:t>86</w:t>
      </w:r>
      <w:r>
        <w:t>, 638–641 (1979).</w:t>
      </w:r>
    </w:p>
    <w:p w14:paraId="66478077" w14:textId="77777777" w:rsidR="00BE714A" w:rsidRDefault="00BE714A" w:rsidP="00BE714A">
      <w:pPr>
        <w:pStyle w:val="Bibliography"/>
      </w:pPr>
      <w:bookmarkStart w:id="230" w:name="ref-maslove2018"/>
      <w:bookmarkEnd w:id="229"/>
      <w:r>
        <w:t xml:space="preserve">83. </w:t>
      </w:r>
      <w:r>
        <w:tab/>
        <w:t xml:space="preserve">Maslove, D. M. Medical PreprintsA Debate Worth Having. </w:t>
      </w:r>
      <w:r>
        <w:rPr>
          <w:i/>
          <w:iCs/>
        </w:rPr>
        <w:t>JAMA</w:t>
      </w:r>
      <w:r>
        <w:t xml:space="preserve"> </w:t>
      </w:r>
      <w:r>
        <w:rPr>
          <w:b/>
          <w:bCs/>
        </w:rPr>
        <w:t>319</w:t>
      </w:r>
      <w:r>
        <w:t>, 443–444 (2018).</w:t>
      </w:r>
    </w:p>
    <w:p w14:paraId="60182F98" w14:textId="77777777" w:rsidR="00BE714A" w:rsidRDefault="00BE714A" w:rsidP="00BE714A">
      <w:pPr>
        <w:pStyle w:val="Bibliography"/>
      </w:pPr>
      <w:bookmarkStart w:id="231" w:name="ref-schalkwyk2020"/>
      <w:bookmarkEnd w:id="230"/>
      <w:r>
        <w:t xml:space="preserve">84. </w:t>
      </w:r>
      <w:r>
        <w:tab/>
        <w:t xml:space="preserve">Schalkwyk, M. C. I. van, Hird, T. R., Maani, N., Petticrew, M. &amp; Gilmore, A. B. The perils of preprints. </w:t>
      </w:r>
      <w:r>
        <w:rPr>
          <w:i/>
          <w:iCs/>
        </w:rPr>
        <w:t>BMJ</w:t>
      </w:r>
      <w:r>
        <w:t xml:space="preserve"> </w:t>
      </w:r>
      <w:r>
        <w:rPr>
          <w:b/>
          <w:bCs/>
        </w:rPr>
        <w:t>370</w:t>
      </w:r>
      <w:r>
        <w:t>, m3111 (2020).</w:t>
      </w:r>
    </w:p>
    <w:p w14:paraId="1AE6B64F" w14:textId="77777777" w:rsidR="00BE714A" w:rsidRDefault="00BE714A" w:rsidP="00BE714A">
      <w:pPr>
        <w:pStyle w:val="Bibliography"/>
      </w:pPr>
      <w:bookmarkStart w:id="232" w:name="ref-mahood2014"/>
      <w:bookmarkEnd w:id="231"/>
      <w:r>
        <w:t xml:space="preserve">85. </w:t>
      </w:r>
      <w:r>
        <w:tab/>
        <w:t xml:space="preserve">Mahood, Q., Eerd, D. V. &amp; Irvin, E. Searching for grey literature for systematic reviews: Challenges and benefits. </w:t>
      </w:r>
      <w:r>
        <w:rPr>
          <w:i/>
          <w:iCs/>
        </w:rPr>
        <w:t>Research Synthesis Methods</w:t>
      </w:r>
      <w:r>
        <w:t xml:space="preserve"> </w:t>
      </w:r>
      <w:r>
        <w:rPr>
          <w:b/>
          <w:bCs/>
        </w:rPr>
        <w:t>5</w:t>
      </w:r>
      <w:r>
        <w:t>, 221–234 (2014).</w:t>
      </w:r>
    </w:p>
    <w:p w14:paraId="1FECB13E" w14:textId="77777777" w:rsidR="00BE714A" w:rsidRDefault="00BE714A" w:rsidP="00BE714A">
      <w:pPr>
        <w:pStyle w:val="Bibliography"/>
      </w:pPr>
      <w:bookmarkStart w:id="233" w:name="ref-shi2021a"/>
      <w:bookmarkEnd w:id="232"/>
      <w:r>
        <w:t xml:space="preserve">86. </w:t>
      </w:r>
      <w:r>
        <w:tab/>
        <w:t xml:space="preserve">Shi, X. </w:t>
      </w:r>
      <w:r>
        <w:rPr>
          <w:i/>
          <w:iCs/>
        </w:rPr>
        <w:t>et al.</w:t>
      </w:r>
      <w:r>
        <w:t xml:space="preserve"> Assessment of Concordance and Discordance Among Clinical Studies Posted as Preprints and Subsequently Published in High-Impact Journals. </w:t>
      </w:r>
      <w:r>
        <w:rPr>
          <w:i/>
          <w:iCs/>
        </w:rPr>
        <w:t>JAMA Network Open</w:t>
      </w:r>
      <w:r>
        <w:t xml:space="preserve"> </w:t>
      </w:r>
      <w:r>
        <w:rPr>
          <w:b/>
          <w:bCs/>
        </w:rPr>
        <w:t>4</w:t>
      </w:r>
      <w:r>
        <w:t>, e212110 (2021).</w:t>
      </w:r>
    </w:p>
    <w:p w14:paraId="5658685F" w14:textId="77777777" w:rsidR="00BE714A" w:rsidRDefault="00BE714A" w:rsidP="00BE714A">
      <w:pPr>
        <w:pStyle w:val="Bibliography"/>
      </w:pPr>
      <w:bookmarkStart w:id="234" w:name="ref-klein2019"/>
      <w:bookmarkEnd w:id="233"/>
      <w:r>
        <w:t xml:space="preserve">87. </w:t>
      </w:r>
      <w:r>
        <w:tab/>
        <w:t xml:space="preserve">Klein, M., Broadwell, P., Farb, S. E. &amp; Grappone, T. Comparing published scientific journal articles to their pre-print versions. </w:t>
      </w:r>
      <w:r>
        <w:rPr>
          <w:i/>
          <w:iCs/>
        </w:rPr>
        <w:t>International Journal on Digital Libraries</w:t>
      </w:r>
      <w:r>
        <w:t xml:space="preserve"> </w:t>
      </w:r>
      <w:r>
        <w:rPr>
          <w:b/>
          <w:bCs/>
        </w:rPr>
        <w:t>20</w:t>
      </w:r>
      <w:r>
        <w:t>, 335–350 (2019).</w:t>
      </w:r>
    </w:p>
    <w:p w14:paraId="18A8DDFB" w14:textId="77777777" w:rsidR="00BE714A" w:rsidRDefault="00BE714A" w:rsidP="00BE714A">
      <w:pPr>
        <w:pStyle w:val="Bibliography"/>
      </w:pPr>
      <w:bookmarkStart w:id="235" w:name="ref-nicholson2021"/>
      <w:bookmarkEnd w:id="234"/>
      <w:r>
        <w:t xml:space="preserve">88. </w:t>
      </w:r>
      <w:r>
        <w:tab/>
        <w:t xml:space="preserve">Nicholson, D. N. </w:t>
      </w:r>
      <w:r>
        <w:rPr>
          <w:i/>
          <w:iCs/>
        </w:rPr>
        <w:t>et al.</w:t>
      </w:r>
      <w:r>
        <w:t xml:space="preserve"> Linguistic Analysis of the bioRxiv Preprint Landscape. </w:t>
      </w:r>
      <w:r>
        <w:rPr>
          <w:i/>
          <w:iCs/>
        </w:rPr>
        <w:t>bioRxiv</w:t>
      </w:r>
      <w:r>
        <w:t xml:space="preserve"> 2021.03.04.433874 (2021). doi:</w:t>
      </w:r>
      <w:hyperlink r:id="rId27">
        <w:r>
          <w:rPr>
            <w:rStyle w:val="Hyperlink"/>
          </w:rPr>
          <w:t>10.1101/2021.03.04.433874</w:t>
        </w:r>
      </w:hyperlink>
    </w:p>
    <w:p w14:paraId="21589504" w14:textId="77777777" w:rsidR="00BE714A" w:rsidRDefault="00BE714A" w:rsidP="00BE714A">
      <w:pPr>
        <w:pStyle w:val="Bibliography"/>
      </w:pPr>
      <w:bookmarkStart w:id="236" w:name="ref-lawlor2016a"/>
      <w:bookmarkEnd w:id="235"/>
      <w:r>
        <w:t xml:space="preserve">89. </w:t>
      </w:r>
      <w:r>
        <w:tab/>
        <w:t xml:space="preserve">Lawlor, D. A., Tilling, K. &amp; Davey Smith, G. Triangulation in aetiological epidemiology. </w:t>
      </w:r>
      <w:r>
        <w:rPr>
          <w:i/>
          <w:iCs/>
        </w:rPr>
        <w:t>International Journal of Epidemiology</w:t>
      </w:r>
      <w:r>
        <w:t xml:space="preserve"> </w:t>
      </w:r>
      <w:r>
        <w:rPr>
          <w:b/>
          <w:bCs/>
        </w:rPr>
        <w:t>45</w:t>
      </w:r>
      <w:r>
        <w:t>, 1866–1886 (2016).</w:t>
      </w:r>
    </w:p>
    <w:p w14:paraId="5E598215" w14:textId="77777777" w:rsidR="00BE714A" w:rsidRDefault="00BE714A" w:rsidP="00BE714A">
      <w:pPr>
        <w:pStyle w:val="Bibliography"/>
      </w:pPr>
      <w:bookmarkStart w:id="237" w:name="ref-Pagen71"/>
      <w:bookmarkEnd w:id="236"/>
      <w:r>
        <w:t xml:space="preserve">90. </w:t>
      </w:r>
      <w:r>
        <w:tab/>
        <w:t xml:space="preserve">Page, M. J. </w:t>
      </w:r>
      <w:r>
        <w:rPr>
          <w:i/>
          <w:iCs/>
        </w:rPr>
        <w:t>et al.</w:t>
      </w:r>
      <w:r>
        <w:t xml:space="preserve"> The PRISMA 2020 statement: An updated guideline for reporting systematic reviews. </w:t>
      </w:r>
      <w:r>
        <w:rPr>
          <w:i/>
          <w:iCs/>
        </w:rPr>
        <w:t>BMJ (Clinical Research Ed.)</w:t>
      </w:r>
      <w:r>
        <w:t xml:space="preserve"> </w:t>
      </w:r>
      <w:r>
        <w:rPr>
          <w:b/>
          <w:bCs/>
        </w:rPr>
        <w:t>372</w:t>
      </w:r>
      <w:r>
        <w:t>, (2021).</w:t>
      </w:r>
    </w:p>
    <w:p w14:paraId="2AE05259" w14:textId="77777777" w:rsidR="00BE714A" w:rsidRDefault="00BE714A" w:rsidP="00BE714A">
      <w:pPr>
        <w:pStyle w:val="Bibliography"/>
      </w:pPr>
      <w:bookmarkStart w:id="238" w:name="ref-sterne2019a"/>
      <w:bookmarkEnd w:id="237"/>
      <w:r>
        <w:t xml:space="preserve">91. </w:t>
      </w:r>
      <w:r>
        <w:tab/>
        <w:t xml:space="preserve">Sterne, J. A. C. </w:t>
      </w:r>
      <w:r>
        <w:rPr>
          <w:i/>
          <w:iCs/>
        </w:rPr>
        <w:t>et al.</w:t>
      </w:r>
      <w:r>
        <w:t xml:space="preserve"> RoB 2: A revised tool for assessing risk of bias in randomised trials. </w:t>
      </w:r>
      <w:r>
        <w:rPr>
          <w:i/>
          <w:iCs/>
        </w:rPr>
        <w:t>BMJ</w:t>
      </w:r>
      <w:r>
        <w:t xml:space="preserve"> </w:t>
      </w:r>
      <w:r>
        <w:rPr>
          <w:b/>
          <w:bCs/>
        </w:rPr>
        <w:t>366</w:t>
      </w:r>
      <w:r>
        <w:t>, l4898 (2019).</w:t>
      </w:r>
    </w:p>
    <w:p w14:paraId="7AC3D753" w14:textId="77777777" w:rsidR="00BE714A" w:rsidRDefault="00BE714A" w:rsidP="00BE714A">
      <w:pPr>
        <w:pStyle w:val="Bibliography"/>
      </w:pPr>
      <w:bookmarkStart w:id="239" w:name="ref-mcguinness2018"/>
      <w:bookmarkEnd w:id="238"/>
      <w:r>
        <w:t xml:space="preserve">92. </w:t>
      </w:r>
      <w:r>
        <w:tab/>
        <w:t xml:space="preserve">McGuinness, L. A., Higgins, J. P. T. &amp; Sterne, J. A. C. Assessing the Credibility of Findings From Nonrandomized Studies of Interventions. </w:t>
      </w:r>
      <w:r>
        <w:rPr>
          <w:i/>
          <w:iCs/>
        </w:rPr>
        <w:t>JAMA Cardiology</w:t>
      </w:r>
      <w:r>
        <w:t xml:space="preserve"> </w:t>
      </w:r>
      <w:r>
        <w:rPr>
          <w:b/>
          <w:bCs/>
        </w:rPr>
        <w:t>3</w:t>
      </w:r>
      <w:r>
        <w:t>, 905–906 (2018).</w:t>
      </w:r>
    </w:p>
    <w:p w14:paraId="462897CB" w14:textId="77777777" w:rsidR="00BE714A" w:rsidRDefault="00BE714A" w:rsidP="00BE714A">
      <w:pPr>
        <w:pStyle w:val="Bibliography"/>
      </w:pPr>
      <w:bookmarkStart w:id="240" w:name="ref-riley2010"/>
      <w:bookmarkEnd w:id="239"/>
      <w:r>
        <w:t xml:space="preserve">93. </w:t>
      </w:r>
      <w:r>
        <w:tab/>
        <w:t xml:space="preserve">Riley, R. D., Lambert, P. C. &amp; Abo-Zaid, G. Meta-analysis of individual participant data: Rationale, conduct, and reporting. </w:t>
      </w:r>
      <w:r>
        <w:rPr>
          <w:i/>
          <w:iCs/>
        </w:rPr>
        <w:t>BMJ</w:t>
      </w:r>
      <w:r>
        <w:t xml:space="preserve"> </w:t>
      </w:r>
      <w:r>
        <w:rPr>
          <w:b/>
          <w:bCs/>
        </w:rPr>
        <w:t>340</w:t>
      </w:r>
      <w:r>
        <w:t>, c221 (2010).</w:t>
      </w:r>
    </w:p>
    <w:p w14:paraId="1E541E57" w14:textId="77777777" w:rsidR="00BE714A" w:rsidRDefault="00BE714A" w:rsidP="00BE714A">
      <w:pPr>
        <w:pStyle w:val="Bibliography"/>
      </w:pPr>
      <w:bookmarkStart w:id="241" w:name="ref-stewart1993"/>
      <w:bookmarkEnd w:id="240"/>
      <w:r>
        <w:t xml:space="preserve">94. </w:t>
      </w:r>
      <w:r>
        <w:tab/>
        <w:t xml:space="preserve">Stewart, L. A. &amp; Parmar, M. K. B. Meta-analysis of the literature or of individual patient data: Is there a difference? </w:t>
      </w:r>
      <w:r>
        <w:rPr>
          <w:i/>
          <w:iCs/>
        </w:rPr>
        <w:t>The Lancet</w:t>
      </w:r>
      <w:r>
        <w:t xml:space="preserve"> </w:t>
      </w:r>
      <w:r>
        <w:rPr>
          <w:b/>
          <w:bCs/>
        </w:rPr>
        <w:t>341</w:t>
      </w:r>
      <w:r>
        <w:t>, 418–422 (1993).</w:t>
      </w:r>
    </w:p>
    <w:p w14:paraId="1C1CB00C" w14:textId="77777777" w:rsidR="00BE714A" w:rsidRDefault="00BE714A" w:rsidP="00BE714A">
      <w:pPr>
        <w:pStyle w:val="Bibliography"/>
      </w:pPr>
      <w:bookmarkStart w:id="242" w:name="ref-arain2009"/>
      <w:bookmarkEnd w:id="241"/>
      <w:r>
        <w:t xml:space="preserve">95. </w:t>
      </w:r>
      <w:r>
        <w:tab/>
        <w:t xml:space="preserve">Arain, F. A., Kuniyoshi, F. H., Abdalrhim, A. D. &amp; Miller, V. M. Sex/gender medicine. The biological basis for personalized care in cardiovascular medicine. </w:t>
      </w:r>
      <w:r>
        <w:rPr>
          <w:i/>
          <w:iCs/>
        </w:rPr>
        <w:t>Circulation Journal: Official Journal of the Japanese Circulation Society</w:t>
      </w:r>
      <w:r>
        <w:t xml:space="preserve"> </w:t>
      </w:r>
      <w:r>
        <w:rPr>
          <w:b/>
          <w:bCs/>
        </w:rPr>
        <w:t>73</w:t>
      </w:r>
      <w:r>
        <w:t>, 1774–1782 (2009).</w:t>
      </w:r>
    </w:p>
    <w:p w14:paraId="139A77EE" w14:textId="77777777" w:rsidR="00BE714A" w:rsidRDefault="00BE714A" w:rsidP="00BE714A">
      <w:pPr>
        <w:pStyle w:val="Bibliography"/>
      </w:pPr>
      <w:bookmarkStart w:id="243" w:name="ref-clayton2018"/>
      <w:bookmarkEnd w:id="242"/>
      <w:r>
        <w:t xml:space="preserve">96. </w:t>
      </w:r>
      <w:r>
        <w:tab/>
        <w:t xml:space="preserve">Clayton, J. A. Applying the new SABV (sex as a biological variable) policy to research and clinical care. </w:t>
      </w:r>
      <w:r>
        <w:rPr>
          <w:i/>
          <w:iCs/>
        </w:rPr>
        <w:t>Physiology &amp; Behavior</w:t>
      </w:r>
      <w:r>
        <w:t xml:space="preserve"> </w:t>
      </w:r>
      <w:r>
        <w:rPr>
          <w:b/>
          <w:bCs/>
        </w:rPr>
        <w:t>187</w:t>
      </w:r>
      <w:r>
        <w:t>, 2–5 (2018).</w:t>
      </w:r>
    </w:p>
    <w:p w14:paraId="27F7A873" w14:textId="77777777" w:rsidR="00BE714A" w:rsidRDefault="00BE714A" w:rsidP="00BE714A">
      <w:pPr>
        <w:pStyle w:val="Bibliography"/>
      </w:pPr>
      <w:bookmarkStart w:id="244" w:name="ref-mccartney2016"/>
      <w:bookmarkEnd w:id="243"/>
      <w:r>
        <w:lastRenderedPageBreak/>
        <w:t xml:space="preserve">97. </w:t>
      </w:r>
      <w:r>
        <w:tab/>
        <w:t xml:space="preserve">McCartney, M., Treadwell, J., Maskrey, N. &amp; Lehman, R. Making evidence based medicine work for individual patients. </w:t>
      </w:r>
      <w:r>
        <w:rPr>
          <w:i/>
          <w:iCs/>
        </w:rPr>
        <w:t>BMJ</w:t>
      </w:r>
      <w:r>
        <w:t xml:space="preserve"> </w:t>
      </w:r>
      <w:r>
        <w:rPr>
          <w:b/>
          <w:bCs/>
        </w:rPr>
        <w:t>353</w:t>
      </w:r>
      <w:r>
        <w:t>, i2452 (2016).</w:t>
      </w:r>
    </w:p>
    <w:p w14:paraId="63060616" w14:textId="77777777" w:rsidR="00BE714A" w:rsidRDefault="00BE714A" w:rsidP="00BE714A">
      <w:pPr>
        <w:pStyle w:val="Bibliography"/>
      </w:pPr>
      <w:bookmarkStart w:id="245" w:name="ref-letenneur1999"/>
      <w:bookmarkEnd w:id="244"/>
      <w:r>
        <w:t xml:space="preserve">98. </w:t>
      </w:r>
      <w:r>
        <w:tab/>
        <w:t xml:space="preserve">Letenneur, L. </w:t>
      </w:r>
      <w:r>
        <w:rPr>
          <w:i/>
          <w:iCs/>
        </w:rPr>
        <w:t>et al.</w:t>
      </w:r>
      <w:r>
        <w:t xml:space="preserve"> Are sex and educational level independent predictors of dementia and Alzheimer’s disease? Incidence data from the PAQUID project. </w:t>
      </w:r>
      <w:r>
        <w:rPr>
          <w:i/>
          <w:iCs/>
        </w:rPr>
        <w:t>Journal of Neurology, Neurosurgery &amp; Psychiatry</w:t>
      </w:r>
      <w:r>
        <w:t xml:space="preserve"> </w:t>
      </w:r>
      <w:r>
        <w:rPr>
          <w:b/>
          <w:bCs/>
        </w:rPr>
        <w:t>66</w:t>
      </w:r>
      <w:r>
        <w:t>, 177–183 (1999).</w:t>
      </w:r>
    </w:p>
    <w:p w14:paraId="792470AD" w14:textId="77777777" w:rsidR="00BE714A" w:rsidRDefault="00BE714A" w:rsidP="00BE714A">
      <w:pPr>
        <w:pStyle w:val="Bibliography"/>
      </w:pPr>
      <w:bookmarkStart w:id="246" w:name="ref-riley2020"/>
      <w:bookmarkEnd w:id="245"/>
      <w:r>
        <w:t xml:space="preserve">99. </w:t>
      </w:r>
      <w:r>
        <w:tab/>
        <w:t xml:space="preserve">Riley, R. D. </w:t>
      </w:r>
      <w:r>
        <w:rPr>
          <w:i/>
          <w:iCs/>
        </w:rPr>
        <w:t>et al.</w:t>
      </w:r>
      <w:r>
        <w:t xml:space="preserve"> Individual participant data meta-analysis to examine interactions between treatment effect and participant-level covariates: Statistical recommendations for conduct and planning. </w:t>
      </w:r>
      <w:r>
        <w:rPr>
          <w:i/>
          <w:iCs/>
        </w:rPr>
        <w:t>Statistics in Medicine</w:t>
      </w:r>
      <w:r>
        <w:t xml:space="preserve"> </w:t>
      </w:r>
      <w:r>
        <w:rPr>
          <w:b/>
          <w:bCs/>
        </w:rPr>
        <w:t>39</w:t>
      </w:r>
      <w:r>
        <w:t>, 2115–2137 (2020).</w:t>
      </w:r>
    </w:p>
    <w:p w14:paraId="06039244" w14:textId="77777777" w:rsidR="00BE714A" w:rsidRDefault="00BE714A" w:rsidP="00BE714A">
      <w:pPr>
        <w:pStyle w:val="Bibliography"/>
      </w:pPr>
      <w:bookmarkStart w:id="247" w:name="ref-stewart2002"/>
      <w:bookmarkEnd w:id="246"/>
      <w:r>
        <w:t xml:space="preserve">100. </w:t>
      </w:r>
      <w:r>
        <w:tab/>
        <w:t xml:space="preserve">Stewart, L. A. &amp; Tierney, J. F. To IPD or not to IPD?: Advantages and Disadvantages of Systematic Reviews Using Individual Patient Data. </w:t>
      </w:r>
      <w:r>
        <w:rPr>
          <w:i/>
          <w:iCs/>
        </w:rPr>
        <w:t>Evaluation &amp; the Health Professions</w:t>
      </w:r>
      <w:r>
        <w:t xml:space="preserve"> </w:t>
      </w:r>
      <w:r>
        <w:rPr>
          <w:b/>
          <w:bCs/>
        </w:rPr>
        <w:t>25</w:t>
      </w:r>
      <w:r>
        <w:t>, 76–97 (2002).</w:t>
      </w:r>
    </w:p>
    <w:p w14:paraId="520EE017" w14:textId="77777777" w:rsidR="00BE714A" w:rsidRDefault="00BE714A" w:rsidP="00BE714A">
      <w:pPr>
        <w:pStyle w:val="Bibliography"/>
      </w:pPr>
      <w:bookmarkStart w:id="248" w:name="ref-tugwell2010"/>
      <w:bookmarkEnd w:id="247"/>
      <w:r>
        <w:t xml:space="preserve">101. </w:t>
      </w:r>
      <w:r>
        <w:tab/>
        <w:t xml:space="preserve">Tugwell, P. &amp; Knottnerus, J. A. Advantages of individual patient data analysis in systematic reviews. </w:t>
      </w:r>
      <w:r>
        <w:rPr>
          <w:i/>
          <w:iCs/>
        </w:rPr>
        <w:t>Journal of Clinical Epidemiology</w:t>
      </w:r>
      <w:r>
        <w:t xml:space="preserve"> </w:t>
      </w:r>
      <w:r>
        <w:rPr>
          <w:b/>
          <w:bCs/>
        </w:rPr>
        <w:t>63</w:t>
      </w:r>
      <w:r>
        <w:t>, 233–234 (2010).</w:t>
      </w:r>
    </w:p>
    <w:p w14:paraId="1FB7C4B3" w14:textId="77777777" w:rsidR="00BE714A" w:rsidRDefault="00BE714A" w:rsidP="00BE714A">
      <w:pPr>
        <w:pStyle w:val="Bibliography"/>
      </w:pPr>
      <w:bookmarkStart w:id="249" w:name="ref-nevitt2017a"/>
      <w:bookmarkEnd w:id="248"/>
      <w:r>
        <w:t xml:space="preserve">102. </w:t>
      </w:r>
      <w:r>
        <w:tab/>
        <w:t xml:space="preserve">Nevitt, S. J. </w:t>
      </w:r>
      <w:r>
        <w:rPr>
          <w:i/>
          <w:iCs/>
        </w:rPr>
        <w:t>et al.</w:t>
      </w:r>
      <w:r>
        <w:t xml:space="preserve"> Exploring changes over time and characteristics associated with data retrieval across individual participant data meta-analyses: Systematic review. </w:t>
      </w:r>
      <w:r>
        <w:rPr>
          <w:i/>
          <w:iCs/>
        </w:rPr>
        <w:t>The BMJ</w:t>
      </w:r>
      <w:r>
        <w:t xml:space="preserve"> </w:t>
      </w:r>
      <w:r>
        <w:rPr>
          <w:b/>
          <w:bCs/>
        </w:rPr>
        <w:t>357</w:t>
      </w:r>
      <w:r>
        <w:t>, (2017).</w:t>
      </w:r>
    </w:p>
    <w:p w14:paraId="6801C18B" w14:textId="77777777" w:rsidR="00BE714A" w:rsidRDefault="00BE714A" w:rsidP="00BE714A">
      <w:pPr>
        <w:pStyle w:val="Bibliography"/>
      </w:pPr>
      <w:bookmarkStart w:id="250" w:name="ref-ventresca2020"/>
      <w:bookmarkEnd w:id="249"/>
      <w:r>
        <w:t xml:space="preserve">103. </w:t>
      </w:r>
      <w:r>
        <w:tab/>
        <w:t xml:space="preserve">Ventresca, M. </w:t>
      </w:r>
      <w:r>
        <w:rPr>
          <w:i/>
          <w:iCs/>
        </w:rPr>
        <w:t>et al.</w:t>
      </w:r>
      <w:r>
        <w:t xml:space="preserve"> Obtaining and managing data sets for individual participant data meta-analysis: Scoping review and practical guide. </w:t>
      </w:r>
      <w:r>
        <w:rPr>
          <w:i/>
          <w:iCs/>
        </w:rPr>
        <w:t>BMC Medical Research Methodology</w:t>
      </w:r>
      <w:r>
        <w:t xml:space="preserve"> </w:t>
      </w:r>
      <w:r>
        <w:rPr>
          <w:b/>
          <w:bCs/>
        </w:rPr>
        <w:t>20</w:t>
      </w:r>
      <w:r>
        <w:t>, 113 (2020).</w:t>
      </w:r>
    </w:p>
    <w:p w14:paraId="266AEC61" w14:textId="77777777" w:rsidR="00BE714A" w:rsidRDefault="00BE714A" w:rsidP="00BE714A">
      <w:pPr>
        <w:pStyle w:val="Bibliography"/>
      </w:pPr>
      <w:bookmarkStart w:id="251" w:name="ref-alsheikh-ali2011"/>
      <w:bookmarkEnd w:id="250"/>
      <w:r>
        <w:t xml:space="preserve">104. </w:t>
      </w:r>
      <w:r>
        <w:tab/>
        <w:t xml:space="preserve">Alsheikh-Ali, A. A., Qureshi, W., Al-Mallah, M. H. &amp; Ioannidis, J. P. A. Public Availability of Published Research Data in High-Impact Journals. </w:t>
      </w:r>
      <w:r>
        <w:rPr>
          <w:i/>
          <w:iCs/>
        </w:rPr>
        <w:t>PLoS ONE</w:t>
      </w:r>
      <w:r>
        <w:t xml:space="preserve"> </w:t>
      </w:r>
      <w:r>
        <w:rPr>
          <w:b/>
          <w:bCs/>
        </w:rPr>
        <w:t>6</w:t>
      </w:r>
      <w:r>
        <w:t>, e24357 (2011).</w:t>
      </w:r>
    </w:p>
    <w:p w14:paraId="6EFB1AE1" w14:textId="77777777" w:rsidR="00BE714A" w:rsidRDefault="00BE714A" w:rsidP="00BE714A">
      <w:pPr>
        <w:pStyle w:val="Bibliography"/>
      </w:pPr>
      <w:bookmarkStart w:id="252" w:name="ref-federer2018a"/>
      <w:bookmarkEnd w:id="251"/>
      <w:r>
        <w:t xml:space="preserve">105. </w:t>
      </w:r>
      <w:r>
        <w:tab/>
        <w:t xml:space="preserve">Federer, L. M. </w:t>
      </w:r>
      <w:r>
        <w:rPr>
          <w:i/>
          <w:iCs/>
        </w:rPr>
        <w:t>et al.</w:t>
      </w:r>
      <w:r>
        <w:t xml:space="preserve"> Data sharing in PLOS ONE: An analysis of Data Availability Statements. </w:t>
      </w:r>
      <w:r>
        <w:rPr>
          <w:i/>
          <w:iCs/>
        </w:rPr>
        <w:t>PLOS ONE</w:t>
      </w:r>
      <w:r>
        <w:t xml:space="preserve"> </w:t>
      </w:r>
      <w:r>
        <w:rPr>
          <w:b/>
          <w:bCs/>
        </w:rPr>
        <w:t>13</w:t>
      </w:r>
      <w:r>
        <w:t>, e0194768 (2018).</w:t>
      </w:r>
    </w:p>
    <w:p w14:paraId="32431B2E" w14:textId="77777777" w:rsidR="00BE714A" w:rsidRDefault="00BE714A" w:rsidP="00BE714A">
      <w:pPr>
        <w:pStyle w:val="Bibliography"/>
      </w:pPr>
      <w:bookmarkStart w:id="253" w:name="ref-vines2014"/>
      <w:bookmarkEnd w:id="252"/>
      <w:r>
        <w:t xml:space="preserve">106. </w:t>
      </w:r>
      <w:r>
        <w:tab/>
        <w:t xml:space="preserve">Vines, T. H. </w:t>
      </w:r>
      <w:r>
        <w:rPr>
          <w:i/>
          <w:iCs/>
        </w:rPr>
        <w:t>et al.</w:t>
      </w:r>
      <w:r>
        <w:t xml:space="preserve"> The Availability of Research Data Declines Rapidly with Article Age. </w:t>
      </w:r>
      <w:r>
        <w:rPr>
          <w:i/>
          <w:iCs/>
        </w:rPr>
        <w:t>Current Biology</w:t>
      </w:r>
      <w:r>
        <w:t xml:space="preserve"> </w:t>
      </w:r>
      <w:r>
        <w:rPr>
          <w:b/>
          <w:bCs/>
        </w:rPr>
        <w:t>24</w:t>
      </w:r>
      <w:r>
        <w:t>, 94–97 (2014).</w:t>
      </w:r>
    </w:p>
    <w:p w14:paraId="53768DD9" w14:textId="77777777" w:rsidR="00BE714A" w:rsidRDefault="00BE714A" w:rsidP="00BE714A">
      <w:pPr>
        <w:pStyle w:val="Bibliography"/>
      </w:pPr>
      <w:bookmarkStart w:id="254" w:name="ref-vanpanhuis2014a"/>
      <w:bookmarkEnd w:id="253"/>
      <w:r>
        <w:t xml:space="preserve">107. </w:t>
      </w:r>
      <w:r>
        <w:tab/>
        <w:t xml:space="preserve">van Panhuis, W. G. </w:t>
      </w:r>
      <w:r>
        <w:rPr>
          <w:i/>
          <w:iCs/>
        </w:rPr>
        <w:t>et al.</w:t>
      </w:r>
      <w:r>
        <w:t xml:space="preserve"> A systematic review of barriers to data sharing in public health. </w:t>
      </w:r>
      <w:r>
        <w:rPr>
          <w:i/>
          <w:iCs/>
        </w:rPr>
        <w:t>BMC Public Health</w:t>
      </w:r>
      <w:r>
        <w:t xml:space="preserve"> </w:t>
      </w:r>
      <w:r>
        <w:rPr>
          <w:b/>
          <w:bCs/>
        </w:rPr>
        <w:t>14</w:t>
      </w:r>
      <w:r>
        <w:t>, 1144 (2014).</w:t>
      </w:r>
    </w:p>
    <w:p w14:paraId="062CAB62" w14:textId="77777777" w:rsidR="00BE714A" w:rsidRDefault="00BE714A" w:rsidP="00BE714A">
      <w:pPr>
        <w:pStyle w:val="Bibliography"/>
      </w:pPr>
      <w:bookmarkStart w:id="255" w:name="ref-wartenberg2010"/>
      <w:bookmarkEnd w:id="254"/>
      <w:r>
        <w:t xml:space="preserve">108. </w:t>
      </w:r>
      <w:r>
        <w:tab/>
        <w:t xml:space="preserve">Wartenberg, D. &amp; Thompson, W. D. Privacy Versus Public Health: The Impact of Current Confidentiality Rules. </w:t>
      </w:r>
      <w:r>
        <w:rPr>
          <w:i/>
          <w:iCs/>
        </w:rPr>
        <w:t>American Journal of Public Health</w:t>
      </w:r>
      <w:r>
        <w:t xml:space="preserve"> </w:t>
      </w:r>
      <w:r>
        <w:rPr>
          <w:b/>
          <w:bCs/>
        </w:rPr>
        <w:t>100</w:t>
      </w:r>
      <w:r>
        <w:t>, 407–412 (2010).</w:t>
      </w:r>
    </w:p>
    <w:p w14:paraId="7AB77124" w14:textId="77777777" w:rsidR="00BE714A" w:rsidRDefault="00BE714A" w:rsidP="00BE714A">
      <w:pPr>
        <w:pStyle w:val="Bibliography"/>
      </w:pPr>
      <w:bookmarkStart w:id="256" w:name="ref-bauermeister2020"/>
      <w:bookmarkEnd w:id="255"/>
      <w:r>
        <w:t xml:space="preserve">109. </w:t>
      </w:r>
      <w:r>
        <w:tab/>
        <w:t xml:space="preserve">Bauermeister, S. </w:t>
      </w:r>
      <w:r>
        <w:rPr>
          <w:i/>
          <w:iCs/>
        </w:rPr>
        <w:t>et al.</w:t>
      </w:r>
      <w:r>
        <w:t xml:space="preserve"> The Dementias Platform UK (DPUK) Data Portal. </w:t>
      </w:r>
      <w:r>
        <w:rPr>
          <w:i/>
          <w:iCs/>
        </w:rPr>
        <w:t>European Journal of Epidemiology</w:t>
      </w:r>
      <w:r>
        <w:t xml:space="preserve"> </w:t>
      </w:r>
      <w:r>
        <w:rPr>
          <w:b/>
          <w:bCs/>
        </w:rPr>
        <w:t>35</w:t>
      </w:r>
      <w:r>
        <w:t>, 601–611 (2020).</w:t>
      </w:r>
    </w:p>
    <w:p w14:paraId="6A7C682A" w14:textId="77777777" w:rsidR="00BE714A" w:rsidRDefault="00BE714A" w:rsidP="00BE714A">
      <w:pPr>
        <w:pStyle w:val="Bibliography"/>
      </w:pPr>
      <w:bookmarkStart w:id="257" w:name="ref-rawlinson2019"/>
      <w:bookmarkEnd w:id="256"/>
      <w:r>
        <w:t xml:space="preserve">110. </w:t>
      </w:r>
      <w:r>
        <w:tab/>
        <w:t xml:space="preserve">Rawlinson, C. &amp; Bloom, T. New preprint server for medical research. </w:t>
      </w:r>
      <w:r>
        <w:rPr>
          <w:i/>
          <w:iCs/>
        </w:rPr>
        <w:t>BMJ</w:t>
      </w:r>
      <w:r>
        <w:t xml:space="preserve"> </w:t>
      </w:r>
      <w:r>
        <w:rPr>
          <w:b/>
          <w:bCs/>
        </w:rPr>
        <w:t>365</w:t>
      </w:r>
      <w:r>
        <w:t>, (2019).</w:t>
      </w:r>
    </w:p>
    <w:p w14:paraId="41B4F74A" w14:textId="77777777" w:rsidR="00BE714A" w:rsidRDefault="00BE714A" w:rsidP="00BE714A">
      <w:pPr>
        <w:pStyle w:val="Bibliography"/>
      </w:pPr>
      <w:bookmarkStart w:id="258" w:name="ref-sever2019"/>
      <w:bookmarkEnd w:id="257"/>
      <w:r>
        <w:t xml:space="preserve">111. </w:t>
      </w:r>
      <w:r>
        <w:tab/>
        <w:t xml:space="preserve">Sever, R. </w:t>
      </w:r>
      <w:r>
        <w:rPr>
          <w:i/>
          <w:iCs/>
        </w:rPr>
        <w:t>et al.</w:t>
      </w:r>
      <w:r>
        <w:t xml:space="preserve"> </w:t>
      </w:r>
      <w:r>
        <w:rPr>
          <w:i/>
          <w:iCs/>
        </w:rPr>
        <w:t>bioRxiv: The preprint server for biology</w:t>
      </w:r>
      <w:r>
        <w:t>. (Scientific Communication and Education, 2019). doi:</w:t>
      </w:r>
      <w:hyperlink r:id="rId28">
        <w:r>
          <w:rPr>
            <w:rStyle w:val="Hyperlink"/>
          </w:rPr>
          <w:t>10.1101/833400</w:t>
        </w:r>
      </w:hyperlink>
    </w:p>
    <w:p w14:paraId="567F982A" w14:textId="77777777" w:rsidR="00BE714A" w:rsidRDefault="00BE714A" w:rsidP="00BE714A">
      <w:pPr>
        <w:pStyle w:val="Bibliography"/>
      </w:pPr>
      <w:bookmarkStart w:id="259" w:name="ref-bramer2018a"/>
      <w:bookmarkEnd w:id="258"/>
      <w:r>
        <w:lastRenderedPageBreak/>
        <w:t xml:space="preserve">112. </w:t>
      </w:r>
      <w:r>
        <w:tab/>
        <w:t xml:space="preserve">Bramer, W. M., De Jonge, G. B., Rethlefsen, M. L., Mast, F. &amp; Kleijnen, J. A systematic approach to searching: An efficient and complete method to develop literature searches. </w:t>
      </w:r>
      <w:r>
        <w:rPr>
          <w:i/>
          <w:iCs/>
        </w:rPr>
        <w:t>Journal of the Medical Library Association</w:t>
      </w:r>
      <w:r>
        <w:t xml:space="preserve"> </w:t>
      </w:r>
      <w:r>
        <w:rPr>
          <w:b/>
          <w:bCs/>
        </w:rPr>
        <w:t>106</w:t>
      </w:r>
      <w:r>
        <w:t>, (2018).</w:t>
      </w:r>
    </w:p>
    <w:p w14:paraId="77FD6BA1" w14:textId="77777777" w:rsidR="00BE714A" w:rsidRDefault="00BE714A" w:rsidP="00BE714A">
      <w:pPr>
        <w:pStyle w:val="Bibliography"/>
      </w:pPr>
      <w:bookmarkStart w:id="260" w:name="ref-gusenbauer2020"/>
      <w:bookmarkEnd w:id="259"/>
      <w:r>
        <w:t xml:space="preserve">113. </w:t>
      </w:r>
      <w:r>
        <w:tab/>
        <w:t xml:space="preserve">Gusenbauer, M. &amp; Haddaway, N. R. Which academic search systems are suitable for systematic reviews or meta-analyses? Evaluating retrieval qualities of Google Scholar, PubMed, and 26 other resources. </w:t>
      </w:r>
      <w:r>
        <w:rPr>
          <w:i/>
          <w:iCs/>
        </w:rPr>
        <w:t>Research Synthesis Methods</w:t>
      </w:r>
      <w:r>
        <w:t xml:space="preserve"> </w:t>
      </w:r>
      <w:r>
        <w:rPr>
          <w:b/>
          <w:bCs/>
        </w:rPr>
        <w:t>11</w:t>
      </w:r>
      <w:r>
        <w:t>, 181–217 (2020).</w:t>
      </w:r>
    </w:p>
    <w:p w14:paraId="501700AA" w14:textId="77777777" w:rsidR="00BE714A" w:rsidRDefault="00BE714A" w:rsidP="00BE714A">
      <w:pPr>
        <w:pStyle w:val="Bibliography"/>
      </w:pPr>
      <w:bookmarkStart w:id="261" w:name="ref-wateridge1995"/>
      <w:bookmarkEnd w:id="260"/>
      <w:r>
        <w:t xml:space="preserve">114. </w:t>
      </w:r>
      <w:r>
        <w:tab/>
        <w:t xml:space="preserve">Wateridge, J. IT projects: A basis for success. </w:t>
      </w:r>
      <w:r>
        <w:rPr>
          <w:i/>
          <w:iCs/>
        </w:rPr>
        <w:t>International Journal of Project Management</w:t>
      </w:r>
      <w:r>
        <w:t xml:space="preserve"> </w:t>
      </w:r>
      <w:r>
        <w:rPr>
          <w:b/>
          <w:bCs/>
        </w:rPr>
        <w:t>13</w:t>
      </w:r>
      <w:r>
        <w:t>, 169–172 (1995).</w:t>
      </w:r>
    </w:p>
    <w:p w14:paraId="1D81594B" w14:textId="77777777" w:rsidR="00BE714A" w:rsidRDefault="00BE714A" w:rsidP="00BE714A">
      <w:pPr>
        <w:pStyle w:val="Bibliography"/>
      </w:pPr>
      <w:bookmarkStart w:id="262" w:name="ref-abdill2019"/>
      <w:bookmarkEnd w:id="261"/>
      <w:r>
        <w:t xml:space="preserve">115. </w:t>
      </w:r>
      <w:r>
        <w:tab/>
        <w:t xml:space="preserve">Abdill, R. J. &amp; Blekhman, R. Rxivist.org: Sorting biology preprints using social media and readership metrics. </w:t>
      </w:r>
      <w:r>
        <w:rPr>
          <w:i/>
          <w:iCs/>
        </w:rPr>
        <w:t>PLOS Biology</w:t>
      </w:r>
      <w:r>
        <w:t xml:space="preserve"> </w:t>
      </w:r>
      <w:r>
        <w:rPr>
          <w:b/>
          <w:bCs/>
        </w:rPr>
        <w:t>17</w:t>
      </w:r>
      <w:r>
        <w:t>, e3000269 (2019).</w:t>
      </w:r>
    </w:p>
    <w:p w14:paraId="064B5C6E" w14:textId="77777777" w:rsidR="00BE714A" w:rsidRDefault="00BE714A" w:rsidP="00BE714A">
      <w:pPr>
        <w:pStyle w:val="Bibliography"/>
      </w:pPr>
      <w:bookmarkStart w:id="263" w:name="ref-iwema2016"/>
      <w:bookmarkEnd w:id="262"/>
      <w:r>
        <w:t xml:space="preserve">116. </w:t>
      </w:r>
      <w:r>
        <w:tab/>
        <w:t xml:space="preserve">Iwema, C. L., LaDue, J., Zack, A. &amp; Chattopadhyay, A. Search.bioPreprint: A discovery tool for cutting edge, preprint biomedical research articles. </w:t>
      </w:r>
      <w:r>
        <w:rPr>
          <w:i/>
          <w:iCs/>
        </w:rPr>
        <w:t>F1000Research</w:t>
      </w:r>
      <w:r>
        <w:t xml:space="preserve"> </w:t>
      </w:r>
      <w:r>
        <w:rPr>
          <w:b/>
          <w:bCs/>
        </w:rPr>
        <w:t>5</w:t>
      </w:r>
      <w:r>
        <w:t>, 1396 (2016).</w:t>
      </w:r>
    </w:p>
    <w:p w14:paraId="142594B2" w14:textId="77777777" w:rsidR="00BE714A" w:rsidRDefault="00BE714A" w:rsidP="00BE714A">
      <w:pPr>
        <w:pStyle w:val="Bibliography"/>
      </w:pPr>
      <w:bookmarkStart w:id="264" w:name="ref-shaw2002"/>
      <w:bookmarkEnd w:id="263"/>
      <w:r>
        <w:t xml:space="preserve">117. </w:t>
      </w:r>
      <w:r>
        <w:tab/>
        <w:t xml:space="preserve">Shaw, M. "Self-healing": Softening precision to avoid brittleness: Position paper for WOSS ’02: Workshop on self-healing systems. </w:t>
      </w:r>
      <w:r>
        <w:rPr>
          <w:i/>
          <w:iCs/>
        </w:rPr>
        <w:t>Proceedings of the first workshop on Self-healing systems</w:t>
      </w:r>
      <w:r>
        <w:t xml:space="preserve"> 111–114 (2002). doi:</w:t>
      </w:r>
      <w:hyperlink r:id="rId29">
        <w:r>
          <w:rPr>
            <w:rStyle w:val="Hyperlink"/>
          </w:rPr>
          <w:t>10.1145/582128.582152</w:t>
        </w:r>
      </w:hyperlink>
    </w:p>
    <w:p w14:paraId="00C63501" w14:textId="77777777" w:rsidR="00BE714A" w:rsidRDefault="00BE714A" w:rsidP="00BE714A">
      <w:pPr>
        <w:pStyle w:val="Bibliography"/>
      </w:pPr>
      <w:bookmarkStart w:id="265" w:name="ref-laprie1992"/>
      <w:bookmarkEnd w:id="264"/>
      <w:r>
        <w:t xml:space="preserve">118. </w:t>
      </w:r>
      <w:r>
        <w:tab/>
        <w:t xml:space="preserve">Laprie, J. C. Dependability: Basic Concepts and Terminology. in </w:t>
      </w:r>
      <w:r>
        <w:rPr>
          <w:i/>
          <w:iCs/>
        </w:rPr>
        <w:t>Dependability: Basic Concepts and Terminology: In English, French, German, Italian and Japanese</w:t>
      </w:r>
      <w:r>
        <w:t xml:space="preserve"> (ed. Laprie, J. C.) 3–245 (Springer, 1992).</w:t>
      </w:r>
    </w:p>
    <w:p w14:paraId="4EEC0DA7" w14:textId="77777777" w:rsidR="00BE714A" w:rsidRDefault="00BE714A" w:rsidP="00BE714A">
      <w:pPr>
        <w:pStyle w:val="Bibliography"/>
      </w:pPr>
      <w:bookmarkStart w:id="266" w:name="ref-rcoreteam2019"/>
      <w:bookmarkEnd w:id="265"/>
      <w:r>
        <w:t xml:space="preserve">119. </w:t>
      </w:r>
      <w:r>
        <w:tab/>
        <w:t xml:space="preserve">R Core Team. </w:t>
      </w:r>
      <w:r>
        <w:rPr>
          <w:i/>
          <w:iCs/>
        </w:rPr>
        <w:t>R: A language and environment for statistical computing</w:t>
      </w:r>
      <w:r>
        <w:t>. (R Foundation for Statistical Computing, 2019).</w:t>
      </w:r>
    </w:p>
    <w:p w14:paraId="50D4928A" w14:textId="77777777" w:rsidR="00BE714A" w:rsidRDefault="00BE714A" w:rsidP="00BE714A">
      <w:pPr>
        <w:pStyle w:val="Bibliography"/>
      </w:pPr>
      <w:bookmarkStart w:id="267" w:name="ref-bramer2018"/>
      <w:bookmarkEnd w:id="266"/>
      <w:r>
        <w:t xml:space="preserve">120. </w:t>
      </w:r>
      <w:r>
        <w:tab/>
        <w:t xml:space="preserve">Bramer, W. M., de Jonge, G. B., Rethlefsen, M. L., Mast, F. &amp; Kleijnen, J. A systematic approach to searching: An efficient and complete method to develop literature searches. </w:t>
      </w:r>
      <w:r>
        <w:rPr>
          <w:i/>
          <w:iCs/>
        </w:rPr>
        <w:t>Journal of the Medical Library Association : JMLA</w:t>
      </w:r>
      <w:r>
        <w:t xml:space="preserve"> </w:t>
      </w:r>
      <w:r>
        <w:rPr>
          <w:b/>
          <w:bCs/>
        </w:rPr>
        <w:t>106</w:t>
      </w:r>
      <w:r>
        <w:t>, 531–541 (2018).</w:t>
      </w:r>
    </w:p>
    <w:p w14:paraId="06069965" w14:textId="77777777" w:rsidR="00BE714A" w:rsidRDefault="00BE714A" w:rsidP="00BE714A">
      <w:pPr>
        <w:pStyle w:val="Bibliography"/>
      </w:pPr>
      <w:bookmarkStart w:id="268" w:name="ref-kodvanj2020"/>
      <w:bookmarkEnd w:id="267"/>
      <w:r>
        <w:t xml:space="preserve">121. </w:t>
      </w:r>
      <w:r>
        <w:tab/>
        <w:t xml:space="preserve">Kodvanj, I., Homolak, J., Virag, D. &amp; Trkulja, V. Publishing of COVID-19 Preprints in Peer-reviewed Journals, Preprinting Trends, Public Discussion and Quality Issues. </w:t>
      </w:r>
      <w:r>
        <w:rPr>
          <w:i/>
          <w:iCs/>
        </w:rPr>
        <w:t>bioRxiv</w:t>
      </w:r>
      <w:r>
        <w:t xml:space="preserve"> 2020.11.23.394577 (2020). doi:</w:t>
      </w:r>
      <w:hyperlink r:id="rId30">
        <w:r>
          <w:rPr>
            <w:rStyle w:val="Hyperlink"/>
          </w:rPr>
          <w:t>10.1101/2020.11.23.394577</w:t>
        </w:r>
      </w:hyperlink>
    </w:p>
    <w:p w14:paraId="46376253" w14:textId="77777777" w:rsidR="00BE714A" w:rsidRDefault="00BE714A" w:rsidP="00BE714A">
      <w:pPr>
        <w:pStyle w:val="Bibliography"/>
      </w:pPr>
      <w:bookmarkStart w:id="269" w:name="ref-noone2020"/>
      <w:bookmarkEnd w:id="268"/>
      <w:r>
        <w:t xml:space="preserve">122. </w:t>
      </w:r>
      <w:r>
        <w:tab/>
        <w:t xml:space="preserve">Noone, C. </w:t>
      </w:r>
      <w:r>
        <w:rPr>
          <w:i/>
          <w:iCs/>
        </w:rPr>
        <w:t>et al.</w:t>
      </w:r>
      <w:r>
        <w:t xml:space="preserve"> Investigating and evaluating evidence of the behavioural determinants of adherence to social distancing measures  A protocol for a scoping review of COVID-19 research. </w:t>
      </w:r>
      <w:r>
        <w:rPr>
          <w:i/>
          <w:iCs/>
        </w:rPr>
        <w:t>HRB Open Research</w:t>
      </w:r>
      <w:r>
        <w:t xml:space="preserve"> </w:t>
      </w:r>
      <w:r>
        <w:rPr>
          <w:b/>
          <w:bCs/>
        </w:rPr>
        <w:t>3</w:t>
      </w:r>
      <w:r>
        <w:t>, 46 (2020).</w:t>
      </w:r>
    </w:p>
    <w:p w14:paraId="55C3F18D" w14:textId="77777777" w:rsidR="00BE714A" w:rsidRDefault="00BE714A" w:rsidP="00BE714A">
      <w:pPr>
        <w:pStyle w:val="Bibliography"/>
      </w:pPr>
      <w:bookmarkStart w:id="270" w:name="ref-grassly2020"/>
      <w:bookmarkEnd w:id="269"/>
      <w:r>
        <w:t xml:space="preserve">123. </w:t>
      </w:r>
      <w:r>
        <w:tab/>
        <w:t xml:space="preserve">Grassly, N. C. </w:t>
      </w:r>
      <w:r>
        <w:rPr>
          <w:i/>
          <w:iCs/>
        </w:rPr>
        <w:t>et al.</w:t>
      </w:r>
      <w:r>
        <w:t xml:space="preserve"> Comparison of molecular testing strategies for COVID-19 control: A mathematical modelling study. </w:t>
      </w:r>
      <w:r>
        <w:rPr>
          <w:i/>
          <w:iCs/>
        </w:rPr>
        <w:t>The Lancet Infectious Diseases</w:t>
      </w:r>
      <w:r>
        <w:t xml:space="preserve"> </w:t>
      </w:r>
      <w:r>
        <w:rPr>
          <w:b/>
          <w:bCs/>
        </w:rPr>
        <w:t>20</w:t>
      </w:r>
      <w:r>
        <w:t>, 1381–1389 (2020).</w:t>
      </w:r>
    </w:p>
    <w:p w14:paraId="5916A189" w14:textId="77777777" w:rsidR="00BE714A" w:rsidRDefault="00BE714A" w:rsidP="00BE714A">
      <w:pPr>
        <w:pStyle w:val="Bibliography"/>
      </w:pPr>
      <w:bookmarkStart w:id="271" w:name="ref-mcguinness2020c"/>
      <w:bookmarkEnd w:id="270"/>
      <w:r>
        <w:t xml:space="preserve">124. </w:t>
      </w:r>
      <w:r>
        <w:tab/>
        <w:t xml:space="preserve">McGuinness, L. A. &amp; Sheppard, A. L. A descriptive analysis of the data availability statements accompanying medRxiv preprints and a comparison with their published counterparts. </w:t>
      </w:r>
      <w:r>
        <w:rPr>
          <w:i/>
          <w:iCs/>
        </w:rPr>
        <w:t>MetaArXiv</w:t>
      </w:r>
      <w:r>
        <w:t xml:space="preserve"> (2020). doi:</w:t>
      </w:r>
      <w:hyperlink r:id="rId31">
        <w:r>
          <w:rPr>
            <w:rStyle w:val="Hyperlink"/>
          </w:rPr>
          <w:t>10.31222/osf.io/p75xe</w:t>
        </w:r>
      </w:hyperlink>
    </w:p>
    <w:p w14:paraId="543FF383" w14:textId="77777777" w:rsidR="00BE714A" w:rsidRDefault="00BE714A" w:rsidP="00BE714A">
      <w:pPr>
        <w:pStyle w:val="Bibliography"/>
      </w:pPr>
      <w:bookmarkStart w:id="272" w:name="ref-boettiger2015"/>
      <w:bookmarkEnd w:id="271"/>
      <w:r>
        <w:lastRenderedPageBreak/>
        <w:t xml:space="preserve">125. </w:t>
      </w:r>
      <w:r>
        <w:tab/>
        <w:t xml:space="preserve">Boettiger, C., Chamberlain, S., Hart, E. &amp; Ram, K. Building Software, Building Community: Lessons from the rOpenSci Project. </w:t>
      </w:r>
      <w:r>
        <w:rPr>
          <w:i/>
          <w:iCs/>
        </w:rPr>
        <w:t>Journal of Open Research Software</w:t>
      </w:r>
      <w:r>
        <w:t xml:space="preserve"> </w:t>
      </w:r>
      <w:r>
        <w:rPr>
          <w:b/>
          <w:bCs/>
        </w:rPr>
        <w:t>3</w:t>
      </w:r>
      <w:r>
        <w:t>, e8 (2015).</w:t>
      </w:r>
    </w:p>
    <w:p w14:paraId="346DD443" w14:textId="77777777" w:rsidR="00BE714A" w:rsidRDefault="00BE714A" w:rsidP="00BE714A">
      <w:pPr>
        <w:pStyle w:val="Bibliography"/>
      </w:pPr>
      <w:bookmarkStart w:id="273" w:name="ref-mcguinness2020a"/>
      <w:bookmarkEnd w:id="272"/>
      <w:r>
        <w:t xml:space="preserve">126. </w:t>
      </w:r>
      <w:r>
        <w:tab/>
        <w:t xml:space="preserve">McGuinness, L. &amp; Schmidt, L. Medrxivr: Accessing and searching medRxiv and bioRxiv preprint data in R. </w:t>
      </w:r>
      <w:r>
        <w:rPr>
          <w:i/>
          <w:iCs/>
        </w:rPr>
        <w:t>Journal of Open Source Software</w:t>
      </w:r>
      <w:r>
        <w:t xml:space="preserve"> </w:t>
      </w:r>
      <w:r>
        <w:rPr>
          <w:b/>
          <w:bCs/>
        </w:rPr>
        <w:t>5</w:t>
      </w:r>
      <w:r>
        <w:t>, 2651 (2020).</w:t>
      </w:r>
    </w:p>
    <w:p w14:paraId="7474E8DA" w14:textId="77777777" w:rsidR="00BE714A" w:rsidRDefault="00BE714A" w:rsidP="00BE714A">
      <w:pPr>
        <w:pStyle w:val="Bibliography"/>
      </w:pPr>
      <w:bookmarkStart w:id="274" w:name="ref-bong2019"/>
      <w:bookmarkEnd w:id="273"/>
      <w:r>
        <w:t xml:space="preserve">127. </w:t>
      </w:r>
      <w:r>
        <w:tab/>
        <w:t xml:space="preserve">Bong, S. M., McKay, J. L., Factor, S. A. &amp; Ting, L. H. </w:t>
      </w:r>
      <w:r>
        <w:rPr>
          <w:i/>
          <w:iCs/>
        </w:rPr>
        <w:t>Perception of whole-body motion during balance perturbations is impaired in Parkinson’s disease and is associated with balance impairment</w:t>
      </w:r>
      <w:r>
        <w:t>. (Neurology, 2019). doi:</w:t>
      </w:r>
      <w:hyperlink r:id="rId32">
        <w:r>
          <w:rPr>
            <w:rStyle w:val="Hyperlink"/>
          </w:rPr>
          <w:t>10.1101/19000265</w:t>
        </w:r>
      </w:hyperlink>
    </w:p>
    <w:p w14:paraId="4415DD38" w14:textId="77777777" w:rsidR="00BE714A" w:rsidRDefault="00BE714A" w:rsidP="00BE714A">
      <w:pPr>
        <w:pStyle w:val="Bibliography"/>
      </w:pPr>
      <w:bookmarkStart w:id="275" w:name="ref-song2010"/>
      <w:bookmarkEnd w:id="274"/>
      <w:r>
        <w:t xml:space="preserve">128. </w:t>
      </w:r>
      <w:r>
        <w:tab/>
        <w:t xml:space="preserve">Song, F. </w:t>
      </w:r>
      <w:r>
        <w:rPr>
          <w:i/>
          <w:iCs/>
        </w:rPr>
        <w:t>et al.</w:t>
      </w:r>
      <w:r>
        <w:t xml:space="preserve"> Dissemination and publication of research findings: An updated review of related biases. </w:t>
      </w:r>
      <w:r>
        <w:rPr>
          <w:i/>
          <w:iCs/>
        </w:rPr>
        <w:t>Health Technology Assessment</w:t>
      </w:r>
      <w:r>
        <w:t xml:space="preserve"> </w:t>
      </w:r>
      <w:r>
        <w:rPr>
          <w:b/>
          <w:bCs/>
        </w:rPr>
        <w:t>14</w:t>
      </w:r>
      <w:r>
        <w:t>, (2010).</w:t>
      </w:r>
    </w:p>
    <w:p w14:paraId="15D48816" w14:textId="77777777" w:rsidR="00BE714A" w:rsidRDefault="00BE714A" w:rsidP="00BE714A">
      <w:pPr>
        <w:pStyle w:val="Bibliography"/>
      </w:pPr>
      <w:bookmarkStart w:id="276" w:name="ref-goldacre2019b"/>
      <w:bookmarkEnd w:id="275"/>
      <w:r>
        <w:t xml:space="preserve">129. </w:t>
      </w:r>
      <w:r>
        <w:tab/>
        <w:t xml:space="preserve">Goldacre, B., Morton, C. E. &amp; DeVito, N. J. Why researchers should share their analytic code. </w:t>
      </w:r>
      <w:r>
        <w:rPr>
          <w:i/>
          <w:iCs/>
        </w:rPr>
        <w:t>BMJ</w:t>
      </w:r>
      <w:r>
        <w:t xml:space="preserve"> l6365 (2019). doi:</w:t>
      </w:r>
      <w:hyperlink r:id="rId33">
        <w:r>
          <w:rPr>
            <w:rStyle w:val="Hyperlink"/>
          </w:rPr>
          <w:t>10.1136/bmj.l6365</w:t>
        </w:r>
      </w:hyperlink>
    </w:p>
    <w:p w14:paraId="15756632" w14:textId="77777777" w:rsidR="00BE714A" w:rsidRDefault="00BE714A" w:rsidP="00BE714A">
      <w:pPr>
        <w:pStyle w:val="Bibliography"/>
      </w:pPr>
      <w:bookmarkStart w:id="277" w:name="ref-mckiernan2016c"/>
      <w:bookmarkEnd w:id="276"/>
      <w:r>
        <w:t xml:space="preserve">130. </w:t>
      </w:r>
      <w:r>
        <w:tab/>
        <w:t xml:space="preserve">McKiernan, E. C. </w:t>
      </w:r>
      <w:r>
        <w:rPr>
          <w:i/>
          <w:iCs/>
        </w:rPr>
        <w:t>et al.</w:t>
      </w:r>
      <w:r>
        <w:t xml:space="preserve"> How open science helps researchers succeed. </w:t>
      </w:r>
      <w:r>
        <w:rPr>
          <w:i/>
          <w:iCs/>
        </w:rPr>
        <w:t>eLife</w:t>
      </w:r>
      <w:r>
        <w:t xml:space="preserve"> </w:t>
      </w:r>
      <w:r>
        <w:rPr>
          <w:b/>
          <w:bCs/>
        </w:rPr>
        <w:t>5</w:t>
      </w:r>
      <w:r>
        <w:t>, e16800 (2016).</w:t>
      </w:r>
    </w:p>
    <w:p w14:paraId="53DE5A77" w14:textId="77777777" w:rsidR="00BE714A" w:rsidRDefault="00BE714A" w:rsidP="00BE714A">
      <w:pPr>
        <w:pStyle w:val="Bibliography"/>
      </w:pPr>
      <w:bookmarkStart w:id="278" w:name="ref-rbiorxiv"/>
      <w:bookmarkEnd w:id="277"/>
      <w:r>
        <w:t xml:space="preserve">131. </w:t>
      </w:r>
      <w:r>
        <w:tab/>
        <w:t xml:space="preserve">Fraser, N. </w:t>
      </w:r>
      <w:r>
        <w:rPr>
          <w:i/>
          <w:iCs/>
        </w:rPr>
        <w:t>Rbiorxiv: Client for the ’bioRxiv’ API</w:t>
      </w:r>
      <w:r>
        <w:t>. (2020).</w:t>
      </w:r>
    </w:p>
    <w:p w14:paraId="144159F4" w14:textId="77777777" w:rsidR="00BE714A" w:rsidRDefault="00BE714A" w:rsidP="00BE714A">
      <w:pPr>
        <w:pStyle w:val="Bibliography"/>
      </w:pPr>
      <w:bookmarkStart w:id="279" w:name="ref-vuorre2020"/>
      <w:bookmarkEnd w:id="278"/>
      <w:r>
        <w:t xml:space="preserve">132. </w:t>
      </w:r>
      <w:r>
        <w:tab/>
        <w:t xml:space="preserve">Vuorre, M. &amp; Crump, M. J. C. Sharing and organizing research products as R packages. </w:t>
      </w:r>
      <w:r>
        <w:rPr>
          <w:i/>
          <w:iCs/>
        </w:rPr>
        <w:t>Behavior Research Methods</w:t>
      </w:r>
      <w:r>
        <w:t xml:space="preserve"> (2020). doi:</w:t>
      </w:r>
      <w:hyperlink r:id="rId34">
        <w:r>
          <w:rPr>
            <w:rStyle w:val="Hyperlink"/>
          </w:rPr>
          <w:t>10.3758/s13428-020-01436-x</w:t>
        </w:r>
      </w:hyperlink>
    </w:p>
    <w:p w14:paraId="2A24AD80" w14:textId="77777777" w:rsidR="00BE714A" w:rsidRDefault="00BE714A" w:rsidP="00BE714A">
      <w:pPr>
        <w:pStyle w:val="Bibliography"/>
      </w:pPr>
      <w:bookmarkStart w:id="280" w:name="ref-larsson2017b"/>
      <w:bookmarkEnd w:id="279"/>
      <w:r>
        <w:t xml:space="preserve">133. </w:t>
      </w:r>
      <w:r>
        <w:tab/>
        <w:t xml:space="preserve">Larsson, S. C. </w:t>
      </w:r>
      <w:r>
        <w:rPr>
          <w:i/>
          <w:iCs/>
        </w:rPr>
        <w:t>et al.</w:t>
      </w:r>
      <w:r>
        <w:t xml:space="preserve"> Modifiable pathways in Alzheimer’s disease: Mendelian randomisation analysis. </w:t>
      </w:r>
      <w:r>
        <w:rPr>
          <w:i/>
          <w:iCs/>
        </w:rPr>
        <w:t>BMJ</w:t>
      </w:r>
      <w:r>
        <w:t xml:space="preserve"> </w:t>
      </w:r>
      <w:r>
        <w:rPr>
          <w:b/>
          <w:bCs/>
        </w:rPr>
        <w:t>359</w:t>
      </w:r>
      <w:r>
        <w:t>, j5375 (2017).</w:t>
      </w:r>
    </w:p>
    <w:p w14:paraId="5C20C264" w14:textId="77777777" w:rsidR="00BE714A" w:rsidRDefault="00BE714A" w:rsidP="00BE714A">
      <w:pPr>
        <w:pStyle w:val="Bibliography"/>
      </w:pPr>
      <w:bookmarkStart w:id="281" w:name="ref-bramer2016"/>
      <w:bookmarkEnd w:id="280"/>
      <w:r>
        <w:t xml:space="preserve">134. </w:t>
      </w:r>
      <w:r>
        <w:tab/>
        <w:t xml:space="preserve">Bramer, W. M., Giustini, D., de Jonge, G. B., Holland, L. &amp; Bekhuis, T. De-duplication of database search results for systematic reviews in EndNote. </w:t>
      </w:r>
      <w:r>
        <w:rPr>
          <w:i/>
          <w:iCs/>
        </w:rPr>
        <w:t>Journal of the Medical Library Association : JMLA</w:t>
      </w:r>
      <w:r>
        <w:t xml:space="preserve"> </w:t>
      </w:r>
      <w:r>
        <w:rPr>
          <w:b/>
          <w:bCs/>
        </w:rPr>
        <w:t>104</w:t>
      </w:r>
      <w:r>
        <w:t>, 240–243 (2016).</w:t>
      </w:r>
    </w:p>
    <w:p w14:paraId="6FCE6DB0" w14:textId="77777777" w:rsidR="00BE714A" w:rsidRDefault="00BE714A" w:rsidP="00BE714A">
      <w:pPr>
        <w:pStyle w:val="Bibliography"/>
      </w:pPr>
      <w:bookmarkStart w:id="282" w:name="ref-ouzzani2016"/>
      <w:bookmarkEnd w:id="281"/>
      <w:r>
        <w:t xml:space="preserve">135. </w:t>
      </w:r>
      <w:r>
        <w:tab/>
        <w:t xml:space="preserve">Ouzzani, M., Hammady, H., Fedorowicz, Z. &amp; Elmagarmid, A. Rayyan-a web and mobile app for systematic reviews. </w:t>
      </w:r>
      <w:r>
        <w:rPr>
          <w:i/>
          <w:iCs/>
        </w:rPr>
        <w:t>Systematic Reviews</w:t>
      </w:r>
      <w:r>
        <w:t xml:space="preserve"> </w:t>
      </w:r>
      <w:r>
        <w:rPr>
          <w:b/>
          <w:bCs/>
        </w:rPr>
        <w:t>5</w:t>
      </w:r>
      <w:r>
        <w:t>, 210 (2016).</w:t>
      </w:r>
    </w:p>
    <w:p w14:paraId="5D52E056" w14:textId="77777777" w:rsidR="00BE714A" w:rsidRDefault="00BE714A" w:rsidP="00BE714A">
      <w:pPr>
        <w:pStyle w:val="Bibliography"/>
      </w:pPr>
      <w:bookmarkStart w:id="283" w:name="ref-zotero-766"/>
      <w:bookmarkEnd w:id="282"/>
      <w:r>
        <w:t xml:space="preserve">136. </w:t>
      </w:r>
      <w:r>
        <w:tab/>
        <w:t>The PRISMA statement for reporting systematic reviews and meta-analyses of studies that evaluate healthcare interventions: Explanation and elaboration | The BMJ.</w:t>
      </w:r>
    </w:p>
    <w:p w14:paraId="4F75368E" w14:textId="77777777" w:rsidR="00BE714A" w:rsidRDefault="00BE714A" w:rsidP="00BE714A">
      <w:pPr>
        <w:pStyle w:val="Bibliography"/>
      </w:pPr>
      <w:bookmarkStart w:id="284" w:name="ref-petersen1999"/>
      <w:bookmarkEnd w:id="283"/>
      <w:r>
        <w:t xml:space="preserve">137. </w:t>
      </w:r>
      <w:r>
        <w:tab/>
        <w:t xml:space="preserve">Petersen, R. C. </w:t>
      </w:r>
      <w:r>
        <w:rPr>
          <w:i/>
          <w:iCs/>
        </w:rPr>
        <w:t>et al.</w:t>
      </w:r>
      <w:r>
        <w:t xml:space="preserve"> Mild cognitive impairment: Clinical characterization and outcome. </w:t>
      </w:r>
      <w:r>
        <w:rPr>
          <w:i/>
          <w:iCs/>
        </w:rPr>
        <w:t>Archives of Neurology</w:t>
      </w:r>
      <w:r>
        <w:t xml:space="preserve"> </w:t>
      </w:r>
      <w:r>
        <w:rPr>
          <w:b/>
          <w:bCs/>
        </w:rPr>
        <w:t>56</w:t>
      </w:r>
      <w:r>
        <w:t>, 303–308 (1999).</w:t>
      </w:r>
    </w:p>
    <w:p w14:paraId="5EBAD454" w14:textId="77777777" w:rsidR="00BE714A" w:rsidRDefault="00BE714A" w:rsidP="00BE714A">
      <w:pPr>
        <w:pStyle w:val="Bibliography"/>
      </w:pPr>
      <w:bookmarkStart w:id="285" w:name="ref-sterne2019"/>
      <w:bookmarkEnd w:id="284"/>
      <w:r>
        <w:t xml:space="preserve">138. </w:t>
      </w:r>
      <w:r>
        <w:tab/>
        <w:t xml:space="preserve">Sterne, J. A. C. </w:t>
      </w:r>
      <w:r>
        <w:rPr>
          <w:i/>
          <w:iCs/>
        </w:rPr>
        <w:t>et al.</w:t>
      </w:r>
      <w:r>
        <w:t xml:space="preserve"> RoB 2: A revised tool for assessing risk of bias in randomised trials. </w:t>
      </w:r>
      <w:r>
        <w:rPr>
          <w:i/>
          <w:iCs/>
        </w:rPr>
        <w:t>BMJ</w:t>
      </w:r>
      <w:r>
        <w:t xml:space="preserve"> </w:t>
      </w:r>
      <w:r>
        <w:rPr>
          <w:b/>
          <w:bCs/>
        </w:rPr>
        <w:t>366</w:t>
      </w:r>
      <w:r>
        <w:t>, (2019).</w:t>
      </w:r>
    </w:p>
    <w:p w14:paraId="40708630" w14:textId="77777777" w:rsidR="00BE714A" w:rsidRDefault="00BE714A" w:rsidP="00BE714A">
      <w:pPr>
        <w:pStyle w:val="Bibliography"/>
      </w:pPr>
      <w:bookmarkStart w:id="286" w:name="ref-sterne2016"/>
      <w:bookmarkEnd w:id="285"/>
      <w:r>
        <w:t xml:space="preserve">139. </w:t>
      </w:r>
      <w:r>
        <w:tab/>
        <w:t xml:space="preserve">Sterne, J. A. </w:t>
      </w:r>
      <w:r>
        <w:rPr>
          <w:i/>
          <w:iCs/>
        </w:rPr>
        <w:t>et al.</w:t>
      </w:r>
      <w:r>
        <w:t xml:space="preserve"> ROBINS-I: A tool for assessing risk of bias in non-randomised studies of interventions. </w:t>
      </w:r>
      <w:r>
        <w:rPr>
          <w:i/>
          <w:iCs/>
        </w:rPr>
        <w:t>BMJ</w:t>
      </w:r>
      <w:r>
        <w:t xml:space="preserve"> </w:t>
      </w:r>
      <w:r>
        <w:rPr>
          <w:b/>
          <w:bCs/>
        </w:rPr>
        <w:t>355</w:t>
      </w:r>
      <w:r>
        <w:t>, (2016).</w:t>
      </w:r>
    </w:p>
    <w:p w14:paraId="37D8B9F4" w14:textId="77777777" w:rsidR="00BE714A" w:rsidRDefault="00BE714A" w:rsidP="00BE714A">
      <w:pPr>
        <w:pStyle w:val="Bibliography"/>
      </w:pPr>
      <w:bookmarkStart w:id="287" w:name="ref-morganr2020"/>
      <w:bookmarkEnd w:id="286"/>
      <w:r>
        <w:t xml:space="preserve">140. </w:t>
      </w:r>
      <w:r>
        <w:tab/>
        <w:t xml:space="preserve">Morgan R </w:t>
      </w:r>
      <w:r>
        <w:rPr>
          <w:i/>
          <w:iCs/>
        </w:rPr>
        <w:t>et al.</w:t>
      </w:r>
      <w:r>
        <w:t xml:space="preserve"> A tool to assess Risk Of Bias In Non-randomised Studies - of Exposures (ROBINS-E). in </w:t>
      </w:r>
      <w:r>
        <w:rPr>
          <w:i/>
          <w:iCs/>
        </w:rPr>
        <w:t>Advances in Evidence Synthesis: Special issue, Cochrane Database of Systematic Reviews</w:t>
      </w:r>
      <w:r>
        <w:t xml:space="preserve"> </w:t>
      </w:r>
      <w:r>
        <w:rPr>
          <w:b/>
          <w:bCs/>
        </w:rPr>
        <w:t>9 Supp 1</w:t>
      </w:r>
      <w:r>
        <w:t>, 320 (2020).</w:t>
      </w:r>
    </w:p>
    <w:p w14:paraId="1062894E" w14:textId="77777777" w:rsidR="00BE714A" w:rsidRDefault="00BE714A" w:rsidP="00BE714A">
      <w:pPr>
        <w:pStyle w:val="Bibliography"/>
      </w:pPr>
      <w:bookmarkStart w:id="288" w:name="ref-wells2000newcastle"/>
      <w:bookmarkEnd w:id="287"/>
      <w:r>
        <w:lastRenderedPageBreak/>
        <w:t xml:space="preserve">141. </w:t>
      </w:r>
      <w:r>
        <w:tab/>
        <w:t xml:space="preserve">Wells, G. A. </w:t>
      </w:r>
      <w:r>
        <w:rPr>
          <w:i/>
          <w:iCs/>
        </w:rPr>
        <w:t>et al.</w:t>
      </w:r>
      <w:r>
        <w:t xml:space="preserve"> The Newcastle-Ottawa Scale (NOS) for assessing the quality of nonrandomised studies in meta-analyses. (2000).</w:t>
      </w:r>
    </w:p>
    <w:p w14:paraId="2F3A29A3" w14:textId="77777777" w:rsidR="00BE714A" w:rsidRDefault="00BE714A" w:rsidP="00BE714A">
      <w:pPr>
        <w:pStyle w:val="Bibliography"/>
      </w:pPr>
      <w:bookmarkStart w:id="289" w:name="ref-mamluk2020"/>
      <w:bookmarkEnd w:id="288"/>
      <w:r>
        <w:t xml:space="preserve">142. </w:t>
      </w:r>
      <w:r>
        <w:tab/>
        <w:t xml:space="preserve">Mamluk, L. </w:t>
      </w:r>
      <w:r>
        <w:rPr>
          <w:i/>
          <w:iCs/>
        </w:rPr>
        <w:t>et al.</w:t>
      </w:r>
      <w:r>
        <w:t xml:space="preserve"> Evidence of detrimental effects of prenatal alcohol exposure on offspring birthweight and neurodevelopment from a systematic review of quasi-experimental studies. </w:t>
      </w:r>
      <w:r>
        <w:rPr>
          <w:i/>
          <w:iCs/>
        </w:rPr>
        <w:t>International Journal of Epidemiology</w:t>
      </w:r>
      <w:r>
        <w:t xml:space="preserve"> </w:t>
      </w:r>
      <w:r>
        <w:rPr>
          <w:b/>
          <w:bCs/>
        </w:rPr>
        <w:t>49</w:t>
      </w:r>
      <w:r>
        <w:t>, 1972–1995 (2020).</w:t>
      </w:r>
    </w:p>
    <w:p w14:paraId="655C23CF" w14:textId="77777777" w:rsidR="00BE714A" w:rsidRDefault="00BE714A" w:rsidP="00BE714A">
      <w:pPr>
        <w:pStyle w:val="Bibliography"/>
      </w:pPr>
      <w:bookmarkStart w:id="290" w:name="ref-mcguinness2019"/>
      <w:bookmarkEnd w:id="289"/>
      <w:r>
        <w:t xml:space="preserve">143. </w:t>
      </w:r>
      <w:r>
        <w:tab/>
        <w:t xml:space="preserve">McGuinness, L. A. Chapter 10 - Risk of Bias Plots. in </w:t>
      </w:r>
      <w:r>
        <w:rPr>
          <w:i/>
          <w:iCs/>
        </w:rPr>
        <w:t>Doing Meta-Analysis in R: A Hands-on Guide</w:t>
      </w:r>
      <w:r>
        <w:t xml:space="preserve"> (eds. Mathias Harrer, Pim Cuijpers, David D Ebert &amp; Toshi A Furukawa) (2019).</w:t>
      </w:r>
    </w:p>
    <w:p w14:paraId="1AD6B4FC" w14:textId="77777777" w:rsidR="00BE714A" w:rsidRDefault="00BE714A" w:rsidP="00BE714A">
      <w:pPr>
        <w:pStyle w:val="Bibliography"/>
      </w:pPr>
      <w:bookmarkStart w:id="291" w:name="ref-costa2011"/>
      <w:bookmarkEnd w:id="290"/>
      <w:r>
        <w:t xml:space="preserve">144. </w:t>
      </w:r>
      <w:r>
        <w:tab/>
        <w:t xml:space="preserve">Costa, B. R. da, Cevallos, M., Altman, D. G., Rutjes, A. W. S. &amp; Egger, M. Uses and misuses of the STROBE statement: Bibliographic study. </w:t>
      </w:r>
      <w:r>
        <w:rPr>
          <w:i/>
          <w:iCs/>
        </w:rPr>
        <w:t>BMJ Open</w:t>
      </w:r>
      <w:r>
        <w:t xml:space="preserve"> </w:t>
      </w:r>
      <w:r>
        <w:rPr>
          <w:b/>
          <w:bCs/>
        </w:rPr>
        <w:t>1</w:t>
      </w:r>
      <w:r>
        <w:t>, e000048 (2011).</w:t>
      </w:r>
    </w:p>
    <w:p w14:paraId="39E9F9E5" w14:textId="77777777" w:rsidR="00BE714A" w:rsidRDefault="00BE714A" w:rsidP="00BE714A">
      <w:pPr>
        <w:pStyle w:val="Bibliography"/>
      </w:pPr>
      <w:bookmarkStart w:id="292" w:name="ref-gwet2008"/>
      <w:bookmarkEnd w:id="291"/>
      <w:r>
        <w:t xml:space="preserve">145. </w:t>
      </w:r>
      <w:r>
        <w:tab/>
        <w:t xml:space="preserve">Gwet, K. L. Computing inter-rater reliability and its variance in the presence of high agreement. </w:t>
      </w:r>
      <w:r>
        <w:rPr>
          <w:i/>
          <w:iCs/>
        </w:rPr>
        <w:t>British Journal of Mathematical and Statistical Psychology</w:t>
      </w:r>
      <w:r>
        <w:t xml:space="preserve"> </w:t>
      </w:r>
      <w:r>
        <w:rPr>
          <w:b/>
          <w:bCs/>
        </w:rPr>
        <w:t>61</w:t>
      </w:r>
      <w:r>
        <w:t>, 29–48 (2008).</w:t>
      </w:r>
    </w:p>
    <w:p w14:paraId="60249191" w14:textId="77777777" w:rsidR="00BE714A" w:rsidRDefault="00BE714A" w:rsidP="00BE714A">
      <w:pPr>
        <w:pStyle w:val="Bibliography"/>
      </w:pPr>
      <w:bookmarkStart w:id="293" w:name="ref-cohen1960"/>
      <w:bookmarkEnd w:id="292"/>
      <w:r>
        <w:t xml:space="preserve">146. </w:t>
      </w:r>
      <w:r>
        <w:tab/>
        <w:t xml:space="preserve">Cohen, J. A Coefficient of Agreement for Nominal Scales. </w:t>
      </w:r>
      <w:r>
        <w:rPr>
          <w:i/>
          <w:iCs/>
        </w:rPr>
        <w:t>Educational and Psychological Measurement</w:t>
      </w:r>
      <w:r>
        <w:t xml:space="preserve"> </w:t>
      </w:r>
      <w:r>
        <w:rPr>
          <w:b/>
          <w:bCs/>
        </w:rPr>
        <w:t>20</w:t>
      </w:r>
      <w:r>
        <w:t>, 37–46 (1960).</w:t>
      </w:r>
    </w:p>
    <w:p w14:paraId="75F15D89" w14:textId="77777777" w:rsidR="00BE714A" w:rsidRDefault="00BE714A" w:rsidP="00BE714A">
      <w:pPr>
        <w:pStyle w:val="Bibliography"/>
      </w:pPr>
      <w:bookmarkStart w:id="294" w:name="ref-wongpakaran2013"/>
      <w:bookmarkEnd w:id="293"/>
      <w:r>
        <w:t xml:space="preserve">147. </w:t>
      </w:r>
      <w:r>
        <w:tab/>
        <w:t xml:space="preserve">Wongpakaran, N., Wongpakaran, T., Wedding, D. &amp; Gwet, K. L. A comparison of Cohen’s Kappa and Gwet’s AC1 when calculating inter-rater reliability coefficients: A study conducted with personality disorder samples. </w:t>
      </w:r>
      <w:r>
        <w:rPr>
          <w:i/>
          <w:iCs/>
        </w:rPr>
        <w:t>BMC Medical Research Methodology</w:t>
      </w:r>
      <w:r>
        <w:t xml:space="preserve"> </w:t>
      </w:r>
      <w:r>
        <w:rPr>
          <w:b/>
          <w:bCs/>
        </w:rPr>
        <w:t>13</w:t>
      </w:r>
      <w:r>
        <w:t>, 61 (2013).</w:t>
      </w:r>
    </w:p>
    <w:p w14:paraId="479E4642" w14:textId="77777777" w:rsidR="00BE714A" w:rsidRDefault="00BE714A" w:rsidP="00BE714A">
      <w:pPr>
        <w:pStyle w:val="Bibliography"/>
      </w:pPr>
      <w:bookmarkStart w:id="295" w:name="ref-mchugh2012"/>
      <w:bookmarkEnd w:id="294"/>
      <w:r>
        <w:t xml:space="preserve">148. </w:t>
      </w:r>
      <w:r>
        <w:tab/>
        <w:t xml:space="preserve">McHugh, M. L. Interrater reliability: The kappa statistic. </w:t>
      </w:r>
      <w:r>
        <w:rPr>
          <w:i/>
          <w:iCs/>
        </w:rPr>
        <w:t>Biochemia Medica</w:t>
      </w:r>
      <w:r>
        <w:t xml:space="preserve"> </w:t>
      </w:r>
      <w:r>
        <w:rPr>
          <w:b/>
          <w:bCs/>
        </w:rPr>
        <w:t>22</w:t>
      </w:r>
      <w:r>
        <w:t>, 276–282 (2012).</w:t>
      </w:r>
    </w:p>
    <w:p w14:paraId="1DFA24A0" w14:textId="77777777" w:rsidR="00BE714A" w:rsidRDefault="00BE714A" w:rsidP="00BE714A">
      <w:pPr>
        <w:pStyle w:val="Bibliography"/>
      </w:pPr>
      <w:bookmarkStart w:id="296" w:name="ref-sim2005"/>
      <w:bookmarkEnd w:id="295"/>
      <w:r>
        <w:t xml:space="preserve">149. </w:t>
      </w:r>
      <w:r>
        <w:tab/>
        <w:t xml:space="preserve">Sim, J. &amp; Wright, C. C. The Kappa Statistic in Reliability Studies: Use, Interpretation, and Sample Size Requirements. </w:t>
      </w:r>
      <w:r>
        <w:rPr>
          <w:i/>
          <w:iCs/>
        </w:rPr>
        <w:t>Physical Therapy</w:t>
      </w:r>
      <w:r>
        <w:t xml:space="preserve"> </w:t>
      </w:r>
      <w:r>
        <w:rPr>
          <w:b/>
          <w:bCs/>
        </w:rPr>
        <w:t>85</w:t>
      </w:r>
      <w:r>
        <w:t>, 257–268 (2005).</w:t>
      </w:r>
    </w:p>
    <w:p w14:paraId="205BCF04" w14:textId="77777777" w:rsidR="00BE714A" w:rsidRDefault="00BE714A" w:rsidP="00BE714A">
      <w:pPr>
        <w:pStyle w:val="Bibliography"/>
      </w:pPr>
      <w:bookmarkStart w:id="297" w:name="ref-feinstein1990"/>
      <w:bookmarkEnd w:id="296"/>
      <w:r>
        <w:t xml:space="preserve">150. </w:t>
      </w:r>
      <w:r>
        <w:tab/>
        <w:t xml:space="preserve">Feinstein, A. R. &amp; Cicchetti, D. V. High agreement but low kappa: I. The problems of two paradoxes. </w:t>
      </w:r>
      <w:r>
        <w:rPr>
          <w:i/>
          <w:iCs/>
        </w:rPr>
        <w:t>Journal of Clinical Epidemiology</w:t>
      </w:r>
      <w:r>
        <w:t xml:space="preserve"> </w:t>
      </w:r>
      <w:r>
        <w:rPr>
          <w:b/>
          <w:bCs/>
        </w:rPr>
        <w:t>43</w:t>
      </w:r>
      <w:r>
        <w:t>, 543–549 (1990).</w:t>
      </w:r>
    </w:p>
    <w:p w14:paraId="7D218B77" w14:textId="77777777" w:rsidR="00BE714A" w:rsidRDefault="00BE714A" w:rsidP="00BE714A">
      <w:pPr>
        <w:pStyle w:val="Bibliography"/>
      </w:pPr>
      <w:bookmarkStart w:id="298" w:name="ref-guyatt2011"/>
      <w:bookmarkEnd w:id="297"/>
      <w:r>
        <w:t xml:space="preserve">151. </w:t>
      </w:r>
      <w:r>
        <w:tab/>
        <w:t xml:space="preserve">Guyatt, G. H. </w:t>
      </w:r>
      <w:r>
        <w:rPr>
          <w:i/>
          <w:iCs/>
        </w:rPr>
        <w:t>et al.</w:t>
      </w:r>
      <w:r>
        <w:t xml:space="preserve"> GRADE guidelines: 9. Rating up the quality of evidence. </w:t>
      </w:r>
      <w:r>
        <w:rPr>
          <w:i/>
          <w:iCs/>
        </w:rPr>
        <w:t>Journal of Clinical Epidemiology</w:t>
      </w:r>
      <w:r>
        <w:t xml:space="preserve"> </w:t>
      </w:r>
      <w:r>
        <w:rPr>
          <w:b/>
          <w:bCs/>
        </w:rPr>
        <w:t>64</w:t>
      </w:r>
      <w:r>
        <w:t>, 1311–1316 (2011).</w:t>
      </w:r>
    </w:p>
    <w:p w14:paraId="0AF04B38" w14:textId="77777777" w:rsidR="00BE714A" w:rsidRDefault="00BE714A" w:rsidP="00BE714A">
      <w:pPr>
        <w:pStyle w:val="Bibliography"/>
      </w:pPr>
      <w:bookmarkStart w:id="299" w:name="ref-shi2021"/>
      <w:bookmarkEnd w:id="298"/>
      <w:r>
        <w:t xml:space="preserve">152. </w:t>
      </w:r>
      <w:r>
        <w:tab/>
        <w:t xml:space="preserve">Shi, X. </w:t>
      </w:r>
      <w:r>
        <w:rPr>
          <w:i/>
          <w:iCs/>
        </w:rPr>
        <w:t>et al.</w:t>
      </w:r>
      <w:r>
        <w:t xml:space="preserve"> Assessment of Concordance and Discordance Among Clinical Studies Posted as Preprints and Subsequently Published in High-Impact Journals. </w:t>
      </w:r>
      <w:r>
        <w:rPr>
          <w:i/>
          <w:iCs/>
        </w:rPr>
        <w:t>JAMA Network Open</w:t>
      </w:r>
      <w:r>
        <w:t xml:space="preserve"> </w:t>
      </w:r>
      <w:r>
        <w:rPr>
          <w:b/>
          <w:bCs/>
        </w:rPr>
        <w:t>4</w:t>
      </w:r>
      <w:r>
        <w:t>, e212110 (2021).</w:t>
      </w:r>
    </w:p>
    <w:p w14:paraId="3F8267E7" w14:textId="77777777" w:rsidR="00BE714A" w:rsidRDefault="00BE714A" w:rsidP="00BE714A">
      <w:pPr>
        <w:pStyle w:val="Bibliography"/>
      </w:pPr>
      <w:bookmarkStart w:id="300" w:name="ref-carneiro2020"/>
      <w:bookmarkEnd w:id="299"/>
      <w:r>
        <w:t xml:space="preserve">153. </w:t>
      </w:r>
      <w:r>
        <w:tab/>
        <w:t xml:space="preserve">Carneiro, C. F. D. </w:t>
      </w:r>
      <w:r>
        <w:rPr>
          <w:i/>
          <w:iCs/>
        </w:rPr>
        <w:t>et al.</w:t>
      </w:r>
      <w:r>
        <w:t xml:space="preserve"> Comparing quality of reporting between preprints and peer-reviewed articles in the biomedical literature. </w:t>
      </w:r>
      <w:r>
        <w:rPr>
          <w:i/>
          <w:iCs/>
        </w:rPr>
        <w:t>Research Integrity and Peer Review</w:t>
      </w:r>
      <w:r>
        <w:t xml:space="preserve"> </w:t>
      </w:r>
      <w:r>
        <w:rPr>
          <w:b/>
          <w:bCs/>
        </w:rPr>
        <w:t>5</w:t>
      </w:r>
      <w:r>
        <w:t>, 16 (2020).</w:t>
      </w:r>
    </w:p>
    <w:p w14:paraId="08D8EA7A" w14:textId="77777777" w:rsidR="00BE714A" w:rsidRDefault="00BE714A" w:rsidP="00BE714A">
      <w:pPr>
        <w:pStyle w:val="Bibliography"/>
      </w:pPr>
      <w:bookmarkStart w:id="301" w:name="ref-hunter2012"/>
      <w:bookmarkEnd w:id="300"/>
      <w:r>
        <w:t xml:space="preserve">154. </w:t>
      </w:r>
      <w:r>
        <w:tab/>
        <w:t xml:space="preserve">Hunter, J. Post-Publication Peer Review: Opening Up Scientific Conversation. </w:t>
      </w:r>
      <w:r>
        <w:rPr>
          <w:i/>
          <w:iCs/>
        </w:rPr>
        <w:t>Frontiers in Computational Neuroscience</w:t>
      </w:r>
      <w:r>
        <w:t xml:space="preserve"> </w:t>
      </w:r>
      <w:r>
        <w:rPr>
          <w:b/>
          <w:bCs/>
        </w:rPr>
        <w:t>6</w:t>
      </w:r>
      <w:r>
        <w:t>, (2012).</w:t>
      </w:r>
    </w:p>
    <w:p w14:paraId="04A810D5" w14:textId="77777777" w:rsidR="00BE714A" w:rsidRDefault="00BE714A" w:rsidP="00BE714A">
      <w:pPr>
        <w:pStyle w:val="Bibliography"/>
      </w:pPr>
      <w:bookmarkStart w:id="302" w:name="ref-hsieh2019"/>
      <w:bookmarkEnd w:id="301"/>
      <w:r>
        <w:t xml:space="preserve">155. </w:t>
      </w:r>
      <w:r>
        <w:tab/>
        <w:t xml:space="preserve">Hsieh, C.-Y. </w:t>
      </w:r>
      <w:r>
        <w:rPr>
          <w:i/>
          <w:iCs/>
        </w:rPr>
        <w:t>et al.</w:t>
      </w:r>
      <w:r>
        <w:t xml:space="preserve"> Taiwan’s National Health Insurance Research Database: Past and future. </w:t>
      </w:r>
      <w:r>
        <w:rPr>
          <w:i/>
          <w:iCs/>
        </w:rPr>
        <w:t>Clinical Epidemiology</w:t>
      </w:r>
      <w:r>
        <w:t xml:space="preserve"> </w:t>
      </w:r>
      <w:r>
        <w:rPr>
          <w:b/>
          <w:bCs/>
        </w:rPr>
        <w:t>11</w:t>
      </w:r>
      <w:r>
        <w:t>, 349–358 (2019).</w:t>
      </w:r>
    </w:p>
    <w:p w14:paraId="3E9A6BEF" w14:textId="77777777" w:rsidR="00BE714A" w:rsidRDefault="00BE714A" w:rsidP="00BE714A">
      <w:pPr>
        <w:pStyle w:val="Bibliography"/>
      </w:pPr>
      <w:bookmarkStart w:id="303" w:name="ref-yang2020"/>
      <w:bookmarkEnd w:id="302"/>
      <w:r>
        <w:lastRenderedPageBreak/>
        <w:t xml:space="preserve">156. </w:t>
      </w:r>
      <w:r>
        <w:tab/>
        <w:t xml:space="preserve">Yang, Z. </w:t>
      </w:r>
      <w:r>
        <w:rPr>
          <w:i/>
          <w:iCs/>
        </w:rPr>
        <w:t>et al.</w:t>
      </w:r>
      <w:r>
        <w:t xml:space="preserve"> Association of blood lipids, atherosclerosis and statin use with dementia and cognitive impairment after stroke: A systematic review and meta-analysis. </w:t>
      </w:r>
      <w:r>
        <w:rPr>
          <w:i/>
          <w:iCs/>
        </w:rPr>
        <w:t>Ageing Research Reviews</w:t>
      </w:r>
      <w:r>
        <w:t xml:space="preserve"> </w:t>
      </w:r>
      <w:r>
        <w:rPr>
          <w:b/>
          <w:bCs/>
        </w:rPr>
        <w:t>57</w:t>
      </w:r>
      <w:r>
        <w:t>, 100962 (2020).</w:t>
      </w:r>
    </w:p>
    <w:p w14:paraId="452B7E46" w14:textId="77777777" w:rsidR="00BE714A" w:rsidRDefault="00BE714A" w:rsidP="00BE714A">
      <w:pPr>
        <w:pStyle w:val="Bibliography"/>
      </w:pPr>
      <w:bookmarkStart w:id="304" w:name="ref-muangpaisan2010"/>
      <w:bookmarkEnd w:id="303"/>
      <w:r>
        <w:t xml:space="preserve">157. </w:t>
      </w:r>
      <w:r>
        <w:tab/>
        <w:t xml:space="preserve">Muangpaisan, W., Brayne, C. &amp; the Alzheimer’s Society Vascular Dementia Systematic Review Group. Systematic review of statins for the prevention of vascular dementia or dementia. </w:t>
      </w:r>
      <w:r>
        <w:rPr>
          <w:i/>
          <w:iCs/>
        </w:rPr>
        <w:t>Geriatrics &amp; Gerontology International</w:t>
      </w:r>
      <w:r>
        <w:t xml:space="preserve"> (2010). doi:</w:t>
      </w:r>
      <w:hyperlink r:id="rId35">
        <w:r>
          <w:rPr>
            <w:rStyle w:val="Hyperlink"/>
          </w:rPr>
          <w:t>10.1111/j.1447-0594.2009.00579.x</w:t>
        </w:r>
      </w:hyperlink>
    </w:p>
    <w:p w14:paraId="30982417" w14:textId="77777777" w:rsidR="00BE714A" w:rsidRDefault="00BE714A" w:rsidP="00BE714A">
      <w:pPr>
        <w:pStyle w:val="Bibliography"/>
      </w:pPr>
      <w:bookmarkStart w:id="305" w:name="ref-poly2020b"/>
      <w:bookmarkEnd w:id="304"/>
      <w:r>
        <w:t xml:space="preserve">158. </w:t>
      </w:r>
      <w:r>
        <w:tab/>
        <w:t xml:space="preserve">Poly, T. N. </w:t>
      </w:r>
      <w:r>
        <w:rPr>
          <w:i/>
          <w:iCs/>
        </w:rPr>
        <w:t>et al.</w:t>
      </w:r>
      <w:r>
        <w:t xml:space="preserve"> Association between Use of Statin and Risk of Dementia: A Meta-Analysis of Observational Studies. </w:t>
      </w:r>
      <w:r>
        <w:rPr>
          <w:i/>
          <w:iCs/>
        </w:rPr>
        <w:t>Neuroepidemiology</w:t>
      </w:r>
      <w:r>
        <w:t xml:space="preserve"> </w:t>
      </w:r>
      <w:r>
        <w:rPr>
          <w:b/>
          <w:bCs/>
        </w:rPr>
        <w:t>54</w:t>
      </w:r>
      <w:r>
        <w:t>, 214–226 (2020).</w:t>
      </w:r>
    </w:p>
    <w:p w14:paraId="57AD45F8" w14:textId="77777777" w:rsidR="00BE714A" w:rsidRDefault="00BE714A" w:rsidP="00BE714A">
      <w:pPr>
        <w:pStyle w:val="Bibliography"/>
      </w:pPr>
      <w:bookmarkStart w:id="306" w:name="ref-larsson2017a"/>
      <w:bookmarkEnd w:id="305"/>
      <w:r>
        <w:t xml:space="preserve">159. </w:t>
      </w:r>
      <w:r>
        <w:tab/>
        <w:t xml:space="preserve">Larsson, S. C. </w:t>
      </w:r>
      <w:r>
        <w:rPr>
          <w:i/>
          <w:iCs/>
        </w:rPr>
        <w:t>et al.</w:t>
      </w:r>
      <w:r>
        <w:t xml:space="preserve"> Modifiable pathways in Alzheimer’s disease: Mendelian randomisation analysis. </w:t>
      </w:r>
      <w:r>
        <w:rPr>
          <w:i/>
          <w:iCs/>
        </w:rPr>
        <w:t>BMJ</w:t>
      </w:r>
      <w:r>
        <w:t xml:space="preserve"> </w:t>
      </w:r>
      <w:r>
        <w:rPr>
          <w:b/>
          <w:bCs/>
        </w:rPr>
        <w:t>359</w:t>
      </w:r>
      <w:r>
        <w:t>, j5375 (2017).</w:t>
      </w:r>
    </w:p>
    <w:p w14:paraId="2D621D1A" w14:textId="77777777" w:rsidR="00BE714A" w:rsidRDefault="00BE714A" w:rsidP="00BE714A">
      <w:pPr>
        <w:pStyle w:val="Bibliography"/>
      </w:pPr>
      <w:bookmarkStart w:id="307" w:name="ref-walker2016a"/>
      <w:bookmarkEnd w:id="306"/>
      <w:r>
        <w:t xml:space="preserve">160. </w:t>
      </w:r>
      <w:r>
        <w:tab/>
        <w:t xml:space="preserve">Walker, V. M., Davies, N. M., Jones, T., Kehoe, P. G. &amp; Martin, R. M. Can commonly prescribed drugs be repurposed for the prevention or treatment of Alzheimers and other neurodegenerative diseases? Protocol for an observational cohort study in the UK Clinical Practice Research Datalink. </w:t>
      </w:r>
      <w:r>
        <w:rPr>
          <w:i/>
          <w:iCs/>
        </w:rPr>
        <w:t>BMJ Open</w:t>
      </w:r>
      <w:r>
        <w:t xml:space="preserve"> </w:t>
      </w:r>
      <w:r>
        <w:rPr>
          <w:b/>
          <w:bCs/>
        </w:rPr>
        <w:t>6</w:t>
      </w:r>
      <w:r>
        <w:t>, (2016).</w:t>
      </w:r>
    </w:p>
    <w:p w14:paraId="28033867" w14:textId="77777777" w:rsidR="00BE714A" w:rsidRDefault="00BE714A" w:rsidP="00BE714A">
      <w:pPr>
        <w:pStyle w:val="Bibliography"/>
      </w:pPr>
      <w:bookmarkStart w:id="308" w:name="ref-vonelm2008"/>
      <w:bookmarkEnd w:id="307"/>
      <w:r>
        <w:t xml:space="preserve">161. </w:t>
      </w:r>
      <w:r>
        <w:tab/>
        <w:t xml:space="preserve">von Elm, E. </w:t>
      </w:r>
      <w:r>
        <w:rPr>
          <w:i/>
          <w:iCs/>
        </w:rPr>
        <w:t>et al.</w:t>
      </w:r>
      <w:r>
        <w:t xml:space="preserve"> The Strengthening the Reporting of Observational Studies in Epidemiology (STROBE) statement: Guidelines for reporting observational studies. </w:t>
      </w:r>
      <w:r>
        <w:rPr>
          <w:i/>
          <w:iCs/>
        </w:rPr>
        <w:t>Journal of Clinical Epidemiology</w:t>
      </w:r>
      <w:r>
        <w:t xml:space="preserve"> </w:t>
      </w:r>
      <w:r>
        <w:rPr>
          <w:b/>
          <w:bCs/>
        </w:rPr>
        <w:t>61</w:t>
      </w:r>
      <w:r>
        <w:t>, 344–349 (2008).</w:t>
      </w:r>
    </w:p>
    <w:p w14:paraId="1E97859C" w14:textId="77777777" w:rsidR="00BE714A" w:rsidRDefault="00BE714A" w:rsidP="00BE714A">
      <w:pPr>
        <w:pStyle w:val="Bibliography"/>
      </w:pPr>
      <w:bookmarkStart w:id="309" w:name="ref-herrett2015"/>
      <w:bookmarkEnd w:id="308"/>
      <w:r>
        <w:t xml:space="preserve">162. </w:t>
      </w:r>
      <w:r>
        <w:tab/>
        <w:t xml:space="preserve">Herrett, E. </w:t>
      </w:r>
      <w:r>
        <w:rPr>
          <w:i/>
          <w:iCs/>
        </w:rPr>
        <w:t>et al.</w:t>
      </w:r>
      <w:r>
        <w:t xml:space="preserve"> Data Resource Profile: Clinical Practice Research Datalink (CPRD). </w:t>
      </w:r>
      <w:r>
        <w:rPr>
          <w:i/>
          <w:iCs/>
        </w:rPr>
        <w:t>International Journal of Epidemiology</w:t>
      </w:r>
      <w:r>
        <w:t xml:space="preserve"> </w:t>
      </w:r>
      <w:r>
        <w:rPr>
          <w:b/>
          <w:bCs/>
        </w:rPr>
        <w:t>44</w:t>
      </w:r>
      <w:r>
        <w:t>, 827–836 (2015).</w:t>
      </w:r>
    </w:p>
    <w:p w14:paraId="35ED825F" w14:textId="77777777" w:rsidR="00BE714A" w:rsidRDefault="00BE714A" w:rsidP="00BE714A">
      <w:pPr>
        <w:pStyle w:val="Bibliography"/>
      </w:pPr>
      <w:bookmarkStart w:id="310" w:name="ref-williams2012"/>
      <w:bookmarkEnd w:id="309"/>
      <w:r>
        <w:t xml:space="preserve">163. </w:t>
      </w:r>
      <w:r>
        <w:tab/>
        <w:t xml:space="preserve">Williams, T., van Staa, T., Puri, S. &amp; Eaton, S. Recent advances in the utility and use of the General Practice Research Database as an example of a UK Primary Care Data resource. </w:t>
      </w:r>
      <w:r>
        <w:rPr>
          <w:i/>
          <w:iCs/>
        </w:rPr>
        <w:t>Therapeutic Advances in Drug Safety</w:t>
      </w:r>
      <w:r>
        <w:t xml:space="preserve"> </w:t>
      </w:r>
      <w:r>
        <w:rPr>
          <w:b/>
          <w:bCs/>
        </w:rPr>
        <w:t>3</w:t>
      </w:r>
      <w:r>
        <w:t>, 89–99 (2012).</w:t>
      </w:r>
    </w:p>
    <w:p w14:paraId="73AF4209" w14:textId="77777777" w:rsidR="00BE714A" w:rsidRDefault="00BE714A" w:rsidP="00BE714A">
      <w:pPr>
        <w:pStyle w:val="Bibliography"/>
      </w:pPr>
      <w:bookmarkStart w:id="311" w:name="ref-wood2001revitalizing"/>
      <w:bookmarkEnd w:id="310"/>
      <w:r>
        <w:t xml:space="preserve">164. </w:t>
      </w:r>
      <w:r>
        <w:tab/>
        <w:t xml:space="preserve">Wood, L. &amp; Coulson, R. Revitalizing the general practice research database: Plans, challenges, and opportunities. </w:t>
      </w:r>
      <w:r>
        <w:rPr>
          <w:i/>
          <w:iCs/>
        </w:rPr>
        <w:t>Pharmacoepidemiology and drug safety</w:t>
      </w:r>
      <w:r>
        <w:t xml:space="preserve"> </w:t>
      </w:r>
      <w:r>
        <w:rPr>
          <w:b/>
          <w:bCs/>
        </w:rPr>
        <w:t>10</w:t>
      </w:r>
      <w:r>
        <w:t>, 379–383 (2001).</w:t>
      </w:r>
    </w:p>
    <w:p w14:paraId="25855712" w14:textId="77777777" w:rsidR="00BE714A" w:rsidRDefault="00BE714A" w:rsidP="00BE714A">
      <w:pPr>
        <w:pStyle w:val="Bibliography"/>
      </w:pPr>
      <w:bookmarkStart w:id="312" w:name="ref-mathur2014"/>
      <w:bookmarkEnd w:id="311"/>
      <w:r>
        <w:t xml:space="preserve">165. </w:t>
      </w:r>
      <w:r>
        <w:tab/>
        <w:t xml:space="preserve">Mathur, R. </w:t>
      </w:r>
      <w:r>
        <w:rPr>
          <w:i/>
          <w:iCs/>
        </w:rPr>
        <w:t>et al.</w:t>
      </w:r>
      <w:r>
        <w:t xml:space="preserve"> Completeness and usability of ethnicity data in UK-based primary care and hospital databases. </w:t>
      </w:r>
      <w:r>
        <w:rPr>
          <w:i/>
          <w:iCs/>
        </w:rPr>
        <w:t>Journal of Public Health (Oxford, England)</w:t>
      </w:r>
      <w:r>
        <w:t xml:space="preserve"> </w:t>
      </w:r>
      <w:r>
        <w:rPr>
          <w:b/>
          <w:bCs/>
        </w:rPr>
        <w:t>36</w:t>
      </w:r>
      <w:r>
        <w:t>, 684–692 (2014).</w:t>
      </w:r>
    </w:p>
    <w:p w14:paraId="076A1480" w14:textId="77777777" w:rsidR="00BE714A" w:rsidRDefault="00BE714A" w:rsidP="00BE714A">
      <w:pPr>
        <w:pStyle w:val="Bibliography"/>
      </w:pPr>
      <w:bookmarkStart w:id="313" w:name="ref-booth1994"/>
      <w:bookmarkEnd w:id="312"/>
      <w:r>
        <w:t xml:space="preserve">166. </w:t>
      </w:r>
      <w:r>
        <w:tab/>
        <w:t xml:space="preserve">Booth, N. What are the Read Codes? </w:t>
      </w:r>
      <w:r>
        <w:rPr>
          <w:i/>
          <w:iCs/>
        </w:rPr>
        <w:t>Health Libraries Review</w:t>
      </w:r>
      <w:r>
        <w:t xml:space="preserve"> </w:t>
      </w:r>
      <w:r>
        <w:rPr>
          <w:b/>
          <w:bCs/>
        </w:rPr>
        <w:t>11</w:t>
      </w:r>
      <w:r>
        <w:t>, 177–182 (1994).</w:t>
      </w:r>
    </w:p>
    <w:p w14:paraId="0BA12681" w14:textId="77777777" w:rsidR="00BE714A" w:rsidRDefault="00BE714A" w:rsidP="00BE714A">
      <w:pPr>
        <w:pStyle w:val="Bibliography"/>
      </w:pPr>
      <w:bookmarkStart w:id="314" w:name="ref-wolf2019"/>
      <w:bookmarkEnd w:id="313"/>
      <w:r>
        <w:t xml:space="preserve">167. </w:t>
      </w:r>
      <w:r>
        <w:tab/>
        <w:t xml:space="preserve">Wolf, A. </w:t>
      </w:r>
      <w:r>
        <w:rPr>
          <w:i/>
          <w:iCs/>
        </w:rPr>
        <w:t>et al.</w:t>
      </w:r>
      <w:r>
        <w:t xml:space="preserve"> Data resource profile: Clinical Practice Research Datalink (CPRD) Aurum. </w:t>
      </w:r>
      <w:r>
        <w:rPr>
          <w:i/>
          <w:iCs/>
        </w:rPr>
        <w:t>International Journal of Epidemiology</w:t>
      </w:r>
      <w:r>
        <w:t xml:space="preserve"> </w:t>
      </w:r>
      <w:r>
        <w:rPr>
          <w:b/>
          <w:bCs/>
        </w:rPr>
        <w:t>48</w:t>
      </w:r>
      <w:r>
        <w:t>, 1740–1740g (2019).</w:t>
      </w:r>
    </w:p>
    <w:p w14:paraId="404ED896" w14:textId="77777777" w:rsidR="00BE714A" w:rsidRDefault="00BE714A" w:rsidP="00BE714A">
      <w:pPr>
        <w:pStyle w:val="Bibliography"/>
      </w:pPr>
      <w:bookmarkStart w:id="315" w:name="ref-wishart2017"/>
      <w:bookmarkEnd w:id="314"/>
      <w:r>
        <w:t xml:space="preserve">168. </w:t>
      </w:r>
      <w:r>
        <w:tab/>
        <w:t xml:space="preserve">Wishart, D. S. </w:t>
      </w:r>
      <w:r>
        <w:rPr>
          <w:i/>
          <w:iCs/>
        </w:rPr>
        <w:t>et al.</w:t>
      </w:r>
      <w:r>
        <w:t xml:space="preserve"> DrugBank 5.0: A major update to the DrugBank database for 2018. </w:t>
      </w:r>
      <w:r>
        <w:rPr>
          <w:i/>
          <w:iCs/>
        </w:rPr>
        <w:t>Nucleic Acids Research</w:t>
      </w:r>
      <w:r>
        <w:t xml:space="preserve"> </w:t>
      </w:r>
      <w:r>
        <w:rPr>
          <w:b/>
          <w:bCs/>
        </w:rPr>
        <w:t>46</w:t>
      </w:r>
      <w:r>
        <w:t>, D1074–D1082 (2017).</w:t>
      </w:r>
    </w:p>
    <w:p w14:paraId="2BD7D566" w14:textId="77777777" w:rsidR="00BE714A" w:rsidRDefault="00BE714A" w:rsidP="00BE714A">
      <w:pPr>
        <w:pStyle w:val="Bibliography"/>
      </w:pPr>
      <w:bookmarkStart w:id="316" w:name="ref-lipsitch2010"/>
      <w:bookmarkEnd w:id="315"/>
      <w:r>
        <w:t xml:space="preserve">169. </w:t>
      </w:r>
      <w:r>
        <w:tab/>
        <w:t xml:space="preserve">Lipsitch, M., Tchetgen, E. T. &amp; Cohen, T. Negative Controls: A Tool for Detecting Confounding and Bias in Observational Studies. </w:t>
      </w:r>
      <w:r>
        <w:rPr>
          <w:i/>
          <w:iCs/>
        </w:rPr>
        <w:t>Epidemiology (Cambridge, Mass.)</w:t>
      </w:r>
      <w:r>
        <w:t xml:space="preserve"> </w:t>
      </w:r>
      <w:r>
        <w:rPr>
          <w:b/>
          <w:bCs/>
        </w:rPr>
        <w:t>21</w:t>
      </w:r>
      <w:r>
        <w:t>, 383–388 (2010).</w:t>
      </w:r>
    </w:p>
    <w:p w14:paraId="12227AE8" w14:textId="77777777" w:rsidR="00BE714A" w:rsidRDefault="00BE714A" w:rsidP="00BE714A">
      <w:pPr>
        <w:pStyle w:val="Bibliography"/>
      </w:pPr>
      <w:bookmarkStart w:id="317" w:name="ref-collins2016a"/>
      <w:bookmarkEnd w:id="316"/>
      <w:r>
        <w:lastRenderedPageBreak/>
        <w:t xml:space="preserve">170. </w:t>
      </w:r>
      <w:r>
        <w:tab/>
        <w:t xml:space="preserve">Collins, R. </w:t>
      </w:r>
      <w:r>
        <w:rPr>
          <w:i/>
          <w:iCs/>
        </w:rPr>
        <w:t>et al.</w:t>
      </w:r>
      <w:r>
        <w:t xml:space="preserve"> Interpretation of the evidence for the efficacy and safety of statin therapy. </w:t>
      </w:r>
      <w:r>
        <w:rPr>
          <w:i/>
          <w:iCs/>
        </w:rPr>
        <w:t>The Lancet</w:t>
      </w:r>
      <w:r>
        <w:t xml:space="preserve"> </w:t>
      </w:r>
      <w:r>
        <w:rPr>
          <w:b/>
          <w:bCs/>
        </w:rPr>
        <w:t>388</w:t>
      </w:r>
      <w:r>
        <w:t>, 2532–2561 (2016).</w:t>
      </w:r>
    </w:p>
    <w:p w14:paraId="4FD1C962" w14:textId="77777777" w:rsidR="00BE714A" w:rsidRDefault="00BE714A" w:rsidP="00BE714A">
      <w:pPr>
        <w:pStyle w:val="Bibliography"/>
      </w:pPr>
      <w:bookmarkStart w:id="318" w:name="ref-herrett2021"/>
      <w:bookmarkEnd w:id="317"/>
      <w:r>
        <w:t xml:space="preserve">171. </w:t>
      </w:r>
      <w:r>
        <w:tab/>
        <w:t xml:space="preserve">Herrett, E. </w:t>
      </w:r>
      <w:r>
        <w:rPr>
          <w:i/>
          <w:iCs/>
        </w:rPr>
        <w:t>et al.</w:t>
      </w:r>
      <w:r>
        <w:t xml:space="preserve"> Statin treatment and muscle symptoms: Series of randomised, placebo controlled n-of-1 trials. </w:t>
      </w:r>
      <w:r>
        <w:rPr>
          <w:i/>
          <w:iCs/>
        </w:rPr>
        <w:t>BMJ</w:t>
      </w:r>
      <w:r>
        <w:t xml:space="preserve"> </w:t>
      </w:r>
      <w:r>
        <w:rPr>
          <w:b/>
          <w:bCs/>
        </w:rPr>
        <w:t>372</w:t>
      </w:r>
      <w:r>
        <w:t>, n135 (2021).</w:t>
      </w:r>
    </w:p>
    <w:p w14:paraId="3E2789CC" w14:textId="77777777" w:rsidR="00BE714A" w:rsidRDefault="00BE714A" w:rsidP="00BE714A">
      <w:pPr>
        <w:pStyle w:val="Bibliography"/>
      </w:pPr>
      <w:bookmarkStart w:id="319" w:name="ref-charlson1987new"/>
      <w:bookmarkEnd w:id="318"/>
      <w:r>
        <w:t xml:space="preserve">172. </w:t>
      </w:r>
      <w:r>
        <w:tab/>
        <w:t xml:space="preserve">Charlson, M. E., Pompei, P., Ales, K. L. &amp; MacKenzie, C. R. A new method of classifying prognostic comorbidity in longitudinal studies: Development and validation. </w:t>
      </w:r>
      <w:r>
        <w:rPr>
          <w:i/>
          <w:iCs/>
        </w:rPr>
        <w:t>Journal of chronic diseases</w:t>
      </w:r>
      <w:r>
        <w:t xml:space="preserve"> </w:t>
      </w:r>
      <w:r>
        <w:rPr>
          <w:b/>
          <w:bCs/>
        </w:rPr>
        <w:t>40</w:t>
      </w:r>
      <w:r>
        <w:t>, 373–383 (1987).</w:t>
      </w:r>
    </w:p>
    <w:p w14:paraId="0DDE1EBF" w14:textId="77777777" w:rsidR="00BE714A" w:rsidRDefault="00BE714A" w:rsidP="00BE714A">
      <w:pPr>
        <w:pStyle w:val="Bibliography"/>
      </w:pPr>
      <w:bookmarkStart w:id="320" w:name="ref-wells2013strategies"/>
      <w:bookmarkEnd w:id="319"/>
      <w:r>
        <w:t xml:space="preserve">173. </w:t>
      </w:r>
      <w:r>
        <w:tab/>
        <w:t xml:space="preserve">Wells, B. J., Chagin, K. M., Nowacki, A. S. &amp; Kattan, M. W. Strategies for handling missing data in electronic health record derived data. </w:t>
      </w:r>
      <w:r>
        <w:rPr>
          <w:i/>
          <w:iCs/>
        </w:rPr>
        <w:t>Egems</w:t>
      </w:r>
      <w:r>
        <w:t xml:space="preserve"> </w:t>
      </w:r>
      <w:r>
        <w:rPr>
          <w:b/>
          <w:bCs/>
        </w:rPr>
        <w:t>1</w:t>
      </w:r>
      <w:r>
        <w:t>, (2013).</w:t>
      </w:r>
    </w:p>
    <w:p w14:paraId="1D4E2B61" w14:textId="77777777" w:rsidR="00BE714A" w:rsidRDefault="00BE714A" w:rsidP="00BE714A">
      <w:pPr>
        <w:pStyle w:val="Bibliography"/>
      </w:pPr>
      <w:bookmarkStart w:id="321" w:name="ref-sterne2009a"/>
      <w:bookmarkEnd w:id="320"/>
      <w:r>
        <w:t xml:space="preserve">174. </w:t>
      </w:r>
      <w:r>
        <w:tab/>
        <w:t xml:space="preserve">Sterne, J. A. C. </w:t>
      </w:r>
      <w:r>
        <w:rPr>
          <w:i/>
          <w:iCs/>
        </w:rPr>
        <w:t>et al.</w:t>
      </w:r>
      <w:r>
        <w:t xml:space="preserve"> Multiple imputation for missing data in epidemiological and clinical research: Potential and pitfalls. </w:t>
      </w:r>
      <w:r>
        <w:rPr>
          <w:i/>
          <w:iCs/>
        </w:rPr>
        <w:t>BMJ</w:t>
      </w:r>
      <w:r>
        <w:t xml:space="preserve"> </w:t>
      </w:r>
      <w:r>
        <w:rPr>
          <w:b/>
          <w:bCs/>
        </w:rPr>
        <w:t>338</w:t>
      </w:r>
      <w:r>
        <w:t>, b2393 (2009).</w:t>
      </w:r>
    </w:p>
    <w:p w14:paraId="5AE2DF3C" w14:textId="77777777" w:rsidR="00BE714A" w:rsidRDefault="00BE714A" w:rsidP="00BE714A">
      <w:pPr>
        <w:pStyle w:val="Bibliography"/>
      </w:pPr>
      <w:bookmarkStart w:id="322" w:name="ref-moons2006using"/>
      <w:bookmarkEnd w:id="321"/>
      <w:r>
        <w:t xml:space="preserve">175. </w:t>
      </w:r>
      <w:r>
        <w:tab/>
        <w:t xml:space="preserve">Moons, K. G., Donders, R. A., Stijnen, T. &amp; Harrell Jr, F. E. Using the outcome for imputation of missing predictor values was preferred. </w:t>
      </w:r>
      <w:r>
        <w:rPr>
          <w:i/>
          <w:iCs/>
        </w:rPr>
        <w:t>Journal of clinical epidemiology</w:t>
      </w:r>
      <w:r>
        <w:t xml:space="preserve"> </w:t>
      </w:r>
      <w:r>
        <w:rPr>
          <w:b/>
          <w:bCs/>
        </w:rPr>
        <w:t>59</w:t>
      </w:r>
      <w:r>
        <w:t>, 1092–1101 (2006).</w:t>
      </w:r>
    </w:p>
    <w:p w14:paraId="4C9AE713" w14:textId="77777777" w:rsidR="00BE714A" w:rsidRDefault="00BE714A" w:rsidP="00BE714A">
      <w:pPr>
        <w:pStyle w:val="Bibliography"/>
      </w:pPr>
      <w:bookmarkStart w:id="323" w:name="ref-pigott2001review"/>
      <w:bookmarkEnd w:id="322"/>
      <w:r>
        <w:t xml:space="preserve">176. </w:t>
      </w:r>
      <w:r>
        <w:tab/>
        <w:t xml:space="preserve">Pigott, T. D. A review of methods for missing data. </w:t>
      </w:r>
      <w:r>
        <w:rPr>
          <w:i/>
          <w:iCs/>
        </w:rPr>
        <w:t>Educational research and evaluation</w:t>
      </w:r>
      <w:r>
        <w:t xml:space="preserve"> </w:t>
      </w:r>
      <w:r>
        <w:rPr>
          <w:b/>
          <w:bCs/>
        </w:rPr>
        <w:t>7</w:t>
      </w:r>
      <w:r>
        <w:t>, 353–383 (2001).</w:t>
      </w:r>
    </w:p>
    <w:p w14:paraId="6D9F9B6B" w14:textId="77777777" w:rsidR="00BE714A" w:rsidRDefault="00BE714A" w:rsidP="00BE714A">
      <w:pPr>
        <w:pStyle w:val="Bibliography"/>
      </w:pPr>
      <w:bookmarkStart w:id="324" w:name="ref-hughes2019a"/>
      <w:bookmarkEnd w:id="323"/>
      <w:r>
        <w:t xml:space="preserve">177. </w:t>
      </w:r>
      <w:r>
        <w:tab/>
        <w:t xml:space="preserve">Hughes, R. A., Heron, J., Sterne, J. A. C. &amp; Tilling, K. Accounting for missing data in statistical analyses: Multiple imputation is not always the answer. </w:t>
      </w:r>
      <w:r>
        <w:rPr>
          <w:i/>
          <w:iCs/>
        </w:rPr>
        <w:t>International Journal of Epidemiology</w:t>
      </w:r>
      <w:r>
        <w:t xml:space="preserve"> </w:t>
      </w:r>
      <w:r>
        <w:rPr>
          <w:b/>
          <w:bCs/>
        </w:rPr>
        <w:t>48</w:t>
      </w:r>
      <w:r>
        <w:t>, 1294–1304 (2019).</w:t>
      </w:r>
    </w:p>
    <w:p w14:paraId="1F1A37B5" w14:textId="77777777" w:rsidR="00BE714A" w:rsidRDefault="00BE714A" w:rsidP="00BE714A">
      <w:pPr>
        <w:pStyle w:val="Bibliography"/>
      </w:pPr>
      <w:bookmarkStart w:id="325" w:name="ref-lamarca1998"/>
      <w:bookmarkEnd w:id="324"/>
      <w:r>
        <w:t xml:space="preserve">178. </w:t>
      </w:r>
      <w:r>
        <w:tab/>
        <w:t xml:space="preserve">Lamarca, R., Alonso, J., Gomez, G. &amp; Munoz, A. Left-truncated Data With Age as Time Scale: An Alternative for Survival Analysis in the Elderly Population. </w:t>
      </w:r>
      <w:r>
        <w:rPr>
          <w:i/>
          <w:iCs/>
        </w:rPr>
        <w:t>The Journals of Gerontology Series A: Biological Sciences and Medical Sciences</w:t>
      </w:r>
      <w:r>
        <w:t xml:space="preserve"> </w:t>
      </w:r>
      <w:r>
        <w:rPr>
          <w:b/>
          <w:bCs/>
        </w:rPr>
        <w:t>53A</w:t>
      </w:r>
      <w:r>
        <w:t>, M337–M343 (1998).</w:t>
      </w:r>
    </w:p>
    <w:p w14:paraId="4BD7DA84" w14:textId="77777777" w:rsidR="00BE714A" w:rsidRDefault="00BE714A" w:rsidP="00BE714A">
      <w:pPr>
        <w:pStyle w:val="Bibliography"/>
      </w:pPr>
      <w:bookmarkStart w:id="326" w:name="ref-gail2009"/>
      <w:bookmarkEnd w:id="325"/>
      <w:r>
        <w:t xml:space="preserve">179. </w:t>
      </w:r>
      <w:r>
        <w:tab/>
        <w:t xml:space="preserve">Gail, M. H., Graubard, B., Williamson, D. F. &amp; Flegal, K. M. Comments on “Choice of time scale and its effect on significance of predictors in longitudinal studies” by Michael J. Pencina,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w:t>
      </w:r>
      <w:r>
        <w:rPr>
          <w:i/>
          <w:iCs/>
        </w:rPr>
        <w:t>Statistics in Medicine</w:t>
      </w:r>
      <w:r>
        <w:t xml:space="preserve"> </w:t>
      </w:r>
      <w:r>
        <w:rPr>
          <w:b/>
          <w:bCs/>
        </w:rPr>
        <w:t>28</w:t>
      </w:r>
      <w:r>
        <w:t>, 1315–1317 (2009).</w:t>
      </w:r>
    </w:p>
    <w:p w14:paraId="32E6E9E6" w14:textId="77777777" w:rsidR="00BE714A" w:rsidRDefault="00BE714A" w:rsidP="00BE714A">
      <w:pPr>
        <w:pStyle w:val="Bibliography"/>
      </w:pPr>
      <w:bookmarkStart w:id="327" w:name="ref-pencina2007"/>
      <w:bookmarkEnd w:id="326"/>
      <w:r>
        <w:t xml:space="preserve">180. </w:t>
      </w:r>
      <w:r>
        <w:tab/>
        <w:t xml:space="preserve">Pencina, M. J., Larson, M. G. &amp; D’Agostino, R. B. Choice of time scale and its effect on significance of predictors in longitudinal studies. </w:t>
      </w:r>
      <w:r>
        <w:rPr>
          <w:i/>
          <w:iCs/>
        </w:rPr>
        <w:t>Statistics in Medicine</w:t>
      </w:r>
      <w:r>
        <w:t xml:space="preserve"> </w:t>
      </w:r>
      <w:r>
        <w:rPr>
          <w:b/>
          <w:bCs/>
        </w:rPr>
        <w:t>26</w:t>
      </w:r>
      <w:r>
        <w:t>, 1343–1359 (2007).</w:t>
      </w:r>
    </w:p>
    <w:p w14:paraId="5FA7DE44" w14:textId="77777777" w:rsidR="00BE714A" w:rsidRDefault="00BE714A" w:rsidP="00BE714A">
      <w:pPr>
        <w:pStyle w:val="Bibliography"/>
      </w:pPr>
      <w:bookmarkStart w:id="328" w:name="ref-levesque2010a"/>
      <w:bookmarkEnd w:id="327"/>
      <w:r>
        <w:t xml:space="preserve">181. </w:t>
      </w:r>
      <w:r>
        <w:tab/>
        <w:t xml:space="preserve">Lévesque, L. E., Hanley, J. A., Kezouh, A. &amp; Suissa, S. Problem of immortal time bias in cohort studies: Example using statins for preventing progression of diabetes. </w:t>
      </w:r>
      <w:r>
        <w:rPr>
          <w:i/>
          <w:iCs/>
        </w:rPr>
        <w:t>BMJ</w:t>
      </w:r>
      <w:r>
        <w:t xml:space="preserve"> </w:t>
      </w:r>
      <w:r>
        <w:rPr>
          <w:b/>
          <w:bCs/>
        </w:rPr>
        <w:t>340</w:t>
      </w:r>
      <w:r>
        <w:t>, b5087 (2010).</w:t>
      </w:r>
    </w:p>
    <w:p w14:paraId="4606BC02" w14:textId="77777777" w:rsidR="00BE714A" w:rsidRDefault="00BE714A" w:rsidP="00BE714A">
      <w:pPr>
        <w:pStyle w:val="Bibliography"/>
      </w:pPr>
      <w:bookmarkStart w:id="329" w:name="ref-levesque2010"/>
      <w:bookmarkEnd w:id="328"/>
      <w:r>
        <w:t xml:space="preserve">182. </w:t>
      </w:r>
      <w:r>
        <w:tab/>
        <w:t xml:space="preserve">Lévesque, L. E., Hanley, J. A., Kezouh, A. &amp; Suissa, S. Problem of immortal time bias in cohort studies: Example using statins for preventing progression of diabetes. </w:t>
      </w:r>
      <w:r>
        <w:rPr>
          <w:i/>
          <w:iCs/>
        </w:rPr>
        <w:t>BMJ</w:t>
      </w:r>
      <w:r>
        <w:t xml:space="preserve"> </w:t>
      </w:r>
      <w:r>
        <w:rPr>
          <w:b/>
          <w:bCs/>
        </w:rPr>
        <w:t>340</w:t>
      </w:r>
      <w:r>
        <w:t>, (2010).</w:t>
      </w:r>
    </w:p>
    <w:p w14:paraId="0B676262" w14:textId="77777777" w:rsidR="00BE714A" w:rsidRDefault="00BE714A" w:rsidP="00BE714A">
      <w:pPr>
        <w:pStyle w:val="Bibliography"/>
      </w:pPr>
      <w:bookmarkStart w:id="330" w:name="ref-ancelin2012"/>
      <w:bookmarkEnd w:id="329"/>
      <w:r>
        <w:lastRenderedPageBreak/>
        <w:t xml:space="preserve">183. </w:t>
      </w:r>
      <w:r>
        <w:tab/>
        <w:t xml:space="preserve">Ancelin, M.-L. </w:t>
      </w:r>
      <w:r>
        <w:rPr>
          <w:i/>
          <w:iCs/>
        </w:rPr>
        <w:t>et al.</w:t>
      </w:r>
      <w:r>
        <w:t xml:space="preserve"> Lipid lowering agents, cognitive decline, and dementia: The three-city study. </w:t>
      </w:r>
      <w:r>
        <w:rPr>
          <w:i/>
          <w:iCs/>
        </w:rPr>
        <w:t>Journal of Alzheimer’s Disease</w:t>
      </w:r>
      <w:r>
        <w:t xml:space="preserve"> </w:t>
      </w:r>
      <w:r>
        <w:rPr>
          <w:b/>
          <w:bCs/>
        </w:rPr>
        <w:t>30</w:t>
      </w:r>
      <w:r>
        <w:t>, 629–637 (2012).</w:t>
      </w:r>
    </w:p>
    <w:p w14:paraId="18361249" w14:textId="77777777" w:rsidR="00BE714A" w:rsidRDefault="00BE714A" w:rsidP="00BE714A">
      <w:pPr>
        <w:pStyle w:val="Bibliography"/>
      </w:pPr>
      <w:bookmarkStart w:id="331" w:name="X49f9892f062f4edfe92b37e5c1639cb4f6c013f"/>
      <w:bookmarkEnd w:id="330"/>
      <w:r>
        <w:t xml:space="preserve">184. </w:t>
      </w:r>
      <w:r>
        <w:tab/>
        <w:t xml:space="preserve">Heart Protection Study Collaborative Group. MRC/BHF Heart Protection Study of cholesterol lowering with simvastatin in 20 536 high-risk individuals: A randomised placebocontrolled trial. </w:t>
      </w:r>
      <w:r>
        <w:rPr>
          <w:i/>
          <w:iCs/>
        </w:rPr>
        <w:t>The Lancet</w:t>
      </w:r>
      <w:r>
        <w:t xml:space="preserve"> </w:t>
      </w:r>
      <w:r>
        <w:rPr>
          <w:b/>
          <w:bCs/>
        </w:rPr>
        <w:t>360</w:t>
      </w:r>
      <w:r>
        <w:t>, 7–22 (2002).</w:t>
      </w:r>
    </w:p>
    <w:p w14:paraId="6D683556" w14:textId="77777777" w:rsidR="00BE714A" w:rsidRDefault="00BE714A" w:rsidP="00BE714A">
      <w:pPr>
        <w:pStyle w:val="Bibliography"/>
      </w:pPr>
      <w:bookmarkStart w:id="332" w:name="ref-poly2020"/>
      <w:bookmarkEnd w:id="331"/>
      <w:r>
        <w:t xml:space="preserve">185. </w:t>
      </w:r>
      <w:r>
        <w:tab/>
        <w:t xml:space="preserve">Poly, T. N. </w:t>
      </w:r>
      <w:r>
        <w:rPr>
          <w:i/>
          <w:iCs/>
        </w:rPr>
        <w:t>et al.</w:t>
      </w:r>
      <w:r>
        <w:t xml:space="preserve"> Association between Use of Statin and Risk of Dementia: A Meta-Analysis of Observational Studies. </w:t>
      </w:r>
      <w:r>
        <w:rPr>
          <w:i/>
          <w:iCs/>
        </w:rPr>
        <w:t>Neuroepidemiology</w:t>
      </w:r>
      <w:r>
        <w:t xml:space="preserve"> </w:t>
      </w:r>
      <w:r>
        <w:rPr>
          <w:b/>
          <w:bCs/>
        </w:rPr>
        <w:t>54</w:t>
      </w:r>
      <w:r>
        <w:t>, 214–226 (2020).</w:t>
      </w:r>
    </w:p>
    <w:p w14:paraId="51D314A2" w14:textId="77777777" w:rsidR="00BE714A" w:rsidRDefault="00BE714A" w:rsidP="00BE714A">
      <w:pPr>
        <w:pStyle w:val="Bibliography"/>
      </w:pPr>
      <w:bookmarkStart w:id="333" w:name="ref-chao2015"/>
      <w:bookmarkEnd w:id="332"/>
      <w:r>
        <w:t xml:space="preserve">186. </w:t>
      </w:r>
      <w:r>
        <w:tab/>
        <w:t xml:space="preserve">Chao, T.-F. </w:t>
      </w:r>
      <w:r>
        <w:rPr>
          <w:i/>
          <w:iCs/>
        </w:rPr>
        <w:t>et al.</w:t>
      </w:r>
      <w:r>
        <w:t xml:space="preserve"> Statins and the risk of dementia in patients with atrial fibrillation: A nationwide population-based cohort study. </w:t>
      </w:r>
      <w:r>
        <w:rPr>
          <w:i/>
          <w:iCs/>
        </w:rPr>
        <w:t>International Journal of Cardiology</w:t>
      </w:r>
      <w:r>
        <w:t xml:space="preserve"> </w:t>
      </w:r>
      <w:r>
        <w:rPr>
          <w:b/>
          <w:bCs/>
        </w:rPr>
        <w:t>196</w:t>
      </w:r>
      <w:r>
        <w:t>, 91–97 (2015).</w:t>
      </w:r>
    </w:p>
    <w:p w14:paraId="29CB7660" w14:textId="77777777" w:rsidR="00BE714A" w:rsidRDefault="00BE714A" w:rsidP="00BE714A">
      <w:pPr>
        <w:pStyle w:val="Bibliography"/>
      </w:pPr>
      <w:bookmarkStart w:id="334" w:name="ref-williams"/>
      <w:bookmarkEnd w:id="333"/>
      <w:r>
        <w:t xml:space="preserve">187. </w:t>
      </w:r>
      <w:r>
        <w:tab/>
        <w:t xml:space="preserve">Williams, D. M., Finan, C., Schmidt, A. F., Burgess, S. &amp; Hingorani, A. D. Lipid lowering and Alzheimer’s disease risk: A Mendelian randomization study. </w:t>
      </w:r>
      <w:r>
        <w:rPr>
          <w:i/>
          <w:iCs/>
        </w:rPr>
        <w:t>Annals of Neurology</w:t>
      </w:r>
      <w:r>
        <w:t xml:space="preserve"> </w:t>
      </w:r>
      <w:r>
        <w:rPr>
          <w:b/>
          <w:bCs/>
        </w:rPr>
        <w:t>n/a</w:t>
      </w:r>
      <w:r>
        <w:t>, (2019).</w:t>
      </w:r>
    </w:p>
    <w:p w14:paraId="7D890D73" w14:textId="77777777" w:rsidR="00BE714A" w:rsidRDefault="00BE714A" w:rsidP="00BE714A">
      <w:pPr>
        <w:pStyle w:val="Bibliography"/>
      </w:pPr>
      <w:bookmarkStart w:id="335" w:name="ref-chu2018"/>
      <w:bookmarkEnd w:id="334"/>
      <w:r>
        <w:t xml:space="preserve">188. </w:t>
      </w:r>
      <w:r>
        <w:tab/>
        <w:t xml:space="preserve">Chu, C.-S. </w:t>
      </w:r>
      <w:r>
        <w:rPr>
          <w:i/>
          <w:iCs/>
        </w:rPr>
        <w:t>et al.</w:t>
      </w:r>
      <w:r>
        <w:t xml:space="preserve"> Use of statins and the risk of dementia and mild cognitive impairment: A systematic review and meta-analysis. </w:t>
      </w:r>
      <w:r>
        <w:rPr>
          <w:i/>
          <w:iCs/>
        </w:rPr>
        <w:t>Scientific Reports</w:t>
      </w:r>
      <w:r>
        <w:t xml:space="preserve"> </w:t>
      </w:r>
      <w:r>
        <w:rPr>
          <w:b/>
          <w:bCs/>
        </w:rPr>
        <w:t>8</w:t>
      </w:r>
      <w:r>
        <w:t>, 5804 (2018).</w:t>
      </w:r>
    </w:p>
    <w:p w14:paraId="0DD5E70C" w14:textId="77777777" w:rsidR="00BE714A" w:rsidRDefault="00BE714A" w:rsidP="00BE714A">
      <w:pPr>
        <w:pStyle w:val="Bibliography"/>
      </w:pPr>
      <w:bookmarkStart w:id="336" w:name="ref-hippisley-cox2010"/>
      <w:bookmarkEnd w:id="335"/>
      <w:r>
        <w:t xml:space="preserve">189. </w:t>
      </w:r>
      <w:r>
        <w:tab/>
        <w:t xml:space="preserve">Hippisley-Cox, J. &amp; Coupland, C. Unintended effects of statins in men and women in England and Wales: Population based cohort study using the QResearch database. </w:t>
      </w:r>
      <w:r>
        <w:rPr>
          <w:i/>
          <w:iCs/>
        </w:rPr>
        <w:t>BMJ</w:t>
      </w:r>
      <w:r>
        <w:t xml:space="preserve"> </w:t>
      </w:r>
      <w:r>
        <w:rPr>
          <w:b/>
          <w:bCs/>
        </w:rPr>
        <w:t>340</w:t>
      </w:r>
      <w:r>
        <w:t>, (2010).</w:t>
      </w:r>
    </w:p>
    <w:p w14:paraId="620D6AFC" w14:textId="77777777" w:rsidR="00BE714A" w:rsidRDefault="00BE714A" w:rsidP="00BE714A">
      <w:pPr>
        <w:pStyle w:val="Bibliography"/>
      </w:pPr>
      <w:bookmarkStart w:id="337" w:name="ref-wilkinson2018"/>
      <w:bookmarkEnd w:id="336"/>
      <w:r>
        <w:t xml:space="preserve">190. </w:t>
      </w:r>
      <w:r>
        <w:tab/>
        <w:t xml:space="preserve">Wilkinson, T. </w:t>
      </w:r>
      <w:r>
        <w:rPr>
          <w:i/>
          <w:iCs/>
        </w:rPr>
        <w:t>et al.</w:t>
      </w:r>
      <w:r>
        <w:t xml:space="preserve"> Identifying dementia cases with routinely collected health data: A systematic review. </w:t>
      </w:r>
      <w:r>
        <w:rPr>
          <w:i/>
          <w:iCs/>
        </w:rPr>
        <w:t>Alzheimer’s &amp; Dementia</w:t>
      </w:r>
      <w:r>
        <w:t xml:space="preserve"> </w:t>
      </w:r>
      <w:r>
        <w:rPr>
          <w:b/>
          <w:bCs/>
        </w:rPr>
        <w:t>14</w:t>
      </w:r>
      <w:r>
        <w:t>, 1038–1051 (2018).</w:t>
      </w:r>
    </w:p>
    <w:p w14:paraId="37CE2528" w14:textId="77777777" w:rsidR="00BE714A" w:rsidRDefault="00BE714A" w:rsidP="00BE714A">
      <w:pPr>
        <w:pStyle w:val="Bibliography"/>
      </w:pPr>
      <w:bookmarkStart w:id="338" w:name="ref-mcguinness2019b"/>
      <w:bookmarkEnd w:id="337"/>
      <w:r>
        <w:t xml:space="preserve">191. </w:t>
      </w:r>
      <w:r>
        <w:tab/>
        <w:t xml:space="preserve">McGuinness, L. A., Warren-Gash, C., Moorhouse, L. R. &amp; Thomas, S. L. The validity of dementia diagnoses in routinely collected electronic health records in the United Kingdom: A systematic review. </w:t>
      </w:r>
      <w:r>
        <w:rPr>
          <w:i/>
          <w:iCs/>
        </w:rPr>
        <w:t>Pharmacoepidemiology and Drug Safety</w:t>
      </w:r>
      <w:r>
        <w:t xml:space="preserve"> </w:t>
      </w:r>
      <w:r>
        <w:rPr>
          <w:b/>
          <w:bCs/>
        </w:rPr>
        <w:t>28</w:t>
      </w:r>
      <w:r>
        <w:t>, 244–255 (2019).</w:t>
      </w:r>
    </w:p>
    <w:p w14:paraId="7A7440AD" w14:textId="77777777" w:rsidR="00BE714A" w:rsidRDefault="00BE714A" w:rsidP="00BE714A">
      <w:pPr>
        <w:pStyle w:val="Bibliography"/>
      </w:pPr>
      <w:bookmarkStart w:id="339" w:name="ref-korologou-linden2020"/>
      <w:bookmarkEnd w:id="338"/>
      <w:r>
        <w:t xml:space="preserve">192. </w:t>
      </w:r>
      <w:r>
        <w:tab/>
        <w:t xml:space="preserve">Korologou-Linden, R. </w:t>
      </w:r>
      <w:r>
        <w:rPr>
          <w:i/>
          <w:iCs/>
        </w:rPr>
        <w:t>et al.</w:t>
      </w:r>
      <w:r>
        <w:t xml:space="preserve"> The causes and consequences of Alzheimer’s disease: Phenome-wide evidence from Mendelian randomization. </w:t>
      </w:r>
      <w:r>
        <w:rPr>
          <w:i/>
          <w:iCs/>
        </w:rPr>
        <w:t>medRxiv</w:t>
      </w:r>
      <w:r>
        <w:t xml:space="preserve"> 2019.12.18.19013847 (2020). doi:</w:t>
      </w:r>
      <w:hyperlink r:id="rId36">
        <w:r>
          <w:rPr>
            <w:rStyle w:val="Hyperlink"/>
          </w:rPr>
          <w:t>10.1101/2019.12.18.19013847</w:t>
        </w:r>
      </w:hyperlink>
    </w:p>
    <w:p w14:paraId="58E2222F" w14:textId="77777777" w:rsidR="00BE714A" w:rsidRDefault="00BE714A" w:rsidP="00BE714A">
      <w:pPr>
        <w:pStyle w:val="Bibliography"/>
      </w:pPr>
      <w:bookmarkStart w:id="340" w:name="ref-wilkinson2018a"/>
      <w:bookmarkEnd w:id="339"/>
      <w:r>
        <w:t xml:space="preserve">193. </w:t>
      </w:r>
      <w:r>
        <w:tab/>
        <w:t xml:space="preserve">Wilkinson, T. </w:t>
      </w:r>
      <w:r>
        <w:rPr>
          <w:i/>
          <w:iCs/>
        </w:rPr>
        <w:t>et al.</w:t>
      </w:r>
      <w:r>
        <w:t xml:space="preserve"> Identifying dementia cases with routinely collected health data: A systematic review. </w:t>
      </w:r>
      <w:r>
        <w:rPr>
          <w:i/>
          <w:iCs/>
        </w:rPr>
        <w:t>Alzheimer’s &amp; Dementia</w:t>
      </w:r>
      <w:r>
        <w:t xml:space="preserve"> </w:t>
      </w:r>
      <w:r>
        <w:rPr>
          <w:b/>
          <w:bCs/>
        </w:rPr>
        <w:t>14</w:t>
      </w:r>
      <w:r>
        <w:t>, 1038–1051 (2018).</w:t>
      </w:r>
    </w:p>
    <w:p w14:paraId="7646504B" w14:textId="77777777" w:rsidR="00BE714A" w:rsidRDefault="00BE714A" w:rsidP="00BE714A">
      <w:pPr>
        <w:pStyle w:val="Bibliography"/>
      </w:pPr>
      <w:bookmarkStart w:id="341" w:name="ref-mcguinness2019c"/>
      <w:bookmarkEnd w:id="340"/>
      <w:r>
        <w:t xml:space="preserve">194. </w:t>
      </w:r>
      <w:r>
        <w:tab/>
        <w:t xml:space="preserve">McGuinness, L. A., Warren-Gash, C., Moorhouse, L. R. &amp; Thomas, S. L. The validity of dementia diagnoses in routinely collected electronic health records in the United Kingdom: A systematic review. </w:t>
      </w:r>
      <w:r>
        <w:rPr>
          <w:i/>
          <w:iCs/>
        </w:rPr>
        <w:t>Pharmacoepidemiology and Drug Safety</w:t>
      </w:r>
      <w:r>
        <w:t xml:space="preserve"> </w:t>
      </w:r>
      <w:r>
        <w:rPr>
          <w:b/>
          <w:bCs/>
        </w:rPr>
        <w:t>28</w:t>
      </w:r>
      <w:r>
        <w:t>, 244–255 (2019).</w:t>
      </w:r>
    </w:p>
    <w:p w14:paraId="02834AAE" w14:textId="77777777" w:rsidR="00BE714A" w:rsidRDefault="00BE714A" w:rsidP="00BE714A">
      <w:pPr>
        <w:pStyle w:val="Bibliography"/>
      </w:pPr>
      <w:bookmarkStart w:id="342" w:name="ref-vandenbroucke2007"/>
      <w:bookmarkEnd w:id="341"/>
      <w:r>
        <w:t xml:space="preserve">195. </w:t>
      </w:r>
      <w:r>
        <w:tab/>
        <w:t xml:space="preserve">Vandenbroucke, J. P. </w:t>
      </w:r>
      <w:r>
        <w:rPr>
          <w:i/>
          <w:iCs/>
        </w:rPr>
        <w:t>et al.</w:t>
      </w:r>
      <w:r>
        <w:t xml:space="preserve"> Strengthening the Reporting of Observational Studies in Epidemiology (STROBE): Explanation and Elaboration. </w:t>
      </w:r>
      <w:r>
        <w:rPr>
          <w:i/>
          <w:iCs/>
        </w:rPr>
        <w:t>PLOS Medicine</w:t>
      </w:r>
      <w:r>
        <w:t xml:space="preserve"> </w:t>
      </w:r>
      <w:r>
        <w:rPr>
          <w:b/>
          <w:bCs/>
        </w:rPr>
        <w:t>4</w:t>
      </w:r>
      <w:r>
        <w:t>, e297 (2007).</w:t>
      </w:r>
    </w:p>
    <w:p w14:paraId="01D4AB63" w14:textId="77777777" w:rsidR="00BE714A" w:rsidRDefault="00BE714A" w:rsidP="00BE714A">
      <w:pPr>
        <w:pStyle w:val="Bibliography"/>
      </w:pPr>
      <w:bookmarkStart w:id="343" w:name="ref-danaei2013b"/>
      <w:bookmarkEnd w:id="342"/>
      <w:r>
        <w:t xml:space="preserve">196. </w:t>
      </w:r>
      <w:r>
        <w:tab/>
        <w:t xml:space="preserve">Danaei, G., García Rodríguez, L. A., Cantero, O. F., Logan, R. &amp; Hernán, M. A. Observational data for comparative effectiveness research: An emulation of randomised </w:t>
      </w:r>
      <w:r>
        <w:lastRenderedPageBreak/>
        <w:t xml:space="preserve">trials to estimate the effect of statins on primary prevention of coronary heart disease. </w:t>
      </w:r>
      <w:r>
        <w:rPr>
          <w:i/>
          <w:iCs/>
        </w:rPr>
        <w:t>Statistical methods in medical research</w:t>
      </w:r>
      <w:r>
        <w:t xml:space="preserve"> </w:t>
      </w:r>
      <w:r>
        <w:rPr>
          <w:b/>
          <w:bCs/>
        </w:rPr>
        <w:t>22</w:t>
      </w:r>
      <w:r>
        <w:t>, 70–96 (2013).</w:t>
      </w:r>
    </w:p>
    <w:p w14:paraId="56BFB4F4" w14:textId="77777777" w:rsidR="00BE714A" w:rsidRDefault="00BE714A" w:rsidP="00BE714A">
      <w:pPr>
        <w:pStyle w:val="Bibliography"/>
      </w:pPr>
      <w:bookmarkStart w:id="344" w:name="ref-riboli1997"/>
      <w:bookmarkEnd w:id="343"/>
      <w:r>
        <w:t xml:space="preserve">197. </w:t>
      </w:r>
      <w:r>
        <w:tab/>
        <w:t xml:space="preserve">Riboli, E. The EPIC Project: Rationale and study design. European Prospective Investigation into Cancer and Nutrition. </w:t>
      </w:r>
      <w:r>
        <w:rPr>
          <w:i/>
          <w:iCs/>
        </w:rPr>
        <w:t>International Journal of Epidemiology</w:t>
      </w:r>
      <w:r>
        <w:t xml:space="preserve"> </w:t>
      </w:r>
      <w:r>
        <w:rPr>
          <w:b/>
          <w:bCs/>
        </w:rPr>
        <w:t>26</w:t>
      </w:r>
      <w:r>
        <w:t>, 6S–14 (1997).</w:t>
      </w:r>
    </w:p>
    <w:p w14:paraId="138DEA20" w14:textId="77777777" w:rsidR="00BE714A" w:rsidRDefault="00BE714A" w:rsidP="00BE714A">
      <w:pPr>
        <w:pStyle w:val="Bibliography"/>
      </w:pPr>
      <w:bookmarkStart w:id="345" w:name="ref-riboli2002"/>
      <w:bookmarkEnd w:id="344"/>
      <w:r>
        <w:t xml:space="preserve">198. </w:t>
      </w:r>
      <w:r>
        <w:tab/>
        <w:t xml:space="preserve">Riboli, E. </w:t>
      </w:r>
      <w:r>
        <w:rPr>
          <w:i/>
          <w:iCs/>
        </w:rPr>
        <w:t>et al.</w:t>
      </w:r>
      <w:r>
        <w:t xml:space="preserve"> European Prospective Investigation into Cancer and Nutrition (EPIC): Study populations and data collection. </w:t>
      </w:r>
      <w:r>
        <w:rPr>
          <w:i/>
          <w:iCs/>
        </w:rPr>
        <w:t>Public Health Nutrition</w:t>
      </w:r>
      <w:r>
        <w:t xml:space="preserve"> </w:t>
      </w:r>
      <w:r>
        <w:rPr>
          <w:b/>
          <w:bCs/>
        </w:rPr>
        <w:t>5</w:t>
      </w:r>
      <w:r>
        <w:t>, 1113–1124 (2002).</w:t>
      </w:r>
    </w:p>
    <w:p w14:paraId="465B98A1" w14:textId="77777777" w:rsidR="00BE714A" w:rsidRDefault="00BE714A" w:rsidP="00BE714A">
      <w:pPr>
        <w:pStyle w:val="Bibliography"/>
      </w:pPr>
      <w:bookmarkStart w:id="346" w:name="ref-fisher2017"/>
      <w:bookmarkEnd w:id="345"/>
      <w:r>
        <w:t xml:space="preserve">199. </w:t>
      </w:r>
      <w:r>
        <w:tab/>
        <w:t xml:space="preserve">Fisher, D. J., Carpenter, J. R., Morris, T. P., Freeman, S. C. &amp; Tierney, J. F. Meta-analytical methods to identify who benefits most from treatments: Daft, deluded, or deft approach? </w:t>
      </w:r>
      <w:r>
        <w:rPr>
          <w:i/>
          <w:iCs/>
        </w:rPr>
        <w:t>BMJ</w:t>
      </w:r>
      <w:r>
        <w:t xml:space="preserve"> </w:t>
      </w:r>
      <w:r>
        <w:rPr>
          <w:b/>
          <w:bCs/>
        </w:rPr>
        <w:t>356</w:t>
      </w:r>
      <w:r>
        <w:t>, j573 (2017).</w:t>
      </w:r>
    </w:p>
    <w:p w14:paraId="42FB2B82" w14:textId="77777777" w:rsidR="00BE714A" w:rsidRDefault="00BE714A" w:rsidP="00BE714A">
      <w:pPr>
        <w:pStyle w:val="Bibliography"/>
      </w:pPr>
      <w:bookmarkStart w:id="347" w:name="ref-yusuf1984"/>
      <w:bookmarkEnd w:id="346"/>
      <w:r>
        <w:t xml:space="preserve">200. </w:t>
      </w:r>
      <w:r>
        <w:tab/>
        <w:t xml:space="preserve">Yusuf, S., Collins, R. &amp; Peto, R. Why do we need some large, simple randomized trials? </w:t>
      </w:r>
      <w:r>
        <w:rPr>
          <w:i/>
          <w:iCs/>
        </w:rPr>
        <w:t>Statistics in Medicine</w:t>
      </w:r>
      <w:r>
        <w:t xml:space="preserve"> </w:t>
      </w:r>
      <w:r>
        <w:rPr>
          <w:b/>
          <w:bCs/>
        </w:rPr>
        <w:t>3</w:t>
      </w:r>
      <w:r>
        <w:t>, 409–420 (1984).</w:t>
      </w:r>
    </w:p>
    <w:p w14:paraId="38C0FDF5" w14:textId="77777777" w:rsidR="00BE714A" w:rsidRDefault="00BE714A" w:rsidP="00BE714A">
      <w:pPr>
        <w:pStyle w:val="Bibliography"/>
      </w:pPr>
      <w:bookmarkStart w:id="348" w:name="ref-base"/>
      <w:bookmarkEnd w:id="347"/>
      <w:r>
        <w:t xml:space="preserve">201. </w:t>
      </w:r>
      <w:r>
        <w:tab/>
        <w:t xml:space="preserve">R Core Team. </w:t>
      </w:r>
      <w:r>
        <w:rPr>
          <w:i/>
          <w:iCs/>
        </w:rPr>
        <w:t>R: A language and environment for statistical computing</w:t>
      </w:r>
      <w:r>
        <w:t>. (R Foundation for Statistical Computing, 2019).</w:t>
      </w:r>
    </w:p>
    <w:p w14:paraId="5EDB70C6" w14:textId="77777777" w:rsidR="00BE714A" w:rsidRDefault="00BE714A" w:rsidP="00BE714A">
      <w:pPr>
        <w:pStyle w:val="Bibliography"/>
      </w:pPr>
      <w:bookmarkStart w:id="349" w:name="ref-cranlogs"/>
      <w:bookmarkEnd w:id="348"/>
      <w:r>
        <w:t xml:space="preserve">202. </w:t>
      </w:r>
      <w:r>
        <w:tab/>
        <w:t xml:space="preserve">Csárdi, G. </w:t>
      </w:r>
      <w:r>
        <w:rPr>
          <w:i/>
          <w:iCs/>
        </w:rPr>
        <w:t>Cranlogs: Download logs from the ’RStudio’ ’CRAN’ mirror</w:t>
      </w:r>
      <w:r>
        <w:t>. (2019).</w:t>
      </w:r>
    </w:p>
    <w:p w14:paraId="238254CB" w14:textId="77777777" w:rsidR="00BE714A" w:rsidRDefault="00BE714A" w:rsidP="00BE714A">
      <w:pPr>
        <w:pStyle w:val="Bibliography"/>
      </w:pPr>
      <w:bookmarkStart w:id="350" w:name="ref-dplyr"/>
      <w:bookmarkEnd w:id="349"/>
      <w:r>
        <w:t xml:space="preserve">203. </w:t>
      </w:r>
      <w:r>
        <w:tab/>
        <w:t xml:space="preserve">Wickham, H., François, R., Henry, L. &amp; Müller, K. </w:t>
      </w:r>
      <w:r>
        <w:rPr>
          <w:i/>
          <w:iCs/>
        </w:rPr>
        <w:t>Dplyr: A grammar of data manipulation</w:t>
      </w:r>
      <w:r>
        <w:t>. (2020).</w:t>
      </w:r>
    </w:p>
    <w:p w14:paraId="59FBA2B2" w14:textId="77777777" w:rsidR="00BE714A" w:rsidRDefault="00BE714A" w:rsidP="00BE714A">
      <w:pPr>
        <w:pStyle w:val="Bibliography"/>
      </w:pPr>
      <w:bookmarkStart w:id="351" w:name="ref-flextable"/>
      <w:bookmarkEnd w:id="350"/>
      <w:r>
        <w:t xml:space="preserve">204. </w:t>
      </w:r>
      <w:r>
        <w:tab/>
        <w:t xml:space="preserve">Gohel, D. </w:t>
      </w:r>
      <w:r>
        <w:rPr>
          <w:i/>
          <w:iCs/>
        </w:rPr>
        <w:t>Flextable: Functions for tabular reporting</w:t>
      </w:r>
      <w:r>
        <w:t>. (2020).</w:t>
      </w:r>
    </w:p>
    <w:p w14:paraId="259D7449" w14:textId="77777777" w:rsidR="00BE714A" w:rsidRDefault="00BE714A" w:rsidP="00BE714A">
      <w:pPr>
        <w:pStyle w:val="Bibliography"/>
      </w:pPr>
      <w:bookmarkStart w:id="352" w:name="ref-ggplot2"/>
      <w:bookmarkEnd w:id="351"/>
      <w:r>
        <w:t xml:space="preserve">205. </w:t>
      </w:r>
      <w:r>
        <w:tab/>
        <w:t xml:space="preserve">Wickham, H. </w:t>
      </w:r>
      <w:r>
        <w:rPr>
          <w:i/>
          <w:iCs/>
        </w:rPr>
        <w:t>Ggplot2: Elegant graphics for data analysis</w:t>
      </w:r>
      <w:r>
        <w:t>. (Springer-Verlag New York, 2016).</w:t>
      </w:r>
    </w:p>
    <w:p w14:paraId="2482E465" w14:textId="77777777" w:rsidR="00BE714A" w:rsidRDefault="00BE714A" w:rsidP="00BE714A">
      <w:pPr>
        <w:pStyle w:val="Bibliography"/>
      </w:pPr>
      <w:bookmarkStart w:id="353" w:name="ref-glue"/>
      <w:bookmarkEnd w:id="352"/>
      <w:r>
        <w:t xml:space="preserve">206. </w:t>
      </w:r>
      <w:r>
        <w:tab/>
        <w:t xml:space="preserve">Hester, J. </w:t>
      </w:r>
      <w:r>
        <w:rPr>
          <w:i/>
          <w:iCs/>
        </w:rPr>
        <w:t>Glue: Interpreted string literals</w:t>
      </w:r>
      <w:r>
        <w:t>. (2020).</w:t>
      </w:r>
    </w:p>
    <w:p w14:paraId="4C80C24B" w14:textId="77777777" w:rsidR="00BE714A" w:rsidRDefault="00BE714A" w:rsidP="00BE714A">
      <w:pPr>
        <w:pStyle w:val="Bibliography"/>
      </w:pPr>
      <w:bookmarkStart w:id="354" w:name="ref-gt"/>
      <w:bookmarkEnd w:id="353"/>
      <w:r>
        <w:t xml:space="preserve">207. </w:t>
      </w:r>
      <w:r>
        <w:tab/>
        <w:t xml:space="preserve">Iannone, R., Cheng, J. &amp; Schloerke, B. </w:t>
      </w:r>
      <w:r>
        <w:rPr>
          <w:i/>
          <w:iCs/>
        </w:rPr>
        <w:t>Gt: Easily create presentation-ready display tables</w:t>
      </w:r>
      <w:r>
        <w:t>. (2020).</w:t>
      </w:r>
    </w:p>
    <w:p w14:paraId="02AA9BA7" w14:textId="77777777" w:rsidR="00BE714A" w:rsidRDefault="00BE714A" w:rsidP="00BE714A">
      <w:pPr>
        <w:pStyle w:val="Bibliography"/>
      </w:pPr>
      <w:bookmarkStart w:id="355" w:name="ref-here"/>
      <w:bookmarkEnd w:id="354"/>
      <w:r>
        <w:t xml:space="preserve">208. </w:t>
      </w:r>
      <w:r>
        <w:tab/>
        <w:t xml:space="preserve">Müller, K. </w:t>
      </w:r>
      <w:r>
        <w:rPr>
          <w:i/>
          <w:iCs/>
        </w:rPr>
        <w:t>Here: A simpler way to find your files</w:t>
      </w:r>
      <w:r>
        <w:t>. (2020).</w:t>
      </w:r>
    </w:p>
    <w:p w14:paraId="6622186D" w14:textId="77777777" w:rsidR="00BE714A" w:rsidRDefault="00BE714A" w:rsidP="00BE714A">
      <w:pPr>
        <w:pStyle w:val="Bibliography"/>
      </w:pPr>
      <w:bookmarkStart w:id="356" w:name="ref-kableExtra"/>
      <w:bookmarkEnd w:id="355"/>
      <w:r>
        <w:t xml:space="preserve">209. </w:t>
      </w:r>
      <w:r>
        <w:tab/>
        <w:t xml:space="preserve">Zhu, H. </w:t>
      </w:r>
      <w:r>
        <w:rPr>
          <w:i/>
          <w:iCs/>
        </w:rPr>
        <w:t>kableExtra: Construct complex table with ’kable’ and pipe syntax</w:t>
      </w:r>
      <w:r>
        <w:t>. (2020).</w:t>
      </w:r>
    </w:p>
    <w:p w14:paraId="451007BC" w14:textId="77777777" w:rsidR="00BE714A" w:rsidRDefault="00BE714A" w:rsidP="00BE714A">
      <w:pPr>
        <w:pStyle w:val="Bibliography"/>
      </w:pPr>
      <w:bookmarkStart w:id="357" w:name="ref-knitr"/>
      <w:bookmarkEnd w:id="356"/>
      <w:r>
        <w:t xml:space="preserve">210. </w:t>
      </w:r>
      <w:r>
        <w:tab/>
        <w:t xml:space="preserve">Xie, Y. </w:t>
      </w:r>
      <w:r>
        <w:rPr>
          <w:i/>
          <w:iCs/>
        </w:rPr>
        <w:t>Dynamic documents with R and knitr</w:t>
      </w:r>
      <w:r>
        <w:t>. (Chapman and Hall/CRC, 2015).</w:t>
      </w:r>
    </w:p>
    <w:p w14:paraId="130584A0" w14:textId="77777777" w:rsidR="00BE714A" w:rsidRDefault="00BE714A" w:rsidP="00BE714A">
      <w:pPr>
        <w:pStyle w:val="Bibliography"/>
      </w:pPr>
      <w:bookmarkStart w:id="358" w:name="ref-medrxivr"/>
      <w:bookmarkEnd w:id="357"/>
      <w:r>
        <w:t xml:space="preserve">211. </w:t>
      </w:r>
      <w:r>
        <w:tab/>
        <w:t xml:space="preserve">McGuinness, L. A. &amp; Schmidt, L. Medrxivr: Accessing and searching medRxiv and bioRxiv preprint data in R. </w:t>
      </w:r>
      <w:r>
        <w:rPr>
          <w:i/>
          <w:iCs/>
        </w:rPr>
        <w:t>Journal of Open Source Software</w:t>
      </w:r>
      <w:r>
        <w:t xml:space="preserve"> </w:t>
      </w:r>
      <w:r>
        <w:rPr>
          <w:b/>
          <w:bCs/>
        </w:rPr>
        <w:t>5</w:t>
      </w:r>
      <w:r>
        <w:t>, 2651 (2020).</w:t>
      </w:r>
    </w:p>
    <w:p w14:paraId="55BDB2FC" w14:textId="77777777" w:rsidR="00BE714A" w:rsidRDefault="00BE714A" w:rsidP="00BE714A">
      <w:pPr>
        <w:pStyle w:val="Bibliography"/>
      </w:pPr>
      <w:bookmarkStart w:id="359" w:name="ref-plyr"/>
      <w:bookmarkEnd w:id="358"/>
      <w:r>
        <w:t xml:space="preserve">212. </w:t>
      </w:r>
      <w:r>
        <w:tab/>
        <w:t xml:space="preserve">Wickham, H. The split-apply-combine strategy for data analysis. </w:t>
      </w:r>
      <w:r>
        <w:rPr>
          <w:i/>
          <w:iCs/>
        </w:rPr>
        <w:t>Journal of Statistical Software</w:t>
      </w:r>
      <w:r>
        <w:t xml:space="preserve"> </w:t>
      </w:r>
      <w:r>
        <w:rPr>
          <w:b/>
          <w:bCs/>
        </w:rPr>
        <w:t>40</w:t>
      </w:r>
      <w:r>
        <w:t>, 1–29 (2011).</w:t>
      </w:r>
    </w:p>
    <w:p w14:paraId="6988449D" w14:textId="77777777" w:rsidR="00BE714A" w:rsidRDefault="00BE714A" w:rsidP="00BE714A">
      <w:pPr>
        <w:pStyle w:val="Bibliography"/>
      </w:pPr>
      <w:bookmarkStart w:id="360" w:name="ref-robvis"/>
      <w:bookmarkEnd w:id="359"/>
      <w:r>
        <w:t xml:space="preserve">213. </w:t>
      </w:r>
      <w:r>
        <w:tab/>
        <w:t xml:space="preserve">McGuinness, L. A. &amp; Higgins, J. P. Risk-of-bias VISualization (robvis): An R package and Shiny web app for visualizing risk-of-bias assessments. </w:t>
      </w:r>
      <w:r>
        <w:rPr>
          <w:i/>
          <w:iCs/>
        </w:rPr>
        <w:t>Research Synthesis Methods</w:t>
      </w:r>
      <w:r>
        <w:t xml:space="preserve"> (2020). doi:</w:t>
      </w:r>
      <w:hyperlink r:id="rId37">
        <w:r>
          <w:rPr>
            <w:rStyle w:val="Hyperlink"/>
          </w:rPr>
          <w:t>10.1002/jrsm.1411</w:t>
        </w:r>
      </w:hyperlink>
    </w:p>
    <w:p w14:paraId="2BBD176C" w14:textId="77777777" w:rsidR="00BE714A" w:rsidRDefault="00BE714A" w:rsidP="00BE714A">
      <w:pPr>
        <w:pStyle w:val="Bibliography"/>
      </w:pPr>
      <w:bookmarkStart w:id="361" w:name="ref-stringr"/>
      <w:bookmarkEnd w:id="360"/>
      <w:r>
        <w:lastRenderedPageBreak/>
        <w:t xml:space="preserve">214. </w:t>
      </w:r>
      <w:r>
        <w:tab/>
        <w:t xml:space="preserve">Wickham, H. </w:t>
      </w:r>
      <w:r>
        <w:rPr>
          <w:i/>
          <w:iCs/>
        </w:rPr>
        <w:t>Stringr: Simple, consistent wrappers for common string operations</w:t>
      </w:r>
      <w:r>
        <w:t>. (2019).</w:t>
      </w:r>
    </w:p>
    <w:p w14:paraId="103862A7" w14:textId="77777777" w:rsidR="00BE714A" w:rsidRDefault="00BE714A" w:rsidP="00BE714A">
      <w:pPr>
        <w:pStyle w:val="Bibliography"/>
      </w:pPr>
      <w:bookmarkStart w:id="362" w:name="ref-tidyverse"/>
      <w:bookmarkEnd w:id="361"/>
      <w:r>
        <w:t xml:space="preserve">215. </w:t>
      </w:r>
      <w:r>
        <w:tab/>
        <w:t xml:space="preserve">Wickham, H. </w:t>
      </w:r>
      <w:r>
        <w:rPr>
          <w:i/>
          <w:iCs/>
        </w:rPr>
        <w:t>et al.</w:t>
      </w:r>
      <w:r>
        <w:t xml:space="preserve"> Welcome to the tidyverse. </w:t>
      </w:r>
      <w:r>
        <w:rPr>
          <w:i/>
          <w:iCs/>
        </w:rPr>
        <w:t>Journal of Open Source Software</w:t>
      </w:r>
      <w:r>
        <w:t xml:space="preserve"> </w:t>
      </w:r>
      <w:r>
        <w:rPr>
          <w:b/>
          <w:bCs/>
        </w:rPr>
        <w:t>4</w:t>
      </w:r>
      <w:r>
        <w:t>, 1686 (2019).</w:t>
      </w:r>
    </w:p>
    <w:p w14:paraId="5E2D6108" w14:textId="77777777" w:rsidR="00BE714A" w:rsidRDefault="00BE714A" w:rsidP="00BE714A">
      <w:pPr>
        <w:pStyle w:val="Bibliography"/>
      </w:pPr>
      <w:bookmarkStart w:id="363" w:name="ref-wordcountaddin"/>
      <w:bookmarkEnd w:id="362"/>
      <w:r>
        <w:t xml:space="preserve">216. </w:t>
      </w:r>
      <w:r>
        <w:tab/>
        <w:t xml:space="preserve">Marwick, B. </w:t>
      </w:r>
      <w:r>
        <w:rPr>
          <w:i/>
          <w:iCs/>
        </w:rPr>
        <w:t>Wordcountaddin: Word counts and readability statistics in R markdown documents</w:t>
      </w:r>
      <w:r>
        <w:t>. (2020).</w:t>
      </w:r>
    </w:p>
    <w:p w14:paraId="0DF04ADF" w14:textId="77777777" w:rsidR="00BE714A" w:rsidRDefault="00BE714A" w:rsidP="00BE714A">
      <w:pPr>
        <w:pStyle w:val="Bibliography"/>
      </w:pPr>
      <w:bookmarkStart w:id="364" w:name="ref-xfun"/>
      <w:bookmarkEnd w:id="363"/>
      <w:r>
        <w:t xml:space="preserve">217. </w:t>
      </w:r>
      <w:r>
        <w:tab/>
        <w:t xml:space="preserve">Xie, Y. </w:t>
      </w:r>
      <w:r>
        <w:rPr>
          <w:i/>
          <w:iCs/>
        </w:rPr>
        <w:t>Xfun: Miscellaneous functions by ’Yihui Xie’</w:t>
      </w:r>
      <w:r>
        <w:t>. (2021).</w:t>
      </w:r>
    </w:p>
    <w:p w14:paraId="5675141E" w14:textId="77777777" w:rsidR="00BE714A" w:rsidRDefault="00BE714A" w:rsidP="00BE714A">
      <w:pPr>
        <w:pStyle w:val="Bibliography"/>
      </w:pPr>
      <w:bookmarkStart w:id="365" w:name="ref-wilson2014"/>
      <w:bookmarkEnd w:id="364"/>
      <w:r>
        <w:t xml:space="preserve">218. </w:t>
      </w:r>
      <w:r>
        <w:tab/>
        <w:t xml:space="preserve">Wilson, G. </w:t>
      </w:r>
      <w:r>
        <w:rPr>
          <w:i/>
          <w:iCs/>
        </w:rPr>
        <w:t>et al.</w:t>
      </w:r>
      <w:r>
        <w:t xml:space="preserve"> Best Practices for Scientific Computing. </w:t>
      </w:r>
      <w:r>
        <w:rPr>
          <w:i/>
          <w:iCs/>
        </w:rPr>
        <w:t>PLOS Biology</w:t>
      </w:r>
      <w:r>
        <w:t xml:space="preserve"> </w:t>
      </w:r>
      <w:r>
        <w:rPr>
          <w:b/>
          <w:bCs/>
        </w:rPr>
        <w:t>12</w:t>
      </w:r>
      <w:r>
        <w:t>, e1001745 (2014).</w:t>
      </w:r>
    </w:p>
    <w:p w14:paraId="6491AB32" w14:textId="77777777" w:rsidR="00BE714A" w:rsidRDefault="00BE714A" w:rsidP="00BE714A">
      <w:pPr>
        <w:pStyle w:val="Bibliography"/>
      </w:pPr>
      <w:bookmarkStart w:id="366" w:name="ref-wilson2017"/>
      <w:bookmarkEnd w:id="365"/>
      <w:r>
        <w:t xml:space="preserve">219. </w:t>
      </w:r>
      <w:r>
        <w:tab/>
        <w:t xml:space="preserve">Wilson, G. </w:t>
      </w:r>
      <w:r>
        <w:rPr>
          <w:i/>
          <w:iCs/>
        </w:rPr>
        <w:t>et al.</w:t>
      </w:r>
      <w:r>
        <w:t xml:space="preserve"> Good enough practices in scientific computing. </w:t>
      </w:r>
      <w:r>
        <w:rPr>
          <w:i/>
          <w:iCs/>
        </w:rPr>
        <w:t>PLOS Computational Biology</w:t>
      </w:r>
      <w:r>
        <w:t xml:space="preserve"> </w:t>
      </w:r>
      <w:r>
        <w:rPr>
          <w:b/>
          <w:bCs/>
        </w:rPr>
        <w:t>13</w:t>
      </w:r>
      <w:r>
        <w:t>, e1005510 (2017).</w:t>
      </w:r>
    </w:p>
    <w:p w14:paraId="4361975F" w14:textId="77777777" w:rsidR="00BE714A" w:rsidRDefault="00BE714A" w:rsidP="00BE714A">
      <w:pPr>
        <w:pStyle w:val="Bibliography"/>
      </w:pPr>
      <w:bookmarkStart w:id="367" w:name="ref-cochranechpt7"/>
      <w:bookmarkEnd w:id="366"/>
      <w:r>
        <w:t xml:space="preserve">220. </w:t>
      </w:r>
      <w:r>
        <w:tab/>
        <w:t xml:space="preserve">Boutron, I. </w:t>
      </w:r>
      <w:r>
        <w:rPr>
          <w:i/>
          <w:iCs/>
        </w:rPr>
        <w:t>et al.</w:t>
      </w:r>
      <w:r>
        <w:t xml:space="preserve"> Chapter 7: Considering bias and conflicts of interest among the included studies. in </w:t>
      </w:r>
      <w:r>
        <w:rPr>
          <w:i/>
          <w:iCs/>
        </w:rPr>
        <w:t>Cochrane Handbook for Systematic Reviews of Interventions version 6.0 (updated August 2019)</w:t>
      </w:r>
      <w:r>
        <w:t xml:space="preserve"> (eds. Higgins, J. P. T. et al.) (Cochrane, 2019).</w:t>
      </w:r>
    </w:p>
    <w:p w14:paraId="11F8FB2B" w14:textId="77777777" w:rsidR="00BE714A" w:rsidRDefault="00BE714A" w:rsidP="00BE714A">
      <w:pPr>
        <w:pStyle w:val="Bibliography"/>
      </w:pPr>
      <w:bookmarkStart w:id="368" w:name="ref-sterne2019rob"/>
      <w:bookmarkEnd w:id="367"/>
      <w:r>
        <w:t xml:space="preserve">221. </w:t>
      </w:r>
      <w:r>
        <w:tab/>
        <w:t xml:space="preserve">Sterne, J. A. C. </w:t>
      </w:r>
      <w:r>
        <w:rPr>
          <w:i/>
          <w:iCs/>
        </w:rPr>
        <w:t>et al.</w:t>
      </w:r>
      <w:r>
        <w:t xml:space="preserve"> RoB 2: A revised tool for assessing risk of bias in randomised trials. </w:t>
      </w:r>
      <w:r>
        <w:rPr>
          <w:i/>
          <w:iCs/>
        </w:rPr>
        <w:t>BMJ</w:t>
      </w:r>
      <w:r>
        <w:t xml:space="preserve"> </w:t>
      </w:r>
      <w:r>
        <w:rPr>
          <w:b/>
          <w:bCs/>
        </w:rPr>
        <w:t>366</w:t>
      </w:r>
      <w:r>
        <w:t>, l4898 (2019).</w:t>
      </w:r>
    </w:p>
    <w:p w14:paraId="17C86A6E" w14:textId="77777777" w:rsidR="00BE714A" w:rsidRDefault="00BE714A" w:rsidP="00BE714A">
      <w:pPr>
        <w:pStyle w:val="Bibliography"/>
      </w:pPr>
      <w:bookmarkStart w:id="369" w:name="ref-sterne2016robins"/>
      <w:bookmarkEnd w:id="368"/>
      <w:r>
        <w:t xml:space="preserve">222. </w:t>
      </w:r>
      <w:r>
        <w:tab/>
        <w:t xml:space="preserve">Sterne, J. A. C. </w:t>
      </w:r>
      <w:r>
        <w:rPr>
          <w:i/>
          <w:iCs/>
        </w:rPr>
        <w:t>et al.</w:t>
      </w:r>
      <w:r>
        <w:t xml:space="preserve"> ROBINS-I: A tool for assessing risk of bias in non-randomised studies of interventions. </w:t>
      </w:r>
      <w:r>
        <w:rPr>
          <w:i/>
          <w:iCs/>
        </w:rPr>
        <w:t>BMJ</w:t>
      </w:r>
      <w:r>
        <w:t xml:space="preserve"> </w:t>
      </w:r>
      <w:r>
        <w:rPr>
          <w:b/>
          <w:bCs/>
        </w:rPr>
        <w:t>355</w:t>
      </w:r>
      <w:r>
        <w:t>, i4919 (2016).</w:t>
      </w:r>
    </w:p>
    <w:p w14:paraId="7EA7AE36" w14:textId="77777777" w:rsidR="00BE714A" w:rsidRDefault="00BE714A" w:rsidP="00BE714A">
      <w:pPr>
        <w:pStyle w:val="Bibliography"/>
      </w:pPr>
      <w:bookmarkStart w:id="370" w:name="ref-whiting2011quadas"/>
      <w:bookmarkEnd w:id="369"/>
      <w:r>
        <w:t xml:space="preserve">223. </w:t>
      </w:r>
      <w:r>
        <w:tab/>
        <w:t xml:space="preserve">Whiting, P. F. </w:t>
      </w:r>
      <w:r>
        <w:rPr>
          <w:i/>
          <w:iCs/>
        </w:rPr>
        <w:t>et al.</w:t>
      </w:r>
      <w:r>
        <w:t xml:space="preserve"> QUADAS-2: A revised tool for the quality assessment of diagnostic accuracy studies. </w:t>
      </w:r>
      <w:r>
        <w:rPr>
          <w:i/>
          <w:iCs/>
        </w:rPr>
        <w:t>Annals of Internal Medicine</w:t>
      </w:r>
      <w:r>
        <w:t xml:space="preserve"> </w:t>
      </w:r>
      <w:r>
        <w:rPr>
          <w:b/>
          <w:bCs/>
        </w:rPr>
        <w:t>155</w:t>
      </w:r>
      <w:r>
        <w:t>, 529–536 (2011).</w:t>
      </w:r>
    </w:p>
    <w:p w14:paraId="01D34CED" w14:textId="77777777" w:rsidR="00BE714A" w:rsidRDefault="00BE714A" w:rsidP="00BE714A">
      <w:pPr>
        <w:pStyle w:val="Bibliography"/>
      </w:pPr>
      <w:bookmarkStart w:id="371" w:name="ref-higgins2008assessing"/>
      <w:bookmarkEnd w:id="370"/>
      <w:r>
        <w:t xml:space="preserve">224. </w:t>
      </w:r>
      <w:r>
        <w:tab/>
        <w:t xml:space="preserve">Higgins, J. P. T. &amp; Altman, D. G. Chapter 8: Assessing risk of bias in included studies. in </w:t>
      </w:r>
      <w:r>
        <w:rPr>
          <w:i/>
          <w:iCs/>
        </w:rPr>
        <w:t>Cochrane Handbook for Systematic Reviews of Interventions</w:t>
      </w:r>
      <w:r>
        <w:t xml:space="preserve"> (eds. Higgins, J. P. T. &amp; Green, S.) 187–241 (Wiley Online Library, 2008).</w:t>
      </w:r>
    </w:p>
    <w:p w14:paraId="223AC497" w14:textId="77777777" w:rsidR="00BE714A" w:rsidRDefault="00BE714A" w:rsidP="00BE714A">
      <w:pPr>
        <w:pStyle w:val="Bibliography"/>
      </w:pPr>
      <w:bookmarkStart w:id="372" w:name="ref-cochrane2014review"/>
      <w:bookmarkEnd w:id="371"/>
      <w:r>
        <w:t xml:space="preserve">225. </w:t>
      </w:r>
      <w:r>
        <w:tab/>
        <w:t>Cochrane Collaboration. Review Manager (RevMan) [Computer program]. (2014).</w:t>
      </w:r>
    </w:p>
    <w:p w14:paraId="439499F1" w14:textId="77777777" w:rsidR="00BE714A" w:rsidRDefault="00BE714A" w:rsidP="00BE714A">
      <w:pPr>
        <w:pStyle w:val="Bibliography"/>
      </w:pPr>
      <w:bookmarkStart w:id="373" w:name="ref-marshall2015systematic"/>
      <w:bookmarkEnd w:id="372"/>
      <w:r>
        <w:t xml:space="preserve">226. </w:t>
      </w:r>
      <w:r>
        <w:tab/>
        <w:t xml:space="preserve">Marshall, C. &amp; Brereton, P. Systematic review toolbox: A catalogue of tools to support systematic reviews. in </w:t>
      </w:r>
      <w:r>
        <w:rPr>
          <w:i/>
          <w:iCs/>
        </w:rPr>
        <w:t>Proceedings of the 19th international conference on evaluation and assessment in software engineering</w:t>
      </w:r>
      <w:r>
        <w:t xml:space="preserve"> Article 23; 1–6 (Association for Computing Machinery, 2015). doi:</w:t>
      </w:r>
      <w:hyperlink r:id="rId38">
        <w:r>
          <w:rPr>
            <w:rStyle w:val="Hyperlink"/>
          </w:rPr>
          <w:t>10.1145/2745802.2745824</w:t>
        </w:r>
      </w:hyperlink>
    </w:p>
    <w:p w14:paraId="36E28F2A" w14:textId="77777777" w:rsidR="00BE714A" w:rsidRDefault="00BE714A" w:rsidP="00BE714A">
      <w:pPr>
        <w:pStyle w:val="Bibliography"/>
      </w:pPr>
      <w:bookmarkStart w:id="374" w:name="ref-harrison2020software"/>
      <w:bookmarkEnd w:id="373"/>
      <w:r>
        <w:t xml:space="preserve">227. </w:t>
      </w:r>
      <w:r>
        <w:tab/>
        <w:t xml:space="preserve">Harrison, H., Griffin, S. J., Kuhn, I. &amp; Usher-Smith, J. A. Software tools to support title and abstract screening for systematic reviews in healthcare: An evaluation. </w:t>
      </w:r>
      <w:r>
        <w:rPr>
          <w:i/>
          <w:iCs/>
        </w:rPr>
        <w:t>BMC Medical Research Methodology</w:t>
      </w:r>
      <w:r>
        <w:t xml:space="preserve"> </w:t>
      </w:r>
      <w:r>
        <w:rPr>
          <w:b/>
          <w:bCs/>
        </w:rPr>
        <w:t>20</w:t>
      </w:r>
      <w:r>
        <w:t>, 7 (2020).</w:t>
      </w:r>
    </w:p>
    <w:p w14:paraId="2C9B0537" w14:textId="77777777" w:rsidR="00BE714A" w:rsidRDefault="00BE714A" w:rsidP="00BE714A">
      <w:pPr>
        <w:pStyle w:val="Bibliography"/>
      </w:pPr>
      <w:bookmarkStart w:id="375" w:name="ref-rref"/>
      <w:bookmarkEnd w:id="374"/>
      <w:r>
        <w:t xml:space="preserve">228. </w:t>
      </w:r>
      <w:r>
        <w:tab/>
        <w:t xml:space="preserve">R Core Team. </w:t>
      </w:r>
      <w:r>
        <w:rPr>
          <w:i/>
          <w:iCs/>
        </w:rPr>
        <w:t>R: A language and environment for statistical computing</w:t>
      </w:r>
      <w:r>
        <w:t>. (R Foundation for Statistical Computing, 2019).</w:t>
      </w:r>
    </w:p>
    <w:p w14:paraId="5223E958" w14:textId="77777777" w:rsidR="00BE714A" w:rsidRDefault="00BE714A" w:rsidP="00BE714A">
      <w:pPr>
        <w:pStyle w:val="Bibliography"/>
      </w:pPr>
      <w:bookmarkStart w:id="376" w:name="ref-rstudioref"/>
      <w:bookmarkEnd w:id="375"/>
      <w:r>
        <w:t xml:space="preserve">229. </w:t>
      </w:r>
      <w:r>
        <w:tab/>
        <w:t xml:space="preserve">RStudio Team. </w:t>
      </w:r>
      <w:r>
        <w:rPr>
          <w:i/>
          <w:iCs/>
        </w:rPr>
        <w:t>RStudio: Integrated development environment for R</w:t>
      </w:r>
      <w:r>
        <w:t>. (RStudio, Inc., 2015).</w:t>
      </w:r>
    </w:p>
    <w:p w14:paraId="46BBB10E" w14:textId="77777777" w:rsidR="00BE714A" w:rsidRDefault="00BE714A" w:rsidP="00BE714A">
      <w:pPr>
        <w:pStyle w:val="Bibliography"/>
      </w:pPr>
      <w:bookmarkStart w:id="377" w:name="ref-shinyref"/>
      <w:bookmarkEnd w:id="376"/>
      <w:r>
        <w:lastRenderedPageBreak/>
        <w:t xml:space="preserve">230. </w:t>
      </w:r>
      <w:r>
        <w:tab/>
        <w:t xml:space="preserve">Chang, W., Cheng, J., Allaire, J., Xie, Y. &amp; McPherson, J. </w:t>
      </w:r>
      <w:r>
        <w:rPr>
          <w:i/>
          <w:iCs/>
        </w:rPr>
        <w:t>Shiny: Web application framework for R</w:t>
      </w:r>
      <w:r>
        <w:t>. (2019).</w:t>
      </w:r>
    </w:p>
    <w:p w14:paraId="298448FE" w14:textId="77777777" w:rsidR="00BE714A" w:rsidRDefault="00BE714A" w:rsidP="00BE714A">
      <w:pPr>
        <w:pStyle w:val="Bibliography"/>
      </w:pPr>
      <w:bookmarkStart w:id="378" w:name="ref-mcguinness2019a"/>
      <w:bookmarkEnd w:id="377"/>
      <w:r>
        <w:t xml:space="preserve">231. </w:t>
      </w:r>
      <w:r>
        <w:tab/>
        <w:t>McGuinness, L. A. Robvis: An R package for visualising risk-of-bias assessments. [Computer Software - v0.3.0]. (2019). doi:</w:t>
      </w:r>
      <w:hyperlink r:id="rId39">
        <w:r>
          <w:rPr>
            <w:rStyle w:val="Hyperlink"/>
          </w:rPr>
          <w:t>10.5281/zenodo.3552342</w:t>
        </w:r>
      </w:hyperlink>
    </w:p>
    <w:p w14:paraId="52F1091F" w14:textId="77777777" w:rsidR="00BE714A" w:rsidRDefault="00BE714A" w:rsidP="00BE714A">
      <w:pPr>
        <w:pStyle w:val="Bibliography"/>
      </w:pPr>
      <w:bookmarkStart w:id="379" w:name="ref-gibb2019consistent"/>
      <w:bookmarkEnd w:id="378"/>
      <w:r>
        <w:t xml:space="preserve">232. </w:t>
      </w:r>
      <w:r>
        <w:tab/>
        <w:t xml:space="preserve">Gibb, K. </w:t>
      </w:r>
      <w:r>
        <w:rPr>
          <w:i/>
          <w:iCs/>
        </w:rPr>
        <w:t>et al.</w:t>
      </w:r>
      <w:r>
        <w:t xml:space="preserve"> The consistent burden in published estimates of delirium occurrence in medical inpatients over four decades: A systematic review and meta-analysis study. </w:t>
      </w:r>
      <w:r>
        <w:rPr>
          <w:i/>
          <w:iCs/>
        </w:rPr>
        <w:t>medRxiv</w:t>
      </w:r>
      <w:r>
        <w:t xml:space="preserve"> 19005165 (2019). doi:</w:t>
      </w:r>
      <w:hyperlink r:id="rId40">
        <w:r>
          <w:rPr>
            <w:rStyle w:val="Hyperlink"/>
          </w:rPr>
          <w:t>10.1101/19005165</w:t>
        </w:r>
      </w:hyperlink>
    </w:p>
    <w:p w14:paraId="03F7C3BB" w14:textId="77777777" w:rsidR="00BE714A" w:rsidRDefault="00BE714A" w:rsidP="00BE714A">
      <w:pPr>
        <w:pStyle w:val="Bibliography"/>
      </w:pPr>
      <w:bookmarkStart w:id="380" w:name="ref-habadi2019prevalence"/>
      <w:bookmarkEnd w:id="379"/>
      <w:r>
        <w:t xml:space="preserve">233. </w:t>
      </w:r>
      <w:r>
        <w:tab/>
        <w:t xml:space="preserve">Habadi, M. I. </w:t>
      </w:r>
      <w:r>
        <w:rPr>
          <w:i/>
          <w:iCs/>
        </w:rPr>
        <w:t>et al.</w:t>
      </w:r>
      <w:r>
        <w:t xml:space="preserve"> Prevalence of panic disorders in the primary health care setting: A systematic review and meta-analysis. </w:t>
      </w:r>
      <w:r>
        <w:rPr>
          <w:i/>
          <w:iCs/>
        </w:rPr>
        <w:t>EC Microbiology</w:t>
      </w:r>
      <w:r>
        <w:t xml:space="preserve"> </w:t>
      </w:r>
      <w:r>
        <w:rPr>
          <w:b/>
          <w:bCs/>
        </w:rPr>
        <w:t>16</w:t>
      </w:r>
      <w:r>
        <w:t>, 01–09 (2019).</w:t>
      </w:r>
    </w:p>
    <w:p w14:paraId="531C8BC3" w14:textId="77777777" w:rsidR="00BE714A" w:rsidRDefault="00BE714A" w:rsidP="00BE714A">
      <w:pPr>
        <w:pStyle w:val="Bibliography"/>
      </w:pPr>
      <w:bookmarkStart w:id="381" w:name="ref-veloso2020effectiveness"/>
      <w:bookmarkEnd w:id="380"/>
      <w:r>
        <w:t xml:space="preserve">234. </w:t>
      </w:r>
      <w:r>
        <w:tab/>
        <w:t xml:space="preserve">Veloso, A., Vicente, S. G. &amp; Filipe, M. G. Effectiveness of cognitive training for school-aged children and adolescents with attention Deficit/Hyperactivity disorder: A systematic review. </w:t>
      </w:r>
      <w:r>
        <w:rPr>
          <w:i/>
          <w:iCs/>
        </w:rPr>
        <w:t>Frontiers in Psychology</w:t>
      </w:r>
      <w:r>
        <w:t xml:space="preserve"> </w:t>
      </w:r>
      <w:r>
        <w:rPr>
          <w:b/>
          <w:bCs/>
        </w:rPr>
        <w:t>10</w:t>
      </w:r>
      <w:r>
        <w:t>, 2983 (2020).</w:t>
      </w:r>
    </w:p>
    <w:p w14:paraId="092AA5D7" w14:textId="77777777" w:rsidR="00BE714A" w:rsidRDefault="00BE714A" w:rsidP="00BE714A">
      <w:pPr>
        <w:pStyle w:val="Bibliography"/>
      </w:pPr>
      <w:bookmarkStart w:id="382" w:name="ref-simillis2020"/>
      <w:bookmarkEnd w:id="381"/>
      <w:r>
        <w:t xml:space="preserve">235. </w:t>
      </w:r>
      <w:r>
        <w:tab/>
        <w:t xml:space="preserve">Simillis, C. </w:t>
      </w:r>
      <w:r>
        <w:rPr>
          <w:i/>
          <w:iCs/>
        </w:rPr>
        <w:t>et al.</w:t>
      </w:r>
      <w:r>
        <w:t xml:space="preserve"> Postoperative chemotherapy improves survival in patients with resected high-risk stage II colorectal cancer: Results of a systematic review and meta-analysis. </w:t>
      </w:r>
      <w:r>
        <w:rPr>
          <w:i/>
          <w:iCs/>
        </w:rPr>
        <w:t>Colorectal Disease</w:t>
      </w:r>
      <w:r>
        <w:t xml:space="preserve"> </w:t>
      </w:r>
      <w:r>
        <w:rPr>
          <w:b/>
          <w:bCs/>
        </w:rPr>
        <w:t>Published online 30th January</w:t>
      </w:r>
      <w:r>
        <w:t>, (2020).</w:t>
      </w:r>
    </w:p>
    <w:p w14:paraId="4428CF18" w14:textId="77777777" w:rsidR="00BE714A" w:rsidRDefault="00BE714A" w:rsidP="00BE714A">
      <w:pPr>
        <w:pStyle w:val="Bibliography"/>
      </w:pPr>
      <w:bookmarkStart w:id="383" w:name="ref-tanneru2020"/>
      <w:bookmarkEnd w:id="382"/>
      <w:r>
        <w:t xml:space="preserve">236. </w:t>
      </w:r>
      <w:r>
        <w:tab/>
        <w:t xml:space="preserve">Tanneru, K. </w:t>
      </w:r>
      <w:r>
        <w:rPr>
          <w:i/>
          <w:iCs/>
        </w:rPr>
        <w:t>et al.</w:t>
      </w:r>
      <w:r>
        <w:t xml:space="preserve"> Meta-analysis and systematic review of intermediate-term follow-up of prostatic urethral lift for benign prostatic hyperplasia. </w:t>
      </w:r>
      <w:r>
        <w:rPr>
          <w:i/>
          <w:iCs/>
        </w:rPr>
        <w:t>International Urology and Nephrology</w:t>
      </w:r>
      <w:r>
        <w:t xml:space="preserve"> (2020).</w:t>
      </w:r>
    </w:p>
    <w:p w14:paraId="6C9DA914" w14:textId="77777777" w:rsidR="00BE714A" w:rsidRDefault="00BE714A" w:rsidP="00BE714A">
      <w:pPr>
        <w:pStyle w:val="Bibliography"/>
      </w:pPr>
      <w:bookmarkStart w:id="384" w:name="ref-mathias_harrer_2019_2551803"/>
      <w:bookmarkEnd w:id="383"/>
      <w:r>
        <w:t xml:space="preserve">237. </w:t>
      </w:r>
      <w:r>
        <w:tab/>
        <w:t xml:space="preserve">Harrer, M., Cuijpers, P. &amp; Ebert, D. </w:t>
      </w:r>
      <w:r>
        <w:rPr>
          <w:i/>
          <w:iCs/>
        </w:rPr>
        <w:t>Doing Meta-Analysis in R: A Hands-on Guide</w:t>
      </w:r>
      <w:r>
        <w:t>. (Zenodo, 2019).</w:t>
      </w:r>
    </w:p>
    <w:p w14:paraId="776C4A8A" w14:textId="77777777" w:rsidR="00BE714A" w:rsidRDefault="00BE714A" w:rsidP="00BE714A">
      <w:pPr>
        <w:pStyle w:val="Bibliography"/>
      </w:pPr>
      <w:bookmarkStart w:id="385" w:name="ref-whiting2016robis"/>
      <w:bookmarkEnd w:id="384"/>
      <w:r>
        <w:t xml:space="preserve">238. </w:t>
      </w:r>
      <w:r>
        <w:tab/>
        <w:t xml:space="preserve">Whiting, P. </w:t>
      </w:r>
      <w:r>
        <w:rPr>
          <w:i/>
          <w:iCs/>
        </w:rPr>
        <w:t>et al.</w:t>
      </w:r>
      <w:r>
        <w:t xml:space="preserve"> ROBIS: A new tool to assess risk of bias in systematic reviews was developed. </w:t>
      </w:r>
      <w:r>
        <w:rPr>
          <w:i/>
          <w:iCs/>
        </w:rPr>
        <w:t>Journal of Clinical Epidemiology</w:t>
      </w:r>
      <w:r>
        <w:t xml:space="preserve"> </w:t>
      </w:r>
      <w:r>
        <w:rPr>
          <w:b/>
          <w:bCs/>
        </w:rPr>
        <w:t>69</w:t>
      </w:r>
      <w:r>
        <w:t>, 225–234 (2016).</w:t>
      </w:r>
    </w:p>
    <w:p w14:paraId="10748E17" w14:textId="77777777" w:rsidR="00BE714A" w:rsidRDefault="00BE714A" w:rsidP="00BE714A">
      <w:pPr>
        <w:pStyle w:val="Heading1"/>
      </w:pPr>
      <w:bookmarkStart w:id="386" w:name="appendix"/>
      <w:bookmarkEnd w:id="146"/>
      <w:bookmarkEnd w:id="148"/>
      <w:bookmarkEnd w:id="385"/>
      <w:r>
        <w:t>Appendix</w:t>
      </w:r>
    </w:p>
    <w:p w14:paraId="627BC8DE" w14:textId="77777777" w:rsidR="00BE714A" w:rsidRDefault="00BE714A" w:rsidP="00BE714A">
      <w:pPr>
        <w:pStyle w:val="Heading1"/>
      </w:pPr>
      <w:bookmarkStart w:id="387" w:name="chapter-appendix-heading"/>
      <w:bookmarkEnd w:id="386"/>
      <w:r>
        <w:t>By Chapter</w:t>
      </w:r>
    </w:p>
    <w:p w14:paraId="41D5D58C" w14:textId="77777777" w:rsidR="00BE714A" w:rsidRDefault="00BE714A" w:rsidP="00BE714A">
      <w:pPr>
        <w:pStyle w:val="Heading2"/>
      </w:pPr>
      <w:bookmarkStart w:id="388" w:name="appendix-into"/>
      <w:r>
        <w:t>Chapter 1</w:t>
      </w:r>
    </w:p>
    <w:p w14:paraId="436E4116" w14:textId="77777777" w:rsidR="00BE714A" w:rsidRDefault="00BE714A" w:rsidP="00BE714A">
      <w:pPr>
        <w:pStyle w:val="Heading3"/>
      </w:pPr>
      <w:bookmarkStart w:id="389" w:name="appendix-publications"/>
      <w:r>
        <w:t>Publications beyond the scope of this thesis</w:t>
      </w:r>
    </w:p>
    <w:p w14:paraId="77C3D20A" w14:textId="77777777" w:rsidR="00BE714A" w:rsidRDefault="00BE714A" w:rsidP="00BE714A">
      <w:pPr>
        <w:pStyle w:val="FirstParagraph"/>
      </w:pPr>
      <w:r>
        <w:rPr>
          <w:b/>
          <w:bCs/>
        </w:rPr>
        <w:t>Peer reviewed</w:t>
      </w:r>
    </w:p>
    <w:p w14:paraId="2E5DBCCD" w14:textId="77777777" w:rsidR="00BE714A" w:rsidRDefault="00BE714A" w:rsidP="00BE714A">
      <w:pPr>
        <w:numPr>
          <w:ilvl w:val="0"/>
          <w:numId w:val="44"/>
        </w:numPr>
      </w:pPr>
      <w:r>
        <w:t>McGuinness &amp; Sheppard. Comparison of pairwise</w:t>
      </w:r>
    </w:p>
    <w:p w14:paraId="5D20BEFD" w14:textId="77777777" w:rsidR="00BE714A" w:rsidRDefault="00BE714A" w:rsidP="00BE714A">
      <w:pPr>
        <w:numPr>
          <w:ilvl w:val="0"/>
          <w:numId w:val="44"/>
        </w:numPr>
      </w:pPr>
      <w:r>
        <w:t>PRISMA main paper</w:t>
      </w:r>
    </w:p>
    <w:p w14:paraId="4C4BEACB" w14:textId="77777777" w:rsidR="00BE714A" w:rsidRDefault="00BE714A" w:rsidP="00BE714A">
      <w:pPr>
        <w:numPr>
          <w:ilvl w:val="0"/>
          <w:numId w:val="44"/>
        </w:numPr>
      </w:pPr>
      <w:r>
        <w:t>PRISMA E&amp;E</w:t>
      </w:r>
    </w:p>
    <w:p w14:paraId="177B4364" w14:textId="77777777" w:rsidR="00BE714A" w:rsidRDefault="00BE714A" w:rsidP="00BE714A">
      <w:pPr>
        <w:numPr>
          <w:ilvl w:val="0"/>
          <w:numId w:val="44"/>
        </w:numPr>
      </w:pPr>
      <w:r>
        <w:t>PRISMA 2020 software</w:t>
      </w:r>
    </w:p>
    <w:p w14:paraId="6ED51E67" w14:textId="77777777" w:rsidR="00BE714A" w:rsidRDefault="00BE714A" w:rsidP="00BE714A">
      <w:pPr>
        <w:numPr>
          <w:ilvl w:val="0"/>
          <w:numId w:val="44"/>
        </w:numPr>
      </w:pPr>
      <w:r>
        <w:lastRenderedPageBreak/>
        <w:t>COVID Suicide Living Review</w:t>
      </w:r>
    </w:p>
    <w:p w14:paraId="00FC55C6" w14:textId="77777777" w:rsidR="00BE714A" w:rsidRDefault="00BE714A" w:rsidP="00BE714A">
      <w:pPr>
        <w:numPr>
          <w:ilvl w:val="0"/>
          <w:numId w:val="44"/>
        </w:numPr>
      </w:pPr>
      <w:r>
        <w:t>Data extraction tools systematic review</w:t>
      </w:r>
    </w:p>
    <w:p w14:paraId="6B73463F" w14:textId="77777777" w:rsidR="00BE714A" w:rsidRDefault="00BE714A" w:rsidP="00BE714A">
      <w:pPr>
        <w:pStyle w:val="FirstParagraph"/>
      </w:pPr>
      <w:r>
        <w:rPr>
          <w:b/>
          <w:bCs/>
        </w:rPr>
        <w:t>Under review/Preprints</w:t>
      </w:r>
    </w:p>
    <w:p w14:paraId="405ADD5E" w14:textId="77777777" w:rsidR="00BE714A" w:rsidRDefault="00BE714A" w:rsidP="00BE714A">
      <w:pPr>
        <w:numPr>
          <w:ilvl w:val="0"/>
          <w:numId w:val="45"/>
        </w:numPr>
      </w:pPr>
      <w:r>
        <w:t>MSc Paper on systematic reviews of this thesis topic</w:t>
      </w:r>
    </w:p>
    <w:p w14:paraId="78EB358A" w14:textId="77777777" w:rsidR="00BE714A" w:rsidRDefault="00BE714A" w:rsidP="00BE714A">
      <w:pPr>
        <w:pStyle w:val="Heading3"/>
      </w:pPr>
      <w:bookmarkStart w:id="390" w:name="appendix-ppi"/>
      <w:bookmarkEnd w:id="389"/>
      <w:r>
        <w:t>Involvement of patients and the public</w:t>
      </w:r>
    </w:p>
    <w:p w14:paraId="7271D987" w14:textId="77777777" w:rsidR="00BE714A" w:rsidRDefault="00BE714A" w:rsidP="00BE714A">
      <w:pPr>
        <w:pStyle w:val="FirstParagraph"/>
      </w:pPr>
      <w:r>
        <w:t>Patients were involved at several stages of this research. when designing the PhD programme of work, a Patient and Public Advisory Group (PPAG) provided feedback on the relevance of the question.</w:t>
      </w:r>
    </w:p>
    <w:p w14:paraId="14B30D8D" w14:textId="77777777" w:rsidR="00BE714A" w:rsidRDefault="00BE714A" w:rsidP="00BE714A">
      <w:pPr>
        <w:pStyle w:val="BodyText"/>
      </w:pPr>
      <w:r>
        <w:t>Additionally,</w:t>
      </w:r>
    </w:p>
    <w:p w14:paraId="341B974A" w14:textId="77777777" w:rsidR="00BE714A" w:rsidRDefault="00BE714A" w:rsidP="00BE714A">
      <w:pPr>
        <w:pStyle w:val="BodyText"/>
      </w:pPr>
      <w:r>
        <w:t>Lay summaries appear at the beginning of each chapter, reviewed by the Patient and Public Involvement panel. They provide a plain language summary</w:t>
      </w:r>
    </w:p>
    <w:p w14:paraId="2187CD26" w14:textId="77777777" w:rsidR="00BE714A" w:rsidRDefault="00BE714A" w:rsidP="00BE714A">
      <w:pPr>
        <w:pStyle w:val="Heading2"/>
      </w:pPr>
      <w:bookmarkStart w:id="391" w:name="appendix-sys-rev-tools"/>
      <w:bookmarkEnd w:id="388"/>
      <w:bookmarkEnd w:id="390"/>
      <w:r>
        <w:t>Chapter 3</w:t>
      </w:r>
    </w:p>
    <w:p w14:paraId="71D5E76B" w14:textId="77777777" w:rsidR="00BE714A" w:rsidRDefault="00BE714A" w:rsidP="00BE714A">
      <w:pPr>
        <w:pStyle w:val="Heading3"/>
      </w:pPr>
      <w:bookmarkStart w:id="392" w:name="appendix-search-strategy"/>
      <w:r>
        <w:t>Search strategy</w:t>
      </w:r>
    </w:p>
    <w:p w14:paraId="361BF20D" w14:textId="77777777" w:rsidR="00BE714A" w:rsidRDefault="00BE714A" w:rsidP="00BE714A">
      <w:pPr>
        <w:pStyle w:val="Heading3"/>
      </w:pPr>
      <w:bookmarkStart w:id="393" w:name="appendix-medrxivr-code"/>
      <w:bookmarkEnd w:id="392"/>
      <w:r>
        <w:t>Code to search preprints</w:t>
      </w:r>
    </w:p>
    <w:p w14:paraId="6921B210" w14:textId="77777777" w:rsidR="00BE714A" w:rsidRDefault="00BE714A" w:rsidP="00BE714A">
      <w:pPr>
        <w:pStyle w:val="SourceCode"/>
      </w:pPr>
      <w:r>
        <w:rPr>
          <w:rStyle w:val="FunctionTok"/>
        </w:rPr>
        <w:t>library</w:t>
      </w:r>
      <w:r>
        <w:rPr>
          <w:rStyle w:val="NormalTok"/>
        </w:rPr>
        <w:t>(medrxivr)</w:t>
      </w:r>
      <w:r>
        <w:br/>
      </w:r>
      <w:r>
        <w:br/>
      </w:r>
      <w:r>
        <w:rPr>
          <w:rStyle w:val="NormalTok"/>
        </w:rPr>
        <w:t xml:space="preserve">mx_data </w:t>
      </w:r>
      <w:r>
        <w:rPr>
          <w:rStyle w:val="OtherTok"/>
        </w:rPr>
        <w:t>&lt;-</w:t>
      </w:r>
      <w:r>
        <w:rPr>
          <w:rStyle w:val="NormalTok"/>
        </w:rPr>
        <w:t xml:space="preserve"> </w:t>
      </w:r>
      <w:r>
        <w:rPr>
          <w:rStyle w:val="FunctionTok"/>
        </w:rPr>
        <w:t>mx_api_content</w:t>
      </w:r>
      <w:r>
        <w:rPr>
          <w:rStyle w:val="NormalTok"/>
        </w:rPr>
        <w:t>(</w:t>
      </w:r>
      <w:r>
        <w:rPr>
          <w:rStyle w:val="AttributeTok"/>
        </w:rPr>
        <w:t>to_date =</w:t>
      </w:r>
      <w:r>
        <w:rPr>
          <w:rStyle w:val="NormalTok"/>
        </w:rPr>
        <w:t xml:space="preserve"> </w:t>
      </w:r>
      <w:r>
        <w:rPr>
          <w:rStyle w:val="StringTok"/>
        </w:rPr>
        <w:t>"2019-09-01"</w:t>
      </w:r>
      <w:r>
        <w:rPr>
          <w:rStyle w:val="NormalTok"/>
        </w:rPr>
        <w:t>)</w:t>
      </w:r>
      <w:r>
        <w:br/>
      </w:r>
      <w:r>
        <w:br/>
      </w:r>
      <w:r>
        <w:rPr>
          <w:rStyle w:val="NormalTok"/>
        </w:rPr>
        <w:t xml:space="preserve">bx_data </w:t>
      </w:r>
      <w:r>
        <w:rPr>
          <w:rStyle w:val="OtherTok"/>
        </w:rPr>
        <w:t>&lt;-</w:t>
      </w:r>
      <w:r>
        <w:rPr>
          <w:rStyle w:val="NormalTok"/>
        </w:rPr>
        <w:t xml:space="preserve"> </w:t>
      </w:r>
      <w:r>
        <w:rPr>
          <w:rStyle w:val="FunctionTok"/>
        </w:rPr>
        <w:t>mx_api_content</w:t>
      </w:r>
      <w:r>
        <w:rPr>
          <w:rStyle w:val="NormalTok"/>
        </w:rPr>
        <w:t>(</w:t>
      </w:r>
      <w:r>
        <w:rPr>
          <w:rStyle w:val="AttributeTok"/>
        </w:rPr>
        <w:t>server =</w:t>
      </w:r>
      <w:r>
        <w:rPr>
          <w:rStyle w:val="NormalTok"/>
        </w:rPr>
        <w:t xml:space="preserve"> </w:t>
      </w:r>
      <w:r>
        <w:rPr>
          <w:rStyle w:val="StringTok"/>
        </w:rPr>
        <w:t>"biorxiv"</w:t>
      </w:r>
      <w:r>
        <w:rPr>
          <w:rStyle w:val="NormalTok"/>
        </w:rPr>
        <w:t>,</w:t>
      </w:r>
      <w:r>
        <w:br/>
      </w:r>
      <w:r>
        <w:rPr>
          <w:rStyle w:val="NormalTok"/>
        </w:rPr>
        <w:t xml:space="preserve">                                    </w:t>
      </w:r>
      <w:r>
        <w:rPr>
          <w:rStyle w:val="AttributeTok"/>
        </w:rPr>
        <w:t>to_date =</w:t>
      </w:r>
      <w:r>
        <w:rPr>
          <w:rStyle w:val="NormalTok"/>
        </w:rPr>
        <w:t xml:space="preserve"> </w:t>
      </w:r>
      <w:r>
        <w:rPr>
          <w:rStyle w:val="StringTok"/>
        </w:rPr>
        <w:t>"2019-09-01"</w:t>
      </w:r>
      <w:r>
        <w:rPr>
          <w:rStyle w:val="NormalTok"/>
        </w:rPr>
        <w:t>)</w:t>
      </w:r>
      <w:r>
        <w:br/>
      </w:r>
      <w:r>
        <w:br/>
      </w:r>
      <w:r>
        <w:rPr>
          <w:rStyle w:val="NormalTok"/>
        </w:rPr>
        <w:t xml:space="preserve">topic1 </w:t>
      </w:r>
      <w:r>
        <w:rPr>
          <w:rStyle w:val="OtherTok"/>
        </w:rPr>
        <w:t>&lt;-</w:t>
      </w:r>
      <w:r>
        <w:rPr>
          <w:rStyle w:val="NormalTok"/>
        </w:rPr>
        <w:t xml:space="preserve"> </w:t>
      </w:r>
      <w:r>
        <w:rPr>
          <w:rStyle w:val="FunctionTok"/>
        </w:rPr>
        <w:t>c</w:t>
      </w:r>
      <w:r>
        <w:rPr>
          <w:rStyle w:val="NormalTok"/>
        </w:rPr>
        <w:t>(</w:t>
      </w:r>
      <w:r>
        <w:rPr>
          <w:rStyle w:val="StringTok"/>
        </w:rPr>
        <w:t>"statin"</w:t>
      </w:r>
      <w:r>
        <w:rPr>
          <w:rStyle w:val="NormalTok"/>
        </w:rPr>
        <w:t>,</w:t>
      </w:r>
      <w:r>
        <w:br/>
      </w:r>
      <w:r>
        <w:rPr>
          <w:rStyle w:val="NormalTok"/>
        </w:rPr>
        <w:t xml:space="preserve">            </w:t>
      </w:r>
      <w:r>
        <w:rPr>
          <w:rStyle w:val="FunctionTok"/>
        </w:rPr>
        <w:t>mx_caps</w:t>
      </w:r>
      <w:r>
        <w:rPr>
          <w:rStyle w:val="NormalTok"/>
        </w:rPr>
        <w:t>(</w:t>
      </w:r>
      <w:r>
        <w:rPr>
          <w:rStyle w:val="StringTok"/>
        </w:rPr>
        <w:t>"ldl"</w:t>
      </w:r>
      <w:r>
        <w:rPr>
          <w:rStyle w:val="NormalTok"/>
        </w:rPr>
        <w:t>),</w:t>
      </w:r>
      <w:r>
        <w:br/>
      </w:r>
      <w:r>
        <w:rPr>
          <w:rStyle w:val="NormalTok"/>
        </w:rPr>
        <w:t xml:space="preserve">            </w:t>
      </w:r>
      <w:r>
        <w:rPr>
          <w:rStyle w:val="FunctionTok"/>
        </w:rPr>
        <w:t>mx_caps</w:t>
      </w:r>
      <w:r>
        <w:rPr>
          <w:rStyle w:val="NormalTok"/>
        </w:rPr>
        <w:t>(</w:t>
      </w:r>
      <w:r>
        <w:rPr>
          <w:rStyle w:val="StringTok"/>
        </w:rPr>
        <w:t>"hdl"</w:t>
      </w:r>
      <w:r>
        <w:rPr>
          <w:rStyle w:val="NormalTok"/>
        </w:rPr>
        <w:t>),</w:t>
      </w:r>
      <w:r>
        <w:br/>
      </w:r>
      <w:r>
        <w:rPr>
          <w:rStyle w:val="NormalTok"/>
        </w:rPr>
        <w:t xml:space="preserve">            </w:t>
      </w:r>
      <w:r>
        <w:rPr>
          <w:rStyle w:val="FunctionTok"/>
        </w:rPr>
        <w:t>mx_caps</w:t>
      </w:r>
      <w:r>
        <w:rPr>
          <w:rStyle w:val="NormalTok"/>
        </w:rPr>
        <w:t>(</w:t>
      </w:r>
      <w:r>
        <w:rPr>
          <w:rStyle w:val="StringTok"/>
        </w:rPr>
        <w:t>"TG"</w:t>
      </w:r>
      <w:r>
        <w:rPr>
          <w:rStyle w:val="NormalTok"/>
        </w:rPr>
        <w:t>),</w:t>
      </w:r>
      <w:r>
        <w:br/>
      </w:r>
      <w:r>
        <w:rPr>
          <w:rStyle w:val="NormalTok"/>
        </w:rPr>
        <w:t xml:space="preserve">            </w:t>
      </w:r>
      <w:r>
        <w:rPr>
          <w:rStyle w:val="FunctionTok"/>
        </w:rPr>
        <w:t>paste0</w:t>
      </w:r>
      <w:r>
        <w:rPr>
          <w:rStyle w:val="NormalTok"/>
        </w:rPr>
        <w:t>(</w:t>
      </w:r>
      <w:r>
        <w:rPr>
          <w:rStyle w:val="StringTok"/>
        </w:rPr>
        <w:t>"</w:t>
      </w:r>
      <w:r>
        <w:rPr>
          <w:rStyle w:val="SpecialCharTok"/>
        </w:rPr>
        <w:t>\\</w:t>
      </w:r>
      <w:r>
        <w:rPr>
          <w:rStyle w:val="StringTok"/>
        </w:rPr>
        <w:t>b"</w:t>
      </w:r>
      <w:r>
        <w:rPr>
          <w:rStyle w:val="NormalTok"/>
        </w:rPr>
        <w:t>,</w:t>
      </w:r>
      <w:r>
        <w:rPr>
          <w:rStyle w:val="FunctionTok"/>
        </w:rPr>
        <w:t>mx_caps</w:t>
      </w:r>
      <w:r>
        <w:rPr>
          <w:rStyle w:val="NormalTok"/>
        </w:rPr>
        <w:t>(</w:t>
      </w:r>
      <w:r>
        <w:rPr>
          <w:rStyle w:val="StringTok"/>
        </w:rPr>
        <w:t>"TC"</w:t>
      </w:r>
      <w:r>
        <w:rPr>
          <w:rStyle w:val="NormalTok"/>
        </w:rPr>
        <w:t>),</w:t>
      </w:r>
      <w:r>
        <w:rPr>
          <w:rStyle w:val="StringTok"/>
        </w:rPr>
        <w:t>"</w:t>
      </w:r>
      <w:r>
        <w:rPr>
          <w:rStyle w:val="SpecialCharTok"/>
        </w:rPr>
        <w:t>\\</w:t>
      </w:r>
      <w:r>
        <w:rPr>
          <w:rStyle w:val="StringTok"/>
        </w:rPr>
        <w:t>b"</w:t>
      </w:r>
      <w:r>
        <w:rPr>
          <w:rStyle w:val="NormalTok"/>
        </w:rPr>
        <w:t>),</w:t>
      </w:r>
      <w:r>
        <w:br/>
      </w:r>
      <w:r>
        <w:rPr>
          <w:rStyle w:val="NormalTok"/>
        </w:rPr>
        <w:t xml:space="preserve">            </w:t>
      </w:r>
      <w:r>
        <w:rPr>
          <w:rStyle w:val="StringTok"/>
        </w:rPr>
        <w:t>"ezetim"</w:t>
      </w:r>
      <w:r>
        <w:rPr>
          <w:rStyle w:val="NormalTok"/>
        </w:rPr>
        <w:t>,</w:t>
      </w:r>
      <w:r>
        <w:br/>
      </w:r>
      <w:r>
        <w:rPr>
          <w:rStyle w:val="NormalTok"/>
        </w:rPr>
        <w:t xml:space="preserve">            </w:t>
      </w:r>
      <w:r>
        <w:rPr>
          <w:rStyle w:val="StringTok"/>
        </w:rPr>
        <w:t>"lipoprotein"</w:t>
      </w:r>
      <w:r>
        <w:rPr>
          <w:rStyle w:val="NormalTok"/>
        </w:rPr>
        <w:t>,</w:t>
      </w:r>
      <w:r>
        <w:br/>
      </w:r>
      <w:r>
        <w:rPr>
          <w:rStyle w:val="NormalTok"/>
        </w:rPr>
        <w:t xml:space="preserve">            </w:t>
      </w:r>
      <w:r>
        <w:rPr>
          <w:rStyle w:val="StringTok"/>
        </w:rPr>
        <w:t>"lipid"</w:t>
      </w:r>
      <w:r>
        <w:rPr>
          <w:rStyle w:val="NormalTok"/>
        </w:rPr>
        <w:t>,</w:t>
      </w:r>
      <w:r>
        <w:br/>
      </w:r>
      <w:r>
        <w:rPr>
          <w:rStyle w:val="NormalTok"/>
        </w:rPr>
        <w:t xml:space="preserve">            </w:t>
      </w:r>
      <w:r>
        <w:rPr>
          <w:rStyle w:val="StringTok"/>
        </w:rPr>
        <w:t>"cholesterol"</w:t>
      </w:r>
      <w:r>
        <w:rPr>
          <w:rStyle w:val="NormalTok"/>
        </w:rPr>
        <w:t>)</w:t>
      </w:r>
      <w:r>
        <w:br/>
      </w:r>
      <w:r>
        <w:br/>
      </w:r>
      <w:r>
        <w:rPr>
          <w:rStyle w:val="NormalTok"/>
        </w:rPr>
        <w:t xml:space="preserve">topic2 </w:t>
      </w:r>
      <w:r>
        <w:rPr>
          <w:rStyle w:val="OtherTok"/>
        </w:rPr>
        <w:t>&lt;-</w:t>
      </w:r>
      <w:r>
        <w:rPr>
          <w:rStyle w:val="NormalTok"/>
        </w:rPr>
        <w:t xml:space="preserve"> </w:t>
      </w:r>
      <w:r>
        <w:rPr>
          <w:rStyle w:val="FunctionTok"/>
        </w:rPr>
        <w:t>c</w:t>
      </w:r>
      <w:r>
        <w:rPr>
          <w:rStyle w:val="NormalTok"/>
        </w:rPr>
        <w:t>(</w:t>
      </w:r>
      <w:r>
        <w:rPr>
          <w:rStyle w:val="FunctionTok"/>
        </w:rPr>
        <w:t>mx_caps</w:t>
      </w:r>
      <w:r>
        <w:rPr>
          <w:rStyle w:val="NormalTok"/>
        </w:rPr>
        <w:t>(</w:t>
      </w:r>
      <w:r>
        <w:rPr>
          <w:rStyle w:val="StringTok"/>
        </w:rPr>
        <w:t>"dementia"</w:t>
      </w:r>
      <w:r>
        <w:rPr>
          <w:rStyle w:val="NormalTok"/>
        </w:rPr>
        <w:t>),</w:t>
      </w:r>
      <w:r>
        <w:br/>
      </w:r>
      <w:r>
        <w:rPr>
          <w:rStyle w:val="NormalTok"/>
        </w:rPr>
        <w:t xml:space="preserve">            </w:t>
      </w:r>
      <w:r>
        <w:rPr>
          <w:rStyle w:val="FunctionTok"/>
        </w:rPr>
        <w:t>mx_caps</w:t>
      </w:r>
      <w:r>
        <w:rPr>
          <w:rStyle w:val="NormalTok"/>
        </w:rPr>
        <w:t>(</w:t>
      </w:r>
      <w:r>
        <w:rPr>
          <w:rStyle w:val="StringTok"/>
        </w:rPr>
        <w:t>"alzheim"</w:t>
      </w:r>
      <w:r>
        <w:rPr>
          <w:rStyle w:val="NormalTok"/>
        </w:rPr>
        <w:t>),</w:t>
      </w:r>
      <w:r>
        <w:br/>
      </w:r>
      <w:r>
        <w:rPr>
          <w:rStyle w:val="NormalTok"/>
        </w:rPr>
        <w:t xml:space="preserve">            </w:t>
      </w:r>
      <w:r>
        <w:rPr>
          <w:rStyle w:val="FunctionTok"/>
        </w:rPr>
        <w:t>mx_caps</w:t>
      </w:r>
      <w:r>
        <w:rPr>
          <w:rStyle w:val="NormalTok"/>
        </w:rPr>
        <w:t>(</w:t>
      </w:r>
      <w:r>
        <w:rPr>
          <w:rStyle w:val="StringTok"/>
        </w:rPr>
        <w:t>"MCI"</w:t>
      </w:r>
      <w:r>
        <w:rPr>
          <w:rStyle w:val="NormalTok"/>
        </w:rPr>
        <w:t>),</w:t>
      </w:r>
      <w:r>
        <w:br/>
      </w:r>
      <w:r>
        <w:rPr>
          <w:rStyle w:val="NormalTok"/>
        </w:rPr>
        <w:t xml:space="preserve">            </w:t>
      </w:r>
      <w:r>
        <w:rPr>
          <w:rStyle w:val="FunctionTok"/>
        </w:rPr>
        <w:t>mx_caps</w:t>
      </w:r>
      <w:r>
        <w:rPr>
          <w:rStyle w:val="NormalTok"/>
        </w:rPr>
        <w:t>(</w:t>
      </w:r>
      <w:r>
        <w:rPr>
          <w:rStyle w:val="StringTok"/>
        </w:rPr>
        <w:t>"mild cognitive"</w:t>
      </w:r>
      <w:r>
        <w:rPr>
          <w:rStyle w:val="NormalTok"/>
        </w:rPr>
        <w:t>))</w:t>
      </w:r>
      <w:r>
        <w:br/>
      </w:r>
      <w:r>
        <w:br/>
      </w:r>
      <w:r>
        <w:rPr>
          <w:rStyle w:val="NormalTok"/>
        </w:rPr>
        <w:t xml:space="preserve">query </w:t>
      </w:r>
      <w:r>
        <w:rPr>
          <w:rStyle w:val="OtherTok"/>
        </w:rPr>
        <w:t>&lt;-</w:t>
      </w:r>
      <w:r>
        <w:rPr>
          <w:rStyle w:val="NormalTok"/>
        </w:rPr>
        <w:t xml:space="preserve"> </w:t>
      </w:r>
      <w:r>
        <w:rPr>
          <w:rStyle w:val="FunctionTok"/>
        </w:rPr>
        <w:t>list</w:t>
      </w:r>
      <w:r>
        <w:rPr>
          <w:rStyle w:val="NormalTok"/>
        </w:rPr>
        <w:t>(</w:t>
      </w:r>
      <w:r>
        <w:br/>
      </w:r>
      <w:r>
        <w:rPr>
          <w:rStyle w:val="NormalTok"/>
        </w:rPr>
        <w:t xml:space="preserve">  topic1,</w:t>
      </w:r>
      <w:r>
        <w:br/>
      </w:r>
      <w:r>
        <w:rPr>
          <w:rStyle w:val="NormalTok"/>
        </w:rPr>
        <w:t xml:space="preserve">  topic2</w:t>
      </w:r>
      <w:r>
        <w:br/>
      </w:r>
      <w:r>
        <w:rPr>
          <w:rStyle w:val="NormalTok"/>
        </w:rPr>
        <w:lastRenderedPageBreak/>
        <w:t>)</w:t>
      </w:r>
      <w:r>
        <w:br/>
      </w:r>
      <w:r>
        <w:br/>
      </w:r>
      <w:r>
        <w:rPr>
          <w:rStyle w:val="NormalTok"/>
        </w:rPr>
        <w:t xml:space="preserve">test </w:t>
      </w:r>
      <w:r>
        <w:rPr>
          <w:rStyle w:val="OtherTok"/>
        </w:rPr>
        <w:t>&lt;-</w:t>
      </w:r>
      <w:r>
        <w:rPr>
          <w:rStyle w:val="NormalTok"/>
        </w:rPr>
        <w:t xml:space="preserve"> </w:t>
      </w:r>
      <w:r>
        <w:rPr>
          <w:rStyle w:val="FunctionTok"/>
        </w:rPr>
        <w:t>mx_search</w:t>
      </w:r>
      <w:r>
        <w:rPr>
          <w:rStyle w:val="NormalTok"/>
        </w:rPr>
        <w:t>(bx_data, query)</w:t>
      </w:r>
      <w:r>
        <w:br/>
      </w:r>
      <w:r>
        <w:br/>
      </w:r>
      <w:r>
        <w:br/>
      </w:r>
      <w:r>
        <w:rPr>
          <w:rStyle w:val="NormalTok"/>
        </w:rPr>
        <w:t xml:space="preserve">test2 </w:t>
      </w:r>
      <w:r>
        <w:rPr>
          <w:rStyle w:val="OtherTok"/>
        </w:rPr>
        <w:t>&lt;-</w:t>
      </w:r>
      <w:r>
        <w:rPr>
          <w:rStyle w:val="NormalTok"/>
        </w:rPr>
        <w:t xml:space="preserve"> </w:t>
      </w:r>
      <w:r>
        <w:rPr>
          <w:rStyle w:val="FunctionTok"/>
        </w:rPr>
        <w:t>mx_search</w:t>
      </w:r>
      <w:r>
        <w:rPr>
          <w:rStyle w:val="NormalTok"/>
        </w:rPr>
        <w:t>(mx_data, query)</w:t>
      </w:r>
    </w:p>
    <w:p w14:paraId="4CB90BBE" w14:textId="77777777" w:rsidR="00BE714A" w:rsidRDefault="00BE714A" w:rsidP="00BE714A">
      <w:pPr>
        <w:pStyle w:val="FirstParagraph"/>
      </w:pPr>
      <w:r>
        <w:t>Note</w:t>
      </w:r>
    </w:p>
    <w:p w14:paraId="7204627E" w14:textId="77777777" w:rsidR="00BE714A" w:rsidRDefault="00BE714A" w:rsidP="00BE714A">
      <w:pPr>
        <w:pStyle w:val="Heading3"/>
      </w:pPr>
      <w:bookmarkStart w:id="394" w:name="appendix-mr-rob"/>
      <w:bookmarkEnd w:id="393"/>
      <w:r>
        <w:t>MR risk of bias tool</w:t>
      </w:r>
    </w:p>
    <w:p w14:paraId="2D438040" w14:textId="77777777" w:rsidR="00BE714A" w:rsidRDefault="00BE714A" w:rsidP="00BE714A">
      <w:pPr>
        <w:pStyle w:val="Heading2"/>
      </w:pPr>
      <w:bookmarkStart w:id="395" w:name="appendix-sys-rev"/>
      <w:bookmarkEnd w:id="391"/>
      <w:bookmarkEnd w:id="394"/>
      <w:r>
        <w:t>Chapter 4</w:t>
      </w:r>
    </w:p>
    <w:p w14:paraId="119BD020" w14:textId="77777777" w:rsidR="00BE714A" w:rsidRDefault="00BE714A" w:rsidP="00BE714A">
      <w:pPr>
        <w:pStyle w:val="Heading2"/>
      </w:pPr>
      <w:bookmarkStart w:id="396" w:name="appendix-cprd-analysis"/>
      <w:bookmarkEnd w:id="395"/>
      <w:r>
        <w:t>Chapter 5</w:t>
      </w:r>
    </w:p>
    <w:p w14:paraId="218C09EF" w14:textId="77777777" w:rsidR="00BE714A" w:rsidRDefault="00BE714A" w:rsidP="00BE714A">
      <w:pPr>
        <w:pStyle w:val="Heading3"/>
      </w:pPr>
      <w:bookmarkStart w:id="397" w:name="appendix-cprd-amendments"/>
      <w:r>
        <w:t>Amendments to protocol</w:t>
      </w:r>
    </w:p>
    <w:p w14:paraId="1465D30B" w14:textId="77777777" w:rsidR="00BE714A" w:rsidRDefault="00BE714A" w:rsidP="00BE714A">
      <w:pPr>
        <w:pStyle w:val="Heading3"/>
      </w:pPr>
      <w:bookmarkStart w:id="398" w:name="code-lists"/>
      <w:bookmarkEnd w:id="397"/>
      <w:r>
        <w:t>Code lists</w:t>
      </w:r>
    </w:p>
    <w:p w14:paraId="215E0FD6" w14:textId="77777777" w:rsidR="00BE714A" w:rsidRDefault="00BE714A" w:rsidP="00BE714A">
      <w:pPr>
        <w:pStyle w:val="Heading2"/>
      </w:pPr>
      <w:bookmarkStart w:id="399" w:name="chapter-7"/>
      <w:bookmarkEnd w:id="396"/>
      <w:bookmarkEnd w:id="398"/>
      <w:r>
        <w:t>Chapter 7</w:t>
      </w:r>
    </w:p>
    <w:p w14:paraId="3092391E" w14:textId="77777777" w:rsidR="00BE714A" w:rsidRDefault="00BE714A" w:rsidP="00BE714A">
      <w:pPr>
        <w:pStyle w:val="Heading3"/>
      </w:pPr>
      <w:bookmarkStart w:id="400" w:name="catalogue-of-failures"/>
      <w:r>
        <w:t>Catalogue of failures</w:t>
      </w:r>
    </w:p>
    <w:p w14:paraId="74A60C76" w14:textId="77777777" w:rsidR="00BE714A" w:rsidRDefault="00BE714A" w:rsidP="00BE714A">
      <w:pPr>
        <w:pStyle w:val="FirstParagraph"/>
      </w:pPr>
      <w:r>
        <w:t>Short section detailing the things I tried to do but which did not work.</w:t>
      </w:r>
    </w:p>
    <w:bookmarkEnd w:id="387"/>
    <w:bookmarkEnd w:id="399"/>
    <w:bookmarkEnd w:id="400"/>
    <w:p w14:paraId="2138FF88" w14:textId="77777777" w:rsidR="00BE714A" w:rsidRDefault="00BE714A" w:rsidP="00BE714A">
      <w:pPr>
        <w:pStyle w:val="Heading1"/>
      </w:pPr>
      <w:r>
        <w:t>Other Appendix</w:t>
      </w:r>
    </w:p>
    <w:p w14:paraId="22AFD734" w14:textId="77777777" w:rsidR="00BE714A" w:rsidRDefault="00BE714A" w:rsidP="00BE714A">
      <w:pPr>
        <w:pStyle w:val="Heading2"/>
      </w:pPr>
      <w:bookmarkStart w:id="401" w:name="software-used-to-create-this-thesis"/>
      <w:r>
        <w:t>Software used to create this thesis</w:t>
      </w:r>
    </w:p>
    <w:p w14:paraId="4EDFB4B7" w14:textId="77777777" w:rsidR="00BE714A" w:rsidRDefault="00BE714A" w:rsidP="00BE714A">
      <w:pPr>
        <w:pStyle w:val="FirstParagraph"/>
      </w:pPr>
      <w:r>
        <w:t>This thesis was written in RMarkdown. Several R packages were used as part of this project.</w:t>
      </w:r>
      <w:hyperlink w:anchor="ref-rbiorxiv">
        <w:r>
          <w:rPr>
            <w:rStyle w:val="Hyperlink"/>
            <w:vertAlign w:val="superscript"/>
          </w:rPr>
          <w:t>131</w:t>
        </w:r>
      </w:hyperlink>
      <w:r>
        <w:rPr>
          <w:vertAlign w:val="superscript"/>
        </w:rPr>
        <w:t>,</w:t>
      </w:r>
      <w:hyperlink w:anchor="ref-base">
        <w:r>
          <w:rPr>
            <w:rStyle w:val="Hyperlink"/>
            <w:vertAlign w:val="superscript"/>
          </w:rPr>
          <w:t>201</w:t>
        </w:r>
      </w:hyperlink>
      <w:r>
        <w:rPr>
          <w:vertAlign w:val="superscript"/>
        </w:rPr>
        <w:t>–</w:t>
      </w:r>
      <w:hyperlink w:anchor="ref-xfun">
        <w:r>
          <w:rPr>
            <w:rStyle w:val="Hyperlink"/>
            <w:vertAlign w:val="superscript"/>
          </w:rPr>
          <w:t>217</w:t>
        </w:r>
      </w:hyperlink>
    </w:p>
    <w:p w14:paraId="7724AD9D" w14:textId="77777777" w:rsidR="00BE714A" w:rsidRDefault="00BE714A" w:rsidP="00BE714A">
      <w:pPr>
        <w:pStyle w:val="BodyText"/>
      </w:pPr>
      <w:r>
        <w:t>All projects in these thesis attempt to conform to minimal best practices for research computing.</w:t>
      </w:r>
      <w:hyperlink w:anchor="ref-wilson2014">
        <w:r>
          <w:rPr>
            <w:rStyle w:val="Hyperlink"/>
            <w:vertAlign w:val="superscript"/>
          </w:rPr>
          <w:t>218</w:t>
        </w:r>
      </w:hyperlink>
      <w:r>
        <w:rPr>
          <w:vertAlign w:val="superscript"/>
        </w:rPr>
        <w:t>,</w:t>
      </w:r>
      <w:hyperlink w:anchor="ref-wilson2017">
        <w:r>
          <w:rPr>
            <w:rStyle w:val="Hyperlink"/>
            <w:vertAlign w:val="superscript"/>
          </w:rPr>
          <w:t>219</w:t>
        </w:r>
      </w:hyperlink>
    </w:p>
    <w:bookmarkEnd w:id="401"/>
    <w:p w14:paraId="552557C5" w14:textId="77777777" w:rsidR="00BE714A" w:rsidRDefault="00BE714A" w:rsidP="00BE714A">
      <w:pPr>
        <w:pStyle w:val="Heading2"/>
      </w:pPr>
      <w:r>
        <w:t xml:space="preserve">Producing risk-of-bias visualisations with </w:t>
      </w:r>
      <w:r>
        <w:rPr>
          <w:rStyle w:val="VerbatimChar"/>
        </w:rPr>
        <w:t>robvis</w:t>
      </w:r>
    </w:p>
    <w:p w14:paraId="14A50499" w14:textId="77777777" w:rsidR="00BE714A" w:rsidRDefault="00BE714A" w:rsidP="00BE714A">
      <w:pPr>
        <w:pStyle w:val="Heading3"/>
      </w:pPr>
      <w:bookmarkStart w:id="402" w:name="introduction-2"/>
      <w:r>
        <w:t>Introduction</w:t>
      </w:r>
    </w:p>
    <w:p w14:paraId="19AE27DE" w14:textId="77777777" w:rsidR="00BE714A" w:rsidRDefault="00BE714A" w:rsidP="00BE714A">
      <w:pPr>
        <w:pStyle w:val="FirstParagraph"/>
      </w:pPr>
      <w:r>
        <w:t>Risk of bias assessment - evaluation of the internal validity of studies included in a systematic review - often forms a key part of the evidence synthesis process, particularly in the health sciences.</w:t>
      </w:r>
      <w:hyperlink w:anchor="ref-cochranechpt7">
        <w:r>
          <w:rPr>
            <w:rStyle w:val="Hyperlink"/>
            <w:vertAlign w:val="superscript"/>
          </w:rPr>
          <w:t>220</w:t>
        </w:r>
      </w:hyperlink>
      <w:r>
        <w:t xml:space="preserve"> A well-developed family of tools is widely used, which have in common the characteristic that they evaluate specific domains of bias rather being constructed as a checklist or a quantitative score.</w:t>
      </w:r>
      <w:hyperlink w:anchor="ref-cochranechpt7">
        <w:r>
          <w:rPr>
            <w:rStyle w:val="Hyperlink"/>
            <w:vertAlign w:val="superscript"/>
          </w:rPr>
          <w:t>220</w:t>
        </w:r>
      </w:hyperlink>
      <w:r>
        <w:t xml:space="preserve"> These tools include the RoB 2 tool for randomized trials,</w:t>
      </w:r>
      <w:hyperlink w:anchor="ref-sterne2019rob">
        <w:r>
          <w:rPr>
            <w:rStyle w:val="Hyperlink"/>
            <w:vertAlign w:val="superscript"/>
          </w:rPr>
          <w:t>221</w:t>
        </w:r>
      </w:hyperlink>
      <w:r>
        <w:t xml:space="preserve"> the ROBINS-I tool for non-randomized studies of interventions,</w:t>
      </w:r>
      <w:hyperlink w:anchor="ref-sterne2016robins">
        <w:r>
          <w:rPr>
            <w:rStyle w:val="Hyperlink"/>
            <w:vertAlign w:val="superscript"/>
          </w:rPr>
          <w:t>222</w:t>
        </w:r>
      </w:hyperlink>
      <w:r>
        <w:t xml:space="preserve"> the QUADAS 2 tool for test accuracy and the ROBIS tool for systematic reviews.</w:t>
      </w:r>
      <w:hyperlink w:anchor="ref-whiting2011quadas">
        <w:r>
          <w:rPr>
            <w:rStyle w:val="Hyperlink"/>
            <w:vertAlign w:val="superscript"/>
          </w:rPr>
          <w:t>223</w:t>
        </w:r>
      </w:hyperlink>
      <w:r>
        <w:t xml:space="preserve"> Within each bias domains a judgement is reached about the strength of the study in that regard: for </w:t>
      </w:r>
      <w:r>
        <w:lastRenderedPageBreak/>
        <w:t>example, the first domain in the Cochrane RoB 2 tool deals with bias arising from the randomization process.</w:t>
      </w:r>
      <w:hyperlink w:anchor="ref-sterne2019rob">
        <w:r>
          <w:rPr>
            <w:rStyle w:val="Hyperlink"/>
            <w:vertAlign w:val="superscript"/>
          </w:rPr>
          <w:t>221</w:t>
        </w:r>
      </w:hyperlink>
      <w:r>
        <w:t xml:space="preserve"> Accessible graphics summarizing the results of these domain-based risk-of-bias assessments are included in reports of systematic reviews. A convenient plot in many reviews is a “traffic light” 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vertAlign w:val="superscript"/>
          </w:rPr>
          <w:t>224</w:t>
        </w:r>
      </w:hyperlink>
    </w:p>
    <w:p w14:paraId="493C31A9" w14:textId="77777777" w:rsidR="00BE714A" w:rsidRDefault="00BE714A" w:rsidP="00BE714A">
      <w:pPr>
        <w:pStyle w:val="BodyText"/>
      </w:pPr>
      <w:r>
        <w:t>Researchers can face a number of barriers in creating these plots. While some evidence synthesis platforms, such as Cochrane’s Review Manager,</w:t>
      </w:r>
      <w:hyperlink w:anchor="ref-cochrane2014review">
        <w:r>
          <w:rPr>
            <w:rStyle w:val="Hyperlink"/>
            <w:vertAlign w:val="superscript"/>
          </w:rPr>
          <w:t>225</w:t>
        </w:r>
      </w:hyperlink>
      <w:r>
        <w:t xml:space="preserve"> 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vertAlign w:val="superscript"/>
          </w:rPr>
          <w:t>226</w:t>
        </w:r>
      </w:hyperlink>
      <w:r>
        <w:t xml:space="preserve"> 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vertAlign w:val="superscript"/>
          </w:rPr>
          <w:t>227</w:t>
        </w:r>
      </w:hyperlink>
      <w:r>
        <w:t xml:space="preserve"> but no similar time- and error-reducing tool has been proposed for visualizing the results of risk-of-bias assessments.</w:t>
      </w:r>
    </w:p>
    <w:p w14:paraId="2549FB36" w14:textId="77777777" w:rsidR="00BE714A" w:rsidRDefault="00BE714A" w:rsidP="00BE714A">
      <w:pPr>
        <w:pStyle w:val="BodyText"/>
      </w:pPr>
      <w:r>
        <w:t xml:space="preserve">Fortunately, tools such as R, RStudio and </w:t>
      </w:r>
      <w:r>
        <w:rPr>
          <w:rStyle w:val="VerbatimChar"/>
        </w:rPr>
        <w:t>Shiny</w:t>
      </w:r>
      <w:r>
        <w:t xml:space="preserve"> (an R package for building interactive web apps) have made it easier than ever to produce such a tool.</w:t>
      </w:r>
      <w:hyperlink w:anchor="ref-rref">
        <w:r>
          <w:rPr>
            <w:rStyle w:val="Hyperlink"/>
            <w:vertAlign w:val="superscript"/>
          </w:rPr>
          <w:t>228</w:t>
        </w:r>
      </w:hyperlink>
      <w:r>
        <w:rPr>
          <w:vertAlign w:val="superscript"/>
        </w:rPr>
        <w:t>–</w:t>
      </w:r>
      <w:hyperlink w:anchor="ref-shinyref">
        <w:r>
          <w:rPr>
            <w:rStyle w:val="Hyperlink"/>
            <w:vertAlign w:val="superscript"/>
          </w:rPr>
          <w:t>230</w:t>
        </w:r>
      </w:hyperlink>
      <w:r>
        <w:t xml:space="preserve"> Here, we present </w:t>
      </w:r>
      <w:r>
        <w:rPr>
          <w:rStyle w:val="VerbatimChar"/>
        </w:rPr>
        <w:t>robvis</w:t>
      </w:r>
      <w:r>
        <w:t xml:space="preserve"> (Risk Of Bias VISualiation),</w:t>
      </w:r>
      <w:hyperlink w:anchor="ref-mcguinness2019a">
        <w:r>
          <w:rPr>
            <w:rStyle w:val="Hyperlink"/>
            <w:vertAlign w:val="superscript"/>
          </w:rPr>
          <w:t>231</w:t>
        </w:r>
      </w:hyperlink>
      <w:r>
        <w:t xml:space="preserve"> an R package and </w:t>
      </w:r>
      <w:r>
        <w:rPr>
          <w:rStyle w:val="VerbatimChar"/>
        </w:rPr>
        <w:t>Shiny</w:t>
      </w:r>
      <w:r>
        <w:t xml:space="preserve"> 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14:paraId="2236FFCA" w14:textId="77777777" w:rsidR="00BE714A" w:rsidRDefault="00BE714A" w:rsidP="00BE714A">
      <w:pPr>
        <w:pStyle w:val="BodyText"/>
      </w:pPr>
      <w:r>
        <w:t>The tool is open-source and available to use free of charge. Users can download a stable version of the R package from CRAN (</w:t>
      </w:r>
      <w:hyperlink r:id="rId41">
        <w:r>
          <w:rPr>
            <w:rStyle w:val="Hyperlink"/>
          </w:rPr>
          <w:t>https://cran.r-project.org/package=robvis</w:t>
        </w:r>
      </w:hyperlink>
      <w:r>
        <w:t>); or access and contribute to the development version via GitHub (</w:t>
      </w:r>
      <w:hyperlink r:id="rId42">
        <w:r>
          <w:rPr>
            <w:rStyle w:val="Hyperlink"/>
          </w:rPr>
          <w:t>https://github.com/mcguinlu/robvis</w:t>
        </w:r>
      </w:hyperlink>
      <w:r>
        <w:t>).</w:t>
      </w:r>
    </w:p>
    <w:p w14:paraId="32FFB290" w14:textId="77777777" w:rsidR="00BE714A" w:rsidRDefault="00BE714A" w:rsidP="00BE714A">
      <w:pPr>
        <w:pStyle w:val="Heading3"/>
      </w:pPr>
      <w:bookmarkStart w:id="403" w:name="development-1"/>
      <w:bookmarkEnd w:id="402"/>
      <w:r>
        <w:t>Development</w:t>
      </w:r>
    </w:p>
    <w:p w14:paraId="16721169" w14:textId="77777777" w:rsidR="00BE714A" w:rsidRDefault="00BE714A" w:rsidP="00BE714A">
      <w:pPr>
        <w:pStyle w:val="FirstParagraph"/>
      </w:pPr>
      <w:r>
        <w:t xml:space="preserve">Development of </w:t>
      </w:r>
      <w:r>
        <w:rPr>
          <w:rStyle w:val="VerbatimChar"/>
        </w:rPr>
        <w:t>robvis</w:t>
      </w:r>
      <w:r>
        <w:t xml:space="preserve"> 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gibb2019consistent">
        <w:r>
          <w:rPr>
            <w:rStyle w:val="Hyperlink"/>
            <w:vertAlign w:val="superscript"/>
          </w:rPr>
          <w:t>232</w:t>
        </w:r>
      </w:hyperlink>
      <w:r>
        <w:rPr>
          <w:vertAlign w:val="superscript"/>
        </w:rPr>
        <w:t>–</w:t>
      </w:r>
      <w:hyperlink w:anchor="ref-tanneru2020">
        <w:r>
          <w:rPr>
            <w:rStyle w:val="Hyperlink"/>
            <w:vertAlign w:val="superscript"/>
          </w:rPr>
          <w:t>236</w:t>
        </w:r>
      </w:hyperlink>
    </w:p>
    <w:p w14:paraId="3112AD7B" w14:textId="77777777" w:rsidR="00BE714A" w:rsidRDefault="00BE714A" w:rsidP="00BE714A">
      <w:pPr>
        <w:pStyle w:val="Heading3"/>
      </w:pPr>
      <w:bookmarkStart w:id="404" w:name="installation-1"/>
      <w:bookmarkEnd w:id="403"/>
      <w:r>
        <w:lastRenderedPageBreak/>
        <w:t>Installation</w:t>
      </w:r>
    </w:p>
    <w:p w14:paraId="34961456" w14:textId="77777777" w:rsidR="00BE714A" w:rsidRDefault="00BE714A" w:rsidP="00BE714A">
      <w:pPr>
        <w:pStyle w:val="FirstParagraph"/>
      </w:pPr>
      <w:r>
        <w:t xml:space="preserve">A stable version of </w:t>
      </w:r>
      <w:r>
        <w:rPr>
          <w:rStyle w:val="VerbatimChar"/>
        </w:rPr>
        <w:t>robvis</w:t>
      </w:r>
      <w:r>
        <w:t xml:space="preserve"> is hosted on the Comprehensive R Archive Network (CRAN) and can be installed using:</w:t>
      </w:r>
    </w:p>
    <w:p w14:paraId="7C96FA1C" w14:textId="77777777" w:rsidR="00BE714A" w:rsidRDefault="00BE714A" w:rsidP="00BE714A">
      <w:pPr>
        <w:pStyle w:val="SourceCode"/>
      </w:pPr>
      <w:r>
        <w:rPr>
          <w:rStyle w:val="FunctionTok"/>
        </w:rPr>
        <w:t>install.packages</w:t>
      </w:r>
      <w:r>
        <w:rPr>
          <w:rStyle w:val="NormalTok"/>
        </w:rPr>
        <w:t>(</w:t>
      </w:r>
      <w:r>
        <w:rPr>
          <w:rStyle w:val="StringTok"/>
        </w:rPr>
        <w:t>"robvis"</w:t>
      </w:r>
      <w:r>
        <w:rPr>
          <w:rStyle w:val="NormalTok"/>
        </w:rPr>
        <w:t>)</w:t>
      </w:r>
    </w:p>
    <w:p w14:paraId="47060054" w14:textId="77777777" w:rsidR="00BE714A" w:rsidRDefault="00BE714A" w:rsidP="00BE714A">
      <w:pPr>
        <w:pStyle w:val="FirstParagraph"/>
      </w:pPr>
      <w:r>
        <w:t xml:space="preserve">As development of </w:t>
      </w:r>
      <w:r>
        <w:rPr>
          <w:rStyle w:val="VerbatimChar"/>
        </w:rPr>
        <w:t>robvis</w:t>
      </w:r>
      <w:r>
        <w:t xml:space="preserve"> is ongoing, new features are often available in the development version some time before they appear in the stable CRAN version. The most recent development version can be install from GitHub using:</w:t>
      </w:r>
    </w:p>
    <w:p w14:paraId="4C476F9B" w14:textId="77777777" w:rsidR="00BE714A" w:rsidRDefault="00BE714A" w:rsidP="00BE714A">
      <w:pPr>
        <w:pStyle w:val="SourceCode"/>
      </w:pPr>
      <w:r>
        <w:rPr>
          <w:rStyle w:val="NormalTok"/>
        </w:rPr>
        <w:t>devtools</w:t>
      </w:r>
      <w:r>
        <w:rPr>
          <w:rStyle w:val="SpecialCharTok"/>
        </w:rPr>
        <w:t>::</w:t>
      </w:r>
      <w:r>
        <w:rPr>
          <w:rStyle w:val="FunctionTok"/>
        </w:rPr>
        <w:t>install_github</w:t>
      </w:r>
      <w:r>
        <w:rPr>
          <w:rStyle w:val="NormalTok"/>
        </w:rPr>
        <w:t>(</w:t>
      </w:r>
      <w:r>
        <w:rPr>
          <w:rStyle w:val="StringTok"/>
        </w:rPr>
        <w:t>"mcguinlu/robvis"</w:t>
      </w:r>
      <w:r>
        <w:rPr>
          <w:rStyle w:val="NormalTok"/>
        </w:rPr>
        <w:t>)</w:t>
      </w:r>
    </w:p>
    <w:p w14:paraId="6B916605" w14:textId="77777777" w:rsidR="00BE714A" w:rsidRDefault="00BE714A" w:rsidP="00BE714A">
      <w:pPr>
        <w:pStyle w:val="Heading3"/>
      </w:pPr>
      <w:bookmarkStart w:id="405" w:name="usage-1"/>
      <w:bookmarkEnd w:id="404"/>
      <w:r>
        <w:t>Usage</w:t>
      </w:r>
    </w:p>
    <w:p w14:paraId="4403D06B" w14:textId="77777777" w:rsidR="00BE714A" w:rsidRDefault="00BE714A" w:rsidP="00BE714A">
      <w:pPr>
        <w:pStyle w:val="FirstParagraph"/>
      </w:pPr>
      <w:r>
        <w:rPr>
          <w:rStyle w:val="VerbatimChar"/>
        </w:rPr>
        <w:t>robvis</w:t>
      </w:r>
      <w:r>
        <w:t xml:space="preserve"> contains two main functions. The first, </w:t>
      </w:r>
      <w:r>
        <w:rPr>
          <w:rStyle w:val="VerbatimChar"/>
        </w:rPr>
        <w:t>rob_traffic_light()</w:t>
      </w:r>
      <w:r>
        <w:t xml:space="preserve">, creates a traffic light plot by tabulating each study by each domain, providing a more detailed view of the results of the risk-of-bias assessment. The second, </w:t>
      </w:r>
      <w:r>
        <w:rPr>
          <w:rStyle w:val="VerbatimChar"/>
        </w:rPr>
        <w:t>rob_summary()</w:t>
      </w:r>
      <w:r>
        <w:t>, creates a weighted bar plot showing the proportion of information with each judgement for each domain in the assessment tool specified.</w:t>
      </w:r>
    </w:p>
    <w:p w14:paraId="615F636C" w14:textId="77777777" w:rsidR="00BE714A" w:rsidRDefault="00BE714A" w:rsidP="00BE714A">
      <w:pPr>
        <w:pStyle w:val="BodyText"/>
      </w:pPr>
      <w:r>
        <w:t xml:space="preserve">A worked example using these functions is outlined below, showing the ease with which risk-of-bias plots can be created using </w:t>
      </w:r>
      <w:r>
        <w:rPr>
          <w:rStyle w:val="VerbatimChar"/>
        </w:rPr>
        <w:t>robvis</w:t>
      </w:r>
      <w:r>
        <w:t>. A detailed description of the additional options that can be used with each function is presented in Table 8</w:t>
      </w:r>
    </w:p>
    <w:p w14:paraId="23761C2C" w14:textId="77777777" w:rsidR="00BE714A" w:rsidRDefault="00BE714A" w:rsidP="00BE714A">
      <w:pPr>
        <w:pStyle w:val="BodyText"/>
      </w:pPr>
      <w:r>
        <w:t>Using the example data set (</w:t>
      </w:r>
      <w:r>
        <w:rPr>
          <w:rStyle w:val="VerbatimChar"/>
        </w:rPr>
        <w:t>data_rob2</w:t>
      </w:r>
      <w:r>
        <w:t>) which is built into the package and is presented in Table ?? for reference, the traffic light plot shown in Figure 10 is created using:</w:t>
      </w:r>
    </w:p>
    <w:p w14:paraId="05239A15" w14:textId="77777777" w:rsidR="00BE714A" w:rsidRDefault="00BE714A" w:rsidP="00BE714A">
      <w:pPr>
        <w:pStyle w:val="BodyText"/>
      </w:pPr>
      <w:r>
        <w:rPr>
          <w:b/>
          <w:bCs/>
        </w:rPr>
        <w:t>NEED TO ADD DATA HERE!</w:t>
      </w:r>
    </w:p>
    <w:p w14:paraId="41DABFCA" w14:textId="77777777" w:rsidR="00BE714A" w:rsidRDefault="00BE714A" w:rsidP="00BE714A">
      <w:pPr>
        <w:pStyle w:val="SourceCode"/>
      </w:pPr>
      <w:r>
        <w:rPr>
          <w:rStyle w:val="FunctionTok"/>
        </w:rPr>
        <w:t>rob_traffic_light</w:t>
      </w:r>
      <w:r>
        <w:rPr>
          <w:rStyle w:val="NormalTok"/>
        </w:rPr>
        <w:t>(</w:t>
      </w:r>
      <w:r>
        <w:rPr>
          <w:rStyle w:val="AttributeTok"/>
        </w:rPr>
        <w:t>data =</w:t>
      </w:r>
      <w:r>
        <w:rPr>
          <w:rStyle w:val="NormalTok"/>
        </w:rPr>
        <w:t xml:space="preserve"> data_rob2,</w:t>
      </w:r>
      <w:r>
        <w:br/>
      </w:r>
      <w:r>
        <w:rPr>
          <w:rStyle w:val="NormalTok"/>
        </w:rPr>
        <w:t xml:space="preserve">                  </w:t>
      </w:r>
      <w:r>
        <w:rPr>
          <w:rStyle w:val="AttributeTok"/>
        </w:rPr>
        <w:t>tool =</w:t>
      </w:r>
      <w:r>
        <w:rPr>
          <w:rStyle w:val="NormalTok"/>
        </w:rPr>
        <w:t xml:space="preserve"> </w:t>
      </w:r>
      <w:r>
        <w:rPr>
          <w:rStyle w:val="StringTok"/>
        </w:rPr>
        <w:t>"ROB2"</w:t>
      </w:r>
      <w:r>
        <w:rPr>
          <w:rStyle w:val="NormalTok"/>
        </w:rPr>
        <w:t>,</w:t>
      </w:r>
      <w:r>
        <w:br/>
      </w:r>
      <w:r>
        <w:rPr>
          <w:rStyle w:val="NormalTok"/>
        </w:rPr>
        <w:t xml:space="preserve">                  </w:t>
      </w:r>
      <w:r>
        <w:rPr>
          <w:rStyle w:val="AttributeTok"/>
        </w:rPr>
        <w:t>psize =</w:t>
      </w:r>
      <w:r>
        <w:rPr>
          <w:rStyle w:val="NormalTok"/>
        </w:rPr>
        <w:t xml:space="preserve"> </w:t>
      </w:r>
      <w:r>
        <w:rPr>
          <w:rStyle w:val="DecValTok"/>
        </w:rPr>
        <w:t>15</w:t>
      </w:r>
      <w:r>
        <w:rPr>
          <w:rStyle w:val="NormalTok"/>
        </w:rPr>
        <w:t>)</w:t>
      </w:r>
    </w:p>
    <w:p w14:paraId="7FFC9001" w14:textId="77777777" w:rsidR="00BE714A" w:rsidRDefault="00BE714A" w:rsidP="00BE714A">
      <w:r>
        <w:rPr>
          <w:noProof/>
        </w:rPr>
        <w:lastRenderedPageBreak/>
        <w:drawing>
          <wp:inline distT="0" distB="0" distL="0" distR="0" wp14:anchorId="7724FD3A" wp14:editId="6113A0A4">
            <wp:extent cx="5493266" cy="3479068"/>
            <wp:effectExtent l="0" t="0" r="0" b="0"/>
            <wp:docPr id="11" name="Picture" descr="Figure 10: Example risk of bias traffic light plot created using robvis"/>
            <wp:cNvGraphicFramePr/>
            <a:graphic xmlns:a="http://schemas.openxmlformats.org/drawingml/2006/main">
              <a:graphicData uri="http://schemas.openxmlformats.org/drawingml/2006/picture">
                <pic:pic xmlns:pic="http://schemas.openxmlformats.org/drawingml/2006/picture">
                  <pic:nvPicPr>
                    <pic:cNvPr id="0" name="Picture" descr="figures/sys-rev-tools/example-rob-traffic-light-plot.png"/>
                    <pic:cNvPicPr>
                      <a:picLocks noChangeAspect="1" noChangeArrowheads="1"/>
                    </pic:cNvPicPr>
                  </pic:nvPicPr>
                  <pic:blipFill>
                    <a:blip r:embed="rId43"/>
                    <a:stretch>
                      <a:fillRect/>
                    </a:stretch>
                  </pic:blipFill>
                  <pic:spPr bwMode="auto">
                    <a:xfrm>
                      <a:off x="0" y="0"/>
                      <a:ext cx="5493266" cy="3479068"/>
                    </a:xfrm>
                    <a:prstGeom prst="rect">
                      <a:avLst/>
                    </a:prstGeom>
                    <a:noFill/>
                    <a:ln w="9525">
                      <a:noFill/>
                      <a:headEnd/>
                      <a:tailEnd/>
                    </a:ln>
                  </pic:spPr>
                </pic:pic>
              </a:graphicData>
            </a:graphic>
          </wp:inline>
        </w:drawing>
      </w:r>
    </w:p>
    <w:p w14:paraId="172D7E96" w14:textId="77777777" w:rsidR="00BE714A" w:rsidRDefault="00BE714A" w:rsidP="00BE714A">
      <w:pPr>
        <w:pStyle w:val="ImageCaption"/>
      </w:pPr>
      <w:r>
        <w:t xml:space="preserve">Figure 10: Example risk of bias traffic light plot created using </w:t>
      </w:r>
      <w:r>
        <w:rPr>
          <w:rStyle w:val="VerbatimChar"/>
        </w:rPr>
        <w:t>robvis</w:t>
      </w:r>
    </w:p>
    <w:p w14:paraId="475DFCA9" w14:textId="77777777" w:rsidR="00BE714A" w:rsidRDefault="00BE714A" w:rsidP="00BE714A">
      <w:pPr>
        <w:pStyle w:val="BodyText"/>
      </w:pPr>
      <w:r>
        <w:t>Similary, using the same data set, the summary barplot shown in Figure 11 is created using:</w:t>
      </w:r>
    </w:p>
    <w:p w14:paraId="7BB2B3C3" w14:textId="77777777" w:rsidR="00BE714A" w:rsidRDefault="00BE714A" w:rsidP="00BE714A">
      <w:pPr>
        <w:pStyle w:val="SourceCode"/>
      </w:pPr>
      <w:r>
        <w:rPr>
          <w:rStyle w:val="FunctionTok"/>
        </w:rPr>
        <w:t>rob_summary</w:t>
      </w:r>
      <w:r>
        <w:rPr>
          <w:rStyle w:val="NormalTok"/>
        </w:rPr>
        <w:t>(</w:t>
      </w:r>
      <w:r>
        <w:rPr>
          <w:rStyle w:val="AttributeTok"/>
        </w:rPr>
        <w:t>data =</w:t>
      </w:r>
      <w:r>
        <w:rPr>
          <w:rStyle w:val="NormalTok"/>
        </w:rPr>
        <w:t xml:space="preserve"> data_rob2,</w:t>
      </w:r>
      <w:r>
        <w:br/>
      </w:r>
      <w:r>
        <w:rPr>
          <w:rStyle w:val="NormalTok"/>
        </w:rPr>
        <w:t xml:space="preserve">            </w:t>
      </w:r>
      <w:r>
        <w:rPr>
          <w:rStyle w:val="AttributeTok"/>
        </w:rPr>
        <w:t>tool =</w:t>
      </w:r>
      <w:r>
        <w:rPr>
          <w:rStyle w:val="NormalTok"/>
        </w:rPr>
        <w:t xml:space="preserve"> </w:t>
      </w:r>
      <w:r>
        <w:rPr>
          <w:rStyle w:val="StringTok"/>
        </w:rPr>
        <w:t>"ROB2"</w:t>
      </w:r>
      <w:r>
        <w:rPr>
          <w:rStyle w:val="NormalTok"/>
        </w:rPr>
        <w:t xml:space="preserve">, </w:t>
      </w:r>
      <w:r>
        <w:br/>
      </w:r>
      <w:r>
        <w:rPr>
          <w:rStyle w:val="NormalTok"/>
        </w:rPr>
        <w:t xml:space="preserve">            </w:t>
      </w:r>
      <w:r>
        <w:rPr>
          <w:rStyle w:val="AttributeTok"/>
        </w:rPr>
        <w:t>overall =</w:t>
      </w:r>
      <w:r>
        <w:rPr>
          <w:rStyle w:val="NormalTok"/>
        </w:rPr>
        <w:t xml:space="preserve"> </w:t>
      </w:r>
      <w:r>
        <w:rPr>
          <w:rStyle w:val="ConstantTok"/>
        </w:rPr>
        <w:t>TRUE</w:t>
      </w:r>
      <w:r>
        <w:rPr>
          <w:rStyle w:val="NormalTok"/>
        </w:rPr>
        <w:t>)</w:t>
      </w:r>
    </w:p>
    <w:p w14:paraId="11A72DEA" w14:textId="77777777" w:rsidR="00BE714A" w:rsidRDefault="00BE714A" w:rsidP="00BE714A">
      <w:r>
        <w:rPr>
          <w:noProof/>
        </w:rPr>
        <w:drawing>
          <wp:inline distT="0" distB="0" distL="0" distR="0" wp14:anchorId="4906961C" wp14:editId="1CB9848B">
            <wp:extent cx="5943600" cy="1790509"/>
            <wp:effectExtent l="0" t="0" r="0" b="0"/>
            <wp:docPr id="12" name="Picture" descr="Figure 11: Example risk of bias summary plot created using robvis and the example ROB2 dataset"/>
            <wp:cNvGraphicFramePr/>
            <a:graphic xmlns:a="http://schemas.openxmlformats.org/drawingml/2006/main">
              <a:graphicData uri="http://schemas.openxmlformats.org/drawingml/2006/picture">
                <pic:pic xmlns:pic="http://schemas.openxmlformats.org/drawingml/2006/picture">
                  <pic:nvPicPr>
                    <pic:cNvPr id="0" name="Picture" descr="figures/sys-rev-tools/example-rob-summary-barplot.png"/>
                    <pic:cNvPicPr>
                      <a:picLocks noChangeAspect="1" noChangeArrowheads="1"/>
                    </pic:cNvPicPr>
                  </pic:nvPicPr>
                  <pic:blipFill>
                    <a:blip r:embed="rId44"/>
                    <a:stretch>
                      <a:fillRect/>
                    </a:stretch>
                  </pic:blipFill>
                  <pic:spPr bwMode="auto">
                    <a:xfrm>
                      <a:off x="0" y="0"/>
                      <a:ext cx="5943600" cy="1790509"/>
                    </a:xfrm>
                    <a:prstGeom prst="rect">
                      <a:avLst/>
                    </a:prstGeom>
                    <a:noFill/>
                    <a:ln w="9525">
                      <a:noFill/>
                      <a:headEnd/>
                      <a:tailEnd/>
                    </a:ln>
                  </pic:spPr>
                </pic:pic>
              </a:graphicData>
            </a:graphic>
          </wp:inline>
        </w:drawing>
      </w:r>
    </w:p>
    <w:p w14:paraId="5599170A" w14:textId="77777777" w:rsidR="00BE714A" w:rsidRDefault="00BE714A" w:rsidP="00BE714A">
      <w:pPr>
        <w:pStyle w:val="ImageCaption"/>
      </w:pPr>
      <w:r>
        <w:t xml:space="preserve">Figure 11: Example risk of bias summary plot created using </w:t>
      </w:r>
      <w:r>
        <w:rPr>
          <w:rStyle w:val="VerbatimChar"/>
        </w:rPr>
        <w:t>robvis</w:t>
      </w:r>
      <w:r>
        <w:t xml:space="preserve"> and the example ROB2 dataset</w:t>
      </w:r>
    </w:p>
    <w:p w14:paraId="6D15BAD7" w14:textId="77777777" w:rsidR="00BE714A" w:rsidRDefault="00BE714A" w:rsidP="00BE714A">
      <w:pPr>
        <w:pStyle w:val="BodyText"/>
      </w:pPr>
      <w:r>
        <w:t>A list of arguments available to the two functions in robvis are shown in Table 8</w:t>
      </w:r>
    </w:p>
    <w:p w14:paraId="75ADACA2" w14:textId="77777777" w:rsidR="00BE714A" w:rsidRDefault="00BE714A" w:rsidP="00BE714A">
      <w:pPr>
        <w:pStyle w:val="BodyText"/>
      </w:pPr>
      <w:r>
        <w:t> </w:t>
      </w:r>
    </w:p>
    <w:p w14:paraId="22C4BDA9" w14:textId="77777777" w:rsidR="00BE714A" w:rsidRDefault="00BE714A" w:rsidP="00BE714A">
      <w:pPr>
        <w:pStyle w:val="TableCaption"/>
      </w:pPr>
      <w:r>
        <w:lastRenderedPageBreak/>
        <w:t xml:space="preserve">Table 8: Description of the arguments available in the two main </w:t>
      </w:r>
      <w:r>
        <w:rPr>
          <w:rStyle w:val="VerbatimChar"/>
        </w:rPr>
        <w:t>robvis</w:t>
      </w:r>
      <w:r>
        <w:t xml:space="preserve"> functions. ‘X’ indicates that the option is available for the respective function.</w:t>
      </w:r>
    </w:p>
    <w:tbl>
      <w:tblPr>
        <w:tblW w:w="5000" w:type="pct"/>
        <w:tblLook w:val="0020" w:firstRow="1" w:lastRow="0" w:firstColumn="0" w:lastColumn="0" w:noHBand="0" w:noVBand="0"/>
      </w:tblPr>
      <w:tblGrid>
        <w:gridCol w:w="1248"/>
        <w:gridCol w:w="2015"/>
        <w:gridCol w:w="1819"/>
        <w:gridCol w:w="4494"/>
      </w:tblGrid>
      <w:tr w:rsidR="00BE714A" w14:paraId="34B1AADA" w14:textId="77777777" w:rsidTr="003C1DD4">
        <w:tc>
          <w:tcPr>
            <w:tcW w:w="0" w:type="auto"/>
          </w:tcPr>
          <w:p w14:paraId="70ACCB24" w14:textId="77777777" w:rsidR="00BE714A" w:rsidRDefault="00BE714A" w:rsidP="003C1DD4">
            <w:pPr>
              <w:pStyle w:val="Compact"/>
            </w:pPr>
            <w:r>
              <w:t>Argument</w:t>
            </w:r>
          </w:p>
        </w:tc>
        <w:tc>
          <w:tcPr>
            <w:tcW w:w="0" w:type="auto"/>
          </w:tcPr>
          <w:p w14:paraId="2FFA209C" w14:textId="77777777" w:rsidR="00BE714A" w:rsidRDefault="00BE714A" w:rsidP="003C1DD4">
            <w:pPr>
              <w:pStyle w:val="Compact"/>
            </w:pPr>
            <w:r>
              <w:t>rob_traffic_light()</w:t>
            </w:r>
          </w:p>
        </w:tc>
        <w:tc>
          <w:tcPr>
            <w:tcW w:w="0" w:type="auto"/>
          </w:tcPr>
          <w:p w14:paraId="29C1D651" w14:textId="77777777" w:rsidR="00BE714A" w:rsidRDefault="00BE714A" w:rsidP="003C1DD4">
            <w:pPr>
              <w:pStyle w:val="Compact"/>
            </w:pPr>
            <w:r>
              <w:t>rob_summary()</w:t>
            </w:r>
          </w:p>
        </w:tc>
        <w:tc>
          <w:tcPr>
            <w:tcW w:w="0" w:type="auto"/>
          </w:tcPr>
          <w:p w14:paraId="0C47AC82" w14:textId="77777777" w:rsidR="00BE714A" w:rsidRDefault="00BE714A" w:rsidP="003C1DD4">
            <w:pPr>
              <w:pStyle w:val="Compact"/>
            </w:pPr>
            <w:r>
              <w:t>Description</w:t>
            </w:r>
          </w:p>
        </w:tc>
      </w:tr>
      <w:tr w:rsidR="00BE714A" w14:paraId="6A57B375" w14:textId="77777777" w:rsidTr="003C1DD4">
        <w:tc>
          <w:tcPr>
            <w:tcW w:w="0" w:type="auto"/>
          </w:tcPr>
          <w:p w14:paraId="1EF44CCE" w14:textId="77777777" w:rsidR="00BE714A" w:rsidRDefault="00BE714A" w:rsidP="003C1DD4">
            <w:pPr>
              <w:pStyle w:val="Compact"/>
            </w:pPr>
            <w:r>
              <w:t>data</w:t>
            </w:r>
          </w:p>
        </w:tc>
        <w:tc>
          <w:tcPr>
            <w:tcW w:w="0" w:type="auto"/>
          </w:tcPr>
          <w:p w14:paraId="1D334BFC" w14:textId="77777777" w:rsidR="00BE714A" w:rsidRDefault="00BE714A" w:rsidP="003C1DD4">
            <w:pPr>
              <w:pStyle w:val="Compact"/>
            </w:pPr>
            <w:r>
              <w:t>X</w:t>
            </w:r>
          </w:p>
        </w:tc>
        <w:tc>
          <w:tcPr>
            <w:tcW w:w="0" w:type="auto"/>
          </w:tcPr>
          <w:p w14:paraId="53F6D185" w14:textId="77777777" w:rsidR="00BE714A" w:rsidRDefault="00BE714A" w:rsidP="003C1DD4">
            <w:pPr>
              <w:pStyle w:val="Compact"/>
            </w:pPr>
            <w:r>
              <w:t>X</w:t>
            </w:r>
          </w:p>
        </w:tc>
        <w:tc>
          <w:tcPr>
            <w:tcW w:w="0" w:type="auto"/>
          </w:tcPr>
          <w:p w14:paraId="3ED0C664" w14:textId="77777777" w:rsidR="00BE714A" w:rsidRDefault="00BE714A" w:rsidP="003C1DD4">
            <w:pPr>
              <w:pStyle w:val="Compact"/>
            </w:pPr>
            <w:r>
              <w:t xml:space="preserve">Defines the dataframe containing the summary (domain) level risk-of-bias assessments. See the text and Table 1 for the format expected by </w:t>
            </w:r>
            <w:r>
              <w:rPr>
                <w:rStyle w:val="VerbatimChar"/>
              </w:rPr>
              <w:t>robvis</w:t>
            </w:r>
          </w:p>
        </w:tc>
      </w:tr>
      <w:tr w:rsidR="00BE714A" w14:paraId="73D1DCAD" w14:textId="77777777" w:rsidTr="003C1DD4">
        <w:tc>
          <w:tcPr>
            <w:tcW w:w="0" w:type="auto"/>
          </w:tcPr>
          <w:p w14:paraId="418C7422" w14:textId="77777777" w:rsidR="00BE714A" w:rsidRDefault="00BE714A" w:rsidP="003C1DD4">
            <w:pPr>
              <w:pStyle w:val="Compact"/>
            </w:pPr>
            <w:r>
              <w:t>tool</w:t>
            </w:r>
          </w:p>
        </w:tc>
        <w:tc>
          <w:tcPr>
            <w:tcW w:w="0" w:type="auto"/>
          </w:tcPr>
          <w:p w14:paraId="44501405" w14:textId="77777777" w:rsidR="00BE714A" w:rsidRDefault="00BE714A" w:rsidP="003C1DD4">
            <w:pPr>
              <w:pStyle w:val="Compact"/>
            </w:pPr>
            <w:r>
              <w:t>X</w:t>
            </w:r>
          </w:p>
        </w:tc>
        <w:tc>
          <w:tcPr>
            <w:tcW w:w="0" w:type="auto"/>
          </w:tcPr>
          <w:p w14:paraId="4F1CCB39" w14:textId="77777777" w:rsidR="00BE714A" w:rsidRDefault="00BE714A" w:rsidP="003C1DD4">
            <w:pPr>
              <w:pStyle w:val="Compact"/>
            </w:pPr>
            <w:r>
              <w:t>X</w:t>
            </w:r>
          </w:p>
        </w:tc>
        <w:tc>
          <w:tcPr>
            <w:tcW w:w="0" w:type="auto"/>
          </w:tcPr>
          <w:p w14:paraId="1EAD2785" w14:textId="77777777" w:rsidR="00BE714A" w:rsidRDefault="00BE714A" w:rsidP="003C1DD4">
            <w:pPr>
              <w:pStyle w:val="Compact"/>
            </w:pPr>
            <w:r>
              <w:t>Defines the risk of bias assessment tool used. The RoB2 (</w:t>
            </w:r>
            <w:r>
              <w:rPr>
                <w:rStyle w:val="VerbatimChar"/>
              </w:rPr>
              <w:t>tool="ROB2"</w:t>
            </w:r>
            <w:r>
              <w:t>), ROBINS-I (</w:t>
            </w:r>
            <w:r>
              <w:rPr>
                <w:rStyle w:val="VerbatimChar"/>
              </w:rPr>
              <w:t>tool="ROBINS-I"</w:t>
            </w:r>
            <w:r>
              <w:t>), and QUADAS-2 (</w:t>
            </w:r>
            <w:r>
              <w:rPr>
                <w:rStyle w:val="VerbatimChar"/>
              </w:rPr>
              <w:t>tool="QUADAS-2"</w:t>
            </w:r>
            <w:r>
              <w:t>) assessments tools are currently supported. Other tools can be visualised using the generic template (</w:t>
            </w:r>
            <w:r>
              <w:rPr>
                <w:rStyle w:val="VerbatimChar"/>
              </w:rPr>
              <w:t>tool = "Generic"</w:t>
            </w:r>
            <w:r>
              <w:t>)</w:t>
            </w:r>
          </w:p>
        </w:tc>
      </w:tr>
      <w:tr w:rsidR="00BE714A" w14:paraId="613DA982" w14:textId="77777777" w:rsidTr="003C1DD4">
        <w:tc>
          <w:tcPr>
            <w:tcW w:w="0" w:type="auto"/>
          </w:tcPr>
          <w:p w14:paraId="550BBE00" w14:textId="77777777" w:rsidR="00BE714A" w:rsidRDefault="00BE714A" w:rsidP="003C1DD4">
            <w:pPr>
              <w:pStyle w:val="Compact"/>
            </w:pPr>
            <w:r>
              <w:t>colour</w:t>
            </w:r>
          </w:p>
        </w:tc>
        <w:tc>
          <w:tcPr>
            <w:tcW w:w="0" w:type="auto"/>
          </w:tcPr>
          <w:p w14:paraId="3E84E83B" w14:textId="77777777" w:rsidR="00BE714A" w:rsidRDefault="00BE714A" w:rsidP="003C1DD4">
            <w:pPr>
              <w:pStyle w:val="Compact"/>
            </w:pPr>
            <w:r>
              <w:t>X</w:t>
            </w:r>
          </w:p>
        </w:tc>
        <w:tc>
          <w:tcPr>
            <w:tcW w:w="0" w:type="auto"/>
          </w:tcPr>
          <w:p w14:paraId="0BCDFE4C" w14:textId="77777777" w:rsidR="00BE714A" w:rsidRDefault="00BE714A" w:rsidP="003C1DD4">
            <w:pPr>
              <w:pStyle w:val="Compact"/>
            </w:pPr>
            <w:r>
              <w:t>X</w:t>
            </w:r>
          </w:p>
        </w:tc>
        <w:tc>
          <w:tcPr>
            <w:tcW w:w="0" w:type="auto"/>
          </w:tcPr>
          <w:p w14:paraId="78A15B6F" w14:textId="77777777" w:rsidR="00BE714A" w:rsidRDefault="00BE714A" w:rsidP="003C1DD4">
            <w:pPr>
              <w:pStyle w:val="Compact"/>
            </w:pPr>
            <w:r>
              <w:t xml:space="preserve">Defines the colour scheme for the plot. The default is </w:t>
            </w:r>
            <w:r>
              <w:rPr>
                <w:rStyle w:val="VerbatimChar"/>
              </w:rPr>
              <w:t>colour = "cochrane"</w:t>
            </w:r>
            <w:r>
              <w:t xml:space="preserve"> which uses the “Cochrane” (red, yellow, green) colours, while a preset option for a colour-blind friendly palette is also available (</w:t>
            </w:r>
            <w:r>
              <w:rPr>
                <w:rStyle w:val="VerbatimChar"/>
              </w:rPr>
              <w:t>colour = "colourblind"</w:t>
            </w:r>
            <w:r>
              <w:t>). Alternatively, users can specify their own colour scheme e.g. </w:t>
            </w:r>
            <w:r>
              <w:rPr>
                <w:rStyle w:val="VerbatimChar"/>
              </w:rPr>
              <w:t>colour = c("#f442c8", "#bef441", "#000000")</w:t>
            </w:r>
          </w:p>
        </w:tc>
      </w:tr>
      <w:tr w:rsidR="00BE714A" w14:paraId="5FDC7BFF" w14:textId="77777777" w:rsidTr="003C1DD4">
        <w:tc>
          <w:tcPr>
            <w:tcW w:w="0" w:type="auto"/>
          </w:tcPr>
          <w:p w14:paraId="159CC78E" w14:textId="77777777" w:rsidR="00BE714A" w:rsidRDefault="00BE714A" w:rsidP="003C1DD4">
            <w:pPr>
              <w:pStyle w:val="Compact"/>
            </w:pPr>
            <w:r>
              <w:t>overall</w:t>
            </w:r>
          </w:p>
        </w:tc>
        <w:tc>
          <w:tcPr>
            <w:tcW w:w="0" w:type="auto"/>
          </w:tcPr>
          <w:p w14:paraId="3AA05892" w14:textId="77777777" w:rsidR="00BE714A" w:rsidRDefault="00BE714A" w:rsidP="003C1DD4"/>
        </w:tc>
        <w:tc>
          <w:tcPr>
            <w:tcW w:w="0" w:type="auto"/>
          </w:tcPr>
          <w:p w14:paraId="3472A58B" w14:textId="77777777" w:rsidR="00BE714A" w:rsidRDefault="00BE714A" w:rsidP="003C1DD4">
            <w:pPr>
              <w:pStyle w:val="Compact"/>
            </w:pPr>
            <w:r>
              <w:t>X</w:t>
            </w:r>
          </w:p>
        </w:tc>
        <w:tc>
          <w:tcPr>
            <w:tcW w:w="0" w:type="auto"/>
          </w:tcPr>
          <w:p w14:paraId="2D458A6E" w14:textId="77777777" w:rsidR="00BE714A" w:rsidRDefault="00BE714A" w:rsidP="003C1DD4">
            <w:pPr>
              <w:pStyle w:val="Compact"/>
            </w:pPr>
            <w:r>
              <w:t xml:space="preserve">Defines whether to include an additional bar showing the distibution of overall risk of bias judgements in the summary barplot figure. Default is </w:t>
            </w:r>
            <w:r>
              <w:rPr>
                <w:rStyle w:val="VerbatimChar"/>
              </w:rPr>
              <w:t>overall = FALSE</w:t>
            </w:r>
            <w:r>
              <w:t>.</w:t>
            </w:r>
          </w:p>
        </w:tc>
      </w:tr>
      <w:tr w:rsidR="00BE714A" w14:paraId="55260C8D" w14:textId="77777777" w:rsidTr="003C1DD4">
        <w:tc>
          <w:tcPr>
            <w:tcW w:w="0" w:type="auto"/>
          </w:tcPr>
          <w:p w14:paraId="288DBDE7" w14:textId="77777777" w:rsidR="00BE714A" w:rsidRDefault="00BE714A" w:rsidP="003C1DD4">
            <w:pPr>
              <w:pStyle w:val="Compact"/>
            </w:pPr>
            <w:r>
              <w:t>weighted</w:t>
            </w:r>
          </w:p>
        </w:tc>
        <w:tc>
          <w:tcPr>
            <w:tcW w:w="0" w:type="auto"/>
          </w:tcPr>
          <w:p w14:paraId="60BB1FB5" w14:textId="77777777" w:rsidR="00BE714A" w:rsidRDefault="00BE714A" w:rsidP="003C1DD4"/>
        </w:tc>
        <w:tc>
          <w:tcPr>
            <w:tcW w:w="0" w:type="auto"/>
          </w:tcPr>
          <w:p w14:paraId="05BC45F6" w14:textId="77777777" w:rsidR="00BE714A" w:rsidRDefault="00BE714A" w:rsidP="003C1DD4">
            <w:pPr>
              <w:pStyle w:val="Compact"/>
            </w:pPr>
            <w:r>
              <w:t>X</w:t>
            </w:r>
          </w:p>
        </w:tc>
        <w:tc>
          <w:tcPr>
            <w:tcW w:w="0" w:type="auto"/>
          </w:tcPr>
          <w:p w14:paraId="22D4B4BA" w14:textId="77777777" w:rsidR="00BE714A" w:rsidRDefault="00BE714A" w:rsidP="003C1DD4">
            <w:pPr>
              <w:pStyle w:val="Compact"/>
            </w:pPr>
            <w:r>
              <w:t xml:space="preserve">Defines whether weights should be used to produce the summary barplot figure. Default is </w:t>
            </w:r>
            <w:r>
              <w:rPr>
                <w:rStyle w:val="VerbatimChar"/>
              </w:rPr>
              <w:t>weighted = TRUE</w:t>
            </w:r>
            <w:r>
              <w:t>, in line with current Cochrane Collaboration guidance.</w:t>
            </w:r>
          </w:p>
        </w:tc>
      </w:tr>
      <w:tr w:rsidR="00BE714A" w14:paraId="33BB7D43" w14:textId="77777777" w:rsidTr="003C1DD4">
        <w:tc>
          <w:tcPr>
            <w:tcW w:w="0" w:type="auto"/>
          </w:tcPr>
          <w:p w14:paraId="2FBC53EA" w14:textId="77777777" w:rsidR="00BE714A" w:rsidRDefault="00BE714A" w:rsidP="003C1DD4">
            <w:pPr>
              <w:pStyle w:val="Compact"/>
            </w:pPr>
            <w:r>
              <w:t>psize</w:t>
            </w:r>
          </w:p>
        </w:tc>
        <w:tc>
          <w:tcPr>
            <w:tcW w:w="0" w:type="auto"/>
          </w:tcPr>
          <w:p w14:paraId="66EC17EA" w14:textId="77777777" w:rsidR="00BE714A" w:rsidRDefault="00BE714A" w:rsidP="003C1DD4">
            <w:pPr>
              <w:pStyle w:val="Compact"/>
            </w:pPr>
            <w:r>
              <w:t>X</w:t>
            </w:r>
          </w:p>
        </w:tc>
        <w:tc>
          <w:tcPr>
            <w:tcW w:w="0" w:type="auto"/>
          </w:tcPr>
          <w:p w14:paraId="0A5E5908" w14:textId="77777777" w:rsidR="00BE714A" w:rsidRDefault="00BE714A" w:rsidP="003C1DD4"/>
        </w:tc>
        <w:tc>
          <w:tcPr>
            <w:tcW w:w="0" w:type="auto"/>
          </w:tcPr>
          <w:p w14:paraId="608A4665" w14:textId="77777777" w:rsidR="00BE714A" w:rsidRDefault="00BE714A" w:rsidP="003C1DD4">
            <w:pPr>
              <w:pStyle w:val="Compact"/>
            </w:pPr>
            <w:r>
              <w:t xml:space="preserve">Defines the size of the points in the traffic light plot. Default is </w:t>
            </w:r>
            <w:r>
              <w:rPr>
                <w:rStyle w:val="VerbatimChar"/>
              </w:rPr>
              <w:t>psize = 20</w:t>
            </w:r>
            <w:r>
              <w:t>.</w:t>
            </w:r>
          </w:p>
        </w:tc>
      </w:tr>
    </w:tbl>
    <w:p w14:paraId="3AC154BF" w14:textId="77777777" w:rsidR="00BE714A" w:rsidRDefault="00BE714A" w:rsidP="00BE714A">
      <w:pPr>
        <w:pStyle w:val="BodyText"/>
      </w:pPr>
      <w:r>
        <w:t> </w:t>
      </w:r>
    </w:p>
    <w:bookmarkEnd w:id="405"/>
    <w:p w14:paraId="25DD0253" w14:textId="77777777" w:rsidR="00BE714A" w:rsidRDefault="00BE714A" w:rsidP="00BE714A">
      <w:pPr>
        <w:pStyle w:val="Heading3"/>
      </w:pPr>
      <w:r>
        <w:t>Reception and Future Plans</w:t>
      </w:r>
    </w:p>
    <w:p w14:paraId="2AAEE2F3" w14:textId="77777777" w:rsidR="00BE714A" w:rsidRDefault="00BE714A" w:rsidP="00BE714A">
      <w:pPr>
        <w:pStyle w:val="FirstParagraph"/>
      </w:pPr>
      <w:r>
        <w:t xml:space="preserve">As of December 2021, </w:t>
      </w:r>
      <w:r>
        <w:rPr>
          <w:rStyle w:val="VerbatimChar"/>
        </w:rPr>
        <w:t>robvis</w:t>
      </w:r>
      <w:r>
        <w:t xml:space="preserve"> has been downloaded more than 12100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 “Doing Meta-Analysis in R” online textbook.</w:t>
      </w:r>
      <w:hyperlink w:anchor="ref-mathias_harrer_2019_2551803">
        <w:r>
          <w:rPr>
            <w:rStyle w:val="Hyperlink"/>
            <w:vertAlign w:val="superscript"/>
          </w:rPr>
          <w:t>237</w:t>
        </w:r>
      </w:hyperlink>
    </w:p>
    <w:p w14:paraId="124551FB" w14:textId="77777777" w:rsidR="00BE714A" w:rsidRDefault="00BE714A" w:rsidP="00BE714A">
      <w:pPr>
        <w:pStyle w:val="BodyText"/>
      </w:pPr>
      <w:r>
        <w:lastRenderedPageBreak/>
        <w:t xml:space="preserve">While </w:t>
      </w:r>
      <w:r>
        <w:rPr>
          <w:rStyle w:val="VerbatimChar"/>
        </w:rPr>
        <w:t>robvis</w:t>
      </w:r>
      <w:r>
        <w:t xml:space="preserve"> is a stable package, a range of additional functionality could be added. At present, the number of tools with a specific template included in </w:t>
      </w:r>
      <w:r>
        <w:rPr>
          <w:rStyle w:val="VerbatimChar"/>
        </w:rPr>
        <w:t>robvis</w:t>
      </w:r>
      <w:r>
        <w:t xml:space="preserve"> is limited - adding additional templates is a priority. For example, a template for ROBIS, a tool for assessing risk of bias in systematic reviews, is in developement.</w:t>
      </w:r>
      <w:hyperlink w:anchor="ref-whiting2016robis">
        <w:r>
          <w:rPr>
            <w:rStyle w:val="Hyperlink"/>
            <w:vertAlign w:val="superscript"/>
          </w:rPr>
          <w:t>238</w:t>
        </w:r>
      </w:hyperlink>
      <w:r>
        <w:t xml:space="preserve"> Additionally, the tool does not yet allow for the production of paired forest plots, where the risk-of-bias judgement is presented alongside each specific result included in the meta-analysis.</w:t>
      </w:r>
      <w:hyperlink w:anchor="ref-cochranechpt7">
        <w:r>
          <w:rPr>
            <w:rStyle w:val="Hyperlink"/>
            <w:vertAlign w:val="superscript"/>
          </w:rPr>
          <w:t>220</w:t>
        </w:r>
      </w:hyperlink>
      <w:r>
        <w:t xml:space="preserve"> 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 </w:t>
      </w:r>
      <w:r>
        <w:rPr>
          <w:rStyle w:val="VerbatimChar"/>
        </w:rPr>
        <w:t>metafor::reporter()</w:t>
      </w:r>
      <w:r>
        <w:t xml:space="preserve"> function, which generates a brief paragraph of text describing the results of a meta-analysis. The future </w:t>
      </w:r>
      <w:r>
        <w:rPr>
          <w:rStyle w:val="VerbatimChar"/>
        </w:rPr>
        <w:t>robvis::reporter()</w:t>
      </w:r>
      <w:r>
        <w:t xml:space="preserve"> function would provide a boilerplate description of the assessment tool used and the key domains at risk of bias.</w:t>
      </w:r>
    </w:p>
    <w:bookmarkEnd w:id="0"/>
    <w:bookmarkEnd w:id="1"/>
    <w:bookmarkEnd w:id="2"/>
    <w:p w14:paraId="4AD245C0" w14:textId="14BC7809" w:rsidR="00C70A74" w:rsidRPr="00BE714A" w:rsidRDefault="00C70A74" w:rsidP="00BE714A"/>
    <w:sectPr w:rsidR="00C70A74" w:rsidRPr="00BE714A" w:rsidSect="00BC1A05">
      <w:footerReference w:type="default" r:id="rId4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0B055" w14:textId="77777777" w:rsidR="00837F2E" w:rsidRDefault="00837F2E">
      <w:pPr>
        <w:spacing w:after="0"/>
      </w:pPr>
      <w:r>
        <w:separator/>
      </w:r>
    </w:p>
  </w:endnote>
  <w:endnote w:type="continuationSeparator" w:id="0">
    <w:p w14:paraId="6E6201F6" w14:textId="77777777" w:rsidR="00837F2E" w:rsidRDefault="00837F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4AD245DB" w14:textId="77777777" w:rsidR="00FC37A3" w:rsidRDefault="00837F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D245DC" w14:textId="77777777" w:rsidR="00FC37A3" w:rsidRDefault="00837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77924" w14:textId="77777777" w:rsidR="00837F2E" w:rsidRDefault="00837F2E">
      <w:r>
        <w:separator/>
      </w:r>
    </w:p>
  </w:footnote>
  <w:footnote w:type="continuationSeparator" w:id="0">
    <w:p w14:paraId="413C0002" w14:textId="77777777" w:rsidR="00837F2E" w:rsidRDefault="00837F2E">
      <w:r>
        <w:continuationSeparator/>
      </w:r>
    </w:p>
  </w:footnote>
  <w:footnote w:id="1">
    <w:p w14:paraId="141E9035" w14:textId="77777777" w:rsidR="00BE714A" w:rsidRDefault="00BE714A" w:rsidP="00BE714A">
      <w:pPr>
        <w:pStyle w:val="FootnoteText"/>
      </w:pPr>
      <w:r>
        <w:rPr>
          <w:rStyle w:val="FootnoteReference"/>
        </w:rPr>
        <w:footnoteRef/>
      </w:r>
      <w:r>
        <w:t xml:space="preserve"> Available at </w:t>
      </w:r>
      <w:hyperlink r:id="rId1">
        <w:r>
          <w:rPr>
            <w:rStyle w:val="Hyperlink"/>
          </w:rPr>
          <w:t>https://rxivist.org/</w:t>
        </w:r>
      </w:hyperlink>
    </w:p>
  </w:footnote>
  <w:footnote w:id="2">
    <w:p w14:paraId="738EEE35" w14:textId="77777777" w:rsidR="00BE714A" w:rsidRDefault="00BE714A" w:rsidP="00BE714A">
      <w:pPr>
        <w:pStyle w:val="FootnoteText"/>
      </w:pPr>
      <w:r>
        <w:rPr>
          <w:rStyle w:val="FootnoteReference"/>
        </w:rPr>
        <w:footnoteRef/>
      </w:r>
      <w:r>
        <w:t xml:space="preserve"> </w:t>
      </w:r>
      <w:hyperlink r:id="rId2">
        <w:r>
          <w:rPr>
            <w:rStyle w:val="Hyperlink"/>
          </w:rPr>
          <w:t>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3A2ABCE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5740B9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9FD42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9"/>
  </w:num>
  <w:num w:numId="23">
    <w:abstractNumId w:val="13"/>
  </w:num>
  <w:num w:numId="24">
    <w:abstractNumId w:val="15"/>
  </w:num>
  <w:num w:numId="25">
    <w:abstractNumId w:val="16"/>
  </w:num>
  <w:num w:numId="26">
    <w:abstractNumId w:val="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
  </w:num>
  <w:num w:numId="30">
    <w:abstractNumId w:val="2"/>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37F2E"/>
    <w:rsid w:val="008D6863"/>
    <w:rsid w:val="00B86B75"/>
    <w:rsid w:val="00BC48D5"/>
    <w:rsid w:val="00BE714A"/>
    <w:rsid w:val="00C36279"/>
    <w:rsid w:val="00C70A7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3FEE"/>
  <w15:docId w15:val="{81C1DD57-C61D-4071-B86E-9F8FF00F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105/joss.02651"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01/2020.05.22.111294" TargetMode="External"/><Relationship Id="rId39" Type="http://schemas.openxmlformats.org/officeDocument/2006/relationships/hyperlink" Target="https://doi.org/10.5281/zenodo.3552342"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doi.org/10.3758/s13428-020-01436-x" TargetMode="External"/><Relationship Id="rId42" Type="http://schemas.openxmlformats.org/officeDocument/2006/relationships/hyperlink" Target="https://github.com/mcguinlu/robvis"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ropensci/medrxivr" TargetMode="External"/><Relationship Id="rId17" Type="http://schemas.openxmlformats.org/officeDocument/2006/relationships/image" Target="media/image6.png"/><Relationship Id="rId25" Type="http://schemas.openxmlformats.org/officeDocument/2006/relationships/hyperlink" Target="https://doi.org/10.1002/14651858.MR000010.pub3" TargetMode="External"/><Relationship Id="rId33" Type="http://schemas.openxmlformats.org/officeDocument/2006/relationships/hyperlink" Target="https://doi.org/10.1136/bmj.l6365" TargetMode="External"/><Relationship Id="rId38" Type="http://schemas.openxmlformats.org/officeDocument/2006/relationships/hyperlink" Target="https://doi.org/10.1145/2745802.2745824"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145/582128.582152" TargetMode="External"/><Relationship Id="rId41" Type="http://schemas.openxmlformats.org/officeDocument/2006/relationships/hyperlink" Target="https://cran.r-project.org/package=robv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31222/osf.io/p75xe" TargetMode="External"/><Relationship Id="rId24" Type="http://schemas.openxmlformats.org/officeDocument/2006/relationships/hyperlink" Target="https://doi.org/10.1002/14651858.CD003160.pub3" TargetMode="External"/><Relationship Id="rId32" Type="http://schemas.openxmlformats.org/officeDocument/2006/relationships/hyperlink" Target="https://doi.org/10.1101/19000265" TargetMode="External"/><Relationship Id="rId37" Type="http://schemas.openxmlformats.org/officeDocument/2006/relationships/hyperlink" Target="https://doi.org/10.1002/jrsm.1411" TargetMode="External"/><Relationship Id="rId40" Type="http://schemas.openxmlformats.org/officeDocument/2006/relationships/hyperlink" Target="https://doi.org/10.1101/19005165"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02/14651858.CD003160.pub3" TargetMode="External"/><Relationship Id="rId28" Type="http://schemas.openxmlformats.org/officeDocument/2006/relationships/hyperlink" Target="https://doi.org/10.1101/833400" TargetMode="External"/><Relationship Id="rId36" Type="http://schemas.openxmlformats.org/officeDocument/2006/relationships/hyperlink" Target="https://doi.org/10.1101/2019.12.18.19013847" TargetMode="External"/><Relationship Id="rId10" Type="http://schemas.openxmlformats.org/officeDocument/2006/relationships/hyperlink" Target="https://doi.org/10.1002/jrsm.1411" TargetMode="External"/><Relationship Id="rId19" Type="http://schemas.openxmlformats.org/officeDocument/2006/relationships/image" Target="media/image8.jpg"/><Relationship Id="rId31" Type="http://schemas.openxmlformats.org/officeDocument/2006/relationships/hyperlink" Target="https://doi.org/10.31222/osf.io/p75xe" TargetMode="External"/><Relationship Id="rId44"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i.org/10.31222/osf.io/ptg9j" TargetMode="External"/><Relationship Id="rId14" Type="http://schemas.openxmlformats.org/officeDocument/2006/relationships/image" Target="media/image3.png"/><Relationship Id="rId22" Type="http://schemas.openxmlformats.org/officeDocument/2006/relationships/hyperlink" Target="https://doi.org/10.1016/j.neuropharm.2020.108352" TargetMode="External"/><Relationship Id="rId27" Type="http://schemas.openxmlformats.org/officeDocument/2006/relationships/hyperlink" Target="https://doi.org/10.1101/2021.03.04.433874" TargetMode="External"/><Relationship Id="rId30" Type="http://schemas.openxmlformats.org/officeDocument/2006/relationships/hyperlink" Target="https://doi.org/10.1101/2020.11.23.394577" TargetMode="External"/><Relationship Id="rId35" Type="http://schemas.openxmlformats.org/officeDocument/2006/relationships/hyperlink" Target="https://doi.org/10.1111/j.1447-0594.2009.00579.x" TargetMode="External"/><Relationship Id="rId43"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pensci/software-review/issues/380" TargetMode="External"/><Relationship Id="rId1" Type="http://schemas.openxmlformats.org/officeDocument/2006/relationships/hyperlink" Target="https://rxivi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88</Pages>
  <Words>28809</Words>
  <Characters>161619</Characters>
  <Application>Microsoft Office Word</Application>
  <DocSecurity>0</DocSecurity>
  <Lines>3941</Lines>
  <Paragraphs>1700</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188728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cp:lastModifiedBy>Luke McGuinness</cp:lastModifiedBy>
  <cp:revision>2</cp:revision>
  <dcterms:created xsi:type="dcterms:W3CDTF">2021-05-21T16:59:00Z</dcterms:created>
  <dcterms:modified xsi:type="dcterms:W3CDTF">2021-06-01T16:27:00Z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Additionally, I would like to thank Sharen Oâ€™Keefe.Thanks to the creator of the oxfordown which was usedThere are so many people without whom this would not have been possible:[Check all name spellings]Sharen O’Keffe Neal Haddaway Martin Westgaterobvis contributorsAnnual reviewersLn Rupert Payne and Emma AndersonStatistical support:All authors who volunteered time and effort</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sl">
    <vt:lpwstr>bibliography/nature.csl</vt:lpwstr>
  </property>
  <property fmtid="{D5CDD505-2E9C-101B-9397-08002B2CF9AE}" pid="12"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3" name="dedication">
    <vt:lpwstr>For Brendan McHugh</vt:lpwstr>
  </property>
  <property fmtid="{D5CDD505-2E9C-101B-9397-08002B2CF9AE}" pid="14" name="degree">
    <vt:lpwstr>Doctor of Philosophy in Population Health Sciences</vt:lpwstr>
  </property>
  <property fmtid="{D5CDD505-2E9C-101B-9397-08002B2CF9AE}" pid="15" name="degreedate">
    <vt:lpwstr>TBC</vt:lpwstr>
  </property>
  <property fmtid="{D5CDD505-2E9C-101B-9397-08002B2CF9AE}" pid="16" name="documentclass">
    <vt:lpwstr>book</vt:lpwstr>
  </property>
  <property fmtid="{D5CDD505-2E9C-101B-9397-08002B2CF9AE}" pid="17" name="doi-in-bibliography">
    <vt:lpwstr>True</vt:lpwstr>
  </property>
  <property fmtid="{D5CDD505-2E9C-101B-9397-08002B2CF9AE}" pid="18" name="draft">
    <vt:lpwstr>False</vt:lpwstr>
  </property>
  <property fmtid="{D5CDD505-2E9C-101B-9397-08002B2CF9AE}" pid="19" name="hidelinks">
    <vt:lpwstr>True</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mini-toc-depth">
    <vt:lpwstr>1</vt:lpwstr>
  </property>
  <property fmtid="{D5CDD505-2E9C-101B-9397-08002B2CF9AE}" pid="27" name="output">
    <vt:lpwstr/>
  </property>
  <property fmtid="{D5CDD505-2E9C-101B-9397-08002B2CF9AE}" pid="28" name="page-layout">
    <vt:lpwstr>twoside</vt:lpwstr>
  </property>
  <property fmtid="{D5CDD505-2E9C-101B-9397-08002B2CF9AE}" pid="29" name="params">
    <vt:lpwstr/>
  </property>
  <property fmtid="{D5CDD505-2E9C-101B-9397-08002B2CF9AE}" pid="30" name="toc-depth">
    <vt:lpwstr>2</vt:lpwstr>
  </property>
</Properties>
</file>