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1.png" ContentType="image/png"/>
  <Override PartName="/word/media/rId186.png" ContentType="image/png"/>
  <Override PartName="/word/media/rId169.png" ContentType="image/png"/>
  <Override PartName="/word/media/rId197.png" ContentType="image/png"/>
  <Override PartName="/word/media/rId191.png" ContentType="image/png"/>
  <Override PartName="/word/media/rId193.png" ContentType="image/png"/>
  <Override PartName="/word/media/rId189.png" ContentType="image/png"/>
  <Override PartName="/word/media/rId199.png" ContentType="image/png"/>
  <Override PartName="/word/media/rId201.png" ContentType="image/png"/>
  <Override PartName="/word/media/rId195.png" ContentType="image/png"/>
  <Override PartName="/word/media/rId174.png" ContentType="image/png"/>
  <Override PartName="/word/media/rId207.png" ContentType="image/png"/>
  <Override PartName="/word/media/rId178.png" ContentType="image/png"/>
  <Override PartName="/word/media/rId210.png" ContentType="image/png"/>
  <Override PartName="/word/media/rId255.png" ContentType="image/png"/>
  <Override PartName="/word/media/rId242.png" ContentType="image/png"/>
  <Override PartName="/word/media/rId69.png" ContentType="image/png"/>
  <Override PartName="/word/media/rId707.png" ContentType="image/png"/>
  <Override PartName="/word/media/rId706.png" ContentType="image/png"/>
  <Override PartName="/word/media/rId61.png" ContentType="image/png"/>
  <Override PartName="/word/media/rId115.png" ContentType="image/png"/>
  <Override PartName="/word/media/rId141.png" ContentType="image/png"/>
  <Override PartName="/word/media/rId128.png" ContentType="image/png"/>
  <Override PartName="/word/media/rId131.pdf" ContentType="application/pdf"/>
  <Override PartName="/word/media/rId124.pdf" ContentType="application/pdf"/>
  <Override PartName="/word/media/rId687.png" ContentType="image/png"/>
  <Override PartName="/word/media/rId686.png" ContentType="image/png"/>
  <Override PartName="/word/media/rId685.png" ContentType="image/png"/>
  <Override PartName="/word/media/rId688.png" ContentType="image/png"/>
  <Override PartName="/word/media/rId121.png" ContentType="image/png"/>
  <Override PartName="/word/media/rId127.png" ContentType="image/png"/>
  <Override PartName="/word/media/rId119.png" ContentType="image/png"/>
  <Override PartName="/word/media/rId135.png" ContentType="image/png"/>
  <Override PartName="/word/media/rId138.png" ContentType="image/png"/>
  <Override PartName="/word/media/rId130.png" ContentType="image/png"/>
  <Override PartName="/word/media/rId123.png" ContentType="image/png"/>
  <Override PartName="/word/media/rId137.png" ContentType="image/png"/>
  <Override PartName="/word/media/rId118.png" ContentType="image/png"/>
  <Override PartName="/word/media/rId150.png" ContentType="image/png"/>
  <Override PartName="/word/media/rId132.png" ContentType="image/png"/>
  <Override PartName="/word/media/rId152.png" ContentType="image/png"/>
  <Override PartName="/word/media/rId112.png" ContentType="image/png"/>
  <Override PartName="/word/media/rId147.png" ContentType="image/png"/>
  <Override PartName="/word/media/rId28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br/>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39966</w:t>
      </w:r>
    </w:p>
    <w:p>
      <w:pPr>
        <w:pStyle w:val="BodyText"/>
      </w:pPr>
      <w:r>
        <w:t xml:space="preserve">Table words: 3484</w:t>
      </w:r>
    </w:p>
    <w:p>
      <w:pPr>
        <w:pStyle w:val="BodyText"/>
      </w:pPr>
      <w:r>
        <w:t xml:space="preserve">Days: 353</w:t>
      </w:r>
    </w:p>
    <w:p>
      <w:pPr>
        <w:pStyle w:val="BodyText"/>
      </w:pPr>
      <w:r>
        <w:t xml:space="preserve">Words behind: 145</w:t>
      </w:r>
    </w:p>
    <w:p>
      <w:pPr>
        <w:pStyle w:val="BodyText"/>
      </w:pPr>
      <w:r>
        <w:t xml:space="preserve">Words today: 380</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57" w:name="background-heading"/>
    <w:p>
      <w:pPr>
        <w:pStyle w:val="Heading1"/>
      </w:pPr>
      <w:r>
        <w:t xml:space="preserve">Background, Theoretical framework, Aims &amp; Objectives</w:t>
      </w:r>
    </w:p>
    <w:p>
      <w:pPr>
        <w:pStyle w:val="FirstParagraph"/>
      </w:pPr>
    </w:p>
    <w:bookmarkStart w:id="22"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2"/>
    <w:bookmarkStart w:id="23"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3"/>
    <w:bookmarkStart w:id="29" w:name="dementia"/>
    <w:p>
      <w:pPr>
        <w:pStyle w:val="Heading2"/>
      </w:pPr>
      <w:r>
        <w:t xml:space="preserve">Dementia</w:t>
      </w:r>
    </w:p>
    <w:bookmarkStart w:id="24"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24"/>
    <w:bookmarkStart w:id="25"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09a60eaa-8944-4319-ab83-c601c6ca7588" w:name="tab:diagnosticCriteria-table"/>
      <w:r>
        <w:t xml:space="preserve">Overview of the DSM-5 criteria for dementia and vascular dementia.[@edition2013diagnostic]</w:t>
      </w:r>
      <w:bookmarkEnd w:id="09a60eaa-8944-4319-ab83-c601c6ca758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25"/>
    <w:bookmarkStart w:id="26"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26"/>
    <w:bookmarkStart w:id="27"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27"/>
    <w:bookmarkStart w:id="28"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1.5</w:t>
      </w:r>
      <w:r>
        <w:t xml:space="preserve"> </w:t>
      </w:r>
      <w:r>
        <w:t xml:space="preserve">provides an overview of the existing evidence for an association between lipids and dementia outcomes.</w:t>
      </w:r>
    </w:p>
    <w:bookmarkEnd w:id="28"/>
    <w:bookmarkEnd w:id="29"/>
    <w:bookmarkStart w:id="34" w:name="serum-lipids"/>
    <w:p>
      <w:pPr>
        <w:pStyle w:val="Heading2"/>
      </w:pPr>
      <w:r>
        <w:t xml:space="preserve">Serum lipids</w:t>
      </w:r>
    </w:p>
    <w:bookmarkStart w:id="30"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0"/>
    <w:bookmarkStart w:id="32"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2"/>
    <w:bookmarkStart w:id="33"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3"/>
    <w:bookmarkEnd w:id="34"/>
    <w:bookmarkStart w:id="39"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35" w:name="intro-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35"/>
    <w:bookmarkStart w:id="36"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1.6.1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36"/>
    <w:bookmarkStart w:id="37"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1.3.1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1.3.2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37"/>
    <w:bookmarkStart w:id="38"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38"/>
    <w:bookmarkEnd w:id="39"/>
    <w:bookmarkStart w:id="43"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0"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preprinting">
        <w:r>
          <w:rPr>
            <w:rStyle w:val="Hyperlink"/>
            <w:vertAlign w:val="superscript"/>
          </w:rPr>
          <w:t xml:space="preserve">75</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77</w:t>
        </w:r>
      </w:hyperlink>
      <w:r>
        <w:rPr>
          <w:vertAlign w:val="superscript"/>
        </w:rPr>
        <w:t xml:space="preserve">,</w:t>
      </w:r>
      <w:hyperlink w:anchor="ref-schalkwyk2020">
        <w:r>
          <w:rPr>
            <w:rStyle w:val="Hyperlink"/>
            <w:vertAlign w:val="superscript"/>
          </w:rPr>
          <w:t xml:space="preserve">78</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79</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80</w:t>
        </w:r>
      </w:hyperlink>
      <w:r>
        <w:rPr>
          <w:vertAlign w:val="superscript"/>
        </w:rPr>
        <w:t xml:space="preserve">,</w:t>
      </w:r>
      <w:hyperlink w:anchor="ref-nicholson2021">
        <w:r>
          <w:rPr>
            <w:rStyle w:val="Hyperlink"/>
            <w:vertAlign w:val="superscript"/>
          </w:rPr>
          <w:t xml:space="preserve">81</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79</w:t>
        </w:r>
      </w:hyperlink>
      <w:r>
        <w:t xml:space="preserve"> </w:t>
      </w:r>
      <w:r>
        <w:t xml:space="preserve">there are several logistical issues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bookmarkEnd w:id="40"/>
    <w:bookmarkStart w:id="41" w:name="intro-triangulation"/>
    <w:p>
      <w:pPr>
        <w:pStyle w:val="Heading3"/>
      </w:pPr>
      <w:r>
        <w:t xml:space="preserve">Triangulating across study designs</w:t>
      </w:r>
    </w:p>
    <w:p>
      <w:pPr>
        <w:pStyle w:val="FirstParagraph"/>
      </w:pPr>
      <w:r>
        <w:t xml:space="preserve">As illustrated in Section</w:t>
      </w:r>
      <w:r>
        <w:t xml:space="preserve"> </w:t>
      </w:r>
      <w:r>
        <w:t xml:space="preserve">1.5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82</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inChapters</w:t>
      </w:r>
      <w:r>
        <w:t xml:space="preserve"> </w:t>
      </w:r>
      <w:r>
        <w:t xml:space="preserve">3</w:t>
      </w:r>
      <w:r>
        <w:t xml:space="preserve">/</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83</w:t>
        </w:r>
      </w:hyperlink>
      <w:r>
        <w:rPr>
          <w:vertAlign w:val="superscript"/>
        </w:rPr>
        <w:t xml:space="preserve">,</w:t>
      </w:r>
      <w:hyperlink w:anchor="ref-mcguinness2018">
        <w:r>
          <w:rPr>
            <w:rStyle w:val="Hyperlink"/>
            <w:vertAlign w:val="superscript"/>
          </w:rPr>
          <w:t xml:space="preserve">84</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1"/>
    <w:bookmarkStart w:id="42"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85</w:t>
        </w:r>
      </w:hyperlink>
      <w:r>
        <w:rPr>
          <w:vertAlign w:val="superscript"/>
        </w:rPr>
        <w:t xml:space="preserve">,</w:t>
      </w:r>
      <w:hyperlink w:anchor="ref-stewart1993">
        <w:r>
          <w:rPr>
            <w:rStyle w:val="Hyperlink"/>
            <w:vertAlign w:val="superscript"/>
          </w:rPr>
          <w:t xml:space="preserve">86</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85</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87</w:t>
        </w:r>
      </w:hyperlink>
      <w:r>
        <w:rPr>
          <w:vertAlign w:val="superscript"/>
        </w:rPr>
        <w:t xml:space="preserve">–</w:t>
      </w:r>
      <w:hyperlink w:anchor="ref-mccartney2016">
        <w:r>
          <w:rPr>
            <w:rStyle w:val="Hyperlink"/>
            <w:vertAlign w:val="superscript"/>
          </w:rPr>
          <w:t xml:space="preserve">89</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85</w:t>
        </w:r>
      </w:hyperlink>
      <w:r>
        <w:t xml:space="preserve"> </w:t>
      </w:r>
      <w:r>
        <w:t xml:space="preserve">In terms of this thesis, patient sex is considered to be of particular interest.</w:t>
      </w:r>
      <w:hyperlink w:anchor="ref-arain2009">
        <w:r>
          <w:rPr>
            <w:rStyle w:val="Hyperlink"/>
            <w:vertAlign w:val="superscript"/>
          </w:rPr>
          <w:t xml:space="preserve">87</w:t>
        </w:r>
      </w:hyperlink>
      <w:r>
        <w:rPr>
          <w:vertAlign w:val="superscript"/>
        </w:rPr>
        <w:t xml:space="preserve">,</w:t>
      </w:r>
      <w:hyperlink w:anchor="ref-letenneur1999">
        <w:r>
          <w:rPr>
            <w:rStyle w:val="Hyperlink"/>
            <w:vertAlign w:val="superscript"/>
          </w:rPr>
          <w:t xml:space="preserve">90</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91</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92</w:t>
        </w:r>
      </w:hyperlink>
    </w:p>
    <w:p>
      <w:pPr>
        <w:pStyle w:val="BodyText"/>
      </w:pPr>
      <w:r>
        <w:t xml:space="preserve">Despite their advantages, IPD meta-analysis are rarely performed.</w:t>
      </w:r>
      <w:hyperlink w:anchor="ref-tugwell2010">
        <w:r>
          <w:rPr>
            <w:rStyle w:val="Hyperlink"/>
            <w:vertAlign w:val="superscript"/>
          </w:rPr>
          <w:t xml:space="preserve">93</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94</w:t>
        </w:r>
      </w:hyperlink>
      <w:r>
        <w:rPr>
          <w:vertAlign w:val="superscript"/>
        </w:rPr>
        <w:t xml:space="preserve">,</w:t>
      </w:r>
      <w:hyperlink w:anchor="ref-ventresca2020">
        <w:r>
          <w:rPr>
            <w:rStyle w:val="Hyperlink"/>
            <w:vertAlign w:val="superscript"/>
          </w:rPr>
          <w:t xml:space="preserve">95</w:t>
        </w:r>
      </w:hyperlink>
      <w:r>
        <w:t xml:space="preserve"> </w:t>
      </w:r>
      <w:r>
        <w:t xml:space="preserve">The data underlying primary studies are frequently not publicly available,</w:t>
      </w:r>
      <w:hyperlink w:anchor="ref-alsheikh-ali2011">
        <w:r>
          <w:rPr>
            <w:rStyle w:val="Hyperlink"/>
            <w:vertAlign w:val="superscript"/>
          </w:rPr>
          <w:t xml:space="preserve">96</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97</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99</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2"/>
    <w:bookmarkEnd w:id="43"/>
    <w:bookmarkStart w:id="46" w:name="background-thesis-overview"/>
    <w:p>
      <w:pPr>
        <w:pStyle w:val="Heading2"/>
      </w:pPr>
      <w:r>
        <w:t xml:space="preserve">Thesis overview</w:t>
      </w:r>
    </w:p>
    <w:bookmarkStart w:id="44"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44"/>
    <w:bookmarkStart w:id="45"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8.7</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bookmarkEnd w:id="45"/>
    <w:bookmarkEnd w:id="46"/>
    <w:bookmarkStart w:id="54"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1"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7">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8">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9">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0">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1"/>
    <w:bookmarkStart w:id="52"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2"/>
    <w:bookmarkStart w:id="53"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100</w:t>
        </w:r>
      </w:hyperlink>
      <w:r>
        <w:t xml:space="preserve"> </w:t>
      </w:r>
      <w:r>
        <w:t xml:space="preserve">and bioRxiv</w:t>
      </w:r>
      <w:hyperlink w:anchor="ref-sever2019">
        <w:r>
          <w:rPr>
            <w:rStyle w:val="Hyperlink"/>
            <w:vertAlign w:val="superscript"/>
          </w:rPr>
          <w:t xml:space="preserve">101</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3"/>
    <w:bookmarkEnd w:id="54"/>
    <w:bookmarkStart w:id="55"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55"/>
    <w:bookmarkStart w:id="56" w:name="references"/>
    <w:p>
      <w:pPr>
        <w:pStyle w:val="Heading2"/>
      </w:pPr>
      <w:r>
        <w:t xml:space="preserve">References</w:t>
      </w:r>
    </w:p>
    <w:bookmarkEnd w:id="56"/>
    <w:bookmarkEnd w:id="57"/>
    <w:bookmarkStart w:id="83" w:name="sys-rev-tools-heading"/>
    <w:p>
      <w:pPr>
        <w:pStyle w:val="Heading1"/>
      </w:pPr>
      <w:r>
        <w:t xml:space="preserve">medrxivr: an R package for systematically searching biomedical preprints</w:t>
      </w:r>
    </w:p>
    <w:p>
      <w:pPr>
        <w:pStyle w:val="FirstParagraph"/>
      </w:pPr>
    </w:p>
    <w:bookmarkStart w:id="58"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8"/>
    <w:bookmarkStart w:id="62"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101</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100</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102</w:t>
        </w:r>
      </w:hyperlink>
      <w:r>
        <w:rPr>
          <w:vertAlign w:val="superscript"/>
        </w:rPr>
        <w:t xml:space="preserve">,</w:t>
      </w:r>
      <w:hyperlink w:anchor="ref-gusenbauer2020">
        <w:r>
          <w:rPr>
            <w:rStyle w:val="Hyperlink"/>
            <w:vertAlign w:val="superscript"/>
          </w:rPr>
          <w:t xml:space="preserve">103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9">
        <w:r>
          <w:rPr>
            <w:rStyle w:val="Hyperlink"/>
          </w:rPr>
          <w:t xml:space="preserve">https://github.com/ropensci/medrxivr</w:t>
        </w:r>
      </w:hyperlink>
      <w:r>
        <w:t xml:space="preserve"> </w:t>
      </w:r>
      <w:r>
        <w:t xml:space="preserve">and</w:t>
      </w:r>
      <w:r>
        <w:t xml:space="preserve"> </w:t>
      </w:r>
      <w:hyperlink r:id="rId60">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104</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1"/>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2"/>
    <w:bookmarkStart w:id="67" w:name="development"/>
    <w:p>
      <w:pPr>
        <w:pStyle w:val="Heading2"/>
      </w:pPr>
      <w:r>
        <w:t xml:space="preserve">Development</w:t>
      </w:r>
    </w:p>
    <w:bookmarkStart w:id="63"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105</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3"/>
    <w:bookmarkStart w:id="64"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106</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107</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108</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4"/>
    <w:bookmarkStart w:id="65"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109</w:t>
        </w:r>
      </w:hyperlink>
      <w:r>
        <w:rPr>
          <w:vertAlign w:val="superscript"/>
        </w:rPr>
        <w:t xml:space="preserve">,</w:t>
      </w:r>
      <w:hyperlink w:anchor="ref-laprie1992">
        <w:r>
          <w:rPr>
            <w:rStyle w:val="Hyperlink"/>
            <w:vertAlign w:val="superscript"/>
          </w:rPr>
          <w:t xml:space="preserve">110</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110</w:t>
        </w:r>
      </w:hyperlink>
    </w:p>
    <w:p>
      <w:pPr>
        <w:pStyle w:val="BodyText"/>
      </w:pPr>
      <w:r>
        <w:t xml:space="preserve"> </w:t>
      </w:r>
    </w:p>
    <w:bookmarkEnd w:id="65"/>
    <w:bookmarkStart w:id="66"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111</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6"/>
    <w:bookmarkEnd w:id="67"/>
    <w:bookmarkStart w:id="75"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8"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8"/>
    <w:bookmarkStart w:id="70"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112</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9"/>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0"/>
    <w:bookmarkStart w:id="71"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1"/>
    <w:bookmarkStart w:id="72"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113</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114</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2"/>
    <w:bookmarkStart w:id="73"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3"/>
    <w:bookmarkStart w:id="74"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4"/>
    <w:bookmarkEnd w:id="75"/>
    <w:bookmarkStart w:id="80" w:name="discussion"/>
    <w:p>
      <w:pPr>
        <w:pStyle w:val="Heading2"/>
      </w:pPr>
      <w:r>
        <w:t xml:space="preserve">Discussion</w:t>
      </w:r>
    </w:p>
    <w:bookmarkStart w:id="76"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5900 times), and several use cases have been reported. It has been used to investigate the role of preprints in the response to the 2019 coronavirus outbreak,</w:t>
      </w:r>
      <w:hyperlink w:anchor="ref-kodvanj2020">
        <w:r>
          <w:rPr>
            <w:rStyle w:val="Hyperlink"/>
            <w:vertAlign w:val="superscript"/>
          </w:rPr>
          <w:t xml:space="preserve">115</w:t>
        </w:r>
      </w:hyperlink>
      <w:r>
        <w:t xml:space="preserve"> </w:t>
      </w:r>
      <w:r>
        <w:t xml:space="preserve">perform searches of preprints as part of a systematic review,</w:t>
      </w:r>
      <w:hyperlink w:anchor="ref-noone2020">
        <w:r>
          <w:rPr>
            <w:rStyle w:val="Hyperlink"/>
            <w:vertAlign w:val="superscript"/>
          </w:rPr>
          <w:t xml:space="preserve">116</w:t>
        </w:r>
      </w:hyperlink>
      <w:r>
        <w:rPr>
          <w:vertAlign w:val="superscript"/>
        </w:rPr>
        <w:t xml:space="preserve">,</w:t>
      </w:r>
      <w:hyperlink w:anchor="ref-grassly2020">
        <w:r>
          <w:rPr>
            <w:rStyle w:val="Hyperlink"/>
            <w:vertAlign w:val="superscript"/>
          </w:rPr>
          <w:t xml:space="preserve">117</w:t>
        </w:r>
      </w:hyperlink>
      <w:r>
        <w:t xml:space="preserve"> </w:t>
      </w:r>
      <w:r>
        <w:t xml:space="preserve">and examine how data-sharing behaviour is affected by journal policies (see</w:t>
      </w:r>
      <w:r>
        <w:t xml:space="preserve"> </w:t>
      </w:r>
      <w:r>
        <w:t xml:space="preserve">1.8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118</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6"/>
    <w:bookmarkStart w:id="77" w:name="use-cases"/>
    <w:p>
      <w:pPr>
        <w:pStyle w:val="Heading3"/>
      </w:pPr>
      <w:r>
        <w:t xml:space="preserve">Use cases</w:t>
      </w:r>
    </w:p>
    <w:p>
      <w:pPr>
        <w:pStyle w:val="FirstParagraph"/>
      </w:pPr>
      <w:r>
        <w:t xml:space="preserve">In addition to being used to search systematically search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(same content, authors and funders) under two different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11.4</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120</w:t>
        </w:r>
      </w:hyperlink>
      <w:r>
        <w:t xml:space="preserve"> </w:t>
      </w:r>
      <w:r>
        <w:t xml:space="preserve">indicating that a non-insignificant number of preprints are never formally published but remain accessible as preprints.</w:t>
      </w:r>
    </w:p>
    <w:p>
      <w:pPr>
        <w:pStyle w:val="BodyText"/>
      </w:pPr>
      <w:r>
        <w:t xml:space="preserve">In short, these use cases illustrate that easy access to medRxiv/bioRxiv metadata has applications beyond systematic searching of preprints by enabling meta-research/methodological analyses.</w:t>
      </w:r>
    </w:p>
    <w:bookmarkEnd w:id="77"/>
    <w:bookmarkStart w:id="78"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121</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8"/>
    <w:bookmarkStart w:id="79"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123</w:t>
        </w:r>
      </w:hyperlink>
    </w:p>
    <w:bookmarkEnd w:id="79"/>
    <w:bookmarkEnd w:id="80"/>
    <w:bookmarkStart w:id="81"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1"/>
    <w:bookmarkStart w:id="82" w:name="references-1"/>
    <w:p>
      <w:pPr>
        <w:pStyle w:val="Heading2"/>
      </w:pPr>
      <w:r>
        <w:t xml:space="preserve">References</w:t>
      </w:r>
    </w:p>
    <w:bookmarkEnd w:id="82"/>
    <w:bookmarkEnd w:id="83"/>
    <w:bookmarkStart w:id="161" w:name="sys-rev-methods-heading"/>
    <w:p>
      <w:pPr>
        <w:pStyle w:val="Heading1"/>
      </w:pPr>
      <w:r>
        <w:t xml:space="preserve">Systematic review of all available evidence on the association between blood lipids and dementia outcomes</w:t>
      </w:r>
    </w:p>
    <w:p>
      <w:pPr>
        <w:pStyle w:val="FirstParagraph"/>
      </w:pPr>
    </w:p>
    <w:bookmarkStart w:id="84"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of existing studies; assessment of the studies against predefined inclusion criteria; collection of data from each study; and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such as statins, and dementia outcomes.</w:t>
      </w:r>
    </w:p>
    <w:p>
      <w:pPr>
        <w:pStyle w:val="BodyText"/>
      </w:pPr>
      <w:r>
        <w:t xml:space="preserve">My review included 81 primary studies that contained information on this relationship. I found that statins appear to reduce the risk of Alzheimer’s disease, but had no effect of vascular dementia. Lipid levels were not associated with any outcome. The methods used in some of the primary studies meant that I was less confident in the accuracy of their results.</w:t>
      </w:r>
    </w:p>
    <w:p>
      <w:pPr>
        <w:pStyle w:val="BodyText"/>
      </w:pPr>
      <w:r>
        <w:t xml:space="preserve">The added value of including preprinted study reports, made possible using the tool described in the previous chapter, along with the use of the results of this review in subsequent chapters, is discussed.</w:t>
      </w:r>
    </w:p>
    <w:p>
      <w:pPr>
        <w:pStyle w:val="BodyText"/>
      </w:pPr>
      <w:r>
        <w:t xml:space="preserve"> </w:t>
      </w:r>
    </w:p>
    <w:bookmarkEnd w:id="84"/>
    <w:bookmarkStart w:id="85"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The results of this review are used to guide the primary analysis presented in Chapter</w:t>
      </w:r>
      <w:r>
        <w:t xml:space="preserve"> </w:t>
      </w:r>
      <w:r>
        <w:t xml:space="preserve">5</w:t>
      </w:r>
      <w:r>
        <w:t xml:space="preserve"> </w:t>
      </w:r>
      <w:r>
        <w:t xml:space="preserve">and</w:t>
      </w:r>
      <w:r>
        <w:t xml:space="preserve"> </w:t>
      </w:r>
      <w:r>
        <w:t xml:space="preserve">6</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r>
        <w:t xml:space="preserve"> </w:t>
      </w:r>
    </w:p>
    <w:bookmarkEnd w:id="85"/>
    <w:bookmarkStart w:id="110" w:name="methods"/>
    <w:p>
      <w:pPr>
        <w:pStyle w:val="Heading2"/>
      </w:pPr>
      <w:r>
        <w:t xml:space="preserve">Methods</w:t>
      </w:r>
    </w:p>
    <w:bookmarkStart w:id="86"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124</w:t>
        </w:r>
      </w:hyperlink>
      <w:r>
        <w:t xml:space="preserve"> </w:t>
      </w:r>
      <w:r>
        <w:t xml:space="preserve">Deviations from this protocol are detailed in the relevant sections.</w:t>
      </w:r>
    </w:p>
    <w:p>
      <w:pPr>
        <w:pStyle w:val="BodyText"/>
      </w:pPr>
      <w:r>
        <w:t xml:space="preserve"> </w:t>
      </w:r>
    </w:p>
    <w:bookmarkEnd w:id="86"/>
    <w:bookmarkStart w:id="87"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r>
        <w:t xml:space="preserve"> </w:t>
      </w:r>
    </w:p>
    <w:p>
      <w:pPr>
        <w:pStyle w:val="BodyText"/>
      </w:pPr>
      <w:r>
        <w:t xml:space="preserve"> </w:t>
      </w:r>
    </w:p>
    <w:bookmarkEnd w:id="87"/>
    <w:bookmarkStart w:id="88"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125</w:t>
        </w:r>
      </w:hyperlink>
      <w:r>
        <w:t xml:space="preserve"> </w:t>
      </w:r>
      <w:r>
        <w:t xml:space="preserve">the specific databases and date ranges for each database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10.3.1</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10.3.1</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10.3.3</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88"/>
    <w:bookmarkStart w:id="91"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126</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127</w:t>
        </w:r>
      </w:hyperlink>
      <w:r>
        <w:t xml:space="preserve"> </w:t>
      </w:r>
      <w:r>
        <w:t xml:space="preserve">and Rayyan, a web-based screening application.</w:t>
      </w:r>
      <w:hyperlink w:anchor="ref-ouzzani2016">
        <w:r>
          <w:rPr>
            <w:rStyle w:val="Hyperlink"/>
            <w:vertAlign w:val="superscript"/>
          </w:rPr>
          <w:t xml:space="preserve">128</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83</w:t>
        </w:r>
      </w:hyperlink>
    </w:p>
    <w:p>
      <w:pPr>
        <w:pStyle w:val="BodyText"/>
      </w:pPr>
      <w:r>
        <w:t xml:space="preserve">The criteria against which records were assessed for eligibility are presented in the subsequent sections.</w:t>
      </w:r>
    </w:p>
    <w:p>
      <w:pPr>
        <w:pStyle w:val="BodyText"/>
      </w:pPr>
      <w:r>
        <w:t xml:space="preserve"> </w:t>
      </w:r>
    </w:p>
    <w:bookmarkStart w:id="89" w:name="inclusion-criteria"/>
    <w:p>
      <w:pPr>
        <w:pStyle w:val="Heading4"/>
      </w:pPr>
      <w:r>
        <w:t xml:space="preserve">Inclusion criteria</w:t>
      </w:r>
    </w:p>
    <w:p>
      <w:pPr>
        <w:pStyle w:val="FirstParagraph"/>
      </w:pPr>
      <w:r>
        <w:t xml:space="preserve">I sought to include studies that examined blood lipid levels as a risk factor for demenita outcomes, defined either as binary hypercholesterolemia variable or by category/1-standard-deviation increase of a specific lipid fraction (total cholesterol, high- and low-density lipoprotein cholesterol and triglycerides). I also aimed to include studies examining the effect of treatments that modify lipids levels as a source of indirect evidence.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outcomes according to recognised criteria, for example the International Classification of Diseases (ICD),</w:t>
      </w:r>
      <w:hyperlink w:anchor="ref-organizationwho1993">
        <w:r>
          <w:rPr>
            <w:rStyle w:val="Hyperlink"/>
            <w:vertAlign w:val="superscript"/>
          </w:rPr>
          <w:t xml:space="preserve">129</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130</w:t>
        </w:r>
      </w:hyperlink>
      <w:r>
        <w:t xml:space="preserve"> </w:t>
      </w:r>
      <w:r>
        <w:t xml:space="preserve">or Diagnostic and Statistical Manual of Mental Disorders (DSM) criteria.</w:t>
      </w:r>
      <w:hyperlink w:anchor="ref-edition2013">
        <w:r>
          <w:rPr>
            <w:rStyle w:val="Hyperlink"/>
            <w:vertAlign w:val="superscript"/>
          </w:rPr>
          <w:t xml:space="preserve">131</w:t>
        </w:r>
      </w:hyperlink>
      <w:r>
        <w:t xml:space="preserve"> </w:t>
      </w:r>
      <w:r>
        <w:t xml:space="preserve">Studies utilising electronic health records were the exception to this, as it was assumed that a valid criteria was employed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9"/>
    <w:bookmarkStart w:id="90"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attempt to map these scores to ordinal groups (e.g. no dementia/dementia).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0"/>
    <w:bookmarkEnd w:id="91"/>
    <w:bookmarkStart w:id="92"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132</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132</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arbitary cut-off values may mislead readers,</w:t>
      </w:r>
      <w:hyperlink w:anchor="ref-brennan1992">
        <w:r>
          <w:rPr>
            <w:rStyle w:val="Hyperlink"/>
            <w:vertAlign w:val="superscript"/>
          </w:rPr>
          <w:t xml:space="preserve">135</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136</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.9), a larger proportion of records would have been dual-screened.</w:t>
      </w:r>
    </w:p>
    <w:p>
      <w:pPr>
        <w:pStyle w:val="BodyText"/>
      </w:pPr>
      <w:r>
        <w:t xml:space="preserve"> </w:t>
      </w:r>
      <w:r>
        <w:t xml:space="preserve"> </w:t>
      </w:r>
    </w:p>
    <w:bookmarkEnd w:id="92"/>
    <w:bookmarkStart w:id="98"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3" w:name="grouping-multiple-reports-into-studies"/>
    <w:p>
      <w:pPr>
        <w:pStyle w:val="Heading4"/>
      </w:pPr>
      <w:r>
        <w:t xml:space="preserve">Grouping multiple reports into studies</w:t>
      </w:r>
    </w:p>
    <w:p>
      <w:pPr>
        <w:pStyle w:val="FirstParagraph"/>
      </w:pPr>
      <w:r>
        <w:t xml:space="preserve">As part of the data extraction process, multiple records resulting from the analysis of the same data were included and grouped into single units, hereafter called studies. This was common in cases where multiple papers report results on the same cohort but at different time points. This process builds out the most comprehensive account of a given studies possible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3"/>
    <w:bookmarkStart w:id="94" w:name="combining-across-groups"/>
    <w:p>
      <w:pPr>
        <w:pStyle w:val="Heading4"/>
      </w:pPr>
      <w:r>
        <w:t xml:space="preserve">Combining across groups</w:t>
      </w:r>
    </w:p>
    <w:p>
      <w:pPr>
        <w:pStyle w:val="FirstParagraph"/>
      </w:pPr>
      <w:r>
        <w:t xml:space="preserve">In line with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137</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4"/>
    <w:bookmarkStart w:id="95"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1.4.1</w:t>
      </w:r>
      <w:r>
        <w:t xml:space="preserve">.</w:t>
      </w:r>
    </w:p>
    <w:p>
      <w:pPr>
        <w:pStyle w:val="BodyText"/>
      </w:pPr>
      <w:r>
        <w:t xml:space="preserve"> </w:t>
      </w:r>
    </w:p>
    <w:bookmarkEnd w:id="95"/>
    <w:bookmarkStart w:id="96"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138</w:t>
        </w:r>
      </w:hyperlink>
    </w:p>
    <w:p>
      <w:pPr>
        <w:pStyle w:val="BodyText"/>
      </w:pPr>
      <w:r>
        <w:t xml:space="preserve"> </w:t>
      </w:r>
    </w:p>
    <w:bookmarkEnd w:id="96"/>
    <w:bookmarkStart w:id="97"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As such, different effect estimates can be one potential problem that precludes a meta-analysis of all studies.</w:t>
      </w:r>
      <w:hyperlink w:anchor="ref-mckenzie2019">
        <w:r>
          <w:rPr>
            <w:rStyle w:val="Hyperlink"/>
            <w:vertAlign w:val="superscript"/>
          </w:rPr>
          <w:t xml:space="preserve">139</w:t>
        </w:r>
      </w:hyperlink>
      <w:r>
        <w:t xml:space="preserve"> </w:t>
      </w:r>
      <w:r>
        <w:t xml:space="preserve">If the outcome is rare, as is the case for dementia outcomes, the estimated prevalence of odds and risk ratios will approximate each other.</w:t>
      </w:r>
      <w:r>
        <w:t xml:space="preserve"> </w:t>
      </w:r>
      <w:r>
        <w:t xml:space="preserve">However, hazard ratios provide a very different interpretation, taking into account person-time-at-risk in each treatment group.</w:t>
      </w:r>
    </w:p>
    <w:p>
      <w:pPr>
        <w:pStyle w:val="BodyText"/>
      </w:pPr>
      <w:r>
        <w:t xml:space="preserve">Several existing reviews do not distinguish between the types of effect measures and include all existing studies in a single meta-analysis to produce an overall effect estimate. However, in this review, the small subset of studies reporting odds/risk ratios are synthesised separately to those reporting hazard ratios.</w:t>
      </w:r>
    </w:p>
    <w:p>
      <w:pPr>
        <w:pStyle w:val="BodyText"/>
      </w:pPr>
      <w:r>
        <w:t xml:space="preserve"> </w:t>
      </w:r>
    </w:p>
    <w:bookmarkEnd w:id="97"/>
    <w:bookmarkEnd w:id="98"/>
    <w:bookmarkStart w:id="103" w:name="risk-of-bias"/>
    <w:p>
      <w:pPr>
        <w:pStyle w:val="Heading3"/>
      </w:pPr>
      <w:r>
        <w:t xml:space="preserve">Risk-of-bias assessment</w:t>
      </w:r>
    </w:p>
    <w:p>
      <w:pPr>
        <w:pStyle w:val="FirstParagraph"/>
      </w:pPr>
      <w:r>
        <w:t xml:space="preserve">A key aim of the review presented in this chapter is to identify different sources of evidence at risk of a diverse range of biases, and to contrast and compare findings across them (see Section</w:t>
      </w:r>
      <w:r>
        <w:t xml:space="preserve"> </w:t>
      </w:r>
      <w:r>
        <w:t xml:space="preserve">7.2.1</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a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84</w:t>
        </w:r>
      </w:hyperlink>
      <w:r>
        <w:rPr>
          <w:vertAlign w:val="superscript"/>
        </w:rPr>
        <w:t xml:space="preserve">,</w:t>
      </w:r>
      <w:hyperlink w:anchor="ref-sterne2016">
        <w:r>
          <w:rPr>
            <w:rStyle w:val="Hyperlink"/>
            <w:vertAlign w:val="superscript"/>
          </w:rPr>
          <w:t xml:space="preserve">140</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141</w:t>
        </w:r>
      </w:hyperlink>
      <w:r>
        <w:rPr>
          <w:vertAlign w:val="superscript"/>
        </w:rPr>
        <w:t xml:space="preserve">,</w:t>
      </w:r>
      <w:hyperlink w:anchor="ref-juni2001">
        <w:r>
          <w:rPr>
            <w:rStyle w:val="Hyperlink"/>
            <w:vertAlign w:val="superscript"/>
          </w:rPr>
          <w:t xml:space="preserve">142</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in addition to challenges in the comparison of results from different tools.</w:t>
      </w:r>
      <w:r>
        <w:t xml:space="preserve"> </w:t>
      </w:r>
      <w:r>
        <w:t xml:space="preserve"> </w:t>
      </w:r>
      <w:r>
        <w:t xml:space="preserve">As part of this shift, the focus shifted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missing outcome data that is not an issue at six months may introduce bias after two years of follow-up, and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9" w:name="randomised-controlled-trials-1"/>
    <w:p>
      <w:pPr>
        <w:pStyle w:val="Heading4"/>
      </w:pPr>
      <w:r>
        <w:t xml:space="preserve">Randomised controlled trials</w:t>
      </w:r>
    </w:p>
    <w:p>
      <w:pPr>
        <w:pStyle w:val="FirstParagraph"/>
      </w:pPr>
      <w:r>
        <w:t xml:space="preserve">Randomized controlled trials were assessed using the RoB 2 tool.</w:t>
      </w:r>
      <w:hyperlink w:anchor="ref-sterne2019">
        <w:r>
          <w:rPr>
            <w:rStyle w:val="Hyperlink"/>
            <w:vertAlign w:val="superscript"/>
          </w:rPr>
          <w:t xml:space="preserve">143</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9"/>
    <w:bookmarkStart w:id="100"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140</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144</w:t>
        </w:r>
      </w:hyperlink>
      <w:r>
        <w:t xml:space="preserve"> </w:t>
      </w:r>
      <w:r>
        <w:t xml:space="preserve">but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145</w:t>
        </w:r>
      </w:hyperlink>
      <w:r>
        <w:t xml:space="preserve"> </w:t>
      </w:r>
      <w:r>
        <w:t xml:space="preserve">The version had no signalling questions and so judgements, using the same four levels of bias as ROBINS-I, were made at the domain level. The motivation using this tool above other established tools such as the Newcastle-Ottowa scale (NOS)</w:t>
      </w:r>
      <w:hyperlink w:anchor="ref-wells2000">
        <w:r>
          <w:rPr>
            <w:rStyle w:val="Hyperlink"/>
            <w:vertAlign w:val="superscript"/>
          </w:rPr>
          <w:t xml:space="preserve">146</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100"/>
    <w:bookmarkStart w:id="101"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147</w:t>
        </w:r>
      </w:hyperlink>
      <w:r>
        <w:t xml:space="preserve"> </w:t>
      </w:r>
      <w:r>
        <w:t xml:space="preserve">as identified by a review of risk-of-bias assessments in systematic reviews of Mendelian randomisation studies (advance results from this review were obtained from contact with the review authors).</w:t>
      </w:r>
      <w:hyperlink w:anchor="ref-spiga2021">
        <w:r>
          <w:rPr>
            <w:rStyle w:val="Hyperlink"/>
            <w:vertAlign w:val="superscript"/>
          </w:rPr>
          <w:t xml:space="preserve">148</w:t>
        </w:r>
      </w:hyperlink>
      <w:r>
        <w:t xml:space="preserve"> </w:t>
      </w:r>
      <w:r>
        <w:t xml:space="preserve">A copy of this tool is available in Appendix</w:t>
      </w:r>
      <w:r>
        <w:t xml:space="preserve"> </w:t>
      </w:r>
      <w:r>
        <w:t xml:space="preserve">10.3.5</w:t>
      </w:r>
      <w:r>
        <w:t xml:space="preserve">, but in summary, results were assessed for bias arising from weak instruments, genetic and other confounding, pleiotropy and population stratification. Acceptable judgements for each fo the 5 domains in the tool included</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101"/>
    <w:bookmarkStart w:id="102"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 and was performed using the forthcoming RoB-ME (Risk of Bias due to Missing Evidence in a synthesis) tool.</w:t>
      </w:r>
      <w:hyperlink w:anchor="ref-zotero-15123">
        <w:r>
          <w:rPr>
            <w:rStyle w:val="Hyperlink"/>
            <w:vertAlign w:val="superscript"/>
          </w:rPr>
          <w:t xml:space="preserve">149</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2"/>
    <w:bookmarkEnd w:id="103"/>
    <w:bookmarkStart w:id="109"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Results were not combined across different study designs (i.e. RCTs were not combined in a meta-analysis with results from observational studies). The summary effect estimates produced by meta-analysis of individual study designs are discussed, but are compared and contrasted more fully as part of the triangulation exercise presented in Chapter</w:t>
      </w:r>
      <w:r>
        <w:t xml:space="preserve"> </w:t>
      </w:r>
      <w:r>
        <w:t xml:space="preserve">8</w:t>
      </w:r>
      <w:r>
        <w:t xml:space="preserve">.</w:t>
      </w:r>
    </w:p>
    <w:p>
      <w:pPr>
        <w:pStyle w:val="BodyText"/>
      </w:pPr>
      <w:r>
        <w:t xml:space="preserve"> </w:t>
      </w:r>
      <w:r>
        <w:t xml:space="preserve"> </w:t>
      </w:r>
    </w:p>
    <w:bookmarkStart w:id="104" w:name="random-effects-meta-analysis"/>
    <w:p>
      <w:pPr>
        <w:pStyle w:val="Heading4"/>
      </w:pPr>
      <w:r>
        <w:t xml:space="preserve">Random-effects meta-analysis</w:t>
      </w:r>
    </w:p>
    <w:p>
      <w:pPr>
        <w:pStyle w:val="FirstParagraph"/>
      </w:pPr>
      <w:r>
        <w:t xml:space="preserve">For results examining the effect of binary or continuous exposure (as opposed to categorical/dose-response, as discussed in the next section) on any dementia outcome, a random-effects meta-analysis model was used. 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 as the inverse of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w:t>
      </w:r>
    </w:p>
    <w:p>
      <w:pPr>
        <w:pStyle w:val="BodyText"/>
      </w:pPr>
      <w:r>
        <w:t xml:space="preserve">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were stratified into subgroups on the basis of the overall risk of bias assessment,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subgroup differences between studies at different levels of risk of bias was performed (see subsequent Section</w:t>
      </w:r>
      <w:r>
        <w:t xml:space="preserve"> </w:t>
      </w:r>
      <w:r>
        <w:t xml:space="preserve">3.3.8.4</w:t>
      </w:r>
      <w:r>
        <w:t xml:space="preserve">). All models were implemented using the</w:t>
      </w:r>
      <w:r>
        <w:t xml:space="preserve"> </w:t>
      </w:r>
      <w:r>
        <w:rPr>
          <w:rStyle w:val="VerbatimChar"/>
        </w:rPr>
        <w:t xml:space="preserve">metafor</w:t>
      </w:r>
      <w:r>
        <w:t xml:space="preserve"> </w:t>
      </w:r>
      <w:r>
        <w:t xml:space="preserve">R package.</w:t>
      </w:r>
    </w:p>
    <w:p>
      <w:pPr>
        <w:pStyle w:val="BodyText"/>
      </w:pPr>
      <w:r>
        <w:t xml:space="preserve"> </w:t>
      </w:r>
    </w:p>
    <w:bookmarkEnd w:id="104"/>
    <w:bookmarkStart w:id="105"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w:t>
      </w:r>
      <w:r>
        <w:t xml:space="preserve"> </w:t>
      </w:r>
      <w:r>
        <w:t xml:space="preserve"> </w:t>
      </w:r>
      <w:r>
        <w:t xml:space="preserve">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 </w:t>
      </w:r>
      <w:r>
        <w:t xml:space="preserve"> </w:t>
      </w:r>
    </w:p>
    <w:bookmarkEnd w:id="105"/>
    <w:bookmarkStart w:id="106"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studies were assessed for heterogeneity across these covariates.</w:t>
      </w:r>
      <w:r>
        <w:t xml:space="preserve"> </w:t>
      </w:r>
    </w:p>
    <w:p>
      <w:pPr>
        <w:pStyle w:val="BodyText"/>
      </w:pPr>
      <w:r>
        <w:t xml:space="preserve">Finally, I investigated the potential for small study effects, which may be caused by publication bias, both visually using funnel plots and formally using Egger’s regression test.</w:t>
      </w:r>
      <w:r>
        <w:t xml:space="preserve"> </w:t>
      </w:r>
    </w:p>
    <w:p>
      <w:pPr>
        <w:pStyle w:val="BodyText"/>
      </w:pPr>
      <w:r>
        <w:t xml:space="preserve"> </w:t>
      </w:r>
      <w:r>
        <w:t xml:space="preserve"> </w:t>
      </w:r>
    </w:p>
    <w:bookmarkEnd w:id="106"/>
    <w:bookmarkStart w:id="107"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150</w:t>
        </w:r>
      </w:hyperlink>
      <w:r>
        <w:t xml:space="preserve"> </w:t>
      </w:r>
      <w:r>
        <w:t xml:space="preserve">As part of the initial descriptive synthesis,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r>
        <w:t xml:space="preserve"> </w:t>
      </w:r>
      <w:r>
        <w:t xml:space="preserve"> </w:t>
      </w:r>
      <w:r>
        <w:t xml:space="preserve">In response to this criticism, I developed a new visualisation tool was designed to allow for the production of</w:t>
      </w:r>
      <w:r>
        <w:t xml:space="preserve"> </w:t>
      </w:r>
      <w:r>
        <w:t xml:space="preserve">“</w:t>
      </w:r>
      <w:r>
        <w:t xml:space="preserve">paired</w:t>
      </w:r>
      <w:r>
        <w:t xml:space="preserve">”</w:t>
      </w:r>
      <w:r>
        <w:t xml:space="preserve"> </w:t>
      </w:r>
      <w:r>
        <w:t xml:space="preserve">forest plots, as recommended by the ROB2 publication, where a risk-of-bias assessment is presented alongside it’s corresponding numerical results.</w:t>
      </w:r>
      <w:hyperlink w:anchor="ref-sterne2019">
        <w:r>
          <w:rPr>
            <w:rStyle w:val="Hyperlink"/>
            <w:vertAlign w:val="superscript"/>
          </w:rPr>
          <w:t xml:space="preserve">143</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151</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152</w:t>
        </w:r>
      </w:hyperlink>
      <w:r>
        <w:t xml:space="preserve"> </w:t>
      </w:r>
      <w:r>
        <w:t xml:space="preserve"> </w:t>
      </w:r>
      <w:r>
        <w:t xml:space="preserve">A summary of this tool is contained in Appendix</w:t>
      </w:r>
      <w:r>
        <w:t xml:space="preserve"> </w:t>
      </w:r>
      <w:r>
        <w:t xml:space="preserve">11.2</w:t>
      </w:r>
      <w:r>
        <w:t xml:space="preserve">, and all forest plots presented in this Chapter were created using this tool.</w:t>
      </w:r>
    </w:p>
    <w:p>
      <w:pPr>
        <w:pStyle w:val="BodyText"/>
      </w:pPr>
      <w:r>
        <w:t xml:space="preserve"> </w:t>
      </w:r>
      <w:r>
        <w:t xml:space="preserve"> </w:t>
      </w:r>
    </w:p>
    <w:bookmarkEnd w:id="107"/>
    <w:bookmarkStart w:id="108" w:name="X70e6c291630de5daf4cc0c432796c9ea205184d"/>
    <w:p>
      <w:pPr>
        <w:pStyle w:val="Heading4"/>
      </w:pPr>
      <w:r>
        <w:t xml:space="preserve">Assessment of added value of including preprints</w:t>
      </w:r>
    </w:p>
    <w:p>
      <w:pPr>
        <w:pStyle w:val="FirstParagraph"/>
      </w:pPr>
      <w:r>
        <w:rPr>
          <w:iCs/>
          <w:i/>
        </w:rPr>
        <w:t xml:space="preserve">[Note: Julian, I am particularly interested in your feedback on this section, and the corresponding results section (Section</w:t>
      </w:r>
      <w:r>
        <w:rPr>
          <w:iCs/>
          <w:i/>
        </w:rPr>
        <w:t xml:space="preserve"> </w:t>
      </w:r>
      <w:r>
        <w:rPr>
          <w:iCs/>
          <w:i/>
        </w:rPr>
        <w:t xml:space="preserve">3.4.12</w:t>
      </w:r>
      <w:r>
        <w:rPr>
          <w:iCs/>
          <w:i/>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1.6.1</w:t>
      </w:r>
      <w:r>
        <w:t xml:space="preserve">). As an adjunct analysis to this review, I explored the additional evidential value of including preprints in each meta-analysis performed, assessed using the fixed effect weight from a standard meta-analysis.</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8"/>
    <w:bookmarkEnd w:id="109"/>
    <w:bookmarkEnd w:id="110"/>
    <w:bookmarkStart w:id="146" w:name="results"/>
    <w:p>
      <w:pPr>
        <w:pStyle w:val="Heading2"/>
      </w:pPr>
      <w:r>
        <w:t xml:space="preserve">Results</w:t>
      </w:r>
    </w:p>
    <w:bookmarkStart w:id="111"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Many of those excluded by the filters were commentaries/educational articles, or described basic science studies.</w:t>
      </w:r>
      <w:r>
        <w:t xml:space="preserve"> </w:t>
      </w:r>
    </w:p>
    <w:p>
      <w:pPr>
        <w:pStyle w:val="BodyText"/>
      </w:pPr>
      <w:r>
        <w:t xml:space="preserve"> </w:t>
      </w:r>
      <w:r>
        <w:t xml:space="preserve"> </w:t>
      </w:r>
    </w:p>
    <w:bookmarkEnd w:id="111"/>
    <w:bookmarkStart w:id="113"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in the previous chapter (presented in grey on the right of the diagram).</w:t>
      </w:r>
    </w:p>
    <w:p>
      <w:pPr>
        <w:pStyle w:val="BodyText"/>
      </w:pPr>
      <w:r>
        <w:t xml:space="preserve">Common reasons for exclusion at the full text-stage included studies that reported on the wrong exposures (n = 70 ; most commonly a ineligible lipid fraction), used the wrong study design (n= 56), or reported on a wrong outcome (n=24; e.g. change in cognitive scores).</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2"/>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3"/>
    <w:bookmarkStart w:id="114" w:name="validation-of-screening"/>
    <w:p>
      <w:pPr>
        <w:pStyle w:val="Heading3"/>
      </w:pPr>
      <w:r>
        <w:t xml:space="preserve">Validation of screening</w:t>
      </w:r>
    </w:p>
    <w:p>
      <w:pPr>
        <w:pStyle w:val="FirstParagraph"/>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153</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the definition of eligible lipids fractions.</w:t>
      </w:r>
    </w:p>
    <w:p>
      <w:pPr>
        <w:pStyle w:val="BodyText"/>
      </w:pPr>
      <w:r>
        <w:t xml:space="preserve"> </w:t>
      </w:r>
      <w:r>
        <w:t xml:space="preserve"> </w:t>
      </w:r>
    </w:p>
    <w:bookmarkEnd w:id="114"/>
    <w:bookmarkStart w:id="116"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X49f9892f062f4edfe92b37e5c1639cb4f6c013f">
        <w:r>
          <w:rPr>
            <w:rStyle w:val="Hyperlink"/>
            <w:vertAlign w:val="superscript"/>
          </w:rPr>
          <w:t xml:space="preserve">154</w:t>
        </w:r>
      </w:hyperlink>
      <w:r>
        <w:rPr>
          <w:vertAlign w:val="superscript"/>
        </w:rPr>
        <w:t xml:space="preserve">–</w:t>
      </w:r>
      <w:hyperlink w:anchor="ref-zhu2018">
        <w:r>
          <w:rPr>
            <w:rStyle w:val="Hyperlink"/>
            <w:vertAlign w:val="superscript"/>
          </w:rPr>
          <w:t xml:space="preserve">231</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sole two included randomised controlled trials (the Heart Protection Study/British Heart Foundation trial</w:t>
      </w:r>
      <w:hyperlink w:anchor="X49f9892f062f4edfe92b37e5c1639cb4f6c013f">
        <w:r>
          <w:rPr>
            <w:rStyle w:val="Hyperlink"/>
            <w:vertAlign w:val="superscript"/>
          </w:rPr>
          <w:t xml:space="preserve">154</w:t>
        </w:r>
      </w:hyperlink>
      <w:r>
        <w:t xml:space="preserve"> </w:t>
      </w:r>
      <w:r>
        <w:t xml:space="preserve">and the JUPITER trial</w:t>
      </w:r>
      <w:hyperlink w:anchor="ref-ridker2008">
        <w:r>
          <w:rPr>
            <w:rStyle w:val="Hyperlink"/>
            <w:vertAlign w:val="superscript"/>
          </w:rPr>
          <w:t xml:space="preserve">155</w:t>
        </w:r>
      </w:hyperlink>
      <w:r>
        <w:t xml:space="preserve">) both reporting on the effect of statin use on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3.4.7</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61; 75.3%) or Alzheimer’s disease (n = 51; 63%), with only a small proportion examining vascular dementia (n = 16; 19.8%).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ridker2008">
        <w:r>
          <w:rPr>
            <w:rStyle w:val="Hyperlink"/>
            <w:vertAlign w:val="superscript"/>
          </w:rPr>
          <w:t xml:space="preserve">155</w:t>
        </w:r>
      </w:hyperlink>
      <w:r>
        <w:rPr>
          <w:vertAlign w:val="superscript"/>
        </w:rPr>
        <w:t xml:space="preserve">,</w:t>
      </w:r>
      <w:hyperlink w:anchor="ref-so2017">
        <w:r>
          <w:rPr>
            <w:rStyle w:val="Hyperlink"/>
            <w:vertAlign w:val="superscript"/>
          </w:rPr>
          <w:t xml:space="preserve">230</w:t>
        </w:r>
      </w:hyperlink>
      <w:r>
        <w:rPr>
          <w:vertAlign w:val="superscript"/>
        </w:rPr>
        <w:t xml:space="preserve">,</w:t>
      </w:r>
      <w:hyperlink w:anchor="ref-zhu2017">
        <w:r>
          <w:rPr>
            <w:rStyle w:val="Hyperlink"/>
            <w:vertAlign w:val="superscript"/>
          </w:rPr>
          <w:t xml:space="preserve">232</w:t>
        </w:r>
      </w:hyperlink>
      <w:r>
        <w:t xml:space="preserve"> </w:t>
      </w:r>
      <w:r>
        <w:t xml:space="preserve">one of which had subsequently been published and was captured by the primary literature search.</w:t>
      </w:r>
      <w:hyperlink w:anchor="ref-zhu2018">
        <w:r>
          <w:rPr>
            <w:rStyle w:val="Hyperlink"/>
            <w:vertAlign w:val="superscript"/>
          </w:rPr>
          <w:t xml:space="preserve">231</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04b72e86-8df2-4693-9085-4bbdbb5873f0" w:name="tab:studyCharacteristics-table"/>
      <w:r>
        <w:t xml:space="preserve">Characteristics of included studies, stratified by study design. Note that three studies reported on multiple analytical designs within a single study report, and these have been duplicated across the relevant sub-sections.</w:t>
      </w:r>
      <w:bookmarkEnd w:id="04b72e86-8df2-4693-9085-4bbdbb5873f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5"/>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3.3.7.4</w:t>
      </w:r>
      <w:r>
        <w:t xml:space="preserve">).</w:t>
      </w:r>
    </w:p>
    <w:p>
      <w:pPr>
        <w:pStyle w:val="BodyText"/>
      </w:pPr>
      <w:r>
        <w:t xml:space="preserve"> </w:t>
      </w:r>
    </w:p>
    <w:bookmarkEnd w:id="116"/>
    <w:bookmarkStart w:id="117" w:name="risk-of-bias-res"/>
    <w:p>
      <w:pPr>
        <w:pStyle w:val="Heading3"/>
      </w:pPr>
      <w:r>
        <w:t xml:space="preserve">Risk of bias</w:t>
      </w:r>
    </w:p>
    <w:p>
      <w:pPr>
        <w:pStyle w:val="FirstParagraph"/>
      </w:pPr>
      <w:r>
        <w:t xml:space="preserve">As discussed above, the risk-of-bias assessments are presented alongside their corresponding numerical result. A more detailed discussion of the sources and directions of bias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due poor controlling for confounding, immortal time bias, and missing outcome data (as noted above, a judgement of low risk of bias for a non-randomised study is rare).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62</w:t>
        </w:r>
      </w:hyperlink>
    </w:p>
    <w:p>
      <w:pPr>
        <w:pStyle w:val="BodyText"/>
      </w:pPr>
      <w:r>
        <w:t xml:space="preserve">Following best practice, any result judged to be at critical risk of bias should be excluded from any quantitative analyses.</w:t>
      </w:r>
      <w:r>
        <w:t xml:space="preserve"> </w:t>
      </w:r>
      <w:r>
        <w:t xml:space="preserve"> </w:t>
      </w:r>
      <w:r>
        <w:t xml:space="preserve">Four observational studies were excluded on this basis, predominantly due to a lack of adjustment for any potentially important confounders (i.e. the study reported unadjusted estimates).</w:t>
      </w:r>
      <w:hyperlink w:anchor="ref-kuo2015">
        <w:r>
          <w:rPr>
            <w:rStyle w:val="Hyperlink"/>
            <w:vertAlign w:val="superscript"/>
          </w:rPr>
          <w:t xml:space="preserve">200</w:t>
        </w:r>
      </w:hyperlink>
      <w:r>
        <w:rPr>
          <w:vertAlign w:val="superscript"/>
        </w:rPr>
        <w:t xml:space="preserve">,</w:t>
      </w:r>
      <w:hyperlink w:anchor="ref-mainousa.g.2005">
        <w:r>
          <w:rPr>
            <w:rStyle w:val="Hyperlink"/>
            <w:vertAlign w:val="superscript"/>
          </w:rPr>
          <w:t xml:space="preserve">201</w:t>
        </w:r>
      </w:hyperlink>
      <w:r>
        <w:rPr>
          <w:vertAlign w:val="superscript"/>
        </w:rPr>
        <w:t xml:space="preserve">,</w:t>
      </w:r>
      <w:hyperlink w:anchor="ref-notkola1998">
        <w:r>
          <w:rPr>
            <w:rStyle w:val="Hyperlink"/>
            <w:vertAlign w:val="superscript"/>
          </w:rPr>
          <w:t xml:space="preserve">207</w:t>
        </w:r>
      </w:hyperlink>
    </w:p>
    <w:p>
      <w:pPr>
        <w:pStyle w:val="BodyText"/>
      </w:pPr>
      <w:r>
        <w:t xml:space="preserve"> </w:t>
      </w:r>
    </w:p>
    <w:bookmarkEnd w:id="117"/>
    <w:bookmarkStart w:id="126" w:name="sys-rev-res-Dementia"/>
    <w:p>
      <w:pPr>
        <w:pStyle w:val="Heading3"/>
      </w:pPr>
      <w:r>
        <w:t xml:space="preserve">All-cause dementia</w:t>
      </w:r>
    </w:p>
    <w:bookmarkStart w:id="120" w:name="statins"/>
    <w:p>
      <w:pPr>
        <w:pStyle w:val="Heading4"/>
      </w:pPr>
      <w:r>
        <w:t xml:space="preserve">Statins</w:t>
      </w:r>
    </w:p>
    <w:p>
      <w:pPr>
        <w:pStyle w:val="FirstParagraph"/>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1867988"/>
            <wp:effectExtent b="0" l="0" r="0" t="0"/>
            <wp:docPr descr="Figure 6: Random-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18"/>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Random-effects meta-analysis of randomised controlled trials examining statin statins on all-cause dementia</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0.65-0.90,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19"/>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1.4.2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0"/>
    <w:bookmarkStart w:id="122" w:name="fibrates"/>
    <w:p>
      <w:pPr>
        <w:pStyle w:val="Heading4"/>
      </w:pPr>
      <w:r>
        <w:t xml:space="preserve">Fibrates</w:t>
      </w:r>
    </w:p>
    <w:p>
      <w:pPr>
        <w:pStyle w:val="FirstParagraph"/>
      </w:pPr>
      <w:r>
        <w:t xml:space="preserve">Two studies examined the effect of fibrate use on all-cause dementia and found very weak evidence for an effect (HR: 0.90,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2"/>
    <w:bookmarkStart w:id="125"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0.99-1.24,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3"/>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0.97, 95%CI: 0.87-1.07), LDL-c (N = 2; HR: 0.96, 95%CI: 0.86-1.08), HDL-c (N = 4; HR: 1.04, 95%CI: 0.96-1.13) and triglycerides (N = 3; HR: 0.90, 95%CI: 0.75-1.08).</w:t>
      </w:r>
    </w:p>
    <w:p>
      <w:pPr>
        <w:pStyle w:val="BodyText"/>
      </w:pPr>
      <w:r>
        <w:drawing>
          <wp:inline>
            <wp:extent cx="5943600" cy="8915400"/>
            <wp:effectExtent b="0" l="0" r="0" t="0"/>
            <wp:docPr descr="(#fig:lipidFractionsDementia)Random-effects meta-analysis of four lipid fractions (total cholesteol, HDL, LDL, and triglycerides) on all-cause dementia risk, standardised per 1-SD increase in the lipid fraction."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5"/>
    <w:bookmarkEnd w:id="126"/>
    <w:bookmarkStart w:id="134" w:name="sys-rev-res-AD"/>
    <w:p>
      <w:pPr>
        <w:pStyle w:val="Heading3"/>
      </w:pPr>
      <w:r>
        <w:t xml:space="preserve">Alzheimer’s disease</w:t>
      </w:r>
    </w:p>
    <w:bookmarkStart w:id="129"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0.69-1.00;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7"/>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HMGCR inhibition, mediated by SNPs in the gene (rs172338484 and rs12916).</w:t>
      </w:r>
      <w:hyperlink w:anchor="ref-benn2017b">
        <w:r>
          <w:rPr>
            <w:rStyle w:val="Hyperlink"/>
            <w:vertAlign w:val="superscript"/>
          </w:rPr>
          <w:t xml:space="preserve">189</w:t>
        </w:r>
      </w:hyperlink>
      <w:r>
        <w:rPr>
          <w:vertAlign w:val="superscript"/>
        </w:rPr>
        <w:t xml:space="preserve">,</w:t>
      </w:r>
      <w:hyperlink w:anchor="ref-so2017">
        <w:r>
          <w:rPr>
            <w:rStyle w:val="Hyperlink"/>
            <w:vertAlign w:val="superscript"/>
          </w:rPr>
          <w:t xml:space="preserve">230</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8"/>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29"/>
    <w:bookmarkStart w:id="133" w:name="lipids-1"/>
    <w:p>
      <w:pPr>
        <w:pStyle w:val="Heading4"/>
      </w:pPr>
      <w:r>
        <w:t xml:space="preserve">Lipids</w:t>
      </w:r>
    </w:p>
    <w:p>
      <w:pPr>
        <w:pStyle w:val="FirstParagraph"/>
      </w:pPr>
      <w:r>
        <w:t xml:space="preserve">9 studies reported on the association of hypercholesterolemia with all-cause dementia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0"/>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1.00, 95%CI: 0.93-1.07), LDL-c (N = 3; HR: 1.03, 95%CI: 0.91-1.16), HDL-c (N = 4; HR: 0.99, 95%CI: 0.91-1.07) or triglycerides (N = 3; HR: 0.99, 95%CI: 0.83-1.19).</w:t>
      </w:r>
    </w:p>
    <w:p>
      <w:pPr>
        <w:pStyle w:val="BodyText"/>
      </w:pPr>
      <w:r>
        <w:drawing>
          <wp:inline>
            <wp:extent cx="5943600" cy="8915400"/>
            <wp:effectExtent b="0" l="0" r="0" t="0"/>
            <wp:docPr descr="(#fig:lipidFractionsAD)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1"/>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used a two-sample approach, making use of summary statistics from the GLGC and IGAP consortia. Due to this overlap, which would result in a falsely precise estimate caused by multiple counting of the same participants, no meta-analysis of these studies was performed. However, across all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2"/>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3"/>
    <w:bookmarkEnd w:id="134"/>
    <w:bookmarkStart w:id="140" w:name="sys-rev-res-VaD"/>
    <w:p>
      <w:pPr>
        <w:pStyle w:val="Heading3"/>
      </w:pPr>
      <w:r>
        <w:t xml:space="preserve">Vascular dementia</w:t>
      </w:r>
    </w:p>
    <w:bookmarkStart w:id="136" w:name="statins-2"/>
    <w:p>
      <w:pPr>
        <w:pStyle w:val="Heading4"/>
      </w:pPr>
      <w:r>
        <w:t xml:space="preserve">Statins</w:t>
      </w:r>
    </w:p>
    <w:p>
      <w:pPr>
        <w:pStyle w:val="FirstParagraph"/>
      </w:pPr>
      <w:r>
        <w:t xml:space="preserve">As noted in Section</w:t>
      </w:r>
      <w:r>
        <w:t xml:space="preserve"> </w:t>
      </w:r>
      <w:r>
        <w:t xml:space="preserve">3.4.4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very weak evidence for an effect (N = 3; HR: 1.02, 95%CI: 0.77-1.36;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weak evidence for an effect (RR: 0.44, 95%CI: 0.21-0.91).</w:t>
      </w:r>
    </w:p>
    <w:p>
      <w:pPr>
        <w:pStyle w:val="BodyText"/>
      </w:pPr>
      <w:r>
        <w:t xml:space="preserve"> </w:t>
      </w:r>
    </w:p>
    <w:bookmarkEnd w:id="136"/>
    <w:bookmarkStart w:id="139"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very weak evidence for an effect (N = 2; HR: 1.05, 95%CI: 0.79-1.41). A single study provided evidence on the other three fractions,</w:t>
      </w:r>
      <w:hyperlink w:anchor="ref-yoshitake1995">
        <w:r>
          <w:rPr>
            <w:rStyle w:val="Hyperlink"/>
            <w:vertAlign w:val="superscript"/>
          </w:rPr>
          <w:t xml:space="preserve">223</w:t>
        </w:r>
      </w:hyperlink>
      <w:r>
        <w:t xml:space="preserve"> </w:t>
      </w:r>
      <w:r>
        <w:t xml:space="preserve">and similar found minimal evidence of an effect LDL-c (N = 1; HR: 1.12, 95%CI: 0.83-1.51), HDL-c (N = 1; HR: 0.83, 95%CI: 0.60-1.14) or triglycerides (N = 1; HR: 1.00, 95%CI: 0.75-1.34).</w:t>
      </w:r>
    </w:p>
    <w:p>
      <w:pPr>
        <w:pStyle w:val="BodyText"/>
      </w:pPr>
      <w:r>
        <w:drawing>
          <wp:inline>
            <wp:extent cx="5943600" cy="2377440"/>
            <wp:effectExtent b="0" l="0" r="0" t="0"/>
            <wp:docPr descr="Figure 16: 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3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genetically determined lipid levels on vascular dementia risk.</w:t>
      </w:r>
    </w:p>
    <w:p>
      <w:pPr>
        <w:pStyle w:val="BodyText"/>
      </w:pPr>
      <w:r>
        <w:t xml:space="preserve"> </w:t>
      </w:r>
    </w:p>
    <w:bookmarkEnd w:id="139"/>
    <w:bookmarkEnd w:id="140"/>
    <w:bookmarkStart w:id="142" w:name="dose-response-results"/>
    <w:p>
      <w:pPr>
        <w:pStyle w:val="Heading3"/>
      </w:pPr>
      <w:r>
        <w:t xml:space="preserve">Dose response meta-analysis of lipid levels</w:t>
      </w:r>
    </w:p>
    <w:p>
      <w:pPr>
        <w:pStyle w:val="FirstParagraph"/>
      </w:pPr>
      <w:r>
        <w:t xml:space="preserve">There were 13 studies that were eligible for dose-response meta-analysis as they provide several categories of lipid exposure. However, following data extract, five were excluded as they did not reported the relevant information needed (most commonly, the cut-off measures for each category).</w:t>
      </w:r>
    </w:p>
    <w:p>
      <w:pPr>
        <w:pStyle w:val="BodyText"/>
      </w:pPr>
      <w:r>
        <w:t xml:space="preserve">Across the remaining eight studies, a sufficient number of studies (n</w:t>
      </w:r>
      <w:r>
        <w:t xml:space="preserve"> </w:t>
      </w:r>
      <m:oMath>
        <m:r>
          <m:rPr>
            <m:sty m:val="p"/>
          </m:rPr>
          <m:t>≥</m:t>
        </m:r>
      </m:oMath>
      <w:r>
        <w:t xml:space="preserve"> </w:t>
      </w:r>
      <w:r>
        <w:t xml:space="preserve">3) were identified only for the total cholesterol-Alzheimer’s, LDL-Alzheimer’s, and total cholesterol-dementia strata. This analysis provided very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1"/>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2"/>
    <w:bookmarkStart w:id="143" w:name="additional-analyses-1"/>
    <w:p>
      <w:pPr>
        <w:pStyle w:val="Heading3"/>
      </w:pPr>
      <w:r>
        <w:t xml:space="preserve">Additional analyses</w:t>
      </w:r>
    </w:p>
    <w:p>
      <w:pPr>
        <w:pStyle w:val="FirstParagraph"/>
      </w:pPr>
      <w:r>
        <w:t xml:space="preserve">Investigation of potential sources of heterogeneity was complicated by two factors. In the first instance, few meta-analysis included more than 10 results, the recommended minimum required for meta-regression. Secondly, poor reporting of summary statistics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very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w:t>
      </w:r>
      <w:r>
        <w:rPr>
          <w:iCs/>
          <w:i/>
        </w:rPr>
        <w:t xml:space="preserve">Note: Julian, is this sufficient or should I report statistics for each? Additionally, are there any other sensitivity analyses I should be presenting here?</w:t>
      </w:r>
      <w:r>
        <w:t xml:space="preserve">]</w:t>
      </w:r>
    </w:p>
    <w:p>
      <w:pPr>
        <w:pStyle w:val="BodyText"/>
      </w:pPr>
      <w:r>
        <w:t xml:space="preserve"> </w:t>
      </w:r>
    </w:p>
    <w:p>
      <w:pPr>
        <w:pStyle w:val="BodyText"/>
      </w:pPr>
      <w:r>
        <w:t xml:space="preserve"> </w:t>
      </w:r>
    </w:p>
    <w:bookmarkEnd w:id="143"/>
    <w:bookmarkStart w:id="144" w:name="missing-evidence"/>
    <w:p>
      <w:pPr>
        <w:pStyle w:val="Heading3"/>
      </w:pPr>
      <w:r>
        <w:t xml:space="preserve">Missing evidence</w:t>
      </w:r>
    </w:p>
    <w:p>
      <w:pPr>
        <w:pStyle w:val="FirstParagraph"/>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4"/>
    <w:bookmarkStart w:id="145" w:name="sys-rev-including-preprints-res"/>
    <w:p>
      <w:pPr>
        <w:pStyle w:val="Heading3"/>
      </w:pPr>
      <w:r>
        <w:t xml:space="preserve">Added evidential value of including preprints</w:t>
      </w:r>
    </w:p>
    <w:p>
      <w:pPr>
        <w:pStyle w:val="FirstParagraph"/>
      </w:pPr>
      <w:r>
        <w:t xml:space="preserve">As show in Figure</w:t>
      </w:r>
      <w:r>
        <w:t xml:space="preserve"> </w:t>
      </w:r>
      <w:r>
        <w:t xml:space="preserve">4</w:t>
      </w:r>
      <w:r>
        <w:t xml:space="preserve">, the number of hits returned by the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230</w:t>
        </w:r>
      </w:hyperlink>
      <w:r>
        <w:rPr>
          <w:vertAlign w:val="superscript"/>
        </w:rPr>
        <w:t xml:space="preserve">,</w:t>
      </w:r>
      <w:hyperlink w:anchor="ref-andrews2019">
        <w:r>
          <w:rPr>
            <w:rStyle w:val="Hyperlink"/>
            <w:vertAlign w:val="superscript"/>
          </w:rPr>
          <w:t xml:space="preserve">233</w:t>
        </w:r>
      </w:hyperlink>
    </w:p>
    <w:p>
      <w:pPr>
        <w:pStyle w:val="BodyText"/>
      </w:pPr>
      <w:r>
        <w:t xml:space="preserve">Including preprints did provide useful additional evidential value in a number of meta-analysis. To demonstrate this, the effect of HMGCR SNPS on Alzheimer’s disease (Figure</w:t>
      </w:r>
      <w:r>
        <w:t xml:space="preserve"> </w:t>
      </w:r>
      <w:r>
        <w:t xml:space="preserve">11</w:t>
      </w:r>
      <w:r>
        <w:t xml:space="preserve">) in Mendelian randomisation studies was re-analysed using a fixed-effect model. Examination of the weight assigned to each result in the analysis illustrates that a large proportion (78%) of the weight is given to the preprinted result.</w:t>
      </w:r>
    </w:p>
    <w:p>
      <w:pPr>
        <w:pStyle w:val="BodyText"/>
      </w:pPr>
      <w:r>
        <w:t xml:space="preserve">Investigation of the publication status of the two preprints reporting studies not also identified by the main search after a two-year lag found that one had been subsequently published in late 2019.</w:t>
      </w:r>
      <w:hyperlink w:anchor="ref-andrews2021">
        <w:r>
          <w:rPr>
            <w:rStyle w:val="Hyperlink"/>
            <w:vertAlign w:val="superscript"/>
          </w:rPr>
          <w:t xml:space="preserve">225</w:t>
        </w:r>
      </w:hyperlink>
      <w:r>
        <w:rPr>
          <w:vertAlign w:val="superscript"/>
        </w:rPr>
        <w:t xml:space="preserve">,</w:t>
      </w:r>
      <w:hyperlink w:anchor="ref-andrews2019">
        <w:r>
          <w:rPr>
            <w:rStyle w:val="Hyperlink"/>
            <w:vertAlign w:val="superscript"/>
          </w:rPr>
          <w:t xml:space="preserve">233</w:t>
        </w:r>
      </w:hyperlink>
      <w:r>
        <w:t xml:space="preserve"> </w:t>
      </w:r>
      <w:r>
        <w:t xml:space="preserve">The final preprint has not yet been published.</w:t>
      </w:r>
      <w:hyperlink w:anchor="ref-so2017">
        <w:r>
          <w:rPr>
            <w:rStyle w:val="Hyperlink"/>
            <w:vertAlign w:val="superscript"/>
          </w:rPr>
          <w:t xml:space="preserve">230</w:t>
        </w:r>
      </w:hyperlink>
    </w:p>
    <w:p>
      <w:pPr>
        <w:pStyle w:val="BodyText"/>
      </w:pPr>
      <w:r>
        <w:t xml:space="preserve"> </w:t>
      </w:r>
      <w:r>
        <w:t xml:space="preserve"> </w:t>
      </w:r>
    </w:p>
    <w:bookmarkEnd w:id="145"/>
    <w:bookmarkEnd w:id="146"/>
    <w:bookmarkStart w:id="158"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 This discussion seeks to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48"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heterogeneity in exposure (e.g. mid-life in studies of lipids with late-life lipid reduction in RCTs) or alternatively due to biases within the non-randomised studies.</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made necessary by the long latent period of the condition, makes trials logistically challenging and financial expensive. Similarly, Mendelian randomisation is a comparatively new study design (as illustrated in Figure</w:t>
      </w:r>
      <w:r>
        <w:t xml:space="preserve"> </w:t>
      </w:r>
      <w:r>
        <w:t xml:space="preserve">18</w:t>
      </w:r>
      <w:r>
        <w:t xml:space="preserve">), which appears in the literature in recent years,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4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common theme was an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76</w:t>
        </w:r>
      </w:hyperlink>
      <w:r>
        <w:t xml:space="preserve"> </w:t>
      </w:r>
      <w:r>
        <w:t xml:space="preserve">though there was very weak evidence of a small-study effects for this outcome (of which publication bias is a potential cause).</w:t>
      </w:r>
      <w:hyperlink w:anchor="ref-sterne2011">
        <w:r>
          <w:rPr>
            <w:rStyle w:val="Hyperlink"/>
            <w:vertAlign w:val="superscript"/>
          </w:rPr>
          <w:t xml:space="preserve">234</w:t>
        </w:r>
      </w:hyperlink>
      <w:r>
        <w:t xml:space="preserve"> </w:t>
      </w:r>
      <w:r>
        <w:t xml:space="preserve">Similarly, only one Mendelian randomisation studies examined this outcome, primarily because of the absence (until recently) of vascular dementia GWAS which precludes a two-sample approach.</w:t>
      </w:r>
    </w:p>
    <w:p>
      <w:pPr>
        <w:pStyle w:val="BodyText"/>
      </w:pPr>
      <w:r>
        <w:t xml:space="preserve">Of note, this review did not include the commonly cited PROSPER RCT, which examined the effect of pravastatin on CVD risk, reporting on cognitive outcomes as one of several secondary outcomes.</w:t>
      </w:r>
      <w:hyperlink w:anchor="ref-shepherd2002a">
        <w:r>
          <w:rPr>
            <w:rStyle w:val="Hyperlink"/>
            <w:vertAlign w:val="superscript"/>
          </w:rPr>
          <w:t xml:space="preserve">235</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236</w:t>
        </w:r>
      </w:hyperlink>
      <w:r>
        <w:t xml:space="preserve"> </w:t>
      </w:r>
      <w:r>
        <w:t xml:space="preserve">the trial reported solely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1.3.2</w:t>
      </w:r>
      <w:r>
        <w:t xml:space="preserve">). As such, this trial did not met the inclusion criteria for this review.</w:t>
      </w:r>
    </w:p>
    <w:p>
      <w:pPr>
        <w:pStyle w:val="BodyText"/>
      </w:pPr>
      <w:r>
        <w:t xml:space="preserve">Risk of bias across the individual results was generally quite high, and the causes and expected directions of these biases are discussed in more detail in Chapter</w:t>
      </w:r>
      <w:r>
        <w:t xml:space="preserve"> </w:t>
      </w:r>
      <w:r>
        <w:t xml:space="preserve">7</w:t>
      </w:r>
      <w:r>
        <w:t xml:space="preserve">. Of particular interest to this chapter, however, was the high risk of bias due to missing evidence observed for observational studies of statin levels. In many cases, estimates were know to be missing from meta-analyses not at random due to preferential reporting of significant results observed in a number of analysis, leading to the high-risk judgement. These missing estimates were most commonly identified via analysis of conference abstract/final publication pairs.</w:t>
      </w:r>
      <w:hyperlink w:anchor="ref-yamada2009">
        <w:r>
          <w:rPr>
            <w:rStyle w:val="Hyperlink"/>
            <w:vertAlign w:val="superscript"/>
          </w:rPr>
          <w:t xml:space="preserve">237</w:t>
        </w:r>
      </w:hyperlink>
      <w:r>
        <w:rPr>
          <w:vertAlign w:val="superscript"/>
        </w:rPr>
        <w:t xml:space="preserve">,</w:t>
      </w:r>
      <w:hyperlink w:anchor="ref-yamada2009a">
        <w:r>
          <w:rPr>
            <w:rStyle w:val="Hyperlink"/>
            <w:vertAlign w:val="superscript"/>
          </w:rPr>
          <w:t xml:space="preserve">238</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r>
        <w:t xml:space="preserve">).</w:t>
      </w:r>
      <w:hyperlink w:anchor="ref-ancelin2013">
        <w:r>
          <w:rPr>
            <w:rStyle w:val="Hyperlink"/>
            <w:vertAlign w:val="superscript"/>
          </w:rPr>
          <w:t xml:space="preserve">187</w:t>
        </w:r>
      </w:hyperlink>
      <w:r>
        <w:t xml:space="preserve"> </w:t>
      </w:r>
      <w:r>
        <w:t xml:space="preserve">However, as all identified missing results are likely to be non-significant, they would not be expected to have a substantial impact on their respective meta-analysis (which provided very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studies which made use of data from the Taiwan health insurance database.</w:t>
      </w:r>
    </w:p>
    <w:p>
      <w:pPr>
        <w:pStyle w:val="BodyText"/>
      </w:pPr>
      <w:r>
        <w:t xml:space="preserve"> </w:t>
      </w:r>
    </w:p>
    <w:bookmarkEnd w:id="148"/>
    <w:bookmarkStart w:id="149"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239</w:t>
        </w:r>
      </w:hyperlink>
      <w:r>
        <w:rPr>
          <w:vertAlign w:val="superscript"/>
        </w:rPr>
        <w:t xml:space="preserve">–</w:t>
      </w:r>
      <w:hyperlink w:anchor="ref-kuzma2018a">
        <w:r>
          <w:rPr>
            <w:rStyle w:val="Hyperlink"/>
            <w:vertAlign w:val="superscript"/>
          </w:rPr>
          <w:t xml:space="preserve">242</w:t>
        </w:r>
      </w:hyperlink>
      <w:r>
        <w:rPr>
          <w:vertAlign w:val="superscript"/>
        </w:rPr>
        <w:t xml:space="preserve">,</w:t>
      </w:r>
      <w:hyperlink w:anchor="ref-kuzma2018a">
        <w:r>
          <w:rPr>
            <w:rStyle w:val="Hyperlink"/>
            <w:vertAlign w:val="superscript"/>
          </w:rPr>
          <w:t xml:space="preserve">242</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143</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57</w:t>
        </w:r>
      </w:hyperlink>
      <w:r>
        <w:rPr>
          <w:vertAlign w:val="superscript"/>
        </w:rPr>
        <w:t xml:space="preserve">,</w:t>
      </w:r>
      <w:hyperlink w:anchor="ref-power2015">
        <w:r>
          <w:rPr>
            <w:rStyle w:val="Hyperlink"/>
            <w:vertAlign w:val="superscript"/>
          </w:rPr>
          <w:t xml:space="preserve">243</w:t>
        </w:r>
      </w:hyperlink>
      <w:r>
        <w:t xml:space="preserve"> </w:t>
      </w:r>
      <w:r>
        <w:t xml:space="preserve">or used a non-domain-based assessment tool (e.g. the Newcastle-Ottowa Scale).</w:t>
      </w:r>
      <w:hyperlink w:anchor="ref-poly2020">
        <w:r>
          <w:rPr>
            <w:rStyle w:val="Hyperlink"/>
            <w:vertAlign w:val="superscript"/>
          </w:rPr>
          <w:t xml:space="preserve">241</w:t>
        </w:r>
      </w:hyperlink>
    </w:p>
    <w:p>
      <w:pPr>
        <w:pStyle w:val="BodyText"/>
      </w:pPr>
      <w:r>
        <w:t xml:space="preserve">I identified one previous review of Mendelian randomisation studies examining risk factors for Alzhiemer’s disease. However, this review was conducted prior to the majority of Mendelian randomisation studies included in this review being published and extracted results including SNPs in the APoE4 genetic region (see the following section for a discussion of the bias this introduces).</w:t>
      </w:r>
    </w:p>
    <w:p>
      <w:pPr>
        <w:pStyle w:val="BodyText"/>
      </w:pPr>
      <w:r>
        <w:t xml:space="preserve">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244</w:t>
        </w:r>
      </w:hyperlink>
      <w:r>
        <w:rPr>
          <w:vertAlign w:val="superscript"/>
        </w:rPr>
        <w:t xml:space="preserve">,</w:t>
      </w:r>
      <w:hyperlink w:anchor="ref-smith2011">
        <w:r>
          <w:rPr>
            <w:rStyle w:val="Hyperlink"/>
            <w:vertAlign w:val="superscript"/>
          </w:rPr>
          <w:t xml:space="preserve">245</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9"/>
    <w:bookmarkStart w:id="151" w:name="rev-discussion-MR"/>
    <w:p>
      <w:pPr>
        <w:pStyle w:val="Heading3"/>
      </w:pPr>
      <w:r>
        <w:t xml:space="preserve">Inclusion of Mendelian randomisations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core assumptions detailed in Figure</w:t>
      </w:r>
      <w:r>
        <w:t xml:space="preserve"> </w:t>
      </w:r>
      <w:r>
        <w:t xml:space="preserve">19</w:t>
      </w:r>
      <w:r>
        <w:t xml:space="preserve"> </w:t>
      </w:r>
      <w:r>
        <w:t xml:space="preserve">are valid.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0"/>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availabilt of large scale GWAS datasets needed for two-sample Mendelian randomisation analyses. As such, the process and tools for systematically assessing this study design are not as well developed. A key example of this is in the absence of validated search filters for Mendelian randomisations studies. This limitation is further complicated by the varying terminology used to describe the method, particularly in the early years of it’s application, which lead o me including general terms for instrumental variable analyses in my search.</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w:t>
      </w:r>
      <w:r>
        <w:t xml:space="preserve"> </w:t>
      </w:r>
      <w:r>
        <w:t xml:space="preserve">3.3.7</w:t>
      </w:r>
      <w:r>
        <w:t xml:space="preserve">.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246</w:t>
        </w:r>
      </w:hyperlink>
      <w:r>
        <w:t xml:space="preserve"> </w:t>
      </w:r>
      <w:r>
        <w:t xml:space="preserve">While this tool assesses the underlying GWAS used, it does not assess the additional methodological considerations of the Mendelian randomisation analysis itself.</w:t>
      </w:r>
      <w:r>
        <w:t xml:space="preserve"> </w:t>
      </w:r>
      <w:r>
        <w:t xml:space="preserve"> </w:t>
      </w:r>
      <w:r>
        <w:t xml:space="preserve">For this review, I utilised the best available author-devised tool, sourced from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247</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248</w:t>
        </w:r>
      </w:hyperlink>
      <w:r>
        <w:rPr>
          <w:vertAlign w:val="superscript"/>
        </w:rPr>
        <w:t xml:space="preserve">,</w:t>
      </w:r>
      <w:hyperlink w:anchor="ref-wagner2020">
        <w:r>
          <w:rPr>
            <w:rStyle w:val="Hyperlink"/>
            <w:vertAlign w:val="superscript"/>
          </w:rPr>
          <w:t xml:space="preserve">249</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w:t>
      </w:r>
      <w:r>
        <w:t xml:space="preserve">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 to the field.</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w:t>
      </w:r>
      <w:r>
        <w:t xml:space="preserve"> </w:t>
      </w:r>
      <w:r>
        <w:t xml:space="preserve">1.5.1</w:t>
      </w:r>
      <w:r>
        <w:t xml:space="preserve">), an increasing number of ApoE4 alleles is a major independent risk factor for Alzheimer’s disease, and so violates the exclusion restriction criteria (Figure</w:t>
      </w:r>
      <w:r>
        <w:t xml:space="preserve"> </w:t>
      </w:r>
      <w:r>
        <w:t xml:space="preserve">19</w:t>
      </w:r>
      <w:r>
        <w:t xml:space="preserve">). In all cases, excluding these variants attenuates the observed effect to the null. A clear example of this is Benn</w:t>
      </w:r>
      <w:r>
        <w:t xml:space="preserve"> </w:t>
      </w:r>
      <w:r>
        <w:rPr>
          <w:iCs/>
          <w:i/>
        </w:rPr>
        <w:t xml:space="preserve">et al</w:t>
      </w:r>
      <w:r>
        <w:t xml:space="preserve"> </w:t>
      </w:r>
      <w:r>
        <w:t xml:space="preserve">(2017), where the ApoE variants were not sufficient identified and excluded and the published paper detailed evidence for a protective effect of LDL-c was identified (RR: 0.83, 95%CI: 0.75-0.92).</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the finding to the null.</w:t>
      </w:r>
      <w:hyperlink w:anchor="ref-benn2017a">
        <w:r>
          <w:rPr>
            <w:rStyle w:val="Hyperlink"/>
            <w:vertAlign w:val="superscript"/>
          </w:rPr>
          <w:t xml:space="preserve">250</w:t>
        </w:r>
      </w:hyperlink>
    </w:p>
    <w:p>
      <w:pPr>
        <w:pStyle w:val="BodyText"/>
      </w:pPr>
      <w:r>
        <w:t xml:space="preserve"> </w:t>
      </w:r>
    </w:p>
    <w:bookmarkEnd w:id="151"/>
    <w:bookmarkStart w:id="153" w:name="inclusion-of-preprints"/>
    <w:p>
      <w:pPr>
        <w:pStyle w:val="Heading3"/>
      </w:pPr>
      <w:r>
        <w:t xml:space="preserve">Inclusion of preprints</w:t>
      </w:r>
    </w:p>
    <w:p>
      <w:pPr>
        <w:pStyle w:val="FirstParagraph"/>
      </w:pPr>
      <w:r>
        <w:t xml:space="preserve">As highlighted in Section</w:t>
      </w:r>
      <w:r>
        <w:t xml:space="preserve"> </w:t>
      </w:r>
      <w:r>
        <w:t xml:space="preserve">1.6.1</w:t>
      </w:r>
      <w:r>
        <w:t xml:space="preserve">, this review explicitly sought to synthesize evidence across different publication statuses (preprinted vs. published). Using the tool described in Chapter</w:t>
      </w:r>
      <w:r>
        <w:t xml:space="preserve"> </w:t>
      </w:r>
      <w:r>
        <w:t xml:space="preserve">2.2</w:t>
      </w:r>
      <w:r>
        <w:t xml:space="preserve">, two preprint serves related to health and biomedical sciences were search as part of this review. The small number of studies returned by the searches (or the absence of any relevant hits in the medRxiv database - see Figure</w:t>
      </w:r>
      <w:r>
        <w:t xml:space="preserve"> </w:t>
      </w:r>
      <w:r>
        <w:t xml:space="preserve">4</w:t>
      </w:r>
      <w:r>
        <w:t xml:space="preserve">) is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(n=148).</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2"/>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the bioRxiv hits were identified. The added evidential value of including these preprints was described in Section</w:t>
      </w:r>
      <w:r>
        <w:t xml:space="preserve"> </w:t>
      </w:r>
      <w:r>
        <w:t xml:space="preserve">3.4.12</w:t>
      </w:r>
      <w:r>
        <w:t xml:space="preserve">, and indicated that results available only via preprinted reports can contribute substantially to a meta-analysis. Of note, all three included preprints described Mendelian randomisation studies, potentially indicating that more biologically-focused study designs are over-represented in the bioRxiv repository.</w:t>
      </w:r>
    </w:p>
    <w:p>
      <w:pPr>
        <w:pStyle w:val="BodyText"/>
      </w:pPr>
      <w:r>
        <w:t xml:space="preserve">Of the three identified preprints, two were subsequently published as of September 2020. This fits well with the analysis presented in Chapter</w:t>
      </w:r>
      <w:r>
        <w:t xml:space="preserve"> </w:t>
      </w:r>
      <w:r>
        <w:t xml:space="preserve">2</w:t>
      </w:r>
      <w:r>
        <w:t xml:space="preserve"> </w:t>
      </w:r>
      <w:r>
        <w:t xml:space="preserve">that, allowing for a two-year lag, approximately two-thirds of preprints are published, and also nicely illustrates the dual advantages of preprinted reports to evidence syntheses.</w:t>
      </w:r>
    </w:p>
    <w:p>
      <w:pPr>
        <w:pStyle w:val="BodyText"/>
      </w:pPr>
      <w:r>
        <w:t xml:space="preserve">Firstly, preprints provide an advance snapshot of the literature, capturing articles that will eventually be published but were not available at the time of the main search. Consider the example of one eligible preprint in this review was initially posted on bioRxiv in July 2019</w:t>
      </w:r>
      <w:hyperlink w:anchor="ref-andrews2019b">
        <w:r>
          <w:rPr>
            <w:rStyle w:val="Hyperlink"/>
            <w:vertAlign w:val="superscript"/>
          </w:rPr>
          <w:t xml:space="preserve">251</w:t>
        </w:r>
      </w:hyperlink>
      <w:r>
        <w:t xml:space="preserve"> </w:t>
      </w:r>
      <w:r>
        <w:t xml:space="preserve">and was subsequently published in 2021 following peer-review.</w:t>
      </w:r>
      <w:hyperlink w:anchor="ref-andrews2021">
        <w:r>
          <w:rPr>
            <w:rStyle w:val="Hyperlink"/>
            <w:vertAlign w:val="superscript"/>
          </w:rPr>
          <w:t xml:space="preserve">225</w:t>
        </w:r>
      </w:hyperlink>
      <w:r>
        <w:t xml:space="preserve"> </w:t>
      </w:r>
      <w:r>
        <w:t xml:space="preserve">Secondly, inclusion of preprints allows for results that may never be formally published to be included in an evidence synthesis exercise as is the case with the second preprint included in this review.</w:t>
      </w:r>
      <w:hyperlink w:anchor="ref-so2017">
        <w:r>
          <w:rPr>
            <w:rStyle w:val="Hyperlink"/>
            <w:vertAlign w:val="superscript"/>
          </w:rPr>
          <w:t xml:space="preserve">230</w:t>
        </w:r>
      </w:hyperlink>
      <w:r>
        <w:t xml:space="preserve"> </w:t>
      </w:r>
      <w:r>
        <w:t xml:space="preserve">Both of these aspects illustrate that, if the aim is to find the current state of the art in the topic area at the time of searching, inclusion of preprints is a necessity.</w:t>
      </w:r>
    </w:p>
    <w:p>
      <w:pPr>
        <w:pStyle w:val="BodyText"/>
      </w:pPr>
      <w:r>
        <w:t xml:space="preserve">More 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75</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r>
        <w:t xml:space="preserve"> </w:t>
      </w:r>
    </w:p>
    <w:p>
      <w:pPr>
        <w:pStyle w:val="BodyText"/>
      </w:pPr>
      <w:r>
        <w:t xml:space="preserve"> </w:t>
      </w:r>
    </w:p>
    <w:bookmarkEnd w:id="153"/>
    <w:bookmarkStart w:id="154" w:name="sys-rev-open-data"/>
    <w:p>
      <w:pPr>
        <w:pStyle w:val="Heading3"/>
      </w:pPr>
      <w:r>
        <w:t xml:space="preserve">Open data sharing</w:t>
      </w:r>
    </w:p>
    <w:p>
      <w:pPr>
        <w:pStyle w:val="FirstParagraph"/>
      </w:pPr>
      <w:r>
        <w:t xml:space="preserve">As discussed in Section</w:t>
      </w:r>
      <w:r>
        <w:t xml:space="preserve"> </w:t>
      </w:r>
      <w:r>
        <w:t xml:space="preserve">3.4.9</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252</w:t>
        </w:r>
      </w:hyperlink>
      <w:r>
        <w:t xml:space="preserve"> </w:t>
      </w:r>
      <w:r>
        <w:t xml:space="preserve">and is not too costly to systematic reviewers,</w:t>
      </w:r>
      <w:hyperlink w:anchor="ref-cooper2019">
        <w:r>
          <w:rPr>
            <w:rStyle w:val="Hyperlink"/>
            <w:vertAlign w:val="superscript"/>
          </w:rPr>
          <w:t xml:space="preserve">253</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 A copy of this publication is available in Appendix</w:t>
      </w:r>
      <w:r>
        <w:t xml:space="preserve"> </w:t>
      </w:r>
      <w:r>
        <w:t xml:space="preserve">11.4</w:t>
      </w:r>
      <w:r>
        <w:t xml:space="preserve">.</w:t>
      </w:r>
      <w:hyperlink w:anchor="ref-hennessy2021">
        <w:r>
          <w:rPr>
            <w:rStyle w:val="Hyperlink"/>
            <w:vertAlign w:val="superscript"/>
          </w:rPr>
          <w:t xml:space="preserve">254</w:t>
        </w:r>
      </w:hyperlink>
      <w:r>
        <w:t xml:space="preserve"> </w:t>
      </w:r>
      <w:r>
        <w:t xml:space="preserve">In an attempt to apply my own guidance, I have invested a substantial amount of time and effort into making the data obtained by this review openly available to other researchers.</w:t>
      </w:r>
      <w:r>
        <w:t xml:space="preserve"> </w:t>
      </w:r>
      <w:r>
        <w:rPr>
          <w:bCs/>
          <w:b/>
        </w:rPr>
        <w:t xml:space="preserve">[Zenodo repository will be cited here]</w:t>
      </w:r>
    </w:p>
    <w:p>
      <w:pPr>
        <w:pStyle w:val="BodyText"/>
      </w:pPr>
      <w:r>
        <w:t xml:space="preserve"> </w:t>
      </w:r>
    </w:p>
    <w:bookmarkEnd w:id="154"/>
    <w:bookmarkStart w:id="157" w:name="strengths-and-limitations"/>
    <w:p>
      <w:pPr>
        <w:pStyle w:val="Heading3"/>
      </w:pPr>
      <w:r>
        <w:t xml:space="preserve">Strengths and limitations</w:t>
      </w:r>
    </w:p>
    <w:bookmarkStart w:id="155" w:name="strengths"/>
    <w:p>
      <w:pPr>
        <w:pStyle w:val="Heading4"/>
      </w:pPr>
      <w:r>
        <w:t xml:space="preserve">Strengths</w:t>
      </w:r>
    </w:p>
    <w:p>
      <w:pPr>
        <w:pStyle w:val="FirstParagraph"/>
      </w:pPr>
      <w:r>
        <w:t xml:space="preserve">I believe there are several aspects where this review is distinct from those reviews already available in the published literature. 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239</w:t>
        </w:r>
      </w:hyperlink>
      <w:r>
        <w:rPr>
          <w:vertAlign w:val="superscript"/>
        </w:rPr>
        <w:t xml:space="preserve">–</w:t>
      </w:r>
      <w:hyperlink w:anchor="ref-poly2020">
        <w:r>
          <w:rPr>
            <w:rStyle w:val="Hyperlink"/>
            <w:vertAlign w:val="superscript"/>
          </w:rPr>
          <w:t xml:space="preserve">241</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 this review employed a structured approach to risk-of-bias assessment using a domain-based tool. This repres important strength of this review, as the detailed risk of bias assessments are used in</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55"/>
    <w:bookmarkStart w:id="156"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255</w:t>
        </w:r>
      </w:hyperlink>
      <w:r>
        <w:t xml:space="preserve"> </w:t>
      </w:r>
      <w:hyperlink w:anchor="ref-mcguinness2019validity">
        <w:r>
          <w:rPr>
            <w:rStyle w:val="Hyperlink"/>
            <w:vertAlign w:val="superscript"/>
          </w:rPr>
          <w:t xml:space="preserve">256</w:t>
        </w:r>
      </w:hyperlink>
      <w:r>
        <w:rPr>
          <w:vertAlign w:val="superscript"/>
        </w:rPr>
        <w:t xml:space="preserve">,</w:t>
      </w:r>
      <w:hyperlink w:anchor="ref-wilkinson2018">
        <w:r>
          <w:rPr>
            <w:rStyle w:val="Hyperlink"/>
            <w:vertAlign w:val="superscript"/>
          </w:rPr>
          <w:t xml:space="preserve">257</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258</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56"/>
    <w:bookmarkEnd w:id="157"/>
    <w:bookmarkEnd w:id="158"/>
    <w:bookmarkStart w:id="159"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9"/>
    <w:bookmarkStart w:id="160" w:name="references-2"/>
    <w:p>
      <w:pPr>
        <w:pStyle w:val="Heading2"/>
      </w:pPr>
      <w:r>
        <w:t xml:space="preserve">References</w:t>
      </w:r>
    </w:p>
    <w:p>
      <w:pPr>
        <w:pStyle w:val="FirstParagraph"/>
      </w:pPr>
      <w:r>
        <w:t xml:space="preserve">— Archibald Cochrane, 2000</w:t>
      </w:r>
      <w:hyperlink w:anchor="ref-cochrane1979">
        <w:r>
          <w:rPr>
            <w:rStyle w:val="Hyperlink"/>
            <w:vertAlign w:val="superscript"/>
          </w:rPr>
          <w:t xml:space="preserve">259</w:t>
        </w:r>
      </w:hyperlink>
      <w:r>
        <w:t xml:space="preserve"> </w:t>
      </w:r>
      <w:r>
        <w:t xml:space="preserve">— Archibald Cochrane, 2000</w:t>
      </w:r>
      <w:hyperlink w:anchor="ref-cochrane1979">
        <w:r>
          <w:rPr>
            <w:rStyle w:val="Hyperlink"/>
            <w:vertAlign w:val="superscript"/>
          </w:rPr>
          <w:t xml:space="preserve">259</w:t>
        </w:r>
      </w:hyperlink>
    </w:p>
    <w:bookmarkEnd w:id="160"/>
    <w:bookmarkEnd w:id="161"/>
    <w:bookmarkStart w:id="162" w:name="sys-rev-results-heading"/>
    <w:p>
      <w:pPr>
        <w:pStyle w:val="Heading1"/>
      </w:pPr>
      <w:r>
        <w:t xml:space="preserve">Systematic review of all available evidence on the association between blood lipids and dementia outcomes</w:t>
      </w:r>
    </w:p>
    <w:p>
      <w:pPr>
        <w:pStyle w:val="FirstParagraph"/>
      </w:pPr>
    </w:p>
    <w:bookmarkEnd w:id="162"/>
    <w:bookmarkStart w:id="218" w:name="cprd-analysis-heading"/>
    <w:p>
      <w:pPr>
        <w:pStyle w:val="Heading1"/>
      </w:pPr>
      <w:r>
        <w:t xml:space="preserve">Primary analysis of lipid-regulating agents and dementia outcomes</w:t>
      </w:r>
    </w:p>
    <w:p>
      <w:pPr>
        <w:pStyle w:val="FirstParagraph"/>
      </w:pPr>
    </w:p>
    <w:bookmarkStart w:id="163" w:name="lay-summary-3"/>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Little evidence for an effect of lipid-regulating agents effect on the risk of Alzheimer’s disease was found, with the exception of a slightly increased risk in those prescribed a certain type of lipi-regulatin agent called fibrates. In contrast, I found an increased risk of vascular and other (i.e. non-Alzheimer’s) dementia was associated with lipid-regulating agent use.</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p>
      <w:pPr>
        <w:pStyle w:val="BodyText"/>
      </w:pPr>
      <w:r>
        <w:t xml:space="preserve"> </w:t>
      </w:r>
    </w:p>
    <w:bookmarkEnd w:id="163"/>
    <w:bookmarkStart w:id="164" w:name="introduction-1"/>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hazards analysis, incorporating a time-varying treatment indicator.</w:t>
      </w:r>
      <w:hyperlink w:anchor="ref-suissa2008">
        <w:r>
          <w:rPr>
            <w:rStyle w:val="Hyperlink"/>
            <w:vertAlign w:val="superscript"/>
          </w:rPr>
          <w:t xml:space="preserve">260</w:t>
        </w:r>
      </w:hyperlink>
      <w:r>
        <w:t xml:space="preserve"> </w:t>
      </w:r>
      <w:r>
        <w:t xml:space="preserve">This approach provides a evidence source at risk of a distinct bias due to the alternative analytical strategy.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 manuscript, a copy of which is available in Appendix</w:t>
      </w:r>
      <w:r>
        <w:t xml:space="preserve"> </w:t>
      </w:r>
      <w:r>
        <w:t xml:space="preserve">11.4</w:t>
      </w:r>
      <w:r>
        <w:t xml:space="preserve">.</w:t>
      </w:r>
    </w:p>
    <w:p>
      <w:pPr>
        <w:pStyle w:val="BodyText"/>
      </w:pPr>
      <w:r>
        <w:t xml:space="preserve"> </w:t>
      </w:r>
    </w:p>
    <w:bookmarkEnd w:id="164"/>
    <w:bookmarkStart w:id="185" w:name="methods-1"/>
    <w:p>
      <w:pPr>
        <w:pStyle w:val="Heading2"/>
      </w:pPr>
      <w:r>
        <w:t xml:space="preserve">Methods</w:t>
      </w:r>
    </w:p>
    <w:bookmarkStart w:id="165"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261</w:t>
        </w:r>
      </w:hyperlink>
      <w:r>
        <w:t xml:space="preserve"> </w:t>
      </w:r>
      <w:r>
        <w:t xml:space="preserve">and amendments to this are recorded in Appendix</w:t>
      </w:r>
      <w:r>
        <w:t xml:space="preserve"> </w:t>
      </w:r>
      <w:r>
        <w:t xml:space="preserve">10.4.1</w:t>
      </w:r>
      <w:r>
        <w:t xml:space="preserve">.</w:t>
      </w:r>
      <w:hyperlink w:anchor="ref-vonelm2008">
        <w:r>
          <w:rPr>
            <w:rStyle w:val="Hyperlink"/>
            <w:vertAlign w:val="superscript"/>
          </w:rPr>
          <w:t xml:space="preserve">262</w:t>
        </w:r>
      </w:hyperlink>
    </w:p>
    <w:p>
      <w:pPr>
        <w:pStyle w:val="BodyText"/>
      </w:pPr>
      <w:r>
        <w:t xml:space="preserve"> </w:t>
      </w:r>
    </w:p>
    <w:bookmarkEnd w:id="165"/>
    <w:bookmarkStart w:id="166"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263</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264</w:t>
        </w:r>
      </w:hyperlink>
      <w:r>
        <w:rPr>
          <w:vertAlign w:val="superscript"/>
        </w:rPr>
        <w:t xml:space="preserve">,</w:t>
      </w:r>
      <w:hyperlink w:anchor="ref-wood2001revitalizing">
        <w:r>
          <w:rPr>
            <w:rStyle w:val="Hyperlink"/>
            <w:vertAlign w:val="superscript"/>
          </w:rPr>
          <w:t xml:space="preserve">265</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263</w:t>
        </w:r>
      </w:hyperlink>
      <w:r>
        <w:rPr>
          <w:vertAlign w:val="superscript"/>
        </w:rPr>
        <w:t xml:space="preserve">,</w:t>
      </w:r>
      <w:hyperlink w:anchor="ref-mathur2014">
        <w:r>
          <w:rPr>
            <w:rStyle w:val="Hyperlink"/>
            <w:vertAlign w:val="superscript"/>
          </w:rPr>
          <w:t xml:space="preserve">266</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267</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b00f91bb-f7de-4af4-b489-1aa359cbcec9"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b00f91bb-f7de-4af4-b489-1aa359cbcec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 </w:t>
      </w:r>
    </w:p>
    <w:bookmarkEnd w:id="166"/>
    <w:bookmarkStart w:id="167"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are thought to be higher after this date.</w:t>
      </w:r>
      <w:hyperlink w:anchor="ref-wolf2019">
        <w:r>
          <w:rPr>
            <w:rStyle w:val="Hyperlink"/>
            <w:vertAlign w:val="superscript"/>
          </w:rPr>
          <w:t xml:space="preserve">268</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hyperlink w:anchor="ref-walker2016">
        <w:r>
          <w:rPr>
            <w:rStyle w:val="Hyperlink"/>
            <w:vertAlign w:val="superscript"/>
          </w:rPr>
          <w:t xml:space="preserve">261</w:t>
        </w:r>
      </w:hyperlink>
      <w:r>
        <w:t xml:space="preserve"> </w:t>
      </w: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 (a) an outcome of interest; (b) death; (c) end of follow-up (29 February 2016); (d) last registration date with their GP practice; or (e) the last CPRD collection date for their practice. Participants were ineligble for our cohort if they were less than 40 years of age (as these patients are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7"/>
    <w:bookmarkStart w:id="168"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269</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09"/>
        </w:numPr>
        <w:pStyle w:val="Compact"/>
      </w:pPr>
      <w:r>
        <w:rPr>
          <w:bCs/>
          <w:b/>
        </w:rPr>
        <w:t xml:space="preserve">stopped</w:t>
      </w:r>
      <w:r>
        <w:t xml:space="preserve">: defined as the last prescription of the primary class being followed by at least six months of observation;</w:t>
      </w:r>
    </w:p>
    <w:p>
      <w:pPr>
        <w:numPr>
          <w:ilvl w:val="0"/>
          <w:numId w:val="1009"/>
        </w:numPr>
        <w:pStyle w:val="Compact"/>
      </w:pPr>
      <w:r>
        <w:rPr>
          <w:bCs/>
          <w:b/>
        </w:rPr>
        <w:t xml:space="preserve">added</w:t>
      </w:r>
      <w:r>
        <w:t xml:space="preserve">: defined as a second drug class being prescribed before the last prescription of the initial class; and</w:t>
      </w:r>
    </w:p>
    <w:p>
      <w:pPr>
        <w:numPr>
          <w:ilvl w:val="0"/>
          <w:numId w:val="1009"/>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8"/>
    <w:bookmarkStart w:id="170"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69"/>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0"/>
    <w:bookmarkStart w:id="171"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26384110-ccb4-4b5b-91d0-268293a6e36a" w:name="tab:covariateDef-table"/>
      <w:r>
        <w:t xml:space="preserve">Definition of covariates adjusted for in the full-adjusted model. The codelists used to define the majority of these covariates were originally created for use in a previously published analysis.[@walker2020] while others were built on or adapted from previous published work,[@khan2010; @taylor2016; @wright2017].</w:t>
      </w:r>
      <w:bookmarkEnd w:id="26384110-ccb4-4b5b-91d0-268293a6e36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was calculated at date of entry into the cohort, and adjusted for via its use as the time axis for the Cox model (see Section</w:t>
      </w:r>
      <w:r>
        <w:t xml:space="preserve"> </w:t>
      </w:r>
      <w:r>
        <w:t xml:space="preserve">5.3.10</w:t>
      </w:r>
      <w:r>
        <w:t xml:space="preserve">).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270</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71"/>
    <w:bookmarkStart w:id="172"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271</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272</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273</w:t>
        </w:r>
      </w:hyperlink>
      <w:r>
        <w:t xml:space="preserve"> </w:t>
      </w:r>
      <w:r>
        <w:t xml:space="preserve">Using the MICE (Multiple Imputation by Chained Equations) command in STATA16, 20 imputed datasets were created.</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271</w:t>
        </w:r>
      </w:hyperlink>
    </w:p>
    <w:p>
      <w:pPr>
        <w:pStyle w:val="BodyText"/>
      </w:pPr>
      <w:r>
        <w:t xml:space="preserve"> </w:t>
      </w:r>
      <w:r>
        <w:t xml:space="preserve"> </w:t>
      </w:r>
    </w:p>
    <w:bookmarkEnd w:id="172"/>
    <w:bookmarkStart w:id="173"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0"/>
        </w:numPr>
        <w:pStyle w:val="Compact"/>
      </w:pPr>
      <m:oMath>
        <m:r>
          <m:t>t</m:t>
        </m:r>
      </m:oMath>
      <w:r>
        <w:t xml:space="preserve"> </w:t>
      </w:r>
      <w:r>
        <w:t xml:space="preserve">is the survival time;</w:t>
      </w:r>
    </w:p>
    <w:p>
      <w:pPr>
        <w:numPr>
          <w:ilvl w:val="0"/>
          <w:numId w:val="1010"/>
        </w:numPr>
        <w:pStyle w:val="Compact"/>
      </w:pPr>
      <m:oMath>
        <m:r>
          <m:t>h</m:t>
        </m:r>
        <m:r>
          <m:rPr>
            <m:sty m:val="p"/>
          </m:rPr>
          <m:t>(</m:t>
        </m:r>
        <m:r>
          <m:t>t</m:t>
        </m:r>
        <m:r>
          <m:rPr>
            <m:sty m:val="p"/>
          </m:rPr>
          <m:t>)</m:t>
        </m:r>
      </m:oMath>
      <w:r>
        <w:t xml:space="preserve"> </w:t>
      </w:r>
      <w:r>
        <w:t xml:space="preserve">is the hazard function; and</w:t>
      </w:r>
    </w:p>
    <w:p>
      <w:pPr>
        <w:numPr>
          <w:ilvl w:val="0"/>
          <w:numId w:val="1010"/>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0"/>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3"/>
    <w:bookmarkStart w:id="175" w:name="cprd-immortal-time-bias"/>
    <w:p>
      <w:pPr>
        <w:pStyle w:val="Heading3"/>
      </w:pPr>
      <w:r>
        <w:t xml:space="preserve">Immortal time bias and time-varying treatment indicators</w:t>
      </w:r>
    </w:p>
    <w:p>
      <w:pPr>
        <w:pStyle w:val="FirstParagraph"/>
      </w:pPr>
      <w:r>
        <w:t xml:space="preserve">Immortal time bias describes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274</w:t>
        </w:r>
      </w:hyperlink>
      <w:r>
        <w:t xml:space="preserve"> </w:t>
      </w:r>
      <w:r>
        <w:t xml:space="preserve">Following the example displayed in the figure, the unexposed group are followed from the date of a diagnosis, while the exposed group is followed from date of a prescription. In this scenario, the time between diangosis and prescription for the exposure group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prescription,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4"/>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(Panal B).</w:t>
      </w:r>
    </w:p>
    <w:p>
      <w:pPr>
        <w:pStyle w:val="BodyText"/>
      </w:pPr>
      <w:r>
        <w:t xml:space="preserve"> </w:t>
      </w:r>
    </w:p>
    <w:p>
      <w:pPr>
        <w:pStyle w:val="BodyText"/>
      </w:pPr>
      <w:r>
        <w:t xml:space="preserve">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 Both presentations of immortal time bias appear in the literature on the relationship of statins and dementia, as identified by the systematic review presented in Chapters</w:t>
      </w:r>
      <w:r>
        <w:t xml:space="preserve"> </w:t>
      </w:r>
      <w:r>
        <w:t xml:space="preserve">3</w:t>
      </w:r>
      <w:r>
        <w:t xml:space="preserve">/</w:t>
      </w:r>
      <w:r>
        <w:t xml:space="preserve">4</w:t>
      </w:r>
    </w:p>
    <w:p>
      <w:pPr>
        <w:pStyle w:val="BodyText"/>
      </w:pPr>
      <w:r>
        <w:t xml:space="preserve">This analysis attempted to address this issue by following all participants from a common index date (defined as earliest of: (a) date of raised cholesterol test results; (b) hypercholesterolemeia diagnosis; or (c) LRA prescription). 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274</w:t>
        </w:r>
      </w:hyperlink>
    </w:p>
    <w:p>
      <w:pPr>
        <w:pStyle w:val="BodyText"/>
      </w:pPr>
      <w:r>
        <w:t xml:space="preserve">Under this approach, all patients start in the unexposed group and contribute time-at-risk until they are prescribed a lipid-regulating agent and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75"/>
    <w:bookmarkStart w:id="176"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275</w:t>
        </w:r>
      </w:hyperlink>
      <w:r>
        <w:rPr>
          <w:vertAlign w:val="superscript"/>
        </w:rPr>
        <w:t xml:space="preserve">–</w:t>
      </w:r>
      <w:hyperlink w:anchor="ref-pencina2007">
        <w:r>
          <w:rPr>
            <w:rStyle w:val="Hyperlink"/>
            <w:vertAlign w:val="superscript"/>
          </w:rPr>
          <w:t xml:space="preserve">277</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6"/>
    <w:bookmarkStart w:id="184"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77"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278</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279</w:t>
        </w:r>
      </w:hyperlink>
      <w:r>
        <w:t xml:space="preserve"> </w:t>
      </w:r>
      <w:r>
        <w:t xml:space="preserve">I preformed and compared the results of both methods, to investigate the impact of multiple imputation on the results.</w:t>
      </w:r>
    </w:p>
    <w:p>
      <w:pPr>
        <w:pStyle w:val="BodyText"/>
      </w:pPr>
      <w:r>
        <w:t xml:space="preserve"> </w:t>
      </w:r>
    </w:p>
    <w:bookmarkEnd w:id="177"/>
    <w:bookmarkStart w:id="179"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280</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were chosen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8"/>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281</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282</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a">
        <w:r>
          <w:rPr>
            <w:rStyle w:val="Hyperlink"/>
            <w:vertAlign w:val="superscript"/>
          </w:rPr>
          <w:t xml:space="preserve">30</w:t>
        </w:r>
      </w:hyperlink>
      <w:r>
        <w:t xml:space="preserve"> </w:t>
      </w:r>
      <w:r>
        <w:t xml:space="preserve">while there is growing evidence for an increased risk of Type 2 diabetes with statin use.</w:t>
      </w:r>
      <w:hyperlink w:anchor="ref-collins2016a">
        <w:r>
          <w:rPr>
            <w:rStyle w:val="Hyperlink"/>
            <w:vertAlign w:val="superscript"/>
          </w:rPr>
          <w:t xml:space="preserve">30</w:t>
        </w:r>
      </w:hyperlink>
      <w:r>
        <w:rPr>
          <w:vertAlign w:val="superscript"/>
        </w:rPr>
        <w:t xml:space="preserve">,</w:t>
      </w:r>
      <w:hyperlink w:anchor="ref-macedo2014">
        <w:r>
          <w:rPr>
            <w:rStyle w:val="Hyperlink"/>
            <w:vertAlign w:val="superscript"/>
          </w:rPr>
          <w:t xml:space="preserve">283</w:t>
        </w:r>
      </w:hyperlink>
      <w:r>
        <w:rPr>
          <w:vertAlign w:val="superscript"/>
        </w:rPr>
        <w:t xml:space="preserve">,</w:t>
      </w:r>
      <w:hyperlink w:anchor="ref-smit2020">
        <w:r>
          <w:rPr>
            <w:rStyle w:val="Hyperlink"/>
            <w:vertAlign w:val="superscript"/>
          </w:rPr>
          <w:t xml:space="preserve">284</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79"/>
    <w:bookmarkStart w:id="180"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0"/>
    <w:bookmarkStart w:id="181"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285</w:t>
        </w:r>
      </w:hyperlink>
    </w:p>
    <w:p>
      <w:pPr>
        <w:pStyle w:val="BodyText"/>
      </w:pPr>
      <w:r>
        <w:t xml:space="preserve"> </w:t>
      </w:r>
    </w:p>
    <w:bookmarkEnd w:id="181"/>
    <w:bookmarkStart w:id="182"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1.4.2</w:t>
      </w:r>
      <w:r>
        <w:t xml:space="preserve">).</w:t>
      </w:r>
      <w:hyperlink w:anchor="ref-sierra2011">
        <w:r>
          <w:rPr>
            <w:rStyle w:val="Hyperlink"/>
            <w:vertAlign w:val="superscript"/>
          </w:rPr>
          <w:t xml:space="preserve">33</w:t>
        </w:r>
      </w:hyperlink>
      <w:r>
        <w:t xml:space="preserve"> </w:t>
      </w:r>
      <w:r>
        <w:t xml:space="preserve">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2"/>
    <w:bookmarkStart w:id="183" w:name="comparing-dementia-codelists"/>
    <w:p>
      <w:pPr>
        <w:pStyle w:val="Heading4"/>
      </w:pPr>
      <w:r>
        <w:t xml:space="preserve">Comparing dementia codelists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286</w:t>
        </w:r>
      </w:hyperlink>
    </w:p>
    <w:p>
      <w:pPr>
        <w:pStyle w:val="BodyText"/>
      </w:pPr>
      <w:r>
        <w:t xml:space="preserve">This previous analysis used a propensity matching approach to estimate the association of statins with a range of outcomes in The Health Improvement Network (THIN) database, a alternative source of English electronic health records which has substantial overlap with the CPRD.</w:t>
      </w:r>
      <w:hyperlink w:anchor="ref-carbonari2015">
        <w:r>
          <w:rPr>
            <w:rStyle w:val="Hyperlink"/>
            <w:vertAlign w:val="superscript"/>
          </w:rPr>
          <w:t xml:space="preserve">287</w:t>
        </w:r>
      </w:hyperlink>
      <w:r>
        <w:t xml:space="preserve"> </w:t>
      </w:r>
      <w:r>
        <w:t xml:space="preserve">The code lists used in this analysis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83"/>
    <w:bookmarkEnd w:id="184"/>
    <w:bookmarkEnd w:id="185"/>
    <w:bookmarkStart w:id="205" w:name="results-1"/>
    <w:p>
      <w:pPr>
        <w:pStyle w:val="Heading2"/>
      </w:pPr>
      <w:r>
        <w:t xml:space="preserve">Results</w:t>
      </w:r>
    </w:p>
    <w:bookmarkStart w:id="187"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6"/>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 and participants were followed up for a median of 5.9 years (IQR:2.7-9.7).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db36db28-d279-4dbf-9415-9e1a8e6fdc2c" w:name="tab:followUp-table"/>
      <w:r>
        <w:t xml:space="preserve">Summary of number of events, years at risk and crude rates per 100,000 participant-years-at-risk stratified by dementia outcome and drug class of interest.</w:t>
      </w:r>
      <w:bookmarkEnd w:id="db36db28-d279-4dbf-9415-9e1a8e6fdc2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c8d7adcc-914c-41c7-9966-157635932aab" w:name="tab:cprdCharacteristics-table"/>
      <w:r>
        <w:t xml:space="preserve">Patient characteristics by drug class. Summary statistics are presented as "% (N)" unless otherwise specified in the variable name.</w:t>
      </w:r>
      <w:bookmarkEnd w:id="c8d7adcc-914c-41c7-9966-157635932a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e08ca4de-286f-4843-b400-26ce57d7140d" w:name="tab:cprdSSA-table"/>
      <w:r>
        <w:t xml:space="preserve">Participants who stopped, switched or added treatments by initial treatment type.</w:t>
      </w:r>
      <w:bookmarkEnd w:id="e08ca4de-286f-4843-b400-26ce57d7140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87"/>
    <w:bookmarkStart w:id="188"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8"/>
    <w:bookmarkStart w:id="190"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89"/>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dementias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0"/>
    <w:bookmarkStart w:id="204"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2"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272</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1"/>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2"/>
    <w:bookmarkStart w:id="194"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3"/>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4"/>
    <w:bookmarkStart w:id="196"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5"/>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196"/>
    <w:bookmarkStart w:id="198"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97"/>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6a5b0632-e349-4eff-862b-42e45193d322" w:name="tab:diagnosisType-table"/>
      <w:r>
        <w:t xml:space="preserve">Frequency of diagnoses by grouped year of cohort entry</w:t>
      </w:r>
      <w:bookmarkEnd w:id="6a5b0632-e349-4eff-862b-42e45193d3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98"/>
    <w:bookmarkStart w:id="200"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99"/>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0"/>
    <w:bookmarkStart w:id="202"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3af62683-8ae3-49cc-8e50-c38be2a0fb8c" w:name="tab:statinTypeTable-table"/>
      <w:r>
        <w:t xml:space="preserve">Summary of statin properties (lipophilicity vs hydrophilicity) by grouped year of prescription.</w:t>
      </w:r>
      <w:bookmarkEnd w:id="3af62683-8ae3-49cc-8e50-c38be2a0fb8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1"/>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2"/>
    <w:bookmarkStart w:id="203" w:name="comparing-codelists"/>
    <w:p>
      <w:pPr>
        <w:pStyle w:val="Heading4"/>
      </w:pPr>
      <w:r>
        <w:t xml:space="preserve">Impact of dementia 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w:t>
      </w:r>
    </w:p>
    <w:p>
      <w:pPr>
        <w:pStyle w:val="BodyText"/>
      </w:pPr>
      <w:r>
        <w:t xml:space="preserve"> </w:t>
      </w:r>
    </w:p>
    <w:bookmarkEnd w:id="203"/>
    <w:bookmarkEnd w:id="204"/>
    <w:bookmarkEnd w:id="205"/>
    <w:bookmarkStart w:id="216" w:name="discussion-2"/>
    <w:p>
      <w:pPr>
        <w:pStyle w:val="Heading2"/>
      </w:pPr>
      <w:r>
        <w:t xml:space="preserve">Discussion</w:t>
      </w:r>
    </w:p>
    <w:bookmarkStart w:id="206"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 The estimate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06"/>
    <w:bookmarkStart w:id="212"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rPr>
          <w:bCs/>
          <w:b/>
        </w:rPr>
        <w:t xml:space="preserve">[Feedback requested: How much should I be cross-referencing with the systematic review at this stage? Or should I keep it self-contained, and then provide a comparison across the review/CPRD/IPD analyses as the first part of the triangulation chapter?]</w:t>
      </w:r>
    </w:p>
    <w:p>
      <w:pPr>
        <w:pStyle w:val="BodyText"/>
      </w:pPr>
      <w:r>
        <w:t xml:space="preserve"> </w:t>
      </w:r>
    </w:p>
    <w:bookmarkStart w:id="208" w:name="confounding-by-indication"/>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 of bias in epidemiological analyses,</w:t>
      </w:r>
      <w:hyperlink w:anchor="ref-salas1999">
        <w:r>
          <w:rPr>
            <w:rStyle w:val="Hyperlink"/>
            <w:vertAlign w:val="superscript"/>
          </w:rPr>
          <w:t xml:space="preserve">288</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289</w:t>
        </w:r>
      </w:hyperlink>
      <w:r>
        <w:t xml:space="preserve"> </w:t>
      </w:r>
      <w:r>
        <w:t xml:space="preserve">In the context of this analysis, the confounding variable (or, more likely, variables) would prompt prescription of statins but also represent a vascular risk factor that contributes to the development of the vascular dementia.</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07"/>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that that observed for the ischemic heart disease outcome, indicating that the majority of the uncontrolled confounding is likely related to vascular factors.</w:t>
      </w:r>
    </w:p>
    <w:p>
      <w:pPr>
        <w:pStyle w:val="BodyText"/>
      </w:pPr>
      <w:r>
        <w:t xml:space="preserve">In line with this, an increasingly harmful effect is observed when moving from the probable and possible Alzheimer’s disease outcome to the other dementias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b">
        <w:r>
          <w:rPr>
            <w:rStyle w:val="Hyperlink"/>
            <w:vertAlign w:val="superscript"/>
          </w:rPr>
          <w:t xml:space="preserve">290</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291</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previous research encountered similar methodological issues to this analysis, and via a publication bias mechanism where unexpected or assumedly incorrect results are less likely to be published, the results from these analyses did not make it into the evidence base.</w:t>
      </w:r>
    </w:p>
    <w:p>
      <w:pPr>
        <w:pStyle w:val="BodyText"/>
      </w:pPr>
      <w:r>
        <w:t xml:space="preserve"> </w:t>
      </w:r>
    </w:p>
    <w:p>
      <w:pPr>
        <w:pStyle w:val="BodyText"/>
      </w:pPr>
      <w:r>
        <w:t xml:space="preserve"> </w:t>
      </w:r>
    </w:p>
    <w:bookmarkEnd w:id="208"/>
    <w:bookmarkStart w:id="209"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292</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293</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the different association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hydrophobic.</w:t>
      </w:r>
    </w:p>
    <w:p>
      <w:pPr>
        <w:pStyle w:val="BodyText"/>
      </w:pPr>
      <w:r>
        <w:rPr>
          <w:bCs/>
          <w:b/>
        </w:rPr>
        <w:t xml:space="preserve">[Yoav, are there are particular indications/contraindications for statins with different properties? And any general comments on the interpretation of these findings would be welcome!]</w:t>
      </w:r>
    </w:p>
    <w:p>
      <w:pPr>
        <w:pStyle w:val="BodyText"/>
      </w:pPr>
      <w:r>
        <w:t xml:space="preserve"> </w:t>
      </w:r>
    </w:p>
    <w:bookmarkEnd w:id="209"/>
    <w:bookmarkStart w:id="211"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286</w:t>
        </w:r>
      </w:hyperlink>
      <w:r>
        <w:t xml:space="preserve"> </w:t>
      </w:r>
      <w:r>
        <w:t xml:space="preserve">Using these lists in my analytical set-up, I found a harmful association of statin use with both outcomes.</w:t>
      </w:r>
    </w:p>
    <w:p>
      <w:pPr>
        <w:pStyle w:val="BodyText"/>
      </w:pPr>
      <w:r>
        <w:t xml:space="preserve">TThis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286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0"/>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1"/>
    <w:bookmarkEnd w:id="212"/>
    <w:bookmarkStart w:id="213" w:name="strengths-and-limitations-1"/>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dictionary">
        <w:r>
          <w:rPr>
            <w:rStyle w:val="Hyperlink"/>
            <w:vertAlign w:val="superscript"/>
          </w:rPr>
          <w:t xml:space="preserve">294</w:t>
        </w:r>
      </w:hyperlink>
      <w:r>
        <w:t xml:space="preserve"> </w:t>
      </w:r>
      <w:r>
        <w:t xml:space="preserve">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256</w:t>
        </w:r>
      </w:hyperlink>
      <w:r>
        <w:rPr>
          <w:vertAlign w:val="superscript"/>
        </w:rPr>
        <w:t xml:space="preserve">,</w:t>
      </w:r>
      <w:hyperlink w:anchor="ref-wilkinson2018">
        <w:r>
          <w:rPr>
            <w:rStyle w:val="Hyperlink"/>
            <w:vertAlign w:val="superscript"/>
          </w:rPr>
          <w:t xml:space="preserve">257</w:t>
        </w:r>
      </w:hyperlink>
      <w:r>
        <w:t xml:space="preserve"> </w:t>
      </w:r>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as illustrated by the discrepancy between the results when using the codes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Number of ApoE</w:t>
      </w:r>
      <w:r>
        <w:t xml:space="preserve"> </w:t>
      </w:r>
      <m:oMath>
        <m:r>
          <m:t>ϵ</m:t>
        </m:r>
        <m:r>
          <m:t>4</m:t>
        </m:r>
      </m:oMath>
      <w:r>
        <w:t xml:space="preserve"> </w:t>
      </w:r>
      <w:r>
        <w:t xml:space="preserve">alleles represents the strongest genetic risk factor for Alzheimer’s disease, but also substantially increases LDL-c levels,</w:t>
      </w:r>
      <w:hyperlink w:anchor="ref-bennet2007">
        <w:r>
          <w:rPr>
            <w:rStyle w:val="Hyperlink"/>
            <w:vertAlign w:val="superscript"/>
          </w:rPr>
          <w:t xml:space="preserve">295</w:t>
        </w:r>
      </w:hyperlink>
      <w:r>
        <w:t xml:space="preserve"> </w:t>
      </w:r>
      <w:r>
        <w:t xml:space="preserve">potentially prompting treatment with a statin or other lipid regulating agent. I was unable to control for ApoE 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3"/>
    <w:bookmarkStart w:id="214"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c">
        <w:r>
          <w:rPr>
            <w:rStyle w:val="Hyperlink"/>
            <w:vertAlign w:val="superscript"/>
          </w:rPr>
          <w:t xml:space="preserve">296</w:t>
        </w:r>
      </w:hyperlink>
    </w:p>
    <w:p>
      <w:pPr>
        <w:pStyle w:val="BodyText"/>
      </w:pPr>
      <w:r>
        <w:t xml:space="preserve">In light of this and my own experiences in attempting to extract information for papers assessing preventative treatments, as documented in Section</w:t>
      </w:r>
      <w:r>
        <w:t xml:space="preserve"> </w:t>
      </w:r>
      <w:r>
        <w:t xml:space="preserve">3.5.5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4"/>
    <w:bookmarkStart w:id="215" w:name="conclusions-1"/>
    <w:p>
      <w:pPr>
        <w:pStyle w:val="Heading3"/>
      </w:pPr>
      <w:r>
        <w:t xml:space="preserve">Conclusions</w:t>
      </w:r>
    </w:p>
    <w:p>
      <w:pPr>
        <w:pStyle w:val="FirstParagraph"/>
      </w:pPr>
      <w:r>
        <w:t xml:space="preserve">This chapter has provided new evidence on the association of lipid-regulating agents with incidence of all-cause dementia, Alzheimer’s disease, vascular dementia, and other dementia. It made use of a large scale electronic health record database, the CPRD, and employed a time-varying Cox proportional hazards model to account for potential immortal time bias.</w:t>
      </w:r>
    </w:p>
    <w:p>
      <w:pPr>
        <w:pStyle w:val="BodyText"/>
      </w:pPr>
      <w:r>
        <w:t xml:space="preserve">It found little evidence for an effect of lipid-regulating agents on probable or possible Alzheimer’s disease. However, lipid-regulating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The presence of bias is supported by our findings for the negative and positive control outcomes used, which provide some evidence of uncontrolled vascular confounders that may both prompt LRA prescription and increase risk of dementia outcomes with a vscular component.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290</w:t>
        </w:r>
      </w:hyperlink>
    </w:p>
    <w:p>
      <w:pPr>
        <w:pStyle w:val="BodyText"/>
      </w:pPr>
      <w:r>
        <w:t xml:space="preserve">Regardless, this analysis has provided an additional source of evidence for the triangulation exercise presented in Chapter</w:t>
      </w:r>
      <w:r>
        <w:t xml:space="preserve"> </w:t>
      </w:r>
      <w:r>
        <w:t xml:space="preserve">8</w:t>
      </w:r>
      <w:r>
        <w:t xml:space="preserve">. In the following Chapter, the dataset described here is incorporated along with several other datasets as part of an individual patient data analysis to investigate the association of blood lipid levels with incidence of dementia outcomes directly, rather than via the proxy of lipid-regulating treatment.</w:t>
      </w:r>
    </w:p>
    <w:p>
      <w:r>
        <w:br w:type="page"/>
      </w:r>
    </w:p>
    <w:bookmarkEnd w:id="215"/>
    <w:bookmarkEnd w:id="216"/>
    <w:bookmarkStart w:id="217" w:name="references-3"/>
    <w:p>
      <w:pPr>
        <w:pStyle w:val="Heading2"/>
      </w:pPr>
      <w:r>
        <w:t xml:space="preserve">References</w:t>
      </w:r>
    </w:p>
    <w:bookmarkEnd w:id="217"/>
    <w:bookmarkEnd w:id="218"/>
    <w:bookmarkStart w:id="267" w:name="ipd-heading"/>
    <w:p>
      <w:pPr>
        <w:pStyle w:val="Heading1"/>
      </w:pPr>
      <w:r>
        <w:t xml:space="preserve">Individual participant data meta-analysis</w:t>
      </w:r>
    </w:p>
    <w:p>
      <w:pPr>
        <w:pStyle w:val="FirstParagraph"/>
      </w:pPr>
    </w:p>
    <w:bookmarkStart w:id="219" w:name="lay-summary-4"/>
    <w:p>
      <w:pPr>
        <w:pStyle w:val="Heading2"/>
      </w:pPr>
      <w:r>
        <w:t xml:space="preserve">Lay Summary</w:t>
      </w:r>
    </w:p>
    <w:p>
      <w:pPr>
        <w:pStyle w:val="FirstParagraph"/>
      </w:pPr>
      <w:r>
        <w:t xml:space="preserve">As part of a broader investigation into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The resulting analysis did not suggest an effect of any lipid fraction (total cholesterol, LDL-c, HDL-c, or triglycerides) on any dementia outcome. In addition, patients characteristics such as age and sex did not have any impact on the relationship of lipid fractions and dementia outcomes.</w:t>
      </w:r>
    </w:p>
    <w:p>
      <w:pPr>
        <w:pStyle w:val="BodyText"/>
      </w:pPr>
      <w:r>
        <w:t xml:space="preserve">Finally, the reasons for the low response rate are explored and future studies to investigate how data access rates could be improved are suggested.</w:t>
      </w:r>
    </w:p>
    <w:p>
      <w:pPr>
        <w:pStyle w:val="BodyText"/>
      </w:pPr>
      <w:r>
        <w:t xml:space="preserve"> </w:t>
      </w:r>
    </w:p>
    <w:bookmarkEnd w:id="219"/>
    <w:bookmarkStart w:id="220" w:name="introduction-2"/>
    <w:p>
      <w:pPr>
        <w:pStyle w:val="Heading2"/>
      </w:pPr>
      <w:r>
        <w:t xml:space="preserve">Introduction</w:t>
      </w:r>
    </w:p>
    <w:p>
      <w:pPr>
        <w:pStyle w:val="FirstParagraph"/>
      </w:pPr>
      <w:r>
        <w:t xml:space="preserve">Individual patient data meta-analyses are considered to be the gold standard form of evidence synthesis, allowing for the application of a common selection model and analytical approach across all identified cohorts. They are particularly useful for investigating the impact of patient-level characteristics, something that is not possible with aggregate data unless the results have been explicitly stratified by the characteristic of interest.</w:t>
      </w:r>
    </w:p>
    <w:p>
      <w:pPr>
        <w:pStyle w:val="BodyText"/>
      </w:pPr>
      <w:r>
        <w:t xml:space="preserve">While the systematic review presented in Chapter</w:t>
      </w:r>
      <w:r>
        <w:t xml:space="preserve"> </w:t>
      </w:r>
      <w:r>
        <w:t xml:space="preserve">??</w:t>
      </w:r>
      <w:r>
        <w:t xml:space="preserve"> </w:t>
      </w:r>
      <w:r>
        <w:t xml:space="preserve">did not provide strong evidence for an effect of age at lipid measurement or patient sex on the relationship between lipids and dementia, the number of included studies in the lipid fraction meta-analyses were very small, due to both the relatively small number of studies reporting on this exposure and the poor reporting of smmary statistics of patient characteristics.</w:t>
      </w:r>
    </w:p>
    <w:p>
      <w:pPr>
        <w:pStyle w:val="BodyText"/>
      </w:pPr>
      <w:r>
        <w:t xml:space="preserve">As such, the aims of this analysis were two fold: firstly, to perform a individual patient data meta-analysis across identified cohorts to examine the impact of patient age-at-measurement and sex on the effect of lipids on dementia; and secondly, to expand the evidence base for the effect of lipids on dementia outcomes by incorporating previously unanalysed cohorts contained in the Dementia Platform UK, a large consortia of dementia cohorts.</w:t>
      </w:r>
    </w:p>
    <w:p>
      <w:pPr>
        <w:pStyle w:val="BodyText"/>
      </w:pPr>
      <w:r>
        <w:t xml:space="preserve"> </w:t>
      </w:r>
    </w:p>
    <w:bookmarkEnd w:id="220"/>
    <w:bookmarkStart w:id="241" w:name="methods-2"/>
    <w:p>
      <w:pPr>
        <w:pStyle w:val="Heading2"/>
      </w:pPr>
      <w:r>
        <w:t xml:space="preserve">Methods</w:t>
      </w:r>
    </w:p>
    <w:bookmarkStart w:id="221" w:name="eligibility-criteria"/>
    <w:p>
      <w:pPr>
        <w:pStyle w:val="Heading3"/>
      </w:pPr>
      <w:r>
        <w:t xml:space="preserve">Eligibility criteria</w:t>
      </w:r>
    </w:p>
    <w:p>
      <w:pPr>
        <w:pStyle w:val="FirstParagraph"/>
      </w:pPr>
      <w:r>
        <w:t xml:space="preserve">Eligible data sources were defined as those that contained lipid measurements and lipids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(cprd-analysis-heading).</w:t>
      </w:r>
    </w:p>
    <w:bookmarkEnd w:id="221"/>
    <w:bookmarkStart w:id="224" w:name="applying-for-data-access"/>
    <w:p>
      <w:pPr>
        <w:pStyle w:val="Heading3"/>
      </w:pPr>
      <w:r>
        <w:t xml:space="preserve">Applying for data access</w:t>
      </w:r>
    </w:p>
    <w:p>
      <w:pPr>
        <w:pStyle w:val="FirstParagraph"/>
      </w:pPr>
      <w:r>
        <w:t xml:space="preserve">Potentially eligible data sources were identified via two mechanisms with a distinct focus. For each approach, the number of cohorts responding to the request, and where applciable, the reasons given for a lack of data sharing were recorded.</w:t>
      </w:r>
    </w:p>
    <w:bookmarkStart w:id="222" w:name="systematic-review"/>
    <w:p>
      <w:pPr>
        <w:pStyle w:val="Heading4"/>
      </w:pPr>
      <w:r>
        <w:t xml:space="preserve">Systematic review</w:t>
      </w:r>
    </w:p>
    <w:p>
      <w:pPr>
        <w:pStyle w:val="FirstParagraph"/>
      </w:pPr>
      <w:r>
        <w:t xml:space="preserve">The first approach focused on previously analysed data sources. The systematic review detailed in Chapter</w:t>
      </w:r>
      <w:r>
        <w:t xml:space="preserve"> </w:t>
      </w:r>
      <w:r>
        <w:t xml:space="preserve">??</w:t>
      </w:r>
      <w:r>
        <w:t xml:space="preserve"> </w:t>
      </w:r>
      <w:r>
        <w:t xml:space="preserve">identified several observational prospective cohort studies examining the effect of blood lipid levels on dementia outcomes. 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10.5.1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bookmarkEnd w:id="222"/>
    <w:bookmarkStart w:id="223" w:name="dementia-platform-uk"/>
    <w:p>
      <w:pPr>
        <w:pStyle w:val="Heading4"/>
      </w:pPr>
      <w:r>
        <w:t xml:space="preserve">Dementia Platform UK</w:t>
      </w:r>
    </w:p>
    <w:p>
      <w:pPr>
        <w:pStyle w:val="FirstParagraph"/>
      </w:pPr>
      <w:r>
        <w:t xml:space="preserve">The second approach focused on incorporating previously unanalysed data, thus providing additional evidence on the relationship between statins and dementia risk.</w:t>
      </w:r>
    </w:p>
    <w:p>
      <w:pPr>
        <w:pStyle w:val="BodyText"/>
      </w:pPr>
      <w:r>
        <w:t xml:space="preserve">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99</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16 cohorts was made via the common-access procedure.</w:t>
      </w:r>
    </w:p>
    <w:p>
      <w:pPr>
        <w:pStyle w:val="BodyText"/>
      </w:pPr>
      <w:r>
        <w:t xml:space="preserve"> </w:t>
      </w:r>
    </w:p>
    <w:bookmarkEnd w:id="223"/>
    <w:bookmarkEnd w:id="224"/>
    <w:bookmarkStart w:id="225"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3.3.7.2</w:t>
      </w:r>
      <w:r>
        <w:t xml:space="preserve">).</w:t>
      </w:r>
    </w:p>
    <w:p>
      <w:pPr>
        <w:pStyle w:val="BodyText"/>
      </w:pPr>
      <w:r>
        <w:t xml:space="preserve">Due to the inherent conflict of interest in assessing my own analysis, the result were also assessed by two independent reviewers.</w:t>
      </w:r>
    </w:p>
    <w:p>
      <w:pPr>
        <w:pStyle w:val="BodyText"/>
      </w:pPr>
      <w:r>
        <w:t xml:space="preserve"> </w:t>
      </w:r>
    </w:p>
    <w:bookmarkEnd w:id="225"/>
    <w:bookmarkStart w:id="226"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272</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273</w:t>
        </w:r>
      </w:hyperlink>
      <w:r>
        <w:t xml:space="preserve"> </w:t>
      </w:r>
      <w:r>
        <w:t xml:space="preserve">Imputation was performed using the MICE (Multiple Imputation by Chained Equations) using the XXX command in R.</w:t>
      </w:r>
    </w:p>
    <w:p>
      <w:pPr>
        <w:pStyle w:val="BodyText"/>
      </w:pPr>
      <w:r>
        <w:t xml:space="preserve"> </w:t>
      </w:r>
    </w:p>
    <w:bookmarkEnd w:id="226"/>
    <w:bookmarkStart w:id="230" w:name="variable-definition"/>
    <w:p>
      <w:pPr>
        <w:pStyle w:val="Heading3"/>
      </w:pPr>
      <w:r>
        <w:t xml:space="preserve">Variable definition</w:t>
      </w:r>
    </w:p>
    <w:bookmarkStart w:id="227" w:name="exposure"/>
    <w:p>
      <w:pPr>
        <w:pStyle w:val="Heading4"/>
      </w:pPr>
      <w:r>
        <w:t xml:space="preserve">Exposure</w:t>
      </w:r>
    </w:p>
    <w:p>
      <w:pPr>
        <w:pStyle w:val="FirstParagraph"/>
      </w:pPr>
      <w:r>
        <w:t xml:space="preserve">To aid interpretability of the outcome, all analyses were standardised to refer to a 1-standard deviation increase in the lipid fraction under investigation.</w:t>
      </w:r>
    </w:p>
    <w:bookmarkEnd w:id="227"/>
    <w:bookmarkStart w:id="228" w:name="outcomes"/>
    <w:p>
      <w:pPr>
        <w:pStyle w:val="Heading4"/>
      </w:pPr>
      <w:r>
        <w:t xml:space="preserve">Outcomes</w:t>
      </w:r>
    </w:p>
    <w:p>
      <w:pPr>
        <w:pStyle w:val="FirstParagraph"/>
      </w:pPr>
      <w:r>
        <w:t xml:space="preserve">Similar to the analyses presented in othe chapters, th endpoints in this analysis was incidience of dementia and related sub-types (AD, vascular dementia).</w:t>
      </w:r>
    </w:p>
    <w:bookmarkEnd w:id="228"/>
    <w:bookmarkStart w:id="229" w:name="covariates-1"/>
    <w:p>
      <w:pPr>
        <w:pStyle w:val="Heading4"/>
      </w:pPr>
      <w:r>
        <w:t xml:space="preserve">Covariates</w:t>
      </w:r>
    </w:p>
    <w:p>
      <w:pPr>
        <w:pStyle w:val="FirstParagraph"/>
      </w:pPr>
      <w:r>
        <w:t xml:space="preserve">Relevant covariates were adjusted for in all models. these included age, sex,education and comorbities. For information on how these were defined across cohorts, see Appendix</w:t>
      </w:r>
      <w:r>
        <w:t xml:space="preserve"> </w:t>
      </w:r>
      <w:r>
        <w:t xml:space="preserve">??</w:t>
      </w:r>
      <w:r>
        <w:t xml:space="preserve">.</w:t>
      </w:r>
    </w:p>
    <w:p>
      <w:pPr>
        <w:pStyle w:val="BodyText"/>
      </w:pPr>
      <w:r>
        <w:t xml:space="preserve"> </w:t>
      </w:r>
    </w:p>
    <w:bookmarkEnd w:id="229"/>
    <w:bookmarkEnd w:id="230"/>
    <w:bookmarkStart w:id="236" w:name="statistical-analysis"/>
    <w:p>
      <w:pPr>
        <w:pStyle w:val="Heading3"/>
      </w:pPr>
      <w:r>
        <w:t xml:space="preserve">Statistical analysis</w:t>
      </w:r>
    </w:p>
    <w:bookmarkStart w:id="231" w:name="descriptive-statistics"/>
    <w:p>
      <w:pPr>
        <w:pStyle w:val="Heading4"/>
      </w:pPr>
      <w:r>
        <w:t xml:space="preserve">Descriptive statistics</w:t>
      </w:r>
    </w:p>
    <w:p>
      <w:pPr>
        <w:pStyle w:val="FirstParagraph"/>
      </w:pPr>
      <w:r>
        <w:t xml:space="preserve">All IPD obtained was examined and recoded as necessary to ensure they comply with the coding guideline for the IPD database. As recommended , summary statistics for each data source were calculated and compared to publicly available statistics to ensure no errors were introduced in the data cleaning process.</w:t>
      </w:r>
      <w:hyperlink w:anchor="ref-levis2021">
        <w:r>
          <w:rPr>
            <w:rStyle w:val="Hyperlink"/>
            <w:vertAlign w:val="superscript"/>
          </w:rPr>
          <w:t xml:space="preserve">297</w:t>
        </w:r>
      </w:hyperlink>
      <w:r>
        <w:t xml:space="preserve"> </w:t>
      </w:r>
      <w:r>
        <w:t xml:space="preserve">Any discrepancies were investigated.</w:t>
      </w:r>
    </w:p>
    <w:bookmarkEnd w:id="231"/>
    <w:bookmarkStart w:id="232" w:name="data-cleaning-and-harmonisation"/>
    <w:p>
      <w:pPr>
        <w:pStyle w:val="Heading4"/>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 The one exception to this is the CPRD data, which was held in a different system to the rest. However, an identical model was applied within this cohort. The advantage of this approach is that it reduces the likelihood of errors in model mis-specification if needing to change variables names from cohort to cohort.</w:t>
      </w:r>
    </w:p>
    <w:bookmarkEnd w:id="232"/>
    <w:bookmarkStart w:id="233" w:name="individual-patient-data-analysis"/>
    <w:p>
      <w:pPr>
        <w:pStyle w:val="Heading4"/>
      </w:pPr>
      <w:r>
        <w:t xml:space="preserve">Individual patient data analysis</w:t>
      </w:r>
    </w:p>
    <w:p>
      <w:pPr>
        <w:pStyle w:val="FirstParagraph"/>
      </w:pPr>
      <w:r>
        <w:t xml:space="preserve">In this analysis, an two-stage individual patient data model was used out of necessity, with the one-stage model being precluded by the included datasets being in protected data silos. It also allows for each studys’ data to be analysed according to a common analysis plan, which is particularly important in this topic, due to the differing definitions between studies of the serum concentrations above or below which lipids are deemed to be at abnormal levels.</w:t>
      </w:r>
    </w:p>
    <w:p>
      <w:pPr>
        <w:pStyle w:val="BodyText"/>
      </w:pPr>
      <w:r>
        <w:t xml:space="preserve">Under a two-stage approach, estimates for the effect of each lipid fraction on available dementia outcomes in each study were first calculated for each data source. Effect estimates for the associations between lipid fractions and incident dementia, adjusted for identical covariates, were obtained by applying a common model to each data source. More specifically, 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298</w:t>
        </w:r>
      </w:hyperlink>
      <w:r>
        <w:t xml:space="preserve"> </w:t>
      </w:r>
      <w:r>
        <w:t xml:space="preserve">An overall effect estimate was then produced by combining data-source-specific estimtes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 Following best practice, clustering within studies was accounted for.</w:t>
      </w:r>
      <w:hyperlink w:anchor="ref-abo-zaid2013">
        <w:r>
          <w:rPr>
            <w:rStyle w:val="Hyperlink"/>
            <w:vertAlign w:val="superscript"/>
          </w:rPr>
          <w:t xml:space="preserve">299</w:t>
        </w:r>
      </w:hyperlink>
    </w:p>
    <w:p>
      <w:pPr>
        <w:pStyle w:val="BodyText"/>
      </w:pPr>
      <w:r>
        <w:t xml:space="preserve"> </w:t>
      </w:r>
    </w:p>
    <w:bookmarkEnd w:id="233"/>
    <w:bookmarkStart w:id="234" w:name="Xe053a90f1dc06cdff8afb3c0fcf28e3d7583255"/>
    <w:p>
      <w:pPr>
        <w:pStyle w:val="Heading4"/>
      </w:pPr>
      <w:r>
        <w:t xml:space="preserve">Investigating effect of patient-level covariates</w:t>
      </w:r>
    </w:p>
    <w:p>
      <w:pPr>
        <w:pStyle w:val="FirstParagraph"/>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bookmarkEnd w:id="234"/>
    <w:bookmarkStart w:id="235" w:name="Xa47f58ef8659a4897bfdd535e185e4ae70e2b7e"/>
    <w:p>
      <w:pPr>
        <w:pStyle w:val="Heading4"/>
      </w:pPr>
      <w:r>
        <w:t xml:space="preserve">Combining published aggregate data and individual participant data</w:t>
      </w:r>
    </w:p>
    <w:p>
      <w:pPr>
        <w:pStyle w:val="FirstParagraph"/>
      </w:pPr>
      <w:r>
        <w:t xml:space="preserve">Where a data source did not provided their individual participant data, but stratified by a patient characteristic of interest in the published data, the aggregate data and individual data were combined.</w:t>
      </w:r>
    </w:p>
    <w:p>
      <w:pPr>
        <w:pStyle w:val="BodyText"/>
      </w:pPr>
      <w:r>
        <w:t xml:space="preserve"> </w:t>
      </w:r>
    </w:p>
    <w:bookmarkEnd w:id="235"/>
    <w:bookmarkEnd w:id="236"/>
    <w:bookmarkStart w:id="237" w:name="comparison-with-published-findings"/>
    <w:p>
      <w:pPr>
        <w:pStyle w:val="Heading3"/>
      </w:pPr>
      <w:r>
        <w:t xml:space="preserve">Comparison with published findings</w:t>
      </w:r>
    </w:p>
    <w:p>
      <w:pPr>
        <w:pStyle w:val="FirstParagraph"/>
      </w:pPr>
      <w:r>
        <w:t xml:space="preserve">Where an included data source had previously been analysed and results for the association between lipid levels and dementia outcomes reported, these were compared to the results of this analysis. If discrepancies were identified, these were investigated.</w:t>
      </w:r>
    </w:p>
    <w:bookmarkEnd w:id="237"/>
    <w:bookmarkStart w:id="240" w:name="secondary-analyses"/>
    <w:p>
      <w:pPr>
        <w:pStyle w:val="Heading3"/>
      </w:pPr>
      <w:r>
        <w:t xml:space="preserve">Secondary analyses</w:t>
      </w:r>
    </w:p>
    <w:bookmarkStart w:id="238" w:name="amount-of-information-added"/>
    <w:p>
      <w:pPr>
        <w:pStyle w:val="Heading4"/>
      </w:pPr>
      <w:r>
        <w:t xml:space="preserve">Amount of information added</w:t>
      </w:r>
    </w:p>
    <w:p>
      <w:pPr>
        <w:pStyle w:val="FirstParagraph"/>
      </w:pPr>
      <w:r>
        <w:t xml:space="preserve">The proportion of new information added to the evidence base via incorporation of the unanalysed datasets was quantified, by addding the additional results to the lipid-dementia meta-analyses presented in Section</w:t>
      </w:r>
      <w:r>
        <w:t xml:space="preserve"> </w:t>
      </w:r>
      <w:r>
        <w:t xml:space="preserve">??</w:t>
      </w:r>
      <w:r>
        <w:t xml:space="preserve">, and extracting the combined weights assigned to the new data in a fixed-effect model.</w:t>
      </w:r>
    </w:p>
    <w:bookmarkEnd w:id="238"/>
    <w:bookmarkStart w:id="239" w:name="data-availability-statements"/>
    <w:p>
      <w:pPr>
        <w:pStyle w:val="Heading4"/>
      </w:pPr>
      <w:r>
        <w:t xml:space="preserve">Data availability statements</w:t>
      </w:r>
    </w:p>
    <w:p>
      <w:pPr>
        <w:pStyle w:val="FirstParagraph"/>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300</w:t>
        </w:r>
      </w:hyperlink>
    </w:p>
    <w:p>
      <w:pPr>
        <w:pStyle w:val="BodyText"/>
      </w:pPr>
      <w:r>
        <w:t xml:space="preserve"> </w:t>
      </w:r>
    </w:p>
    <w:bookmarkEnd w:id="239"/>
    <w:bookmarkEnd w:id="240"/>
    <w:bookmarkEnd w:id="241"/>
    <w:bookmarkStart w:id="257" w:name="results-2"/>
    <w:p>
      <w:pPr>
        <w:pStyle w:val="Heading2"/>
      </w:pPr>
      <w:r>
        <w:t xml:space="preserve">Results</w:t>
      </w:r>
    </w:p>
    <w:bookmarkStart w:id="243" w:name="data-access"/>
    <w:p>
      <w:pPr>
        <w:pStyle w:val="Heading3"/>
      </w:pPr>
      <w:r>
        <w:t xml:space="preserve">Data access</w:t>
      </w:r>
    </w:p>
    <w:p>
      <w:pPr>
        <w:pStyle w:val="FirstParagraph"/>
      </w:pPr>
      <w:r>
        <w:t xml:space="preserve">Of the 37 studies to which I applied for data access, only three (8.1%) provided data and were included in the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stratified by application approach.</w:t>
      </w:r>
    </w:p>
    <w:p>
      <w:pPr>
        <w:pStyle w:val="BodyText"/>
      </w:pPr>
      <w:r>
        <w:t xml:space="preserve">In summary, the requests for data from cohorts identified by the systematic review was characterised by a very low response rate. For the minority who did respond, common reasons given by corresponding authors for not sharing the data included that they no longer worked with the same group and did not know if the data were available or how to obtain it, had access to the data, or that they were currently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resulting in eventual access to three cohorts (one of which was also identified by the systematic review). However, even using this streamlined approach, a response was obtained for only half of the approach cohorts.</w:t>
      </w:r>
    </w:p>
    <w:p>
      <w:pPr>
        <w:pStyle w:val="BodyText"/>
      </w:pPr>
      <w:r>
        <w:drawing>
          <wp:inline>
            <wp:extent cx="5943600" cy="4592781"/>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42"/>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(n = 1, 2.7%), indicating that the DPUK is a useful source of unanalysed data with respect to this question.</w:t>
      </w:r>
    </w:p>
    <w:p>
      <w:pPr>
        <w:pStyle w:val="BodyText"/>
      </w:pPr>
      <w:r>
        <w:t xml:space="preserve"> </w:t>
      </w:r>
    </w:p>
    <w:bookmarkEnd w:id="243"/>
    <w:bookmarkStart w:id="249"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17</w:t>
      </w:r>
      <w:r>
        <w:t xml:space="preserve"> </w:t>
      </w:r>
      <w:r>
        <w:t xml:space="preserve">and are described in detail in the following sections. Of note, all included data sources were based in the United Kingdom. This is likely due to the majority of included datasets coming from the Dementia Platform UK route (Figure</w:t>
      </w:r>
      <w:r>
        <w:t xml:space="preserve"> </w:t>
      </w:r>
      <w:r>
        <w:t xml:space="preserve">34</w:t>
      </w:r>
      <w:r>
        <w:t xml:space="preserve">), which as implied by the name, has a geographical focus on cohorts performed in the United Kingdom.</w:t>
      </w:r>
      <w:hyperlink w:anchor="ref-bauermeister2020">
        <w:r>
          <w:rPr>
            <w:rStyle w:val="Hyperlink"/>
            <w:vertAlign w:val="superscript"/>
          </w:rPr>
          <w:t xml:space="preserve">99</w:t>
        </w:r>
      </w:hyperlink>
    </w:p>
    <w:p>
      <w:pPr>
        <w:pStyle w:val="BodyText"/>
      </w:pPr>
      <w:r>
        <w:t xml:space="preserve"> </w:t>
      </w:r>
    </w:p>
    <w:p>
      <w:pPr>
        <w:pStyle w:val="TableCaption"/>
      </w:pPr>
      <w:r>
        <w:t xml:space="preserve">Table 17:</w:t>
      </w:r>
      <w:r>
        <w:t xml:space="preserve"> </w:t>
      </w:r>
      <w:bookmarkStart w:id="481ae87b-a5f1-49ea-8bb3-020356e7e62f" w:name="tab:cohortOverview-table"/>
      <w:r>
        <w:t xml:space="preserve">Summary of cohorts for which data were available</w:t>
      </w:r>
      <w:bookmarkEnd w:id="481ae87b-a5f1-49ea-8bb3-020356e7e62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44"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44"/>
    <w:bookmarkStart w:id="245"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263</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263</w:t>
        </w:r>
      </w:hyperlink>
      <w:r>
        <w:rPr>
          <w:vertAlign w:val="superscript"/>
        </w:rPr>
        <w:t xml:space="preserve">,</w:t>
      </w:r>
      <w:hyperlink w:anchor="ref-mathur2014">
        <w:r>
          <w:rPr>
            <w:rStyle w:val="Hyperlink"/>
            <w:vertAlign w:val="superscript"/>
          </w:rPr>
          <w:t xml:space="preserve">266</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45"/>
    <w:bookmarkStart w:id="246"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301</w:t>
        </w:r>
      </w:hyperlink>
      <w:r>
        <w:rPr>
          <w:vertAlign w:val="superscript"/>
        </w:rPr>
        <w:t xml:space="preserve">,</w:t>
      </w:r>
      <w:hyperlink w:anchor="ref-riboli2002">
        <w:r>
          <w:rPr>
            <w:rStyle w:val="Hyperlink"/>
            <w:vertAlign w:val="superscript"/>
          </w:rPr>
          <w:t xml:space="preserve">302</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46"/>
    <w:bookmarkStart w:id="248"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47">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219</w:t>
        </w:r>
      </w:hyperlink>
      <w:r>
        <w:t xml:space="preserve"> </w:t>
      </w:r>
      <w:r>
        <w:t xml:space="preserve">meaning that a comparison between the published result and the analysis reported here was was possible.</w:t>
      </w:r>
    </w:p>
    <w:p>
      <w:pPr>
        <w:pStyle w:val="BodyText"/>
      </w:pPr>
      <w:r>
        <w:t xml:space="preserve"> </w:t>
      </w:r>
    </w:p>
    <w:bookmarkEnd w:id="248"/>
    <w:bookmarkEnd w:id="249"/>
    <w:bookmarkStart w:id="254" w:name="excluded-data-sources"/>
    <w:p>
      <w:pPr>
        <w:pStyle w:val="Heading3"/>
      </w:pPr>
      <w:r>
        <w:t xml:space="preserve">Excluded data sources</w:t>
      </w:r>
    </w:p>
    <w:bookmarkStart w:id="250" w:name="X21956c5bb1220e1050675bc21f8db7a8b7dcfce"/>
    <w:p>
      <w:pPr>
        <w:pStyle w:val="Heading4"/>
      </w:pPr>
      <w:r>
        <w:t xml:space="preserve">Cohorts identified the systematic review but excluded from the IPD analysis</w:t>
      </w:r>
    </w:p>
    <w:p>
      <w:pPr>
        <w:pStyle w:val="FirstParagraph"/>
      </w:pPr>
      <w:r>
        <w:t xml:space="preserve">The main reason for exclusion within this records was use of an electronic health record database. Examples included the Taiwan National Health Insurance database and studies run in the US making use of Medicare data.</w:t>
      </w:r>
    </w:p>
    <w:p>
      <w:pPr>
        <w:pStyle w:val="BodyText"/>
      </w:pPr>
      <w:r>
        <w:t xml:space="preserve"> </w:t>
      </w:r>
    </w:p>
    <w:bookmarkEnd w:id="250"/>
    <w:bookmarkStart w:id="251"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formally approached with a request for data access. This was primarily due to the information obtained via the online data dictionary system or via initial contact with the cohort owners indicating that the study was relatively new (and so was yet to collect more than 1 wave of data) or that the exposure variables of interest were not recorded.</w:t>
      </w:r>
    </w:p>
    <w:p>
      <w:pPr>
        <w:pStyle w:val="BodyText"/>
      </w:pPr>
      <w:r>
        <w:t xml:space="preserve"> </w:t>
      </w:r>
    </w:p>
    <w:bookmarkEnd w:id="251"/>
    <w:bookmarkStart w:id="252"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34</w:t>
      </w:r>
      <w:r>
        <w:t xml:space="preserve">, several cohorts from the DPUK responding positively but on inspection of data provided these cohorts were excluded for a range of reason. The exclusion reason for each cohort for which data were provided is illustrated in Table</w:t>
      </w:r>
      <w:r>
        <w:t xml:space="preserve"> </w:t>
      </w:r>
      <w:r>
        <w:t xml:space="preserve">18</w:t>
      </w:r>
      <w:r>
        <w:t xml:space="preserve">.</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18:</w:t>
      </w:r>
      <w:r>
        <w:t xml:space="preserve"> </w:t>
      </w:r>
      <w:bookmarkStart w:id="e4a0f20d-e8a0-40d4-8ba7-e80cde9b7e3f" w:name="tab:dataExcluded-table"/>
      <w:r>
        <w:t xml:space="preserve">Exclusion reasons for cohorts providing data</w:t>
      </w:r>
      <w:bookmarkEnd w:id="e4a0f20d-e8a0-40d4-8ba7-e80cde9b7e3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p>
      <w:pPr>
        <w:pStyle w:val="BodyText"/>
      </w:pPr>
      <w:r>
        <w:t xml:space="preserve">BRACE is a memory-complaint-based cohort, suggesting that it is unlikely they were dementia-free at baseline).</w:t>
      </w:r>
      <w:r>
        <w:t xml:space="preserve"> </w:t>
      </w:r>
      <w:r>
        <w:t xml:space="preserve"> </w:t>
      </w:r>
      <w:r>
        <w:t xml:space="preserve">Similarly, the Memento study was excluded as it’s criteria for entry required participants to be outpatients from a memory clinic.</w:t>
      </w:r>
      <w:r>
        <w:t xml:space="preserve"> </w:t>
      </w:r>
      <w:r>
        <w:t xml:space="preserve"> </w:t>
      </w:r>
      <w:r>
        <w:t xml:space="preserve">The Generation Scotland provided only cross-sectional data only for the variables of interest, as did the the NICOLA study.</w:t>
      </w:r>
      <w:r>
        <w:t xml:space="preserve"> </w:t>
      </w:r>
      <w:r>
        <w:t xml:space="preserve"> </w:t>
      </w:r>
      <w:r>
        <w:t xml:space="preserve">Finally, the ELSA study was excluded based on the definition of the exposure variable. This study provided a</w:t>
      </w:r>
      <w:r>
        <w:t xml:space="preserve"> </w:t>
      </w:r>
      <w:r>
        <w:t xml:space="preserve">“</w:t>
      </w:r>
      <w:r>
        <w:t xml:space="preserve">high cholesterol</w:t>
      </w:r>
      <w:r>
        <w:t xml:space="preserve">”</w:t>
      </w:r>
      <w:r>
        <w:t xml:space="preserve"> </w:t>
      </w:r>
      <w:r>
        <w:t xml:space="preserve">a binary variable rather than the raw continuous lipid measurement data.</w:t>
      </w:r>
      <w:r>
        <w:t xml:space="preserve"> </w:t>
      </w:r>
    </w:p>
    <w:p>
      <w:pPr>
        <w:pStyle w:val="BodyText"/>
      </w:pPr>
      <w:r>
        <w:t xml:space="preserve"> </w:t>
      </w:r>
    </w:p>
    <w:bookmarkEnd w:id="252"/>
    <w:bookmarkStart w:id="253" w:name="cohorts-approach-but-received-no-answer"/>
    <w:p>
      <w:pPr>
        <w:pStyle w:val="Heading4"/>
      </w:pPr>
      <w:r>
        <w:t xml:space="preserve">Cohorts approach but received no answer</w:t>
      </w:r>
    </w:p>
    <w:p>
      <w:pPr>
        <w:pStyle w:val="FirstParagraph"/>
      </w:pPr>
      <w:r>
        <w:t xml:space="preserve">This was particularly common among the cohorts identified via the systematic review and included studies with a dedicated access process or data access committee. A cohort of particular interest, having been used in multiple studies identified by the systematic review, is the Three City Study in France. Despite multiple attempts to contact the team, there was no response received.</w:t>
      </w:r>
      <w:r>
        <w:t xml:space="preserve"> </w:t>
      </w:r>
      <w:r>
        <w:t xml:space="preserve"> </w:t>
      </w:r>
      <w:r>
        <w:t xml:space="preserve">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bookmarkEnd w:id="253"/>
    <w:bookmarkEnd w:id="254"/>
    <w:bookmarkStart w:id="256" w:name="analytical-results"/>
    <w:p>
      <w:pPr>
        <w:pStyle w:val="Heading3"/>
      </w:pPr>
      <w:r>
        <w:t xml:space="preserve">Analytical results</w:t>
      </w:r>
    </w:p>
    <w:p>
      <w:pPr>
        <w:pStyle w:val="FirstParagraph"/>
      </w:pPr>
      <w:r>
        <w:t xml:space="preserve">There was no evidence for an effect of any lipid fraction on any dementia outcome (Figure</w:t>
      </w:r>
      <w:r>
        <w:t xml:space="preserve"> </w:t>
      </w:r>
      <w:r>
        <w:t xml:space="preserve">35</w:t>
      </w:r>
      <w:r>
        <w:t xml:space="preserve">). Additionally, meta-analysis of the interaction coefficients for age-at-lipid-measurement and participant sex did not reveal an evidence for an varying effect across these variables.</w:t>
      </w:r>
    </w:p>
    <w:p>
      <w:pPr>
        <w:pStyle w:val="BodyText"/>
      </w:pPr>
      <w:r>
        <w:t xml:space="preserve"> </w:t>
      </w:r>
    </w:p>
    <w:p>
      <w:pPr>
        <w:pStyle w:val="BodyText"/>
      </w:pPr>
      <w:r>
        <w:drawing>
          <wp:inline>
            <wp:extent cx="5943600" cy="1867988"/>
            <wp:effectExtent b="0" l="0" r="0" t="0"/>
            <wp:docPr descr="Figure 35: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55"/>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256"/>
    <w:bookmarkEnd w:id="257"/>
    <w:bookmarkStart w:id="264" w:name="discussion-3"/>
    <w:p>
      <w:pPr>
        <w:pStyle w:val="Heading2"/>
      </w:pPr>
      <w:r>
        <w:t xml:space="preserve">Discussion</w:t>
      </w:r>
    </w:p>
    <w:bookmarkStart w:id="258" w:name="summary-of-findings-2"/>
    <w:p>
      <w:pPr>
        <w:pStyle w:val="Heading3"/>
      </w:pPr>
      <w:r>
        <w:t xml:space="preserve">Summary of findings</w:t>
      </w:r>
    </w:p>
    <w:p>
      <w:pPr>
        <w:pStyle w:val="FirstParagraph"/>
      </w:pPr>
      <w:r>
        <w:t xml:space="preserve">This analysis requested data from 37 data sources, but only obtained data from n = 3, 8.1%, all of which were based in the United Kingdom. No evidence for an effect of lipids on the risk of dementia or related outcomes was identified. Similalarly, there was no evidence for an effect of age-at-measurement or sex on the lipid-dementia relationship.</w:t>
      </w:r>
    </w:p>
    <w:p>
      <w:pPr>
        <w:pStyle w:val="BodyText"/>
      </w:pPr>
      <w:r>
        <w:t xml:space="preserve">Additionally analyses revealed that authors of cohorts indentified by the systematic review rarely stated that the data underpinning their analyses would be freely available, while a review of corresponding authors of these publications demonstrated that for many, the institutional email address provided was out of date.</w:t>
      </w:r>
    </w:p>
    <w:bookmarkEnd w:id="258"/>
    <w:bookmarkStart w:id="261" w:name="limitations-1"/>
    <w:p>
      <w:pPr>
        <w:pStyle w:val="Heading3"/>
      </w:pPr>
      <w:r>
        <w:t xml:space="preserve">Limitations</w:t>
      </w:r>
    </w:p>
    <w:bookmarkStart w:id="259" w:name="low-response-rate-to-request-for-data"/>
    <w:p>
      <w:pPr>
        <w:pStyle w:val="Heading4"/>
      </w:pPr>
      <w:r>
        <w:t xml:space="preserve">Low response rate to request for data</w:t>
      </w:r>
    </w:p>
    <w:p>
      <w:pPr>
        <w:pStyle w:val="FirstParagraph"/>
      </w:pPr>
      <w:r>
        <w:rPr>
          <w:iCs/>
          <w:i/>
        </w:rPr>
        <w:t xml:space="preserve">(although, in hindsight, the form of contact used (email) has been shown to be less successful in eliciting responses from authors when compared with telephoning</w:t>
      </w:r>
      <w:hyperlink w:anchor="ref-danko2019">
        <w:r>
          <w:rPr>
            <w:rStyle w:val="Hyperlink"/>
            <w:vertAlign w:val="superscript"/>
            <w:iCs/>
            <w:i/>
          </w:rPr>
          <w:t xml:space="preserve">303</w:t>
        </w:r>
      </w:hyperlink>
      <w:r>
        <w:rPr>
          <w:iCs/>
          <w:i/>
        </w:rPr>
        <w:t xml:space="preserve">)</w:t>
      </w:r>
    </w:p>
    <w:p>
      <w:pPr>
        <w:pStyle w:val="BodyText"/>
      </w:pPr>
      <w:r>
        <w:t xml:space="preserve">A key limitation of this analysis is the very low response rate to requests for data access. This finding is not unexpected however, given that a review of IPD studies published between 1987 and 2015 found that fewer than half managed to obtained data from greater than 80% of studies,</w:t>
      </w:r>
      <w:r>
        <w:t xml:space="preserve"> </w:t>
      </w:r>
      <w:r>
        <w:t xml:space="preserve"> </w:t>
      </w:r>
      <w:r>
        <w:t xml:space="preserve">and that in many cases, the exact percentage of studies for which data were obtained was not accurately reported.</w:t>
      </w:r>
    </w:p>
    <w:p>
      <w:pPr>
        <w:pStyle w:val="BodyText"/>
      </w:pPr>
      <w:r>
        <w:t xml:space="preserve">There are likely several likely reasons for this low response rate. In general terms, there are a several well-documented reasons why data are not made readily available, including concerns regarding participant privacy, concerns around scoping or</w:t>
      </w:r>
      <w:r>
        <w:t xml:space="preserve"> </w:t>
      </w:r>
      <w:r>
        <w:t xml:space="preserve">“</w:t>
      </w:r>
      <w:r>
        <w:t xml:space="preserve">parasitic</w:t>
      </w:r>
      <w:r>
        <w:t xml:space="preserve">”</w:t>
      </w:r>
      <w:r>
        <w:t xml:space="preserve"> </w:t>
      </w:r>
      <w:r>
        <w:t xml:space="preserve">behaviour, and a lack of trust between primary and secondary researchers.</w:t>
      </w:r>
      <w:r>
        <w:t xml:space="preserve"> </w:t>
      </w:r>
    </w:p>
    <w:p>
      <w:pPr>
        <w:pStyle w:val="BodyText"/>
      </w:pPr>
      <w:r>
        <w:t xml:space="preserve">More specific to this analysis, 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94</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professor might. The timing of the requests for data access, coinciding with a global pandemic, may also have affected the response rate as researchers prioritised other work.</w:t>
      </w:r>
    </w:p>
    <w:p>
      <w:pPr>
        <w:pStyle w:val="BodyText"/>
      </w:pPr>
      <w:r>
        <w:rPr>
          <w:iCs/>
          <w:i/>
        </w:rPr>
        <w:t xml:space="preserve">Many authors claim that their data can be made</w:t>
      </w:r>
      <w:r>
        <w:rPr>
          <w:iCs/>
          <w:i/>
        </w:rPr>
        <w:t xml:space="preserve"> </w:t>
      </w:r>
      <w:r>
        <w:rPr>
          <w:iCs/>
          <w:i/>
        </w:rPr>
        <w:t xml:space="preserve">“</w:t>
      </w:r>
      <w:r>
        <w:rPr>
          <w:iCs/>
          <w:i/>
        </w:rPr>
        <w:t xml:space="preserve">available on request</w:t>
      </w:r>
      <w:r>
        <w:rPr>
          <w:iCs/>
          <w:i/>
        </w:rPr>
        <w:t xml:space="preserve">”</w:t>
      </w:r>
      <w:r>
        <w:rPr>
          <w:iCs/>
          <w:i/>
        </w:rPr>
        <w:t xml:space="preserve">, despite previous work establishing that these statements are demonstrably untrue in the majority of cases - that when data is requested, it is not actually made available.</w:t>
      </w:r>
      <w:hyperlink w:anchor="ref-krawczyk2012">
        <w:r>
          <w:rPr>
            <w:rStyle w:val="Hyperlink"/>
            <w:vertAlign w:val="superscript"/>
            <w:iCs/>
            <w:i/>
          </w:rPr>
          <w:t xml:space="preserve">304</w:t>
        </w:r>
      </w:hyperlink>
      <w:r>
        <w:rPr>
          <w:vertAlign w:val="superscript"/>
          <w:iCs/>
          <w:i/>
        </w:rPr>
        <w:t xml:space="preserve">–</w:t>
      </w:r>
      <w:hyperlink w:anchor="ref-naudet2018">
        <w:r>
          <w:rPr>
            <w:rStyle w:val="Hyperlink"/>
            <w:vertAlign w:val="superscript"/>
            <w:iCs/>
            <w:i/>
          </w:rPr>
          <w:t xml:space="preserve">306</w:t>
        </w:r>
      </w:hyperlink>
      <w:r>
        <w:rPr>
          <w:iCs/>
          <w:i/>
        </w:rPr>
        <w:t xml:space="preserve"> </w:t>
      </w:r>
      <w:r>
        <w:rPr>
          <w:iCs/>
          <w:i/>
        </w:rPr>
        <w:t xml:space="preserve">Additionally, previous work found that the availability of data</w:t>
      </w:r>
      <w:r>
        <w:rPr>
          <w:iCs/>
          <w:i/>
        </w:rPr>
        <w:t xml:space="preserve"> </w:t>
      </w:r>
      <w:r>
        <w:rPr>
          <w:iCs/>
          <w:i/>
        </w:rPr>
        <w:t xml:space="preserve">“</w:t>
      </w:r>
      <w:r>
        <w:rPr>
          <w:iCs/>
          <w:i/>
        </w:rPr>
        <w:t xml:space="preserve">available on request</w:t>
      </w:r>
      <w:r>
        <w:rPr>
          <w:iCs/>
          <w:i/>
        </w:rPr>
        <w:t xml:space="preserve">”</w:t>
      </w:r>
      <w:r>
        <w:rPr>
          <w:iCs/>
          <w:i/>
        </w:rPr>
        <w:t xml:space="preserve"> </w:t>
      </w:r>
      <w:r>
        <w:rPr>
          <w:iCs/>
          <w:i/>
        </w:rPr>
        <w:t xml:space="preserve">declines with article age, indicating that this approach is not a valid long term option for data sharing.</w:t>
      </w:r>
      <w:hyperlink w:anchor="ref-vines2014">
        <w:r>
          <w:rPr>
            <w:rStyle w:val="Hyperlink"/>
            <w:vertAlign w:val="superscript"/>
            <w:iCs/>
            <w:i/>
          </w:rPr>
          <w:t xml:space="preserve">97</w:t>
        </w:r>
      </w:hyperlink>
      <w:r>
        <w:rPr>
          <w:iCs/>
          <w:i/>
        </w:rPr>
        <w:t xml:space="preserve"> </w:t>
      </w:r>
      <w:r>
        <w:rPr>
          <w:iCs/>
          <w:i/>
        </w:rPr>
        <w:t xml:space="preserve">Several of the included studies are greater than 10 years old, and so obtaining data from these cohorts is less likely compared with more recently published studies.</w:t>
      </w:r>
      <w:r>
        <w:t xml:space="preserve"> </w:t>
      </w:r>
    </w:p>
    <w:p>
      <w:pPr>
        <w:pStyle w:val="BodyText"/>
      </w:pPr>
      <w:r>
        <w:t xml:space="preserve">One of the reasons for this may be that the email addresses reported on publications are more likely to be out of date for older publications. Qualitatively, investigation of a subset of cohorts revealed that several corresponding/first authors were no longer at the same institution as when the study was reported, and as a result, were unlikely to have access to the institutional email address listed on the study publication.</w:t>
      </w:r>
      <w:r>
        <w:t xml:space="preserve"> </w:t>
      </w:r>
    </w:p>
    <w:p>
      <w:pPr>
        <w:pStyle w:val="BodyText"/>
      </w:pPr>
      <w:r>
        <w:t xml:space="preserve">These challenges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Whether or not to press ahead with an IPD analysis in the absence of all (or even most) data is a personal decision, and some previous analyses have highlighted where they decided not to pursue an IPD study.</w:t>
      </w:r>
      <w:hyperlink w:anchor="ref-jaspers2014">
        <w:r>
          <w:rPr>
            <w:rStyle w:val="Hyperlink"/>
            <w:vertAlign w:val="superscript"/>
          </w:rPr>
          <w:t xml:space="preserve">307</w:t>
        </w:r>
      </w:hyperlink>
    </w:p>
    <w:p>
      <w:pPr>
        <w:pStyle w:val="BodyText"/>
      </w:pPr>
      <w:r>
        <w:t xml:space="preserve">For the purposes of this thesis, conducting the IPD analysis was useful as it afforded me the opportunity to gain experience in applying the methodology. In addition, it allowed me to analysed two addition previously unanalysed cohort studies which were then utilised in the triangulation study detailed in Chapter</w:t>
      </w:r>
      <w:r>
        <w:t xml:space="preserve"> </w:t>
      </w:r>
      <w:r>
        <w:t xml:space="preserve">7</w:t>
      </w:r>
      <w:r>
        <w:t xml:space="preserve">.</w:t>
      </w:r>
    </w:p>
    <w:p>
      <w:pPr>
        <w:pStyle w:val="BodyText"/>
      </w:pPr>
      <w:r>
        <w:t xml:space="preserve"> </w:t>
      </w:r>
    </w:p>
    <w:bookmarkEnd w:id="259"/>
    <w:bookmarkStart w:id="260"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p>
      <w:pPr>
        <w:pStyle w:val="BodyText"/>
      </w:pPr>
      <w:r>
        <w:t xml:space="preserve"> </w:t>
      </w:r>
    </w:p>
    <w:bookmarkEnd w:id="260"/>
    <w:bookmarkEnd w:id="261"/>
    <w:bookmarkStart w:id="262" w:name="strengths-1"/>
    <w:p>
      <w:pPr>
        <w:pStyle w:val="Heading3"/>
      </w:pPr>
      <w:r>
        <w:t xml:space="preserve">Strengths</w:t>
      </w:r>
    </w:p>
    <w:p>
      <w:pPr>
        <w:pStyle w:val="FirstParagraph"/>
      </w:pPr>
      <w:r>
        <w:t xml:space="preserve">While this analysis did not manage to systematically obtain and analyse a large proportion of identified data, it did enable an analysis of two previously unanalysed datasets - the CaPS study and the EPIC Norfolk study - providing additional data that is incorporated into the triangulation exercise reported in Chapter</w:t>
      </w:r>
      <w:r>
        <w:t xml:space="preserve"> </w:t>
      </w:r>
      <w:r>
        <w:t xml:space="preserve">7</w:t>
      </w:r>
      <w:r>
        <w:t xml:space="preserve">.</w:t>
      </w:r>
    </w:p>
    <w:p>
      <w:pPr>
        <w:pStyle w:val="BodyText"/>
      </w:pPr>
      <w:r>
        <w:t xml:space="preserve"> </w:t>
      </w:r>
    </w:p>
    <w:p>
      <w:pPr>
        <w:pStyle w:val="BodyText"/>
      </w:pPr>
      <w:r>
        <w:t xml:space="preserve"> </w:t>
      </w:r>
    </w:p>
    <w:bookmarkEnd w:id="262"/>
    <w:bookmarkStart w:id="263"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297</w:t>
        </w:r>
      </w:hyperlink>
      <w:r>
        <w:t xml:space="preserve"> </w:t>
      </w:r>
      <w:r>
        <w:t xml:space="preserve">and in line with this, data cleaning for this analysis took substantially longer than expected.</w:t>
      </w:r>
    </w:p>
    <w:p>
      <w:pPr>
        <w:pStyle w:val="BodyText"/>
      </w:pPr>
      <w:r>
        <w:t xml:space="preserve"> </w:t>
      </w:r>
    </w:p>
    <w:bookmarkEnd w:id="263"/>
    <w:bookmarkEnd w:id="264"/>
    <w:bookmarkStart w:id="265" w:name="conclusion"/>
    <w:p>
      <w:pPr>
        <w:pStyle w:val="Heading2"/>
      </w:pPr>
      <w:r>
        <w:t xml:space="preserve">Conclusion</w:t>
      </w:r>
    </w:p>
    <w:p>
      <w:pPr>
        <w:pStyle w:val="FirstParagraph"/>
      </w:pPr>
      <w:r>
        <w:t xml:space="preserve">This analysis provided very weak evidence for an effect of lipid fractions on dementia outcomes. However, it does provide an analysis two previous unanalysed data sources that are subsequently used in Chapter</w:t>
      </w:r>
      <w:r>
        <w:t xml:space="preserve"> </w:t>
      </w:r>
      <w:r>
        <w:t xml:space="preserve">7</w:t>
      </w:r>
      <w:r>
        <w:t xml:space="preserve">.</w:t>
      </w:r>
    </w:p>
    <w:p>
      <w:r>
        <w:br w:type="page"/>
      </w:r>
    </w:p>
    <w:bookmarkEnd w:id="265"/>
    <w:bookmarkStart w:id="266" w:name="references-4"/>
    <w:p>
      <w:pPr>
        <w:pStyle w:val="Heading2"/>
      </w:pPr>
      <w:r>
        <w:t xml:space="preserve">References</w:t>
      </w:r>
    </w:p>
    <w:bookmarkEnd w:id="266"/>
    <w:bookmarkEnd w:id="267"/>
    <w:bookmarkStart w:id="310" w:name="tri-heading"/>
    <w:p>
      <w:pPr>
        <w:pStyle w:val="Heading1"/>
      </w:pPr>
      <w:r>
        <w:t xml:space="preserve">Aetiological triangulation across new and existing evidence sources</w:t>
      </w:r>
    </w:p>
    <w:p>
      <w:pPr>
        <w:pStyle w:val="FirstParagraph"/>
      </w:pPr>
    </w:p>
    <w:bookmarkStart w:id="268" w:name="lay-summary-5"/>
    <w:p>
      <w:pPr>
        <w:pStyle w:val="Heading2"/>
      </w:pPr>
      <w:r>
        <w:t xml:space="preserve">Lay summary</w:t>
      </w:r>
    </w:p>
    <w:p>
      <w:pPr>
        <w:pStyle w:val="FirstParagraph"/>
      </w:pPr>
      <w:r>
        <w:t xml:space="preserve">Triangulation is the practice of using multiple sources of evidence to provide more reliable answers to a research question. Different sources of evidence will have different limitations. If the result from each source points towards the same answer, this improves our confidence in the conclusion.</w:t>
      </w:r>
    </w:p>
    <w:p>
      <w:pPr>
        <w:pStyle w:val="BodyText"/>
      </w:pPr>
      <w:r>
        <w:t xml:space="preserve"> </w:t>
      </w:r>
    </w:p>
    <w:bookmarkEnd w:id="268"/>
    <w:bookmarkStart w:id="271"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w:t>
      </w:r>
      <w:r>
        <w:t xml:space="preserve">, with the the results from the analysis of CPRD data (Chapter</w:t>
      </w:r>
      <w:r>
        <w:t xml:space="preserve"> </w:t>
      </w:r>
      <w:r>
        <w:t xml:space="preserve">??</w:t>
      </w:r>
      <w:r>
        <w:t xml:space="preserve"> </w:t>
      </w:r>
      <w:r>
        <w:t xml:space="preserve">and IPD</w:t>
      </w:r>
      <w:r>
        <w:t xml:space="preserve"> </w:t>
      </w:r>
      <w:r>
        <w:t xml:space="preserve">6</w:t>
      </w:r>
      <w:r>
        <w:t xml:space="preserve">.</w:t>
      </w:r>
    </w:p>
    <w:p>
      <w:pPr>
        <w:pStyle w:val="BodyText"/>
      </w:pPr>
      <w:r>
        <w:t xml:space="preserve"> </w:t>
      </w:r>
    </w:p>
    <w:bookmarkStart w:id="269" w:name="triangulation-overview"/>
    <w:p>
      <w:pPr>
        <w:pStyle w:val="Heading3"/>
      </w:pPr>
      <w:r>
        <w:t xml:space="preserve">Overview of triangulation</w:t>
      </w:r>
    </w:p>
    <w:p>
      <w:pPr>
        <w:pStyle w:val="FirstParagraph"/>
      </w:pPr>
      <w:r>
        <w:t xml:space="preserve">Aetiological triangulation, or simply triangulation, is the process of comparing and contrasting across result in order to .</w:t>
      </w:r>
    </w:p>
    <w:p>
      <w:pPr>
        <w:pStyle w:val="BodyText"/>
      </w:pPr>
      <w:r>
        <w:t xml:space="preserve">It has been widely used in the literature, and is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308</w:t>
        </w:r>
      </w:hyperlink>
      <w:r>
        <w:t xml:space="preserve"> </w:t>
      </w:r>
      <w:r>
        <w:t xml:space="preserve">In this framework,</w:t>
      </w:r>
    </w:p>
    <w:p>
      <w:pPr>
        <w:pStyle w:val="BodyText"/>
      </w:pPr>
      <w:r>
        <w:t xml:space="preserve"> </w:t>
      </w:r>
    </w:p>
    <w:bookmarkEnd w:id="269"/>
    <w:bookmarkStart w:id="270" w:name="terminology"/>
    <w:p>
      <w:pPr>
        <w:pStyle w:val="Heading3"/>
      </w:pPr>
      <w:r>
        <w:t xml:space="preserve">Terminology</w:t>
      </w:r>
    </w:p>
    <w:p>
      <w:pPr>
        <w:pStyle w:val="FirstParagraph"/>
      </w:pPr>
      <w:r>
        <w:rPr>
          <w:bCs/>
          <w:b/>
        </w:rPr>
        <w:t xml:space="preserve">Different types of triangulation</w:t>
      </w:r>
    </w:p>
    <w:p>
      <w:pPr>
        <w:pStyle w:val="BodyText"/>
      </w:pPr>
      <w:r>
        <w:rPr>
          <w:iCs/>
          <w:i/>
        </w:rPr>
        <w:t xml:space="preserve">Qualitative</w:t>
      </w:r>
      <w:r>
        <w:t xml:space="preserve"> </w:t>
      </w:r>
      <w:r>
        <w:t xml:space="preserve">triangulation is describing the different results. It regularly appears though not under that name, in the discussion of results section under the name</w:t>
      </w:r>
      <w:r>
        <w:t xml:space="preserve"> </w:t>
      </w:r>
      <w:r>
        <w:t xml:space="preserve">“</w:t>
      </w:r>
      <w:r>
        <w:t xml:space="preserve">comparison with other literature</w:t>
      </w:r>
      <w:r>
        <w:t xml:space="preserve">”</w:t>
      </w:r>
      <w:r>
        <w:t xml:space="preserve">.</w:t>
      </w:r>
    </w:p>
    <w:p>
      <w:pPr>
        <w:pStyle w:val="BodyText"/>
      </w:pPr>
      <w:r>
        <w:t xml:space="preserve">Previous examples of this approach have used criteria such as</w:t>
      </w:r>
    </w:p>
    <w:p>
      <w:pPr>
        <w:pStyle w:val="BodyText"/>
      </w:pPr>
      <w:r>
        <w:t xml:space="preserve">In contrast,</w:t>
      </w:r>
      <w:r>
        <w:t xml:space="preserve"> </w:t>
      </w:r>
      <w:r>
        <w:rPr>
          <w:iCs/>
          <w:i/>
        </w:rPr>
        <w:t xml:space="preserve">quantitative triangulation</w:t>
      </w:r>
      <w:r>
        <w:t xml:space="preserve"> </w:t>
      </w:r>
      <w:r>
        <w:t xml:space="preserve">attempts to obtain a overall numerical result by synthesising the different types of evidence.</w:t>
      </w:r>
    </w:p>
    <w:p>
      <w:pPr>
        <w:pStyle w:val="BodyText"/>
      </w:pPr>
      <w:r>
        <w:t xml:space="preserve">However, previous attempts at triangulation ignore the potential for varying and opposing sources of bias within a evidence source. For example,</w:t>
      </w:r>
    </w:p>
    <w:p>
      <w:pPr>
        <w:pStyle w:val="BodyText"/>
      </w:pPr>
      <w:r>
        <w:t xml:space="preserve">The terminology used in describing different mechanisms by which an observed result may complicate interpretation. This section clearly defines how each are used in h</w:t>
      </w:r>
    </w:p>
    <w:p>
      <w:pPr>
        <w:pStyle w:val="BodyText"/>
      </w:pPr>
      <w:r>
        <w:t xml:space="preserve">Here, internal bias is used in terms of</w:t>
      </w:r>
    </w:p>
    <w:p>
      <w:pPr>
        <w:pStyle w:val="BodyText"/>
      </w:pPr>
      <w:r>
        <w:t xml:space="preserve">In contrast, external bias (also called indirectness, or )</w:t>
      </w:r>
    </w:p>
    <w:p>
      <w:pPr>
        <w:pStyle w:val="BodyText"/>
      </w:pPr>
      <w:r>
        <w:t xml:space="preserve">Additionally, potential biases can be additive or proportional. Pro</w:t>
      </w:r>
    </w:p>
    <w:p>
      <w:pPr>
        <w:pStyle w:val="BodyText"/>
      </w:pPr>
      <w:r>
        <w:t xml:space="preserve">Talk about problems of sclae - assuming bias direction at the study level works well if you only have one study per design category as in the example by Ference et al (e.g. IPD analysis of )</w:t>
      </w:r>
    </w:p>
    <w:p>
      <w:pPr>
        <w:pStyle w:val="BodyText"/>
      </w:pPr>
      <w:r>
        <w:t xml:space="preserve"> </w:t>
      </w:r>
    </w:p>
    <w:bookmarkEnd w:id="270"/>
    <w:bookmarkEnd w:id="271"/>
    <w:bookmarkStart w:id="283" w:name="methods-3"/>
    <w:p>
      <w:pPr>
        <w:pStyle w:val="Heading2"/>
      </w:pPr>
      <w:r>
        <w:t xml:space="preserve">Methods</w:t>
      </w:r>
    </w:p>
    <w:bookmarkStart w:id="272" w:name="tri-data-sources"/>
    <w:p>
      <w:pPr>
        <w:pStyle w:val="Heading3"/>
      </w:pPr>
      <w:r>
        <w:t xml:space="preserve">Data sources</w:t>
      </w:r>
    </w:p>
    <w:p>
      <w:pPr>
        <w:pStyle w:val="FirstParagraph"/>
      </w:pPr>
      <w:r>
        <w:t xml:space="preserve">As outlined in the thesis overview presented in Section</w:t>
      </w:r>
      <w:r>
        <w:t xml:space="preserve"> </w:t>
      </w:r>
      <w:r>
        <w:t xml:space="preserve">1.7</w:t>
      </w:r>
      <w:r>
        <w:t xml:space="preserve">, this triangulation exercise draws on the research produced in each of the preceding chapters. More specifically, this chapter builds on the comprehensive systematic review presented in chapter @re(sys-rev-heading), and incorporates the results of the analyses presented in Chapters</w:t>
      </w:r>
      <w:r>
        <w:t xml:space="preserve"> </w:t>
      </w:r>
      <w:r>
        <w:t xml:space="preserve">??</w:t>
      </w:r>
      <w:r>
        <w:t xml:space="preserve"> </w:t>
      </w:r>
      <w:r>
        <w:t xml:space="preserve">(assocation of statins with dementia outcomes in the CPRD) &amp;</w:t>
      </w:r>
      <w:r>
        <w:t xml:space="preserve"> </w:t>
      </w:r>
      <w:r>
        <w:t xml:space="preserve">6</w:t>
      </w:r>
      <w:r>
        <w:t xml:space="preserve"> </w:t>
      </w:r>
      <w:r>
        <w:t xml:space="preserve">(association of lipids with dementia outcomes in IPD).</w:t>
      </w:r>
    </w:p>
    <w:p>
      <w:pPr>
        <w:pStyle w:val="BodyText"/>
      </w:pPr>
      <w:r>
        <w:t xml:space="preserve">Table</w:t>
      </w:r>
      <w:r>
        <w:t xml:space="preserve"> </w:t>
      </w:r>
      <w:r>
        <w:t xml:space="preserve">19</w:t>
      </w:r>
      <w:r>
        <w:t xml:space="preserve"> </w:t>
      </w:r>
      <w:r>
        <w:t xml:space="preserve">illustrates the causal question each approach has attempted to address, along with the exposures and outcomes for each.</w:t>
      </w:r>
    </w:p>
    <w:p>
      <w:pPr>
        <w:pStyle w:val="BodyText"/>
      </w:pPr>
      <w:r>
        <w:t xml:space="preserve">Table 19: Summary of studies included in this thesis, and used as evidence sources in the triangulation exercise. Note, Chapter</w:t>
      </w:r>
      <w:r>
        <w:t xml:space="preserve"> </w:t>
      </w:r>
      <w:r>
        <w:t xml:space="preserve">2</w:t>
      </w:r>
      <w:r>
        <w:t xml:space="preserve"> </w:t>
      </w:r>
      <w:r>
        <w:t xml:space="preserve">is intentionally not included in this table, as it describes a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an individual participant data meta-analysis?</w:t>
      </w:r>
      <w:r>
        <w:t xml:space="preserve"> </w:t>
      </w:r>
    </w:p>
    <w:p>
      <w:pPr>
        <w:pStyle w:val="BodyText"/>
      </w:pPr>
      <w:r>
        <w:t xml:space="preserve">Lipids (HDL-c, LDL-c, TC, TG)</w:t>
      </w:r>
    </w:p>
    <w:p>
      <w:pPr>
        <w:pStyle w:val="BodyText"/>
      </w:pPr>
      <w:r>
        <w:t xml:space="preserve">Dementia, stratified by subtype</w:t>
      </w:r>
    </w:p>
    <w:p>
      <w:pPr>
        <w:pStyle w:val="BodyText"/>
      </w:pPr>
      <w:r>
        <w:t xml:space="preserve">Provides additional evidence from unanalysed datasets</w:t>
      </w:r>
      <w:r>
        <w:t xml:space="preserve"> </w:t>
      </w:r>
      <w:r>
        <w:t xml:space="preserve">Allows for stratification of effect by variables of interest (e.g. sex)</w:t>
      </w:r>
    </w:p>
    <w:bookmarkEnd w:id="272"/>
    <w:bookmarkStart w:id="273" w:name="qualitative-triangulation"/>
    <w:p>
      <w:pPr>
        <w:pStyle w:val="Heading3"/>
      </w:pPr>
      <w:r>
        <w:t xml:space="preserve">Qualitative triangulation</w:t>
      </w:r>
    </w:p>
    <w:p>
      <w:pPr>
        <w:pStyle w:val="FirstParagraph"/>
      </w:pPr>
      <w:r>
        <w:t xml:space="preserve">As a first step to triangulating the available evidence, all information sources were grouped by outcome, and systematically compared and contrasted. Potential reasons for heterogeneity between study designs were examined with specific reference to the risk-of-bias assessments performed.</w:t>
      </w:r>
    </w:p>
    <w:p>
      <w:pPr>
        <w:pStyle w:val="BodyText"/>
      </w:pPr>
      <w:r>
        <w:t xml:space="preserve">This analysis built on the detailed risk of bias assessments performed and presented as part of the systematic review (Chapter @ref()/@ref()). Similarly, risk-of-bias assessments were performed for each new source of evidence presented in this thesis, details of which are available in Appendix @ref(?).</w:t>
      </w:r>
    </w:p>
    <w:p>
      <w:pPr>
        <w:pStyle w:val="BodyText"/>
      </w:pPr>
      <w:r>
        <w:t xml:space="preserve"> </w:t>
      </w:r>
    </w:p>
    <w:bookmarkEnd w:id="273"/>
    <w:bookmarkStart w:id="282" w:name="quantitative-triangulation"/>
    <w:p>
      <w:pPr>
        <w:pStyle w:val="Heading3"/>
      </w:pPr>
      <w:r>
        <w:t xml:space="preserve">Quantitative triangulation</w:t>
      </w:r>
    </w:p>
    <w:p>
      <w:pPr>
        <w:pStyle w:val="FirstParagraph"/>
      </w:pPr>
      <w:r>
        <w:t xml:space="preserve">In addition to the qualitative discussion of evidence, I attempted to integrate the numerical results of the multiple approaches. This proof-of-concept approach incorporated advancements in the way that bias in results is assessed (domain-based assessment tools) and existing methods for bias-adjusted meta-analysis</w:t>
      </w:r>
      <w:hyperlink w:anchor="ref-turner2009">
        <w:r>
          <w:rPr>
            <w:rStyle w:val="Hyperlink"/>
            <w:vertAlign w:val="superscript"/>
          </w:rPr>
          <w:t xml:space="preserve">309</w:t>
        </w:r>
      </w:hyperlink>
      <w:r>
        <w:t xml:space="preserve"> </w:t>
      </w:r>
      <w:r>
        <w:t xml:space="preserve">to to illustrate how causal questions could be addressed under this quantitative triangulation framework.</w:t>
      </w:r>
    </w:p>
    <w:p>
      <w:pPr>
        <w:pStyle w:val="BodyText"/>
      </w:pPr>
      <w:r>
        <w:t xml:space="preserve">Several steps were used to accomplish this approach, as described in the following sections. In summary these steps are:</w:t>
      </w:r>
    </w:p>
    <w:p>
      <w:pPr>
        <w:numPr>
          <w:ilvl w:val="0"/>
          <w:numId w:val="1011"/>
        </w:numPr>
        <w:pStyle w:val="Compact"/>
      </w:pPr>
      <w:r>
        <w:t xml:space="preserve">Define the causal question of interest</w:t>
      </w:r>
    </w:p>
    <w:p>
      <w:pPr>
        <w:numPr>
          <w:ilvl w:val="0"/>
          <w:numId w:val="1011"/>
        </w:numPr>
        <w:pStyle w:val="Compact"/>
      </w:pPr>
      <w:r>
        <w:t xml:space="preserve">Identify of relevant evidence sources</w:t>
      </w:r>
    </w:p>
    <w:p>
      <w:pPr>
        <w:numPr>
          <w:ilvl w:val="0"/>
          <w:numId w:val="1011"/>
        </w:numPr>
        <w:pStyle w:val="Compact"/>
      </w:pPr>
      <w:r>
        <w:t xml:space="preserve">Assess(and visualise) the extent and direction of bias in each result</w:t>
      </w:r>
    </w:p>
    <w:p>
      <w:pPr>
        <w:numPr>
          <w:ilvl w:val="0"/>
          <w:numId w:val="1011"/>
        </w:numPr>
        <w:pStyle w:val="Compact"/>
      </w:pPr>
      <w:r>
        <w:t xml:space="preserve">Define modifying terms for bias and indirectness in each result</w:t>
      </w:r>
    </w:p>
    <w:p>
      <w:pPr>
        <w:numPr>
          <w:ilvl w:val="0"/>
          <w:numId w:val="1011"/>
        </w:numPr>
        <w:pStyle w:val="Compact"/>
      </w:pPr>
      <w:r>
        <w:t xml:space="preserve">Perform bias-adjusted meta-analysis using bias-/indirectness-adjusted results</w:t>
      </w:r>
    </w:p>
    <w:p>
      <w:pPr>
        <w:pStyle w:val="FirstParagraph"/>
      </w:pPr>
      <w:r>
        <w:t xml:space="preserve">The approach was implemented for two causal questions of interest, as defined below.</w:t>
      </w:r>
    </w:p>
    <w:p>
      <w:pPr>
        <w:pStyle w:val="BodyText"/>
      </w:pPr>
      <w:r>
        <w:t xml:space="preserve"> </w:t>
      </w:r>
    </w:p>
    <w:bookmarkStart w:id="274" w:name="Xbf1cd1ab4deda7fa53d92992e4b9113c65dbf8e"/>
    <w:p>
      <w:pPr>
        <w:pStyle w:val="Heading4"/>
      </w:pPr>
      <w:r>
        <w:t xml:space="preserve">Definition of the causal questions of interest (case-studies)</w:t>
      </w:r>
    </w:p>
    <w:p>
      <w:pPr>
        <w:pStyle w:val="FirstParagraph"/>
      </w:pPr>
      <w:r>
        <w:t xml:space="preserve">This was also guided by the forthcoming ROBINS-E tool, which has</w:t>
      </w:r>
    </w:p>
    <w:p>
      <w:pPr>
        <w:numPr>
          <w:ilvl w:val="0"/>
          <w:numId w:val="1012"/>
        </w:numPr>
        <w:pStyle w:val="Compact"/>
      </w:pPr>
      <w:r>
        <w:t xml:space="preserve">Effect of average exposure to LDL-c during midlife on AD</w:t>
      </w:r>
    </w:p>
    <w:p>
      <w:pPr>
        <w:numPr>
          <w:ilvl w:val="0"/>
          <w:numId w:val="1012"/>
        </w:numPr>
        <w:pStyle w:val="Compact"/>
      </w:pPr>
      <w:r>
        <w:t xml:space="preserve">Effect of late-life LDL-c on all-cause dementia</w:t>
      </w:r>
    </w:p>
    <w:p>
      <w:pPr>
        <w:pStyle w:val="FirstParagraph"/>
      </w:pPr>
      <w:r>
        <w:t xml:space="preserve"> </w:t>
      </w:r>
    </w:p>
    <w:p>
      <w:pPr>
        <w:pStyle w:val="BodyText"/>
      </w:pPr>
      <w:r>
        <w:t xml:space="preserve"> </w:t>
      </w:r>
    </w:p>
    <w:bookmarkEnd w:id="274"/>
    <w:bookmarkStart w:id="275" w:name="identify-relevant-studies"/>
    <w:p>
      <w:pPr>
        <w:pStyle w:val="Heading4"/>
      </w:pPr>
      <w:r>
        <w:t xml:space="preserve">Identify relevant studies</w:t>
      </w:r>
    </w:p>
    <w:p>
      <w:pPr>
        <w:pStyle w:val="FirstParagraph"/>
      </w:pPr>
      <w:r>
        <w:t xml:space="preserve">Once the causal question of interest had been defined, studies related to it were</w:t>
      </w:r>
    </w:p>
    <w:p>
      <w:pPr>
        <w:pStyle w:val="BodyText"/>
      </w:pPr>
      <w:r>
        <w:t xml:space="preserve">individual results were obtained from the general evidence sources described in Section</w:t>
      </w:r>
      <w:r>
        <w:t xml:space="preserve"> </w:t>
      </w:r>
      <w:r>
        <w:t xml:space="preserve">7.3.1</w:t>
      </w:r>
    </w:p>
    <w:p>
      <w:pPr>
        <w:pStyle w:val="BodyText"/>
      </w:pPr>
      <w:r>
        <w:t xml:space="preserve">In order to illustrate the bias-/indirectness adjustment process detailed in the subsequent sections, the process for calculating the adjusted estimate for a single study is described in detail for a single study. Following this, the process was applied to the two subsets of studies related to the causal questions of interest.</w:t>
      </w:r>
    </w:p>
    <w:p>
      <w:pPr>
        <w:pStyle w:val="BodyText"/>
      </w:pPr>
      <w:r>
        <w:t xml:space="preserve"> </w:t>
      </w:r>
    </w:p>
    <w:bookmarkEnd w:id="275"/>
    <w:bookmarkStart w:id="276" w:name="X9a324d01978004b306d2eef148ccb0b15bb4bcc"/>
    <w:p>
      <w:pPr>
        <w:pStyle w:val="Heading4"/>
      </w:pPr>
      <w:r>
        <w:t xml:space="preserve">Assess risk and direction of bias in each result</w:t>
      </w:r>
    </w:p>
    <w:p>
      <w:pPr>
        <w:pStyle w:val="FirstParagraph"/>
      </w:pPr>
      <w:r>
        <w:t xml:space="preserve">The risk of bias tools used to assess each result are described in detail in Section</w:t>
      </w:r>
      <w:r>
        <w:t xml:space="preserve"> </w:t>
      </w:r>
      <w:r>
        <w:t xml:space="preserve">3.3.7</w:t>
      </w:r>
      <w:r>
        <w:t xml:space="preserve">. In summary, randomized controlled trials were assessed using the RoB 2 tool;</w:t>
      </w:r>
      <w:hyperlink w:anchor="ref-sterne2019">
        <w:r>
          <w:rPr>
            <w:rStyle w:val="Hyperlink"/>
            <w:vertAlign w:val="superscript"/>
          </w:rPr>
          <w:t xml:space="preserve">143</w:t>
        </w:r>
      </w:hyperlink>
      <w:r>
        <w:t xml:space="preserve"> </w:t>
      </w:r>
      <w:r>
        <w:t xml:space="preserve">non-randomised studies of interventions (NRSI), were assessed using the ROBINS-I tool;</w:t>
      </w:r>
      <w:hyperlink w:anchor="ref-sterne2016">
        <w:r>
          <w:rPr>
            <w:rStyle w:val="Hyperlink"/>
            <w:vertAlign w:val="superscript"/>
          </w:rPr>
          <w:t xml:space="preserve">140</w:t>
        </w:r>
      </w:hyperlink>
    </w:p>
    <w:p>
      <w:pPr>
        <w:pStyle w:val="BodyText"/>
      </w:pPr>
      <w:r>
        <w:t xml:space="preserve">For the sake of consistency, I mapped the different acceptable judgements in each risk-of-bias tool to a harmonised set of judgements:</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r>
        <w:t xml:space="preserve"> </w:t>
      </w:r>
    </w:p>
    <w:p>
      <w:pPr>
        <w:pStyle w:val="BodyText"/>
      </w:pPr>
      <w:r>
        <w:t xml:space="preserve"> </w:t>
      </w:r>
    </w:p>
    <w:p>
      <w:pPr>
        <w:pStyle w:val="TableCaption"/>
      </w:pPr>
      <w:r>
        <w:t xml:space="preserve">Table 20:</w:t>
      </w:r>
      <w:r>
        <w:t xml:space="preserve"> </w:t>
      </w:r>
      <w:bookmarkStart w:id="90cf99ed-cfda-4e5d-a1e8-0b3f66087869" w:name="tab:robLevelsMapping-table"/>
      <w:r>
        <w:t xml:space="preserve">robLevelsMapping</w:t>
      </w:r>
      <w:bookmarkEnd w:id="90cf99ed-cfda-4e5d-a1e8-0b3f6608786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in each domain, as defined by the three levels detailed above, I attempted to records the direction of the bias, so that it could feed into the triangulation.</w:t>
      </w:r>
    </w:p>
    <w:p>
      <w:pPr>
        <w:pStyle w:val="BodyText"/>
      </w:pPr>
      <w:r>
        <w:t xml:space="preserve">This was achieved via an additional question at the end of each bias domain, which asked assessors to predict the expected direction of bias in that domain. Note that this question is only apply to existing tools (ROB2/ROBINS-I/ROBINS-E), but I employed an identical approach during assessment of Mendelian randomisation studies. This optional question response were:</w:t>
      </w:r>
    </w:p>
    <w:p>
      <w:pPr>
        <w:numPr>
          <w:ilvl w:val="0"/>
          <w:numId w:val="1013"/>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(additive bias)</w:t>
      </w:r>
    </w:p>
    <w:p>
      <w:pPr>
        <w:numPr>
          <w:ilvl w:val="0"/>
          <w:numId w:val="1013"/>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(proportional bias)</w:t>
      </w:r>
    </w:p>
    <w:p>
      <w:pPr>
        <w:numPr>
          <w:ilvl w:val="0"/>
          <w:numId w:val="1013"/>
        </w:numPr>
        <w:pStyle w:val="Compact"/>
      </w:pPr>
      <w:r>
        <w:t xml:space="preserve">“</w:t>
      </w:r>
      <w:r>
        <w:t xml:space="preserve">Unpredictable</w:t>
      </w:r>
      <w:r>
        <w:t xml:space="preserve">”</w:t>
      </w:r>
    </w:p>
    <w:p>
      <w:pPr>
        <w:pStyle w:val="FirstParagraph"/>
      </w:pPr>
      <w:r>
        <w:t xml:space="preserve">As indicated in the options above, the response t this prompt is used both to define the direction and type (additive or proportional) of bias.</w:t>
      </w:r>
    </w:p>
    <w:p>
      <w:pPr>
        <w:pStyle w:val="BodyText"/>
      </w:pPr>
      <w:r>
        <w:t xml:space="preserve">Additive biases (identified by a</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response) are XXXX. A key example of additive bias is immortal time bias, which will always favour the intervention.</w:t>
      </w:r>
    </w:p>
    <w:p>
      <w:pPr>
        <w:pStyle w:val="BodyText"/>
      </w:pPr>
      <w:r>
        <w:t xml:space="preserve">Proportional biases (identified by a</w:t>
      </w:r>
      <w:r>
        <w:t xml:space="preserve"> </w:t>
      </w:r>
      <w:r>
        <w:t xml:space="preserve">“</w:t>
      </w:r>
      <w:r>
        <w:t xml:space="preserve">Towards null</w:t>
      </w:r>
      <w:r>
        <w:t xml:space="preserve">”</w:t>
      </w:r>
      <w:r>
        <w:t xml:space="preserve">/</w:t>
      </w:r>
      <w:r>
        <w:t xml:space="preserve">“</w:t>
      </w:r>
      <w:r>
        <w:t xml:space="preserve">Away from null</w:t>
      </w:r>
      <w:r>
        <w:t xml:space="preserve">”</w:t>
      </w:r>
      <w:r>
        <w:t xml:space="preserve"> </w:t>
      </w:r>
      <w:r>
        <w:t xml:space="preserve">response) are those related to the magnitude of the effect. A key example of this type of bias is non-differential misclassification bias, which will bias the effect estimate towards the null.</w:t>
      </w:r>
    </w:p>
    <w:p>
      <w:pPr>
        <w:pStyle w:val="BodyText"/>
      </w:pPr>
      <w:r>
        <w:t xml:space="preserve">When predicting the direction of effect</w:t>
      </w:r>
    </w:p>
    <w:p>
      <w:pPr>
        <w:pStyle w:val="BodyText"/>
      </w:pPr>
      <w:r>
        <w:t xml:space="preserve">From these response the direction of effect was calculated. For additive biases, this was simply a case of shifting the effect estimate to the left or right. For proportional biases, decide</w:t>
      </w:r>
    </w:p>
    <w:p>
      <w:pPr>
        <w:pStyle w:val="BodyText"/>
      </w:pPr>
      <w:r>
        <w:t xml:space="preserve">For example, the direction of the bias when the direction of bias is thought to favour the intervention/exposure will be be same regardless of the position of the point estimate. The same is not true for the</w:t>
      </w:r>
      <w:r>
        <w:t xml:space="preserve"> </w:t>
      </w:r>
      <w:r>
        <w:t xml:space="preserve">“</w:t>
      </w:r>
      <w:r>
        <w:t xml:space="preserve">Towards the null</w:t>
      </w:r>
      <w:r>
        <w:t xml:space="preserve">”</w:t>
      </w:r>
      <w:r>
        <w:t xml:space="preserve">/</w:t>
      </w:r>
      <w:r>
        <w:t xml:space="preserve">“</w:t>
      </w:r>
      <w:r>
        <w:t xml:space="preserve">Away from the null</w:t>
      </w:r>
      <w:r>
        <w:t xml:space="preserve">”</w:t>
      </w:r>
      <w:r>
        <w:t xml:space="preserve"> </w:t>
      </w:r>
      <w:r>
        <w:t xml:space="preserve">options.</w:t>
      </w:r>
    </w:p>
    <w:p>
      <w:pPr>
        <w:pStyle w:val="BodyText"/>
      </w:pPr>
      <w:r>
        <w:t xml:space="preserve">For example, if the effect estimate represents a protective effect (below the null), then bias towards the null would be represented by a right pointing arrow (Figure</w:t>
      </w:r>
      <w:r>
        <w:t xml:space="preserve"> </w:t>
      </w:r>
      <w:r>
        <w:t xml:space="preserve">??</w:t>
      </w:r>
      <w:r>
        <w:t xml:space="preserve">). In contrast, if the effect of the intervention is harmful (effect estimate above the null), bias towards the null will be represented by a right-pointing arrow. The program to create these figures thus requires knowledge of both the predicted direction of bias and the effect estimate.</w:t>
      </w:r>
    </w:p>
    <w:p>
      <w:pPr>
        <w:pStyle w:val="BodyText"/>
      </w:pPr>
      <w:r>
        <w:t xml:space="preserve">However,</w:t>
      </w:r>
    </w:p>
    <w:p>
      <w:pPr>
        <w:pStyle w:val="BodyText"/>
      </w:pPr>
      <w:r>
        <w:t xml:space="preserve">S</w:t>
      </w:r>
    </w:p>
    <w:p>
      <w:pPr>
        <w:pStyle w:val="BodyText"/>
      </w:pPr>
      <w:r>
        <w:t xml:space="preserve">Highlight that this is slightly different for the confounding domain in non-randomised studies, which only allows for the</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 and</w:t>
      </w:r>
      <w:r>
        <w:t xml:space="preserve"> </w:t>
      </w:r>
      <w:r>
        <w:t xml:space="preserve">“</w:t>
      </w:r>
      <w:r>
        <w:t xml:space="preserve">Unpredictable</w:t>
      </w:r>
      <w:r>
        <w:t xml:space="preserve">”</w:t>
      </w:r>
      <w:r>
        <w:t xml:space="preserve"> </w:t>
      </w:r>
      <w:r>
        <w:t xml:space="preserve">options.</w:t>
      </w:r>
    </w:p>
    <w:p>
      <w:pPr>
        <w:pStyle w:val="BodyText"/>
      </w:pPr>
      <w:r>
        <w:t xml:space="preserve">Of note, the guidance for the tools suggests that if assessors are not able to articulate why the bias in a given domain will</w:t>
      </w:r>
      <w:r>
        <w:t xml:space="preserve"> </w:t>
      </w:r>
      <w:r>
        <w:t xml:space="preserve">“</w:t>
      </w:r>
      <w:r>
        <w:t xml:space="preserve">pull</w:t>
      </w:r>
      <w:r>
        <w:t xml:space="preserve">”</w:t>
      </w:r>
      <w:r>
        <w:t xml:space="preserve"> </w:t>
      </w:r>
      <w:r>
        <w:t xml:space="preserve">the observed estimate in a specific direction, they should not try to guess.</w:t>
      </w:r>
    </w:p>
    <w:p>
      <w:pPr>
        <w:pStyle w:val="BodyText"/>
      </w:pPr>
      <w:r>
        <w:t xml:space="preserve">To assess the usefulness of this system, the number of domains for which bias was expected (i.e. judged to be a more than Low risk of bias) but for which no expected direction could be identified were expressed as a percentage. If this percentage is high, the helpfulness of the approach is</w:t>
      </w:r>
    </w:p>
    <w:bookmarkEnd w:id="276"/>
    <w:bookmarkStart w:id="277" w:name="X1195b314c396a2a953d38d090671ff29095f74d"/>
    <w:p>
      <w:pPr>
        <w:pStyle w:val="Heading4"/>
      </w:pPr>
      <w:r>
        <w:t xml:space="preserve">Visualisation of extent and direction of bias</w:t>
      </w:r>
    </w:p>
    <w:p>
      <w:pPr>
        <w:pStyle w:val="FirstParagraph"/>
      </w:pPr>
      <w:r>
        <w:t xml:space="preserve">To aid with the triangulation exercise and to act as, I created a new method of presentation of the extent/direction bias asessment results to enable detailed comparison across different studies contributing to the synthesis. While these figures do not</w:t>
      </w:r>
    </w:p>
    <w:p>
      <w:pPr>
        <w:pStyle w:val="BodyText"/>
      </w:pPr>
      <w:r>
        <w:t xml:space="preserve">Similar to the standard paired forest plots introduced in Chapter</w:t>
      </w:r>
      <w:r>
        <w:t xml:space="preserve"> </w:t>
      </w:r>
      <w:r>
        <w:t xml:space="preserve">??</w:t>
      </w:r>
      <w:r>
        <w:t xml:space="preserve">, the level of bias across the domains in each study is reported using coloured blocks. However, in contrast to the previous plots, arrows are used in place to illustrate the predicted direction of bias in that domain, categorised as pulling towards the left or the right.</w:t>
      </w:r>
    </w:p>
    <w:p>
      <w:pPr>
        <w:pStyle w:val="BodyText"/>
      </w:pPr>
      <w:r>
        <w:t xml:space="preserve">This second aspect required some additional consideration, given the distinct and competing options available to assessors.</w:t>
      </w:r>
    </w:p>
    <w:p>
      <w:pPr>
        <w:pStyle w:val="BodyText"/>
      </w:pPr>
      <w:r>
        <w:t xml:space="preserve">Tha</w:t>
      </w:r>
    </w:p>
    <w:p>
      <w:pPr>
        <w:pStyle w:val="BodyText"/>
      </w:pPr>
      <w:r>
        <w:t xml:space="preserve">Helper functions in the forthcoming</w:t>
      </w:r>
      <w:r>
        <w:t xml:space="preserve"> </w:t>
      </w:r>
      <w:r>
        <w:rPr>
          <w:rStyle w:val="VerbatimChar"/>
        </w:rPr>
        <w:t xml:space="preserve">triangulate</w:t>
      </w:r>
      <w:r>
        <w:t xml:space="preserve"> </w:t>
      </w:r>
      <w:r>
        <w:t xml:space="preserve">package - see Appendix @ref() - help to preprocess risk of bias data for use with both bias-direction plots and adjusted meta-analyses. These bias direction plots themselves were created using the risk of bias isualisation tool described in Appendix</w:t>
      </w:r>
      <w:r>
        <w:t xml:space="preserve"> </w:t>
      </w:r>
      <w:r>
        <w:t xml:space="preserve">().</w:t>
      </w:r>
    </w:p>
    <w:p>
      <w:pPr>
        <w:pStyle w:val="BodyText"/>
      </w:pPr>
      <w:r>
        <w:t xml:space="preserve">Where the direction of bias was unclear/could not be determined from the report, this is indicated by a dash.</w:t>
      </w:r>
    </w:p>
    <w:p>
      <w:pPr>
        <w:pStyle w:val="BodyText"/>
      </w:pPr>
      <w:r>
        <w:t xml:space="preserve"> </w:t>
      </w:r>
    </w:p>
    <w:bookmarkEnd w:id="277"/>
    <w:bookmarkStart w:id="278" w:name="Xf309e4012b82e4836ce2bde824f3f232fac5ff8"/>
    <w:p>
      <w:pPr>
        <w:pStyle w:val="Heading4"/>
      </w:pPr>
      <w:r>
        <w:t xml:space="preserve">Assign modifying values to risk/direction of bias</w:t>
      </w:r>
    </w:p>
    <w:p>
      <w:pPr>
        <w:pStyle w:val="FirstParagraph"/>
      </w:pPr>
      <w:r>
        <w:t xml:space="preserve">For example, for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deifined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relative direction of the bias in relation to the point estimate. If the bias is expected to pull the effect to the left, the position is given a negative sign, and if it is expected to pull the effect to the right, it is given a positive sign.</w:t>
      </w:r>
    </w:p>
    <w:p>
      <w:pPr>
        <w:pStyle w:val="BodyText"/>
      </w:pPr>
      <w:r>
        <w:t xml:space="preserve">One key feature of the domain-based risk-of-bias domains is that the domains are considered interchangeable - i.e. a</w:t>
      </w:r>
      <w:r>
        <w:t xml:space="preserve"> </w:t>
      </w:r>
      <w:r>
        <w:t xml:space="preserve">“</w:t>
      </w:r>
      <w:r>
        <w:t xml:space="preserve">high</w:t>
      </w:r>
      <w:r>
        <w:t xml:space="preserve">”</w:t>
      </w:r>
      <w:r>
        <w:t xml:space="preserve"> </w:t>
      </w:r>
      <w:r>
        <w:t xml:space="preserve">bias in one domain is equivalent to a</w:t>
      </w:r>
      <w:r>
        <w:t xml:space="preserve"> </w:t>
      </w:r>
      <w:r>
        <w:t xml:space="preserve">“</w:t>
      </w:r>
      <w:r>
        <w:t xml:space="preserve">high</w:t>
      </w:r>
      <w:r>
        <w:t xml:space="preserve">”</w:t>
      </w:r>
      <w:r>
        <w:t xml:space="preserve"> </w:t>
      </w:r>
      <w:r>
        <w:t xml:space="preserve">bias in any other. As such, for this analysis, I assumed that the distributions assigned to each level of bias are identical across all values of</w:t>
      </w:r>
      <w:r>
        <w:t xml:space="preserve"> </w:t>
      </w:r>
      <m:oMath>
        <m:r>
          <m:t>j</m:t>
        </m:r>
      </m:oMath>
      <w:r>
        <w:t xml:space="preserve">, that is, are identical for all domains in the risk of bias assessment tool.</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For the purposes of this example analysis,</w:t>
      </w:r>
    </w:p>
    <w:p>
      <w:pPr>
        <w:pStyle w:val="BodyText"/>
      </w:pPr>
      <w:r>
        <w:t xml:space="preserve">High</w:t>
      </w:r>
      <w:r>
        <w:t xml:space="preserve"> </w:t>
      </w:r>
      <w:r>
        <w:t xml:space="preserve">Some concerns</w:t>
      </w:r>
    </w:p>
    <w:p>
      <w:pPr>
        <w:pStyle w:val="BodyText"/>
      </w:pPr>
      <w:r>
        <w:t xml:space="preserve">These figures were sense-checked against</w:t>
      </w:r>
    </w:p>
    <w:p>
      <w:pPr>
        <w:pStyle w:val="BodyText"/>
      </w:pPr>
      <w:r>
        <w:t xml:space="preserve">However, this also allows us to a priori define common modifying values across all domains of bias. In a bias-adjusted meta-analysis using this approach, a high risk of bias in the will have the same modifying effect on the results.</w:t>
      </w:r>
    </w:p>
    <w:p>
      <w:pPr>
        <w:pStyle w:val="BodyText"/>
      </w:pPr>
      <w:r>
        <w:t xml:space="preserve">As such, a simulation approach was taken to explore the impacts of several different strategies</w:t>
      </w:r>
    </w:p>
    <w:p>
      <w:pPr>
        <w:pStyle w:val="BodyText"/>
      </w:pPr>
      <w:r>
        <w:t xml:space="preserve"> </w:t>
      </w:r>
    </w:p>
    <w:p>
      <w:pPr>
        <w:pStyle w:val="TableCaption"/>
      </w:pPr>
      <w:r>
        <w:t xml:space="preserve">Table 21:</w:t>
      </w:r>
      <w:r>
        <w:t xml:space="preserve"> </w:t>
      </w:r>
      <w:bookmarkStart w:id="7a3574f5-42e9-4a03-be4f-2e34819a9e0b" w:name="tab:priorsAdd-table"/>
      <w:r>
        <w:t xml:space="preserve">Distributions for additive bias assigned to each bias judgement under two sensitivity scenarios, on the log scale.</w:t>
      </w:r>
      <w:bookmarkEnd w:id="7a3574f5-42e9-4a03-be4f-2e34819a9e0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N(.3, .12)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N(.3, .12)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N(.3, .12)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N(.3, .12)</w:t>
            </w:r>
          </w:p>
        </w:tc>
      </w:tr>
    </w:tbl>
    <w:p>
      <w:pPr>
        <w:pStyle w:val="BodyText"/>
      </w:pPr>
      <w:r>
        <w:t xml:space="preserve"> </w:t>
      </w:r>
    </w:p>
    <w:bookmarkEnd w:id="278"/>
    <w:bookmarkStart w:id="279" w:name="assign-modifying-values-to-indirectness"/>
    <w:p>
      <w:pPr>
        <w:pStyle w:val="Heading4"/>
      </w:pPr>
      <w:r>
        <w:t xml:space="preserve">Assign modifying values to indirectness</w:t>
      </w:r>
    </w:p>
    <w:p>
      <w:pPr>
        <w:pStyle w:val="FirstParagraph"/>
      </w:pPr>
      <w:r>
        <w:t xml:space="preserve">As I am attempting to identify the causal effect across different study designs, I needed to . This is not necessary if just summarising the literature.</w:t>
      </w:r>
    </w:p>
    <w:p>
      <w:pPr>
        <w:pStyle w:val="BodyText"/>
      </w:pPr>
      <w:r>
        <w:t xml:space="preserve">A similar approach was used to define prior distributions for external bias or indirectness. I used a similar enforced scale of</w:t>
      </w:r>
      <w:r>
        <w:t xml:space="preserve"> </w:t>
      </w:r>
      <w:r>
        <w:t xml:space="preserve">“</w:t>
      </w:r>
      <w:r>
        <w:t xml:space="preserve">Low/</w:t>
      </w:r>
      <w:r>
        <w:t xml:space="preserve">”</w:t>
      </w:r>
      <w:r>
        <w:t xml:space="preserve">Moderate</w:t>
      </w:r>
      <w:r>
        <w:t xml:space="preserve">“</w:t>
      </w:r>
      <w:r>
        <w:t xml:space="preserve">/</w:t>
      </w:r>
      <w:r>
        <w:t xml:space="preserve">”</w:t>
      </w:r>
      <w:r>
        <w:t xml:space="preserve">High" indirectness versus each of the 4 aspects of the target causal question. (recap).</w:t>
      </w:r>
    </w:p>
    <w:p>
      <w:pPr>
        <w:pStyle w:val="BodyText"/>
      </w:pPr>
      <w:r>
        <w:t xml:space="preserve">In the original method, this was assessed against 4 categories of internal bias.</w:t>
      </w:r>
    </w:p>
    <w:p>
      <w:pPr>
        <w:pStyle w:val="BodyText"/>
      </w:pPr>
      <w:r>
        <w:t xml:space="preserve">In this</w:t>
      </w:r>
    </w:p>
    <w:p>
      <w:pPr>
        <w:pStyle w:val="BodyText"/>
      </w:pPr>
      <w:r>
        <w:t xml:space="preserve">“</w:t>
      </w:r>
      <w:r>
        <w:t xml:space="preserve">One important difference between these approaches that will need to be addressed in the triangulation is that RCTs relate to short-term modification of lipid levels, whereas Mendelian randomisation studies typically refer to lifelong exposures; and traditional observational epidemiology approaches may refer to short or longterm exposure (although are often not explicit about this). The triangulation will take these into account, for example by superimposing the studies on a hypothetical model for exposure-outcome relationship across the life course.</w:t>
      </w:r>
      <w:r>
        <w:t xml:space="preserve">”</w:t>
      </w:r>
    </w:p>
    <w:p>
      <w:pPr>
        <w:pStyle w:val="BodyText"/>
      </w:pPr>
      <w:r>
        <w:t xml:space="preserve"> </w:t>
      </w:r>
    </w:p>
    <w:bookmarkEnd w:id="279"/>
    <w:bookmarkStart w:id="280" w:name="combine-in-a-bias-adjusted-meta-analysis"/>
    <w:p>
      <w:pPr>
        <w:pStyle w:val="Heading4"/>
      </w:pPr>
      <w:r>
        <w:t xml:space="preserve">Combine in a bias-adjusted meta-analysis</w:t>
      </w:r>
    </w:p>
    <w:p>
      <w:pPr>
        <w:pStyle w:val="FirstParagraph"/>
      </w:pPr>
      <w:r>
        <w:t xml:space="preserve">Once the total internal and external additive and proportional biases for each result were computed, they were used to define an adjusted estimate for each result included in the synthesis</w:t>
      </w:r>
    </w:p>
    <w:p>
      <w:pPr>
        <w:pStyle w:val="BodyText"/>
      </w:pPr>
      <w:r>
        <w:t xml:space="preserve">Using the method defined in Turner</w:t>
      </w:r>
      <w:r>
        <w:t xml:space="preserve"> </w:t>
      </w:r>
      <w:r>
        <w:rPr>
          <w:iCs/>
          <w:i/>
        </w:rPr>
        <w:t xml:space="preserve">et al</w:t>
      </w:r>
      <w:r>
        <w:t xml:space="preserve">,</w:t>
      </w:r>
      <w:hyperlink w:anchor="ref-turner2009">
        <w:r>
          <w:rPr>
            <w:rStyle w:val="Hyperlink"/>
            <w:vertAlign w:val="superscript"/>
          </w:rPr>
          <w:t xml:space="preserve">309</w:t>
        </w:r>
      </w:hyperlink>
      <w:r>
        <w:t xml:space="preserve"> </w:t>
      </w:r>
      <w:r>
        <w:t xml:space="preserve">the adjusted estimate for each result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δ</m:t>
                  </m:r>
                </m:sub>
                <m:sup>
                  <m:r>
                    <m:rPr>
                      <m:sty m:val="p"/>
                    </m:rPr>
                    <m:t>I</m:t>
                  </m:r>
                </m:sup>
              </m:sSubSup>
              <m:r>
                <m:rPr>
                  <m:sty m:val="p"/>
                </m:rPr>
                <m:t>−</m:t>
              </m:r>
              <m:sSubSup>
                <m:e>
                  <m:r>
                    <m:t>μ</m:t>
                  </m:r>
                </m:e>
                <m:sub>
                  <m:r>
                    <m:t>i</m:t>
                  </m:r>
                  <m:r>
                    <m:t>β</m:t>
                  </m:r>
                </m:sub>
                <m:sup>
                  <m:r>
                    <m:rPr>
                      <m:sty m:val="p"/>
                    </m:rPr>
                    <m:t>E</m:t>
                  </m:r>
                </m:sup>
              </m:sSubSup>
              <m:sSubSup>
                <m:e>
                  <m:r>
                    <m:t>μ</m:t>
                  </m:r>
                </m:e>
                <m:sub>
                  <m:r>
                    <m:t>i</m:t>
                  </m:r>
                  <m:r>
                    <m:t>δ</m:t>
                  </m:r>
                </m:sub>
                <m:sup>
                  <m:r>
                    <m:rPr>
                      <m:sty m:val="p"/>
                    </m:rPr>
                    <m:t>E</m:t>
                  </m:r>
                </m:sup>
              </m:sSubSup>
            </m:num>
            <m:den>
              <m:sSubSup>
                <m:e>
                  <m:r>
                    <m:t>μ</m:t>
                  </m:r>
                </m:e>
                <m:sub>
                  <m:r>
                    <m:t>i</m:t>
                  </m:r>
                  <m:r>
                    <m:t>β</m:t>
                  </m:r>
                </m:sub>
                <m:sup>
                  <m:r>
                    <m:rPr>
                      <m:sty m:val="p"/>
                    </m:rPr>
                    <m:t>I</m:t>
                  </m:r>
                </m:sup>
              </m:sSubSup>
              <m:sSubSup>
                <m:e>
                  <m:r>
                    <m:t>μ</m:t>
                  </m:r>
                </m:e>
                <m:sub>
                  <m:r>
                    <m:t>i</m:t>
                  </m:r>
                  <m:r>
                    <m:t>δ</m:t>
                  </m:r>
                </m:sub>
                <m:sup>
                  <m:r>
                    <m:rPr>
                      <m:sty m:val="p"/>
                    </m:rPr>
                    <m:t>E</m:t>
                  </m:r>
                </m:sup>
              </m:sSubSup>
            </m:den>
          </m:f>
        </m:oMath>
      </m:oMathPara>
    </w:p>
    <w:p>
      <w:pPr>
        <w:pStyle w:val="FirstParagraph"/>
      </w:pPr>
      <w:r>
        <w:t xml:space="preserve">where</w:t>
      </w:r>
      <w:r>
        <w:t xml:space="preserve"> </w:t>
      </w:r>
      <m:oMath>
        <m:sSub>
          <m:e>
            <m:r>
              <m:t>μ</m:t>
            </m:r>
          </m:e>
          <m:sub>
            <m:r>
              <m:t>i</m:t>
            </m:r>
            <m:r>
              <m:t>δ</m:t>
            </m:r>
          </m:sub>
        </m:sSub>
      </m:oMath>
      <w:r>
        <w:t xml:space="preserve"> </w:t>
      </w:r>
      <w:r>
        <w:t xml:space="preserve">denotes total additive and</w:t>
      </w:r>
      <w:r>
        <w:t xml:space="preserve"> </w:t>
      </w:r>
      <m:oMath>
        <m:sSub>
          <m:e>
            <m:r>
              <m:t>μ</m:t>
            </m:r>
          </m:e>
          <m:sub>
            <m:r>
              <m:t>i</m:t>
            </m:r>
            <m:r>
              <m:t>β</m:t>
            </m:r>
          </m:sub>
        </m:sSub>
      </m:oMath>
      <w:r>
        <w:t xml:space="preserve"> </w:t>
      </w:r>
      <w:r>
        <w:t xml:space="preserve">the total proportional bias, and the</w:t>
      </w:r>
      <w:r>
        <w:t xml:space="preserve"> </w:t>
      </w:r>
      <m:oMath>
        <m:sSup>
          <m:e>
            <m:r>
              <m:t>​</m:t>
            </m:r>
          </m:e>
          <m:sup>
            <m:r>
              <m:rPr>
                <m:sty m:val="p"/>
              </m:rPr>
              <m:t>I</m:t>
            </m:r>
          </m:sup>
        </m:sSup>
      </m:oMath>
      <w:r>
        <w:t xml:space="preserve"> </w:t>
      </w:r>
      <w:r>
        <w:t xml:space="preserve">and</w:t>
      </w:r>
      <w:r>
        <w:t xml:space="preserve"> </w:t>
      </w:r>
      <m:oMath>
        <m:sSup>
          <m:e>
            <m:r>
              <m:t>​</m:t>
            </m:r>
          </m:e>
          <m:sup>
            <m:r>
              <m:rPr>
                <m:sty m:val="p"/>
              </m:rPr>
              <m:t>E</m:t>
            </m:r>
          </m:sup>
        </m:sSup>
      </m:oMath>
      <w:r>
        <w:t xml:space="preserve"> </w:t>
      </w:r>
      <w:r>
        <w:t xml:space="preserve">superscripts denote internal and external (indirectness) biases respectively.</w:t>
      </w:r>
    </w:p>
    <w:p>
      <w:pPr>
        <w:pStyle w:val="BodyText"/>
      </w:pPr>
      <w:r>
        <w:t xml:space="preserve">using the same terms, the standard error of this estimate,</w:t>
      </w:r>
      <w:r>
        <w:t xml:space="preserve"> </w:t>
      </w:r>
      <m:oMath>
        <m:acc>
          <m:accPr>
            <m:chr m:val="̂"/>
          </m:accPr>
          <m:e>
            <m:r>
              <m:t>θ</m:t>
            </m:r>
          </m:e>
        </m:acc>
      </m:oMath>
      <w:r>
        <w:t xml:space="preserv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I</m:t>
                          </m:r>
                        </m:sup>
                      </m:sSubSup>
                      <m:sSubSup>
                        <m:e>
                          <m:r>
                            <m:t>μ</m:t>
                          </m:r>
                        </m:e>
                        <m:sub>
                          <m:r>
                            <m:t>i</m:t>
                          </m:r>
                          <m:r>
                            <m:t>β</m:t>
                          </m:r>
                        </m:sub>
                        <m:sup>
                          <m:r>
                            <m:rPr>
                              <m:sty m:val="p"/>
                            </m:rPr>
                            <m:t>E</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I</m:t>
                      </m:r>
                    </m:sup>
                  </m:sSubSup>
                  <m:r>
                    <m:t>2</m:t>
                  </m:r>
                  <m:r>
                    <m:rPr>
                      <m:sty m:val="p"/>
                    </m:rPr>
                    <m:t>+</m:t>
                  </m:r>
                  <m:sSubSup>
                    <m:e>
                      <m:r>
                        <m:t>σ</m:t>
                      </m:r>
                    </m:e>
                    <m:sub>
                      <m:r>
                        <m:t>i</m:t>
                      </m:r>
                      <m:r>
                        <m:t>β</m:t>
                      </m:r>
                    </m:sub>
                    <m:sup>
                      <m:r>
                        <m:rPr>
                          <m:sty m:val="p"/>
                        </m:rPr>
                        <m:t>I</m:t>
                      </m:r>
                    </m:sup>
                  </m:sSubSup>
                </m:e>
              </m:d>
              <m:d>
                <m:dPr>
                  <m:begChr m:val="("/>
                  <m:endChr m:val=")"/>
                  <m:grow/>
                </m:dPr>
                <m:e>
                  <m:sSup>
                    <m:e>
                      <m:acc>
                        <m:accPr>
                          <m:chr m:val="̂"/>
                        </m:accPr>
                        <m:e>
                          <m:r>
                            <m:t>θ</m:t>
                          </m:r>
                        </m:e>
                      </m:acc>
                    </m:e>
                    <m:sup>
                      <m:r>
                        <m:t>2</m:t>
                      </m:r>
                    </m:sup>
                  </m:sSup>
                  <m:sSubSup>
                    <m:e>
                      <m:r>
                        <m:t>σ</m:t>
                      </m:r>
                    </m:e>
                    <m:sub>
                      <m:r>
                        <m:t>i</m:t>
                      </m:r>
                      <m:r>
                        <m:t>β</m:t>
                      </m:r>
                    </m:sub>
                    <m:sup>
                      <m:r>
                        <m:rPr>
                          <m:sty m:val="p"/>
                        </m:rPr>
                        <m:t>E</m:t>
                      </m:r>
                      <m:r>
                        <m:t>2</m:t>
                      </m:r>
                    </m:sup>
                  </m:sSubSup>
                  <m:r>
                    <m:rPr>
                      <m:sty m:val="p"/>
                    </m:rPr>
                    <m:t>+</m:t>
                  </m:r>
                  <m:sSubSup>
                    <m:e>
                      <m:r>
                        <m:t>σ</m:t>
                      </m:r>
                    </m:e>
                    <m:sub>
                      <m:r>
                        <m:t>i</m:t>
                      </m:r>
                      <m:r>
                        <m:t>δ</m:t>
                      </m:r>
                    </m:sub>
                    <m:sup>
                      <m:r>
                        <m:rPr>
                          <m:sty m:val="p"/>
                        </m:rPr>
                        <m:t>E</m:t>
                      </m:r>
                      <m:r>
                        <m:t>2</m:t>
                      </m:r>
                    </m:sup>
                  </m:sSubSup>
                </m:e>
              </m:d>
              <m:r>
                <m:rPr>
                  <m:sty m:val="p"/>
                </m:rPr>
                <m:t>+</m:t>
              </m:r>
              <m:sSubSup>
                <m:e>
                  <m:r>
                    <m:t>σ</m:t>
                  </m:r>
                </m:e>
                <m:sub>
                  <m:r>
                    <m:t>i</m:t>
                  </m:r>
                  <m:r>
                    <m:t>β</m:t>
                  </m:r>
                </m:sub>
                <m:sup>
                  <m:r>
                    <m:rPr>
                      <m:sty m:val="p"/>
                    </m:rPr>
                    <m:t>I</m:t>
                  </m:r>
                </m:sup>
              </m:sSubSup>
              <m:sSup>
                <m:e>
                  <m:d>
                    <m:dPr>
                      <m:begChr m:val="("/>
                      <m:endChr m:val=")"/>
                      <m:grow/>
                    </m:dPr>
                    <m:e>
                      <m:acc>
                        <m:accPr>
                          <m:chr m:val="̂"/>
                        </m:accPr>
                        <m:e>
                          <m:r>
                            <m:t>θ</m:t>
                          </m:r>
                        </m:e>
                      </m:acc>
                      <m:sSubSup>
                        <m:e>
                          <m:r>
                            <m:t>μ</m:t>
                          </m:r>
                        </m:e>
                        <m:sub>
                          <m:r>
                            <m:t>i</m:t>
                          </m:r>
                          <m:r>
                            <m:t>β</m:t>
                          </m:r>
                        </m:sub>
                        <m:sup>
                          <m:r>
                            <m:rPr>
                              <m:sty m:val="p"/>
                            </m:rPr>
                            <m:t>E</m:t>
                          </m:r>
                        </m:sup>
                      </m:sSubSup>
                      <m:r>
                        <m:rPr>
                          <m:sty m:val="p"/>
                        </m:rPr>
                        <m:t>+</m:t>
                      </m:r>
                      <m:sSubSup>
                        <m:e>
                          <m:r>
                            <m:t>μ</m:t>
                          </m:r>
                        </m:e>
                        <m:sub>
                          <m:r>
                            <m:t>i</m:t>
                          </m:r>
                          <m:r>
                            <m:t>δ</m:t>
                          </m:r>
                        </m:sub>
                        <m:sup>
                          <m:r>
                            <m:rPr>
                              <m:sty m:val="p"/>
                            </m:rPr>
                            <m:t>E</m:t>
                          </m:r>
                        </m:sup>
                      </m:sSubSup>
                    </m:e>
                  </m:d>
                </m:e>
                <m:sup>
                  <m:r>
                    <m:t>2</m:t>
                  </m:r>
                </m:sup>
              </m:sSup>
              <m:r>
                <m:rPr>
                  <m:sty m:val="p"/>
                </m:rPr>
                <m:t>+</m:t>
              </m:r>
              <m:sSubSup>
                <m:e>
                  <m:r>
                    <m:t>σ</m:t>
                  </m:r>
                </m:e>
                <m:sub>
                  <m:r>
                    <m:t>i</m:t>
                  </m:r>
                  <m:r>
                    <m:t>δ</m:t>
                  </m:r>
                </m:sub>
                <m:sup>
                  <m:r>
                    <m:rPr>
                      <m:sty m:val="p"/>
                    </m:rPr>
                    <m:t>I</m:t>
                  </m:r>
                  <m:r>
                    <m:t>2</m:t>
                  </m:r>
                </m:sup>
              </m:sSubSup>
            </m:e>
          </m:d>
        </m:oMath>
      </m:oMathPara>
    </w:p>
    <w:p>
      <w:pPr>
        <w:pStyle w:val="FirstParagraph"/>
      </w:pPr>
      <w:r>
        <w:t xml:space="preserve">Once each individual result has been adjusted, they are combined n a standard random-effects meta-analysis</w:t>
      </w:r>
      <w:r>
        <w:t xml:space="preserve"> </w:t>
      </w:r>
    </w:p>
    <w:p>
      <w:pPr>
        <w:pStyle w:val="BodyText"/>
      </w:pPr>
      <w:r>
        <w:t xml:space="preserve"> </w:t>
      </w:r>
    </w:p>
    <w:bookmarkEnd w:id="280"/>
    <w:bookmarkStart w:id="281" w:name="software"/>
    <w:p>
      <w:pPr>
        <w:pStyle w:val="Heading4"/>
      </w:pPr>
      <w:r>
        <w:t xml:space="preserve">Software</w:t>
      </w:r>
    </w:p>
    <w:p>
      <w:pPr>
        <w:pStyle w:val="FirstParagraph"/>
      </w:pPr>
      <w:r>
        <w:t xml:space="preserve">Personal communication with the authors of the original method resulted in the STATA code to implement the</w:t>
      </w:r>
    </w:p>
    <w:p>
      <w:pPr>
        <w:pStyle w:val="BodyText"/>
      </w:pPr>
      <w:r>
        <w:t xml:space="preserve">As detailed in the introduction to this section, the model for defining bias-indirectness-adjusted results was available as STATA code. The has since been generalised as part of the</w:t>
      </w:r>
      <w:r>
        <w:t xml:space="preserve"> </w:t>
      </w:r>
      <w:r>
        <w:rPr>
          <w:rStyle w:val="VerbatimChar"/>
        </w:rPr>
        <w:t xml:space="preserve">triangulate</w:t>
      </w:r>
      <w:r>
        <w:t xml:space="preserve"> </w:t>
      </w:r>
      <w:r>
        <w:t xml:space="preserve">R package to allow for users to apply the approach detailed here.</w:t>
      </w:r>
    </w:p>
    <w:p>
      <w:pPr>
        <w:pStyle w:val="BodyText"/>
      </w:pPr>
      <w:r>
        <w:t xml:space="preserve">The package allows for preprocessing of domain-based risk-of-bias data to correctly identify the direction of the bias relative to the effect estimate, calculate bias/indirectness-adjusted estimates for each result, and synthesise these adjusted results in a standard random-effects meta-analysis.</w:t>
      </w:r>
    </w:p>
    <w:p>
      <w:pPr>
        <w:pStyle w:val="BodyText"/>
      </w:pPr>
      <w:r>
        <w:t xml:space="preserve">All meta-analyses conducted within the package are implemented using the</w:t>
      </w:r>
      <w:r>
        <w:t xml:space="preserve"> </w:t>
      </w:r>
      <w:r>
        <w:rPr>
          <w:rStyle w:val="VerbatimChar"/>
        </w:rPr>
        <w:t xml:space="preserve">metafor</w:t>
      </w:r>
      <w:r>
        <w:t xml:space="preserve"> </w:t>
      </w:r>
      <w:r>
        <w:t xml:space="preserve">R package.</w:t>
      </w:r>
    </w:p>
    <w:p>
      <w:pPr>
        <w:pStyle w:val="BodyText"/>
      </w:pPr>
      <w:r>
        <w:t xml:space="preserve"> </w:t>
      </w:r>
    </w:p>
    <w:bookmarkEnd w:id="281"/>
    <w:bookmarkEnd w:id="282"/>
    <w:bookmarkEnd w:id="283"/>
    <w:bookmarkStart w:id="293" w:name="results-3"/>
    <w:p>
      <w:pPr>
        <w:pStyle w:val="Heading2"/>
      </w:pPr>
      <w:r>
        <w:t xml:space="preserve">Results</w:t>
      </w:r>
    </w:p>
    <w:bookmarkStart w:id="287" w:name="qualitative-triangulation-1"/>
    <w:p>
      <w:pPr>
        <w:pStyle w:val="Heading3"/>
      </w:pPr>
      <w:r>
        <w:t xml:space="preserve">Qualitative triangulation</w:t>
      </w:r>
    </w:p>
    <w:bookmarkStart w:id="284" w:name="all-cause-dementia"/>
    <w:p>
      <w:pPr>
        <w:pStyle w:val="Heading4"/>
      </w:pPr>
      <w:r>
        <w:t xml:space="preserve">All-cause dementia</w:t>
      </w:r>
    </w:p>
    <w:p>
      <w:pPr>
        <w:pStyle w:val="FirstParagraph"/>
      </w:pPr>
      <w:r>
        <w:rPr>
          <w:bCs/>
          <w:b/>
        </w:rPr>
        <w:t xml:space="preserve">Statins and all-cause dementia</w:t>
      </w:r>
    </w:p>
    <w:p>
      <w:pPr>
        <w:pStyle w:val="BodyText"/>
      </w:pPr>
      <w:r>
        <w:t xml:space="preserve">This conflicts with the findings of our analysis, where statin use was associated with an increased risk of all-cause dementia (HR:1.17, 95%CI:1.14-1.19). Some of the included studies in the meta-analysis specifically exclude vascular dementia from the definition of all-cause dementia,</w:t>
      </w:r>
      <w:hyperlink w:anchor="ref-chao2015">
        <w:r>
          <w:rPr>
            <w:rStyle w:val="Hyperlink"/>
            <w:vertAlign w:val="superscript"/>
          </w:rPr>
          <w:t xml:space="preserve">310</w:t>
        </w:r>
      </w:hyperlink>
      <w:r>
        <w:t xml:space="preserve"> </w:t>
      </w:r>
      <w:r>
        <w:t xml:space="preserve">which may limit the ability for comparison with our findings for the all-cause dementia outcome.</w:t>
      </w:r>
    </w:p>
    <w:p>
      <w:pPr>
        <w:pStyle w:val="BodyText"/>
      </w:pPr>
      <w:r>
        <w:t xml:space="preserve">Additionally, a previous analysis of the THIN EHR database using a propensity-score matched analysis found a protective effect of statins on all-cause dementia (HR:0.81, 95%CI:0.69-0.96)</w:t>
      </w:r>
      <w:hyperlink w:anchor="ref-smeeth2009">
        <w:r>
          <w:rPr>
            <w:rStyle w:val="Hyperlink"/>
            <w:vertAlign w:val="superscript"/>
          </w:rPr>
          <w:t xml:space="preserve">286</w:t>
        </w:r>
      </w:hyperlink>
      <w:r>
        <w:t xml:space="preserve">.</w:t>
      </w:r>
    </w:p>
    <w:p>
      <w:pPr>
        <w:pStyle w:val="BodyText"/>
      </w:pPr>
      <w:r>
        <w:t xml:space="preserve"> </w:t>
      </w:r>
    </w:p>
    <w:bookmarkEnd w:id="284"/>
    <w:bookmarkStart w:id="285" w:name="alzheimers-disease"/>
    <w:p>
      <w:pPr>
        <w:pStyle w:val="Heading4"/>
      </w:pPr>
      <w:r>
        <w:t xml:space="preserve">Alzheimer’s disease</w:t>
      </w:r>
    </w:p>
    <w:p>
      <w:pPr>
        <w:pStyle w:val="FirstParagraph"/>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our analysis.</w:t>
      </w:r>
      <w:hyperlink w:anchor="ref-poly2020">
        <w:r>
          <w:rPr>
            <w:rStyle w:val="Hyperlink"/>
            <w:vertAlign w:val="superscript"/>
          </w:rPr>
          <w:t xml:space="preserve">241</w:t>
        </w:r>
      </w:hyperlink>
      <w:r>
        <w:t xml:space="preserve"> </w:t>
      </w:r>
      <w:r>
        <w:t xml:space="preserve">This review included case-control studies and analyses likely to be at risk of immortal time bias, which may account for the discrepancy with our findings. Additionally, a recent Mendelian randomization study examining the effect of genetic inhibition of HMGCR on Alzheimer’s disease (a genetic proxy for statin treatment) provided equivocal evidence (OR: 0.91, 95%CI: 0.63-1.31) but was consistent with our results.</w:t>
      </w:r>
      <w:hyperlink w:anchor="ref-williams2020">
        <w:r>
          <w:rPr>
            <w:rStyle w:val="Hyperlink"/>
            <w:vertAlign w:val="superscript"/>
          </w:rPr>
          <w:t xml:space="preserve">311</w:t>
        </w:r>
      </w:hyperlink>
    </w:p>
    <w:p>
      <w:pPr>
        <w:pStyle w:val="BodyText"/>
      </w:pPr>
      <w:r>
        <w:t xml:space="preserve">Our additional analyses stratified by statin properties found little evidence of differences in associations of lipophilic and hydrophilic statins and incidence of Alzheimer’s disease, consistent with a recent meta-analysis of observational studies.</w:t>
      </w:r>
      <w:hyperlink w:anchor="ref-chu2018">
        <w:r>
          <w:rPr>
            <w:rStyle w:val="Hyperlink"/>
            <w:vertAlign w:val="superscript"/>
          </w:rPr>
          <w:t xml:space="preserve">57</w:t>
        </w:r>
      </w:hyperlink>
    </w:p>
    <w:p>
      <w:pPr>
        <w:pStyle w:val="BodyText"/>
      </w:pPr>
      <w:r>
        <w:t xml:space="preserve"> </w:t>
      </w:r>
    </w:p>
    <w:bookmarkEnd w:id="285"/>
    <w:bookmarkStart w:id="286" w:name="vascular-dementia"/>
    <w:p>
      <w:pPr>
        <w:pStyle w:val="Heading4"/>
      </w:pPr>
      <w:r>
        <w:t xml:space="preserve">Vascular dementia</w:t>
      </w:r>
    </w:p>
    <w:p>
      <w:pPr>
        <w:pStyle w:val="FirstParagraph"/>
      </w:pPr>
      <w:r>
        <w:rPr>
          <w:bCs/>
          <w:b/>
        </w:rPr>
        <w:t xml:space="preserve">Statins and vascular/other dementia</w:t>
      </w:r>
    </w:p>
    <w:p>
      <w:pPr>
        <w:pStyle w:val="BodyText"/>
      </w:pPr>
      <w:r>
        <w:t xml:space="preserve">Far fewer studies have tested the association between lipid-regulating agents and vascular dementia or other dementias. A recent review found four observational studies examining the association of statins and vascular dementia found limited evidence for an effect (RR:0.93, 95% CI 0.74–1.16).</w:t>
      </w:r>
      <w:hyperlink w:anchor="ref-poly2020">
        <w:r>
          <w:rPr>
            <w:rStyle w:val="Hyperlink"/>
            <w:vertAlign w:val="superscript"/>
          </w:rPr>
          <w:t xml:space="preserve">241</w:t>
        </w:r>
      </w:hyperlink>
      <w:r>
        <w:t xml:space="preserve"> </w:t>
      </w:r>
      <w:r>
        <w:t xml:space="preserve">This contrasts with the harmful association found in our analysis (HR:1.81, 95%CI:1.73-1.89). When stratifying by lipid properties,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(Chapter</w:t>
      </w:r>
      <w:r>
        <w:t xml:space="preserve"> </w:t>
      </w:r>
      <w:r>
        <w:t xml:space="preserve">3</w:t>
      </w:r>
      <w:r>
        <w:t xml:space="preserve">/</w:t>
      </w:r>
      <w:r>
        <w:t xml:space="preserve">4</w:t>
      </w:r>
      <w:r>
        <w:t xml:space="preserve">).</w:t>
      </w:r>
    </w:p>
    <w:p>
      <w:pPr>
        <w:pStyle w:val="BodyText"/>
      </w:pPr>
      <w:r>
        <w:t xml:space="preserve">One of the few classes for which a evidence was available were fibrates, which found little evidence of an association with all-cause dementia was identified,</w:t>
      </w:r>
      <w:hyperlink w:anchor="ref-ancelin2012">
        <w:r>
          <w:rPr>
            <w:rStyle w:val="Hyperlink"/>
            <w:vertAlign w:val="superscript"/>
          </w:rPr>
          <w:t xml:space="preserve">156</w:t>
        </w:r>
      </w:hyperlink>
      <w:r>
        <w:t xml:space="preserve"> </w:t>
      </w:r>
      <w:r>
        <w:t xml:space="preserve">inconsistent with our finding that patients prescribed fibrates had higher all-cause dementia risk than those prescribed other lipid lowering agents.</w:t>
      </w:r>
    </w:p>
    <w:p>
      <w:pPr>
        <w:pStyle w:val="BodyText"/>
      </w:pPr>
      <w:r>
        <w:t xml:space="preserve">A previous Mendelian randomization study found little evidence that genetic variants that proxy for ezetimibe affect risk of Alzheimer’s disease (OR: 1.17, 95%CI: 0.73-1.87),</w:t>
      </w:r>
      <w:hyperlink w:anchor="ref-williams2020">
        <w:r>
          <w:rPr>
            <w:rStyle w:val="Hyperlink"/>
            <w:vertAlign w:val="superscript"/>
          </w:rPr>
          <w:t xml:space="preserve">311</w:t>
        </w:r>
      </w:hyperlink>
      <w:r>
        <w:t xml:space="preserve"> </w:t>
      </w:r>
      <w:r>
        <w:t xml:space="preserve">consistent with our findings. Note that this study was published in 2020 and so was not included in the review.</w:t>
      </w:r>
    </w:p>
    <w:p>
      <w:pPr>
        <w:pStyle w:val="BodyText"/>
      </w:pPr>
      <w:r>
        <w:t xml:space="preserve"> </w:t>
      </w:r>
    </w:p>
    <w:bookmarkEnd w:id="286"/>
    <w:bookmarkEnd w:id="287"/>
    <w:bookmarkStart w:id="292" w:name="quantitative-triangulation-1"/>
    <w:p>
      <w:pPr>
        <w:pStyle w:val="Heading3"/>
      </w:pPr>
      <w:r>
        <w:t xml:space="preserve">Quantitative triangulation</w:t>
      </w:r>
    </w:p>
    <w:bookmarkStart w:id="288" w:name="single-study"/>
    <w:p>
      <w:pPr>
        <w:pStyle w:val="Heading4"/>
      </w:pPr>
      <w:r>
        <w:t xml:space="preserve">Single study</w:t>
      </w:r>
    </w:p>
    <w:p>
      <w:pPr>
        <w:pStyle w:val="FirstParagraph"/>
      </w:pPr>
      <w:r>
        <w:t xml:space="preserve">Explain how example study was chosen</w:t>
      </w:r>
    </w:p>
    <w:bookmarkEnd w:id="288"/>
    <w:bookmarkStart w:id="290" w:name="causal-question-1"/>
    <w:p>
      <w:pPr>
        <w:pStyle w:val="Heading4"/>
      </w:pPr>
      <w:r>
        <w:t xml:space="preserve">Causal question #1</w:t>
      </w:r>
    </w:p>
    <w:p>
      <w:pPr>
        <w:pStyle w:val="FirstParagraph"/>
      </w:pPr>
      <w:r>
        <w:t xml:space="preserve"> </w:t>
      </w:r>
    </w:p>
    <w:p>
      <w:pPr>
        <w:pStyle w:val="BodyText"/>
      </w:pPr>
      <w:r>
        <w:t xml:space="preserve">(ref:ldlAdBiasDirection-scap) Bias direction plot, summarising internal biases related to the</w:t>
      </w:r>
    </w:p>
    <w:p>
      <w:pPr>
        <w:pStyle w:val="BodyText"/>
      </w:pPr>
      <w:r>
        <w:drawing>
          <wp:inline>
            <wp:extent cx="5943600" cy="4075611"/>
            <wp:effectExtent b="0" l="0" r="0" t="0"/>
            <wp:docPr descr="Figure 36: Bias direction plot, summarising internal biases related to effect of LDL-c on Alzheimer’s disease :" title="" id="1" name="Picture"/>
            <a:graphic>
              <a:graphicData uri="http://schemas.openxmlformats.org/drawingml/2006/picture">
                <pic:pic>
                  <pic:nvPicPr>
                    <pic:cNvPr descr="figures/tri/midlife_AD.png" id="0" name="Picture"/>
                    <pic:cNvPicPr>
                      <a:picLocks noChangeArrowheads="1" noChangeAspect="1"/>
                    </pic:cNvPicPr>
                  </pic:nvPicPr>
                  <pic:blipFill>
                    <a:blip r:embed="rId289"/>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r>
        <w:t xml:space="preserve"> </w:t>
      </w:r>
    </w:p>
    <w:p>
      <w:pPr>
        <w:pStyle w:val="BodyText"/>
      </w:pPr>
      <w:r>
        <w:t xml:space="preserve">Including sensitivity analyses</w:t>
      </w:r>
    </w:p>
    <w:p>
      <w:pPr>
        <w:pStyle w:val="BodyText"/>
      </w:pPr>
      <w:r>
        <w:t xml:space="preserve">and citations of studies - going to be a bit of pain</w:t>
      </w:r>
    </w:p>
    <w:p>
      <w:pPr>
        <w:pStyle w:val="BodyText"/>
      </w:pPr>
      <w:r>
        <w:t xml:space="preserve">As expected</w:t>
      </w:r>
    </w:p>
    <w:p>
      <w:pPr>
        <w:pStyle w:val="BodyText"/>
      </w:pPr>
      <w:r>
        <w:t xml:space="preserve"> </w:t>
      </w:r>
    </w:p>
    <w:bookmarkEnd w:id="290"/>
    <w:bookmarkStart w:id="291" w:name="causal-question-2"/>
    <w:p>
      <w:pPr>
        <w:pStyle w:val="Heading4"/>
      </w:pPr>
      <w:r>
        <w:t xml:space="preserve">Causal question #2</w:t>
      </w:r>
    </w:p>
    <w:p>
      <w:pPr>
        <w:pStyle w:val="FirstParagraph"/>
      </w:pPr>
      <w:r>
        <w:t xml:space="preserve"> </w:t>
      </w:r>
    </w:p>
    <w:bookmarkEnd w:id="291"/>
    <w:bookmarkEnd w:id="292"/>
    <w:bookmarkEnd w:id="293"/>
    <w:bookmarkStart w:id="307" w:name="discussion-4"/>
    <w:p>
      <w:pPr>
        <w:pStyle w:val="Heading2"/>
      </w:pPr>
      <w:r>
        <w:t xml:space="preserve">Discussion</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Main takeway is that heteorgeneity between study designs is substantially reduced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Start w:id="294" w:name="summary-of-findings-3"/>
    <w:p>
      <w:pPr>
        <w:pStyle w:val="Heading3"/>
      </w:pPr>
      <w:r>
        <w:t xml:space="preserve">Summary of findings</w:t>
      </w:r>
    </w:p>
    <w:p>
      <w:pPr>
        <w:pStyle w:val="FirstParagraph"/>
      </w:pPr>
      <w:r>
        <w:t xml:space="preserve">This chapter has demonstrated how new developments in systematic risk of bias assessment.</w:t>
      </w:r>
    </w:p>
    <w:p>
      <w:pPr>
        <w:pStyle w:val="BodyText"/>
      </w:pPr>
      <w:r>
        <w:t xml:space="preserve">Future quantitative triangulation should move beyond the concept of comparing results at the approach level, and instead focus on the inherent threats to internal validity present in each specific result relevant to the causal question.</w:t>
      </w:r>
    </w:p>
    <w:p>
      <w:pPr>
        <w:pStyle w:val="BodyText"/>
      </w:pPr>
      <w:r>
        <w:t xml:space="preserve">While this makes the process both more labour intensive and complex, to assume that, for example, all retrospective studies are equally at risk is to overlook. While ti could be true that all retrospective studies share some</w:t>
      </w:r>
      <w:r>
        <w:t xml:space="preserve"> </w:t>
      </w:r>
      <w:r>
        <w:rPr>
          <w:iCs/>
          <w:i/>
        </w:rPr>
        <w:t xml:space="preserve">minimal level</w:t>
      </w:r>
      <w:r>
        <w:t xml:space="preserve"> </w:t>
      </w:r>
      <w:r>
        <w:t xml:space="preserve">of bias, there are several opportunities. Failing to separate these the individual results loses information, particularly given the now widespread availability of tools to systematically assess the biases present in each result.</w:t>
      </w:r>
    </w:p>
    <w:p>
      <w:pPr>
        <w:pStyle w:val="BodyText"/>
      </w:pPr>
      <w:r>
        <w:t xml:space="preserve">In this chapter, I have presented a new method of visualising both the level and expected direction of bias inherent to each result, and suggested how this could be incorporated with a bias-adjusted meta-analysis approach to work towards a generalised qunatitative triangulation framework.</w:t>
      </w:r>
    </w:p>
    <w:p>
      <w:pPr>
        <w:pStyle w:val="BodyText"/>
      </w:pPr>
      <w:r>
        <w:t xml:space="preserve">I’ve highlighted the limitations of this method, as the correct distributions of modifying values in each risk-of-bias domain should be driven by meta-epidemiological studies which do not yet exist, framing them as opportunities for future research.</w:t>
      </w:r>
    </w:p>
    <w:p>
      <w:pPr>
        <w:pStyle w:val="BodyText"/>
      </w:pPr>
      <w:r>
        <w:t xml:space="preserve"> </w:t>
      </w:r>
    </w:p>
    <w:bookmarkEnd w:id="294"/>
    <w:bookmarkStart w:id="302" w:name="limitations-and-strengths"/>
    <w:p>
      <w:pPr>
        <w:pStyle w:val="Heading3"/>
      </w:pPr>
      <w:r>
        <w:t xml:space="preserve">Limitations and strengths</w:t>
      </w:r>
    </w:p>
    <w:bookmarkStart w:id="295" w:name="Xd55a0a1ef4c96b3ce7c7fef2ab10fa6ef756309"/>
    <w:p>
      <w:pPr>
        <w:pStyle w:val="Heading4"/>
      </w:pPr>
      <w:r>
        <w:t xml:space="preserve">Problems with quantitative triangulation approach</w:t>
      </w:r>
    </w:p>
    <w:p>
      <w:pPr>
        <w:pStyle w:val="FirstParagraph"/>
      </w:pPr>
      <w:r>
        <w:t xml:space="preserve">Missing natural variation obtained from elicitation approach. Trade-off between systematic approach presented here and personal variation obtained from several reviewers.</w:t>
      </w:r>
    </w:p>
    <w:p>
      <w:pPr>
        <w:pStyle w:val="BodyText"/>
      </w:pPr>
      <w:r>
        <w:t xml:space="preserve">A potential combination between the two would be to use the variation in risk-of-bias assessments</w:t>
      </w:r>
    </w:p>
    <w:p>
      <w:pPr>
        <w:pStyle w:val="BodyText"/>
      </w:pPr>
      <w:r>
        <w:t xml:space="preserve">Elicitation and bias-adjusted not as favoured versus weighting</w:t>
      </w:r>
      <w:hyperlink w:anchor="ref-stone2020">
        <w:r>
          <w:rPr>
            <w:rStyle w:val="Hyperlink"/>
            <w:vertAlign w:val="superscript"/>
          </w:rPr>
          <w:t xml:space="preserve">312</w:t>
        </w:r>
      </w:hyperlink>
      <w:r>
        <w:t xml:space="preserve"> </w:t>
      </w:r>
      <w:r>
        <w:t xml:space="preserve"> </w:t>
      </w:r>
      <w:r>
        <w:t xml:space="preserve">though weighting at the overall risk-of-bias level loses some of the information contained in domain-level based assessments.</w:t>
      </w:r>
    </w:p>
    <w:p>
      <w:pPr>
        <w:pStyle w:val="BodyText"/>
      </w:pPr>
      <w:r>
        <w:t xml:space="preserve">No good information on what the potential distributions for different levels of bias (High vs Moderate vs Low) should be.</w:t>
      </w:r>
    </w:p>
    <w:p>
      <w:pPr>
        <w:pStyle w:val="BodyText"/>
      </w:pPr>
      <w:r>
        <w:t xml:space="preserve">Meta-epidemiological studies on the effect of different methodological issues on results exist for randomised controlled trials,</w:t>
      </w:r>
      <w:hyperlink w:anchor="ref-amer2021">
        <w:r>
          <w:rPr>
            <w:rStyle w:val="Hyperlink"/>
            <w:vertAlign w:val="superscript"/>
          </w:rPr>
          <w:t xml:space="preserve">313</w:t>
        </w:r>
      </w:hyperlink>
      <w:r>
        <w:rPr>
          <w:vertAlign w:val="superscript"/>
        </w:rPr>
        <w:t xml:space="preserve">,</w:t>
      </w:r>
      <w:hyperlink w:anchor="ref-page2016">
        <w:r>
          <w:rPr>
            <w:rStyle w:val="Hyperlink"/>
            <w:vertAlign w:val="superscript"/>
          </w:rPr>
          <w:t xml:space="preserve">314</w:t>
        </w:r>
      </w:hyperlink>
      <w:r>
        <w:t xml:space="preserve"> </w:t>
      </w:r>
      <w:r>
        <w:t xml:space="preserve">suggesting that X, Y and Z.</w:t>
      </w:r>
    </w:p>
    <w:p>
      <w:pPr>
        <w:pStyle w:val="BodyText"/>
      </w:pPr>
      <w:r>
        <w:t xml:space="preserve">However, there is substantially less , arguably because of the absence of clear</w:t>
      </w:r>
      <w:r>
        <w:t xml:space="preserve"> </w:t>
      </w:r>
      <w:r>
        <w:t xml:space="preserve">Many meta-epi studies of non-randomised studies assume bias at the study-design level, similar to the early triangulation frame-work, rather than considering the actual biases deemed to be present in a given result. In this scenario, study</w:t>
      </w:r>
    </w:p>
    <w:p>
      <w:pPr>
        <w:pStyle w:val="BodyText"/>
      </w:pPr>
      <w:r>
        <w:t xml:space="preserve">Potential future meta-epidemiology studies should begin to create these datasets.</w:t>
      </w:r>
    </w:p>
    <w:p>
      <w:pPr>
        <w:pStyle w:val="BodyText"/>
      </w:pPr>
      <w:r>
        <w:t xml:space="preserve">A key example of a useful future study in this domain would be the mining of maximally adjusted vs. unadjusted estimates from abstracts from primary studies to assess the impact of insufficient confounding by topic. However, these datasets could also be built from systematic reviews of a topic, as they would already be gruped by reserach domain and provided the risk of bias data is shared, provide a ready source of information</w:t>
      </w:r>
    </w:p>
    <w:p>
      <w:pPr>
        <w:pStyle w:val="BodyText"/>
      </w:pPr>
      <w:r>
        <w:t xml:space="preserve">For example, if it was . New software for performing risk of bias assessments, being developed by the Bristol Appraisal and review of Research group has this as a secondary methodological aim.</w:t>
      </w:r>
    </w:p>
    <w:p>
      <w:pPr>
        <w:pStyle w:val="BodyText"/>
      </w:pPr>
      <w:r>
        <w:t xml:space="preserve"> </w:t>
      </w:r>
    </w:p>
    <w:p>
      <w:pPr>
        <w:pStyle w:val="BodyText"/>
      </w:pPr>
      <w:r>
        <w:t xml:space="preserve">This approach has a number of advantages. One of the key ones is modifying distributions of each level of bias could be defined</w:t>
      </w:r>
      <w:r>
        <w:t xml:space="preserve"> </w:t>
      </w:r>
      <w:r>
        <w:rPr>
          <w:iCs/>
          <w:i/>
        </w:rPr>
        <w:t xml:space="preserve">a priori</w:t>
      </w:r>
      <w:r>
        <w:t xml:space="preserve"> </w:t>
      </w:r>
      <w:r>
        <w:t xml:space="preserve">in contrast to the .</w:t>
      </w:r>
    </w:p>
    <w:p>
      <w:pPr>
        <w:pStyle w:val="BodyText"/>
      </w:pPr>
      <w:r>
        <w:t xml:space="preserve">In addition, the generalised framework will allow for</w:t>
      </w:r>
    </w:p>
    <w:bookmarkEnd w:id="295"/>
    <w:bookmarkStart w:id="296" w:name="subjectivity-of-risk-of-bias-assessments"/>
    <w:p>
      <w:pPr>
        <w:pStyle w:val="Heading4"/>
      </w:pPr>
      <w:r>
        <w:t xml:space="preserve">Subjectivity of risk of bias assessments</w:t>
      </w:r>
    </w:p>
    <w:p>
      <w:pPr>
        <w:pStyle w:val="FirstParagraph"/>
      </w:pPr>
      <w:r>
        <w:t xml:space="preserve">By definition, . In this case of this proof-of-concept analysis, the direction of bias was assessed by a single assessor. If attempting to impact policy, the</w:t>
      </w:r>
    </w:p>
    <w:bookmarkEnd w:id="296"/>
    <w:bookmarkStart w:id="297" w:name="defining-appropriate-levels-of-bias"/>
    <w:p>
      <w:pPr>
        <w:pStyle w:val="Heading4"/>
      </w:pPr>
      <w:r>
        <w:t xml:space="preserve">Defining appropriate levels of bias</w:t>
      </w:r>
    </w:p>
    <w:p>
      <w:pPr>
        <w:pStyle w:val="FirstParagraph"/>
      </w:pPr>
      <w:r>
        <w:t xml:space="preserve">Previous work on assessing the impact of different sources of bias on effect estimates . For example, a study examining the effect of found that studies with</w:t>
      </w:r>
    </w:p>
    <w:p>
      <w:pPr>
        <w:pStyle w:val="BodyText"/>
      </w:pPr>
      <w:r>
        <w:t xml:space="preserve">Previous work examining</w:t>
      </w:r>
    </w:p>
    <w:p>
      <w:pPr>
        <w:pStyle w:val="BodyText"/>
      </w:pPr>
      <w:r>
        <w:t xml:space="preserve">A further issue is the</w:t>
      </w:r>
      <w:r>
        <w:t xml:space="preserve"> </w:t>
      </w:r>
      <w:r>
        <w:t xml:space="preserve">“</w:t>
      </w:r>
      <w:r>
        <w:t xml:space="preserve">Low</w:t>
      </w:r>
      <w:r>
        <w:t xml:space="preserve">”</w:t>
      </w:r>
      <w:r>
        <w:t xml:space="preserve"> </w:t>
      </w:r>
      <w:r>
        <w:t xml:space="preserve">risk of bias domain. In this proof-of-concept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In this case, defining the predicted direction of bias would be challenging in the absence of obvious sources of bias (particularly given how challenging it can be when sources of bias are evident within a domain).</w:t>
      </w:r>
    </w:p>
    <w:p>
      <w:pPr>
        <w:pStyle w:val="BodyText"/>
      </w:pPr>
      <w:r>
        <w:t xml:space="preserve">In previous attempts at bias/indirectness-adjusted meta-analysis, the extent to each was assessed via a elicitation process using a number of experts. This approach is potentially subject to misclassification of the impact of bias on the basis of the results, as there is no way to ensure that results at a similar level of bias for confounding (for example) are being adjusted by the same amount. For example, if experts are influenced by the absolute effect estimate, then a result demonstrating a stronger protective effect may receive greater modification than a study at the same</w:t>
      </w:r>
      <w:r>
        <w:t xml:space="preserve"> </w:t>
      </w:r>
      <w:r>
        <w:t xml:space="preserve">“</w:t>
      </w:r>
      <w:r>
        <w:t xml:space="preserve">risk</w:t>
      </w:r>
      <w:r>
        <w:t xml:space="preserve">”</w:t>
      </w:r>
      <w:r>
        <w:t xml:space="preserve"> </w:t>
      </w:r>
      <w:r>
        <w:t xml:space="preserve">of confounding but with a more modest effect. This is particular true where experts have preconceived ideas about the true effectiveness of the intervention.</w:t>
      </w:r>
    </w:p>
    <w:p>
      <w:pPr>
        <w:pStyle w:val="BodyText"/>
      </w:pPr>
      <w:r>
        <w:t xml:space="preserve">In this case, separating the assessment of bias from the assignment of modifying values to each level of bias will limit the potential for. Alternatively, reasonable modifying distributions for each level of bias could be defined</w:t>
      </w:r>
      <w:r>
        <w:t xml:space="preserve"> </w:t>
      </w:r>
      <w:r>
        <w:rPr>
          <w:iCs/>
          <w:i/>
        </w:rPr>
        <w:t xml:space="preserve">a priori</w:t>
      </w:r>
      <w:r>
        <w:t xml:space="preserve"> </w:t>
      </w:r>
      <w:r>
        <w:t xml:space="preserve">by the study team, similar to how important confounders and co-interventions are defined in advance when performing ROBINS-I/ROBINS-E assessments.</w:t>
      </w:r>
    </w:p>
    <w:p>
      <w:pPr>
        <w:pStyle w:val="BodyText"/>
      </w:pPr>
      <w:r>
        <w:t xml:space="preserve">In the mean time, the extent of the impact of knowledge of the results could be analysed using existing data. For example, a re-analysis of the data presented in a recent paper where both expert eliciation and structured</w:t>
      </w:r>
    </w:p>
    <w:p>
      <w:pPr>
        <w:pStyle w:val="BodyText"/>
      </w:pPr>
      <w:r>
        <w:t xml:space="preserve">Ideally, the modifying values</w:t>
      </w:r>
    </w:p>
    <w:p>
      <w:pPr>
        <w:pStyle w:val="BodyText"/>
      </w:pPr>
      <w:r>
        <w:t xml:space="preserve">Similar there are several examples of usmeta to define priors for other statistical terms in meta-analysis. For example, previous work has looked at het</w:t>
      </w:r>
    </w:p>
    <w:p>
      <w:pPr>
        <w:pStyle w:val="BodyText"/>
      </w:pPr>
      <w:r>
        <w:t xml:space="preserve">Like other studies examining the prior distributions of heterogeneity across different topic areas</w:t>
      </w:r>
      <w:r>
        <w:t xml:space="preserve"> </w:t>
      </w:r>
    </w:p>
    <w:p>
      <w:pPr>
        <w:pStyle w:val="BodyText"/>
      </w:pPr>
      <w:r>
        <w:t xml:space="preserve">Talk about different ways to define bias terms, using expert-elicitation vs .</w:t>
      </w:r>
      <w:hyperlink w:anchor="ref-rhodes2020">
        <w:r>
          <w:rPr>
            <w:rStyle w:val="Hyperlink"/>
            <w:vertAlign w:val="superscript"/>
          </w:rPr>
          <w:t xml:space="preserve">315</w:t>
        </w:r>
      </w:hyperlink>
    </w:p>
    <w:p>
      <w:pPr>
        <w:pStyle w:val="BodyText"/>
      </w:pPr>
      <w:r>
        <w:t xml:space="preserve">Also, talk about the fact that much of the bias-adjusted analysis work to date has been done on trials. Describe reasons for this but highlight that for triangulation, there needs to be better coverage of</w:t>
      </w:r>
    </w:p>
    <w:p>
      <w:pPr>
        <w:pStyle w:val="BodyText"/>
      </w:pPr>
      <w:r>
        <w:t xml:space="preserve"> </w:t>
      </w:r>
    </w:p>
    <w:bookmarkEnd w:id="297"/>
    <w:bookmarkStart w:id="298" w:name="X0d160a63e4109bd2c86d6323b8df73470cc06b8"/>
    <w:p>
      <w:pPr>
        <w:pStyle w:val="Heading4"/>
      </w:pPr>
      <w:r>
        <w:t xml:space="preserve">Exclusion of studies at critical risk of bias</w:t>
      </w:r>
    </w:p>
    <w:p>
      <w:pPr>
        <w:pStyle w:val="FirstParagraph"/>
      </w:pPr>
      <w:r>
        <w:t xml:space="preserve">One potential - however, the estimation of an appropriate adjustment value for these studies would be substantially more challenging.</w:t>
      </w:r>
    </w:p>
    <w:p>
      <w:pPr>
        <w:pStyle w:val="BodyText"/>
      </w:pPr>
      <w:r>
        <w:t xml:space="preserve">In any case, it represented a small number of studies.s</w:t>
      </w:r>
    </w:p>
    <w:p>
      <w:pPr>
        <w:pStyle w:val="BodyText"/>
      </w:pPr>
      <w:r>
        <w:t xml:space="preserve"> </w:t>
      </w:r>
    </w:p>
    <w:bookmarkEnd w:id="298"/>
    <w:bookmarkStart w:id="299" w:name="Xbe399fd4b0e7fea14ecb1dfe1c5850dace193b2"/>
    <w:p>
      <w:pPr>
        <w:pStyle w:val="Heading4"/>
      </w:pPr>
      <w:r>
        <w:t xml:space="preserve">Type of bias (proportional vs additive) not shown on figure</w:t>
      </w:r>
    </w:p>
    <w:p>
      <w:pPr>
        <w:pStyle w:val="FirstParagraph"/>
      </w:pPr>
      <w:r>
        <w:t xml:space="preserve">In contrast</w:t>
      </w:r>
    </w:p>
    <w:p>
      <w:pPr>
        <w:pStyle w:val="BodyText"/>
      </w:pPr>
      <w:r>
        <w:t xml:space="preserve">The graphics shown in Section @ref() do not show the type of bias (additive or proportional), only the direction. While this is acceptable, future work could assess, potentially by using different arrow types to denote the different types of bias.</w:t>
      </w:r>
    </w:p>
    <w:p>
      <w:pPr>
        <w:pStyle w:val="BodyText"/>
      </w:pPr>
      <w:r>
        <w:t xml:space="preserve">A key strength of this project is the development of a standardised way of capturing bias domains and converting the.</w:t>
      </w:r>
    </w:p>
    <w:p>
      <w:pPr>
        <w:pStyle w:val="BodyText"/>
      </w:pPr>
      <w:r>
        <w:t xml:space="preserve">Helper functions in the triangulate package convert risk-of-bias assessment</w:t>
      </w:r>
    </w:p>
    <w:p>
      <w:pPr>
        <w:pStyle w:val="BodyText"/>
      </w:pPr>
      <w:r>
        <w:t xml:space="preserve"> </w:t>
      </w:r>
    </w:p>
    <w:bookmarkEnd w:id="299"/>
    <w:bookmarkStart w:id="300" w:name="challenges-of-real-life-data"/>
    <w:p>
      <w:pPr>
        <w:pStyle w:val="Heading4"/>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p>
      <w:pPr>
        <w:pStyle w:val="BodyText"/>
      </w:pPr>
      <w:r>
        <w:t xml:space="preserve">I hope this presents step forward in how researchers think about and visualise triangulation at the result level, rather than simply saying that certain</w:t>
      </w:r>
    </w:p>
    <w:p>
      <w:pPr>
        <w:pStyle w:val="BodyText"/>
      </w:pPr>
      <w:r>
        <w:t xml:space="preserve"> </w:t>
      </w:r>
    </w:p>
    <w:bookmarkEnd w:id="300"/>
    <w:bookmarkStart w:id="301" w:name="standardisation-across-study-designs"/>
    <w:p>
      <w:pPr>
        <w:pStyle w:val="Heading4"/>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different measures</w:t>
      </w:r>
    </w:p>
    <w:p>
      <w:pPr>
        <w:pStyle w:val="BodyText"/>
      </w:pPr>
      <w:r>
        <w:t xml:space="preserve">Fixing directions of effect - get everything pointing the same way</w:t>
      </w:r>
    </w:p>
    <w:p>
      <w:pPr>
        <w:pStyle w:val="BodyText"/>
      </w:pPr>
      <w:r>
        <w:t xml:space="preserve"> </w:t>
      </w:r>
    </w:p>
    <w:bookmarkEnd w:id="301"/>
    <w:bookmarkEnd w:id="302"/>
    <w:bookmarkStart w:id="304" w:name="alternative-approaches"/>
    <w:p>
      <w:pPr>
        <w:pStyle w:val="Heading3"/>
      </w:pPr>
      <w:r>
        <w:t xml:space="preserve">Alternative approaches</w:t>
      </w:r>
    </w:p>
    <w:p>
      <w:pPr>
        <w:pStyle w:val="FirstParagraph"/>
      </w:pPr>
      <w:r>
        <w:t xml:space="preserve">This method is also different from previous implementations of the bias-adjusted meta-analysis approach, in that for each domain for each study, the bias can be either proportional or. IN previous implementations, distributions for each source of bias (pre-domain-based tools) were elicted on both the additive and proportional scales.</w:t>
      </w:r>
      <w:hyperlink w:anchor="ref-turner2009">
        <w:r>
          <w:rPr>
            <w:rStyle w:val="Hyperlink"/>
            <w:vertAlign w:val="superscript"/>
          </w:rPr>
          <w:t xml:space="preserve">309</w:t>
        </w:r>
      </w:hyperlink>
      <w:r>
        <w:t xml:space="preserve"> </w:t>
      </w:r>
      <w:r>
        <w:t xml:space="preserve">Puts more pressure on the assessor to correct sum additive and proportional biases highlighted, and answer with only a single option.</w:t>
      </w:r>
    </w:p>
    <w:bookmarkStart w:id="303" w:name="e-values"/>
    <w:p>
      <w:pPr>
        <w:pStyle w:val="Heading4"/>
      </w:pPr>
      <w:r>
        <w:t xml:space="preserve">E-values</w:t>
      </w:r>
    </w:p>
    <w:p>
      <w:pPr>
        <w:pStyle w:val="FirstParagraph"/>
      </w:pPr>
      <w:r>
        <w:t xml:space="preserve">Present as an alternative to putting priors on the level of bias due to confounding.</w:t>
      </w:r>
    </w:p>
    <w:p>
      <w:pPr>
        <w:pStyle w:val="BodyText"/>
      </w:pPr>
      <w:r>
        <w:t xml:space="preserve">E-values work the other way around - get result then work out how strong a biasing factor would have to be to negate the result. IN other words, they represent an estimate ho how strong the total residual confounding would have to be in order to full explain away the observed result.</w:t>
      </w:r>
      <w:hyperlink w:anchor="ref-vanderweele2017">
        <w:r>
          <w:rPr>
            <w:rStyle w:val="Hyperlink"/>
            <w:vertAlign w:val="superscript"/>
          </w:rPr>
          <w:t xml:space="preserve">316</w:t>
        </w:r>
      </w:hyperlink>
    </w:p>
    <w:p>
      <w:pPr>
        <w:pStyle w:val="BodyText"/>
      </w:pPr>
      <w:r>
        <w:t xml:space="preserve">One major problem is that they can only be used to evaluate negating biases, not other biases.</w:t>
      </w:r>
    </w:p>
    <w:p>
      <w:pPr>
        <w:pStyle w:val="BodyText"/>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Also, no useful to focus on a specific bias in the context of risk of bias domains</w:t>
      </w:r>
    </w:p>
    <w:p>
      <w:pPr>
        <w:pStyle w:val="BodyText"/>
      </w:pPr>
      <w:r>
        <w:t xml:space="preserve">As an example, I calculated the E-value required to attenuate the hamrful association observed between statin use and vascular dementia in the CPRD analysis (</w:t>
      </w:r>
      <w:r>
        <w:t xml:space="preserve"> </w:t>
      </w:r>
      <w:r>
        <w:rPr>
          <w:bCs/>
          <w:b/>
        </w:rPr>
        <w:t xml:space="preserve">PLACEHOLDER</w:t>
      </w:r>
      <w:r>
        <w:t xml:space="preserve">` ) presented in Chapter</w:t>
      </w:r>
      <w:r>
        <w:t xml:space="preserve"> </w:t>
      </w:r>
      <w:r>
        <w:t xml:space="preserve">??</w:t>
      </w:r>
      <w:r>
        <w:t xml:space="preserve">. Assuming an outcome prevalence of &lt;15%, an E-value of 3.31 was identified</w:t>
      </w:r>
    </w:p>
    <w:p>
      <w:pPr>
        <w:pStyle w:val="BodyText"/>
      </w:pPr>
      <w:r>
        <w:t xml:space="preserve">This calculation was performed using the XXX R package.</w:t>
      </w:r>
    </w:p>
    <w:p>
      <w:pPr>
        <w:pStyle w:val="BodyText"/>
      </w:pPr>
      <w:r>
        <w:t xml:space="preserve">However, this approach is only useful if the only source of bias in a result is due to uncontrolled confounding (as assessed by a domain-based risk of bias tool).</w:t>
      </w:r>
    </w:p>
    <w:p>
      <w:pPr>
        <w:pStyle w:val="BodyText"/>
      </w:pPr>
      <w:r>
        <w:t xml:space="preserve">Otherwise, it’s interpretation is more challenging, as the biasing effect is incorrectly assinged complete to confoudning, thus overestimating the expected effect of confounding.</w:t>
      </w:r>
    </w:p>
    <w:p>
      <w:pPr>
        <w:pStyle w:val="BodyText"/>
      </w:pPr>
      <w:r>
        <w:t xml:space="preserve">the contribution of confounding to the bias in a result, and while it may be applicable if the only bias assessed to</w:t>
      </w:r>
    </w:p>
    <w:p>
      <w:pPr>
        <w:pStyle w:val="BodyText"/>
      </w:pPr>
      <w:r>
        <w:t xml:space="preserve"> </w:t>
      </w:r>
    </w:p>
    <w:p>
      <w:pPr>
        <w:pStyle w:val="BodyText"/>
      </w:pPr>
      <w:r>
        <w:t xml:space="preserve"> </w:t>
      </w:r>
    </w:p>
    <w:bookmarkEnd w:id="303"/>
    <w:bookmarkEnd w:id="304"/>
    <w:bookmarkStart w:id="305" w:name="need-for-new-method"/>
    <w:p>
      <w:pPr>
        <w:pStyle w:val="Heading3"/>
      </w:pPr>
      <w:r>
        <w:t xml:space="preserve">Need for new method</w:t>
      </w:r>
    </w:p>
    <w:p>
      <w:pPr>
        <w:pStyle w:val="FirstParagraph"/>
      </w:pPr>
      <w:r>
        <w:t xml:space="preserve">As the need and appetite for snthesis of different, future iterations of the risk of bias tools should take this into account. Simple things like harmonising the risk of bias levels across tools would be a good first move towards a more integrate suite of tools. Similarly, software that implements the risk-of-bias tools should both allow for direction of bias question and carefully consider how this data will be exported.</w:t>
      </w:r>
    </w:p>
    <w:p>
      <w:pPr>
        <w:pStyle w:val="BodyText"/>
      </w:pPr>
      <w:r>
        <w:t xml:space="preserve">Can I suggest any empirical studies that need to be performed? Average strength of immortal time bias/etc?</w:t>
      </w:r>
    </w:p>
    <w:p>
      <w:pPr>
        <w:pStyle w:val="BodyText"/>
      </w:pPr>
      <w:r>
        <w:t xml:space="preserve">While the limitations inherent to this method are important, and limit the , they reflect a more detailed appreciation of the complexities of risk of bias assessment and triangulation as whole (i.e. not applying expected directions of effects to a ).</w:t>
      </w:r>
    </w:p>
    <w:p>
      <w:pPr>
        <w:pStyle w:val="BodyText"/>
      </w:pPr>
      <w:r>
        <w:t xml:space="preserve">This approach also builds on existing approaches employed previously by</w:t>
      </w:r>
      <w:r>
        <w:t xml:space="preserve"> </w:t>
      </w:r>
      <w:r>
        <w:t xml:space="preserve">“</w:t>
      </w:r>
      <w:r>
        <w:t xml:space="preserve">exploding out</w:t>
      </w:r>
      <w:r>
        <w:t xml:space="preserve">”</w:t>
      </w:r>
      <w:r>
        <w:t xml:space="preserve"> </w:t>
      </w:r>
      <w:r>
        <w:t xml:space="preserve">the results of a systematic review/meta-analysis and considering the effects of bias in each individual result seperately. This more granular approach is to be preferred over assigning a bias judgement and direction to the summary effect produced by a meta-analysis, which may mask the different biases applicable to each unique result.</w:t>
      </w:r>
    </w:p>
    <w:p>
      <w:pPr>
        <w:pStyle w:val="BodyText"/>
      </w:pPr>
      <w:r>
        <w:t xml:space="preserve"> </w:t>
      </w:r>
    </w:p>
    <w:bookmarkEnd w:id="305"/>
    <w:bookmarkStart w:id="306" w:name="filling-in-the-gaps"/>
    <w:p>
      <w:pPr>
        <w:pStyle w:val="Heading3"/>
      </w:pPr>
      <w:r>
        <w:t xml:space="preserve">Filling in the gaps</w:t>
      </w:r>
    </w:p>
    <w:p>
      <w:pPr>
        <w:pStyle w:val="FirstParagraph"/>
      </w:pPr>
      <w:r>
        <w:t xml:space="preserve">Triangulation as a extension of evidence synthesis.</w:t>
      </w:r>
    </w:p>
    <w:p>
      <w:pPr>
        <w:pStyle w:val="BodyText"/>
      </w:pPr>
      <w:r>
        <w:t xml:space="preserve"> </w:t>
      </w:r>
    </w:p>
    <w:bookmarkEnd w:id="306"/>
    <w:bookmarkEnd w:id="307"/>
    <w:bookmarkStart w:id="308" w:name="conclusion-1"/>
    <w:p>
      <w:pPr>
        <w:pStyle w:val="Heading2"/>
      </w:pPr>
      <w:r>
        <w:t xml:space="preserve">Conclusion</w:t>
      </w:r>
    </w:p>
    <w:p>
      <w:pPr>
        <w:pStyle w:val="FirstParagraph"/>
      </w:pPr>
      <w:r>
        <w:t xml:space="preserve">Triangulation is a promising developing field, somewhat hamstrung by the limited understanding of the impact of biases at the meta-epidemiological level.</w:t>
      </w:r>
    </w:p>
    <w:p>
      <w:pPr>
        <w:pStyle w:val="BodyText"/>
      </w:pPr>
      <w:r>
        <w:t xml:space="preserve">This chapter has demonstrated a repurposed framework for quantitative triangulation, exploiting existing methods in evidence synthesis and developments in the assessment of different risks of bias.</w:t>
      </w:r>
    </w:p>
    <w:p>
      <w:pPr>
        <w:pStyle w:val="BodyText"/>
      </w:pPr>
      <w:r>
        <w:t xml:space="preserve">It also introduce a new way to visualise the biases at work in a particular result, rather than making assumptions about the type and directions of bias at the study design level as suggested by previous work on this topic.</w:t>
      </w:r>
    </w:p>
    <w:p>
      <w:pPr>
        <w:pStyle w:val="BodyText"/>
      </w:pPr>
      <w:r>
        <w:t xml:space="preserve">Finally, it highlighted the limitations of current methods for triangulation in the absence of informative priors for the impact of biases across the</w:t>
      </w:r>
    </w:p>
    <w:p>
      <w:r>
        <w:br w:type="page"/>
      </w:r>
    </w:p>
    <w:bookmarkEnd w:id="308"/>
    <w:bookmarkStart w:id="309" w:name="references-5"/>
    <w:p>
      <w:pPr>
        <w:pStyle w:val="Heading2"/>
      </w:pPr>
      <w:r>
        <w:t xml:space="preserve">References</w:t>
      </w:r>
    </w:p>
    <w:p>
      <w:pPr>
        <w:pStyle w:val="FirstParagraph"/>
      </w:pPr>
      <w:r>
        <w:t xml:space="preserve">— Hold — Hold</w:t>
      </w:r>
    </w:p>
    <w:bookmarkEnd w:id="309"/>
    <w:bookmarkEnd w:id="310"/>
    <w:bookmarkStart w:id="327" w:name="discussion-heading"/>
    <w:p>
      <w:pPr>
        <w:pStyle w:val="Heading1"/>
      </w:pPr>
      <w:r>
        <w:t xml:space="preserve">Discussion</w:t>
      </w:r>
    </w:p>
    <w:p>
      <w:pPr>
        <w:pStyle w:val="FirstParagraph"/>
      </w:pPr>
    </w:p>
    <w:p>
      <w:pPr>
        <w:pStyle w:val="BodyText"/>
      </w:pPr>
      <w:r>
        <w:t xml:space="preserve"> </w:t>
      </w:r>
    </w:p>
    <w:bookmarkStart w:id="311" w:name="lay-summary-6"/>
    <w:p>
      <w:pPr>
        <w:pStyle w:val="Heading2"/>
      </w:pPr>
      <w:r>
        <w:t xml:space="preserve">Lay summary</w:t>
      </w:r>
    </w:p>
    <w:p>
      <w:pPr>
        <w:pStyle w:val="FirstParagraph"/>
      </w:pPr>
      <w:r>
        <w:t xml:space="preserve">This chapter</w:t>
      </w:r>
    </w:p>
    <w:bookmarkEnd w:id="311"/>
    <w:bookmarkStart w:id="312" w:name="chapter-overview"/>
    <w:p>
      <w:pPr>
        <w:pStyle w:val="Heading2"/>
      </w:pPr>
      <w:r>
        <w:t xml:space="preserve">Chapter overview</w:t>
      </w:r>
    </w:p>
    <w:p>
      <w:pPr>
        <w:pStyle w:val="FirstParagraph"/>
      </w:pPr>
      <w:r>
        <w:t xml:space="preserve">In this chapter I will summarise the principal findings from my thesis,</w:t>
      </w:r>
    </w:p>
    <w:p>
      <w:pPr>
        <w:pStyle w:val="BodyText"/>
      </w:pPr>
      <w:r>
        <w:t xml:space="preserve">assess the unique contributions of this thesis to the field of research,</w:t>
      </w:r>
    </w:p>
    <w:p>
      <w:pPr>
        <w:pStyle w:val="BodyText"/>
      </w:pPr>
      <w:r>
        <w:t xml:space="preserve">discuss the implications for both clinical and public health policy,</w:t>
      </w:r>
    </w:p>
    <w:p>
      <w:pPr>
        <w:pStyle w:val="BodyText"/>
      </w:pPr>
      <w:r>
        <w:t xml:space="preserve">describe the overall strengths and limitations of this thesis as a whole,</w:t>
      </w:r>
    </w:p>
    <w:p>
      <w:pPr>
        <w:pStyle w:val="BodyText"/>
      </w:pPr>
      <w:r>
        <w:t xml:space="preserve">suggest avenues for impactful future research based on my findings and experiences.</w:t>
      </w:r>
    </w:p>
    <w:p>
      <w:pPr>
        <w:pStyle w:val="BodyText"/>
      </w:pPr>
      <w:r>
        <w:t xml:space="preserve"> </w:t>
      </w:r>
    </w:p>
    <w:bookmarkEnd w:id="312"/>
    <w:bookmarkStart w:id="313" w:name="summary-of-principal-findings"/>
    <w:p>
      <w:pPr>
        <w:pStyle w:val="Heading2"/>
      </w:pPr>
      <w:r>
        <w:t xml:space="preserve">Summary of principal findings</w:t>
      </w:r>
    </w:p>
    <w:p>
      <w:pPr>
        <w:pStyle w:val="FirstParagraph"/>
      </w:pPr>
      <w:r>
        <w:t xml:space="preserve"> </w:t>
      </w:r>
    </w:p>
    <w:bookmarkEnd w:id="313"/>
    <w:bookmarkStart w:id="314" w:name="overall-strengths-and-limitations"/>
    <w:p>
      <w:pPr>
        <w:pStyle w:val="Heading2"/>
      </w:pPr>
      <w:r>
        <w:t xml:space="preserve">Overall strengths and limitations</w:t>
      </w:r>
    </w:p>
    <w:p>
      <w:pPr>
        <w:pStyle w:val="FirstParagraph"/>
      </w:pPr>
      <w:r>
        <w:t xml:space="preserve">This thesis has used multiple sources of evidence to examine the relationship between blood lipids levels and cholesterol risk.</w:t>
      </w:r>
    </w:p>
    <w:p>
      <w:pPr>
        <w:pStyle w:val="BodyText"/>
      </w:pPr>
      <w:r>
        <w:t xml:space="preserve">It has highlighted the importance of including preprints in systematic review, and provided a tool to enable researchers to easily do so.</w:t>
      </w:r>
    </w:p>
    <w:p>
      <w:pPr>
        <w:pStyle w:val="BodyText"/>
      </w:pPr>
      <w:r>
        <w:t xml:space="preserve">It has analysed two previously unalysed datasets, adding useful information to the evidence base</w:t>
      </w:r>
    </w:p>
    <w:p>
      <w:pPr>
        <w:pStyle w:val="BodyText"/>
      </w:pPr>
      <w:r>
        <w:t xml:space="preserve">However, the thesis as a whole is subject to some strong limitations.</w:t>
      </w:r>
    </w:p>
    <w:p>
      <w:pPr>
        <w:pStyle w:val="BodyText"/>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317</w:t>
        </w:r>
      </w:hyperlink>
    </w:p>
    <w:p>
      <w:pPr>
        <w:pStyle w:val="BodyText"/>
      </w:pPr>
      <w:r>
        <w:t xml:space="preserve">This thesis is limited by the low response rate to data access requests, and the</w:t>
      </w:r>
    </w:p>
    <w:p>
      <w:pPr>
        <w:pStyle w:val="BodyText"/>
      </w:pPr>
      <w:r>
        <w:t xml:space="preserve">The lack of large, precise studies made comparison across different types of evidence difficult, while the low number of eligible studies for a</w:t>
      </w:r>
    </w:p>
    <w:p>
      <w:pPr>
        <w:pStyle w:val="BodyText"/>
      </w:pPr>
      <w:r>
        <w:t xml:space="preserve"> </w:t>
      </w:r>
    </w:p>
    <w:bookmarkEnd w:id="314"/>
    <w:bookmarkStart w:id="317" w:name="implications-of-this-research"/>
    <w:p>
      <w:pPr>
        <w:pStyle w:val="Heading2"/>
      </w:pPr>
      <w:r>
        <w:t xml:space="preserve">Implications of this research</w:t>
      </w:r>
    </w:p>
    <w:bookmarkStart w:id="315" w:name="clinical-practice"/>
    <w:p>
      <w:pPr>
        <w:pStyle w:val="Heading3"/>
      </w:pPr>
      <w:r>
        <w:t xml:space="preserve">Clinical practice</w:t>
      </w:r>
    </w:p>
    <w:p>
      <w:pPr>
        <w:pStyle w:val="FirstParagraph"/>
      </w:pPr>
      <w:r>
        <w:t xml:space="preserve">The clinical recommendations that can be drawn from the work in this thesis are limited, due to the</w:t>
      </w:r>
    </w:p>
    <w:p>
      <w:pPr>
        <w:pStyle w:val="BodyText"/>
      </w:pPr>
      <w:r>
        <w:t xml:space="preserve">however, a key limiting factor is the absence of a detailed pathological mechanism for Alzheimer’s disease. Additionally, vascular dementia</w:t>
      </w:r>
    </w:p>
    <w:p>
      <w:pPr>
        <w:pStyle w:val="BodyText"/>
      </w:pPr>
      <w:r>
        <w:t xml:space="preserve">However, based on the available evidence</w:t>
      </w:r>
    </w:p>
    <w:p>
      <w:pPr>
        <w:pStyle w:val="BodyText"/>
      </w:pPr>
      <w:r>
        <w:t xml:space="preserve"> </w:t>
      </w:r>
    </w:p>
    <w:bookmarkEnd w:id="315"/>
    <w:bookmarkStart w:id="316" w:name="public-health"/>
    <w:p>
      <w:pPr>
        <w:pStyle w:val="Heading3"/>
      </w:pPr>
      <w:r>
        <w:t xml:space="preserve">Public health</w:t>
      </w:r>
    </w:p>
    <w:p>
      <w:pPr>
        <w:pStyle w:val="FirstParagraph"/>
      </w:pPr>
      <w:r>
        <w:t xml:space="preserve"> </w:t>
      </w:r>
    </w:p>
    <w:bookmarkEnd w:id="316"/>
    <w:bookmarkEnd w:id="317"/>
    <w:bookmarkStart w:id="318"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p>
    <w:bookmarkEnd w:id="318"/>
    <w:bookmarkStart w:id="319" w:name="disc-PPI"/>
    <w:p>
      <w:pPr>
        <w:pStyle w:val="Heading2"/>
      </w:pPr>
      <w:r>
        <w:t xml:space="preserve">Public involvement and engagement</w:t>
      </w:r>
    </w:p>
    <w:p>
      <w:pPr>
        <w:pStyle w:val="FirstParagraph"/>
      </w:pPr>
      <w:r>
        <w:t xml:space="preserve">Involving and engaging the public and patients has been a central theme to this thesis.</w:t>
      </w:r>
      <w:r>
        <w:t xml:space="preserve"> </w:t>
      </w:r>
      <w:r>
        <w:t xml:space="preserve">Public engagement activities included</w:t>
      </w:r>
    </w:p>
    <w:p>
      <w:pPr>
        <w:pStyle w:val="BodyText"/>
      </w:pPr>
      <w:r>
        <w:t xml:space="preserve">Public involvement also steered the creation of the topic</w:t>
      </w:r>
    </w:p>
    <w:p>
      <w:pPr>
        <w:pStyle w:val="BodyText"/>
      </w:pPr>
      <w:r>
        <w:t xml:space="preserve"> </w:t>
      </w:r>
      <w:r>
        <w:t xml:space="preserve"> </w:t>
      </w:r>
    </w:p>
    <w:bookmarkEnd w:id="319"/>
    <w:bookmarkStart w:id="325" w:name="future-work"/>
    <w:p>
      <w:pPr>
        <w:pStyle w:val="Heading2"/>
      </w:pPr>
      <w:r>
        <w:t xml:space="preserve">Future work</w:t>
      </w:r>
    </w:p>
    <w:bookmarkStart w:id="320" w:name="inclusion-of-preprints-1"/>
    <w:p>
      <w:pPr>
        <w:pStyle w:val="Heading3"/>
      </w:pPr>
      <w:r>
        <w:t xml:space="preserve">Inclusion of preprints</w:t>
      </w:r>
    </w:p>
    <w:p>
      <w:pPr>
        <w:pStyle w:val="FirstParagraph"/>
      </w:pPr>
      <w:r>
        <w:t xml:space="preserve">Normalisation of inclusion of preprints in systematic reviews. Wider assessment of the evidence base that exists solely as preprinted literature ()</w:t>
      </w:r>
    </w:p>
    <w:p>
      <w:pPr>
        <w:pStyle w:val="BodyText"/>
      </w:pPr>
      <w:r>
        <w:t xml:space="preserve">Studying of factors which influence eventual publication would also help to identify the extent and strength of publication bias by providing a</w:t>
      </w:r>
    </w:p>
    <w:p>
      <w:pPr>
        <w:pStyle w:val="BodyText"/>
      </w:pPr>
      <w:r>
        <w:t xml:space="preserve">Preprints also represent a key oppportunity to assess the impact of peer review on qualitivative changes within</w:t>
      </w:r>
    </w:p>
    <w:p>
      <w:pPr>
        <w:pStyle w:val="BodyText"/>
      </w:pPr>
      <w:r>
        <w:t xml:space="preserve"> </w:t>
      </w:r>
    </w:p>
    <w:bookmarkEnd w:id="320"/>
    <w:bookmarkStart w:id="321" w:name="evidence-on-vascular-dementia"/>
    <w:p>
      <w:pPr>
        <w:pStyle w:val="Heading3"/>
      </w:pPr>
      <w:r>
        <w:t xml:space="preserve">Evidence on vascular dementia</w:t>
      </w:r>
    </w:p>
    <w:p>
      <w:pPr>
        <w:pStyle w:val="FirstParagraph"/>
      </w:pPr>
      <w:r>
        <w:t xml:space="preserve">As discussed, there is an absence of evidence on vascular dementia across the evidence base, potentially driven y</w:t>
      </w:r>
    </w:p>
    <w:p>
      <w:pPr>
        <w:pStyle w:val="BodyText"/>
      </w:pPr>
      <w:r>
        <w:t xml:space="preserve">large-scale GWAS of vascular dementia should be performed, to identify associated loci that future Mendelian randomisation studies can make use of. While this is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would allow for the assessment of many genetically driven risk factors beyond those considered in this thesis.</w:t>
      </w:r>
    </w:p>
    <w:p>
      <w:pPr>
        <w:pStyle w:val="BodyText"/>
      </w:pPr>
    </w:p>
    <w:p>
      <w:pPr>
        <w:pStyle w:val="BodyText"/>
      </w:pPr>
      <w:r>
        <w:t xml:space="preserve"> </w:t>
      </w:r>
    </w:p>
    <w:bookmarkEnd w:id="321"/>
    <w:bookmarkStart w:id="322" w:name="Xffcb1b8313fbc31a837e5be524cfa3ae58477f9"/>
    <w:p>
      <w:pPr>
        <w:pStyle w:val="Heading3"/>
      </w:pPr>
      <w:r>
        <w:t xml:space="preserve">Reviewing of Mendelian randomisation studies</w:t>
      </w:r>
    </w:p>
    <w:p>
      <w:pPr>
        <w:pStyle w:val="FirstParagraph"/>
      </w:pPr>
      <w:r>
        <w:t xml:space="preserve">As a field, and as noted in Chapter</w:t>
      </w:r>
      <w:r>
        <w:t xml:space="preserve"> </w:t>
      </w:r>
      <w:r>
        <w:t xml:space="preserve">??</w:t>
      </w:r>
      <w:r>
        <w:t xml:space="preserve">, the evidence synthesis theory and methods have not been sufficient developed for Mendelian randomisation studies. Future work should aim to validate search strategies for this study design, paying particular attention to the range of terms used to define it (e.g. genetic instrumental variable analysis.)</w:t>
      </w:r>
    </w:p>
    <w:p>
      <w:pPr>
        <w:pStyle w:val="BodyText"/>
      </w:pPr>
      <w:r>
        <w:t xml:space="preserve">Work is ongoing in this field, and new methodological work such as the release of teh MR-STROBE guidelines will aid in the future assessing by helping to improve the reporting of Mendelian randomisation studies.</w:t>
      </w:r>
    </w:p>
    <w:p>
      <w:pPr>
        <w:pStyle w:val="BodyText"/>
      </w:pPr>
      <w:r>
        <w:t xml:space="preserve">Problems with reporting of MR studies will hopefully</w:t>
      </w:r>
    </w:p>
    <w:p>
      <w:pPr>
        <w:pStyle w:val="BodyText"/>
      </w:pPr>
      <w:r>
        <w:t xml:space="preserve"> </w:t>
      </w:r>
    </w:p>
    <w:bookmarkEnd w:id="322"/>
    <w:bookmarkStart w:id="323" w:name="empirical-estimates-of-bias"/>
    <w:p>
      <w:pPr>
        <w:pStyle w:val="Heading3"/>
      </w:pPr>
      <w:r>
        <w:t xml:space="preserve">Empirical estimates of bias</w:t>
      </w:r>
    </w:p>
    <w:p>
      <w:pPr>
        <w:pStyle w:val="FirstParagraph"/>
      </w:pPr>
      <w:r>
        <w:t xml:space="preserve">Finally, substantial future work should be directed towards the conduct of meta-epidemiological studies to assess the impact of different bias in non-observational studies. While frameworks such as the one employed in Chapter</w:t>
      </w:r>
      <w:r>
        <w:t xml:space="preserve"> </w:t>
      </w:r>
      <w:r>
        <w:t xml:space="preserve">7</w:t>
      </w:r>
      <w:r>
        <w:t xml:space="preserve"> </w:t>
      </w:r>
      <w:r>
        <w:t xml:space="preserve">exist to allow for the production of bias-adjusted and triangulated estimates.</w:t>
      </w:r>
    </w:p>
    <w:p>
      <w:pPr>
        <w:pStyle w:val="BodyText"/>
      </w:pPr>
      <w:r>
        <w:t xml:space="preserve"> </w:t>
      </w:r>
    </w:p>
    <w:bookmarkEnd w:id="323"/>
    <w:bookmarkStart w:id="324" w:name="imporved-analytical-designs"/>
    <w:p>
      <w:pPr>
        <w:pStyle w:val="Heading3"/>
      </w:pPr>
      <w:r>
        <w:t xml:space="preserve">Imporved analytical designs</w:t>
      </w:r>
    </w:p>
    <w:p>
      <w:pPr>
        <w:pStyle w:val="FirstParagraph"/>
      </w:pPr>
      <w:r>
        <w:t xml:space="preserve">Use of the real-world evidence approach needs to be traded off against the important limitations that t</w:t>
      </w:r>
    </w:p>
    <w:p>
      <w:pPr>
        <w:pStyle w:val="BodyText"/>
      </w:pPr>
      <w:r>
        <w:t xml:space="preserve">Talk about the problems with real world evidence, and highlight that even when using these techniques, you still don’t get the correct answers.</w:t>
      </w:r>
    </w:p>
    <w:p>
      <w:pPr>
        <w:pStyle w:val="BodyText"/>
      </w:pPr>
      <w:r>
        <w:t xml:space="preserve">Tie in with GDS comments on off-targets effect.</w:t>
      </w:r>
    </w:p>
    <w:p>
      <w:pPr>
        <w:pStyle w:val="BodyText"/>
      </w:pPr>
      <w:r>
        <w:t xml:space="preserve"> </w:t>
      </w:r>
      <w:r>
        <w:t xml:space="preserve"> </w:t>
      </w:r>
    </w:p>
    <w:bookmarkEnd w:id="324"/>
    <w:bookmarkEnd w:id="325"/>
    <w:bookmarkStart w:id="326" w:name="overall-conclusions"/>
    <w:p>
      <w:pPr>
        <w:pStyle w:val="Heading2"/>
      </w:pPr>
      <w:r>
        <w:t xml:space="preserve">Overall conclusions</w:t>
      </w:r>
    </w:p>
    <w:p>
      <w:pPr>
        <w:pStyle w:val="FirstParagraph"/>
      </w:pPr>
      <w:r>
        <w:t xml:space="preserve">This thesis has made unique and novel contributions to the</w:t>
      </w:r>
    </w:p>
    <w:p>
      <w:pPr>
        <w:pStyle w:val="BodyText"/>
      </w:pPr>
      <w:r>
        <w:t xml:space="preserve">Illustrating that commonly employed approaches to address</w:t>
      </w:r>
    </w:p>
    <w:p>
      <w:pPr>
        <w:pStyle w:val="BodyText"/>
      </w:pPr>
      <w:r>
        <w:t xml:space="preserve">Definition of covariates adjusted for in the full-adjusted model. The codelists used to define the majority of these covariates were originally created for use in a previously published analysis.</w:t>
      </w:r>
      <w:hyperlink w:anchor="ref-walker2020">
        <w:r>
          <w:rPr>
            <w:rStyle w:val="Hyperlink"/>
            <w:vertAlign w:val="superscript"/>
          </w:rPr>
          <w:t xml:space="preserve">318</w:t>
        </w:r>
      </w:hyperlink>
      <w:r>
        <w:t xml:space="preserve"> </w:t>
      </w:r>
      <w:r>
        <w:t xml:space="preserve">while others were built on or adapted from previous published work,</w:t>
      </w:r>
      <w:hyperlink w:anchor="ref-khan2010">
        <w:r>
          <w:rPr>
            <w:rStyle w:val="Hyperlink"/>
            <w:vertAlign w:val="superscript"/>
          </w:rPr>
          <w:t xml:space="preserve">319</w:t>
        </w:r>
      </w:hyperlink>
      <w:r>
        <w:rPr>
          <w:vertAlign w:val="superscript"/>
        </w:rPr>
        <w:t xml:space="preserve">–</w:t>
      </w:r>
      <w:hyperlink w:anchor="ref-wright2017">
        <w:r>
          <w:rPr>
            <w:rStyle w:val="Hyperlink"/>
            <w:vertAlign w:val="superscript"/>
          </w:rPr>
          <w:t xml:space="preserve">321</w:t>
        </w:r>
      </w:hyperlink>
      <w:r>
        <w:t xml:space="preserve">. Definition of covariates adjusted for in the full-adjusted model. The codelists used to define the majority of these covariates were originally created for use in a previously published analysis.</w:t>
      </w:r>
      <w:hyperlink w:anchor="ref-walker2020">
        <w:r>
          <w:rPr>
            <w:rStyle w:val="Hyperlink"/>
            <w:vertAlign w:val="superscript"/>
          </w:rPr>
          <w:t xml:space="preserve">318</w:t>
        </w:r>
      </w:hyperlink>
      <w:r>
        <w:t xml:space="preserve"> </w:t>
      </w:r>
      <w:r>
        <w:t xml:space="preserve">while others were built on or adapted from previous published work.</w:t>
      </w:r>
      <w:hyperlink w:anchor="ref-khan2010">
        <w:r>
          <w:rPr>
            <w:rStyle w:val="Hyperlink"/>
            <w:vertAlign w:val="superscript"/>
          </w:rPr>
          <w:t xml:space="preserve">319</w:t>
        </w:r>
      </w:hyperlink>
      <w:r>
        <w:rPr>
          <w:vertAlign w:val="superscript"/>
        </w:rPr>
        <w:t xml:space="preserve">–</w:t>
      </w:r>
      <w:hyperlink w:anchor="ref-wright2017">
        <w:r>
          <w:rPr>
            <w:rStyle w:val="Hyperlink"/>
            <w:vertAlign w:val="superscript"/>
          </w:rPr>
          <w:t xml:space="preserve">321</w:t>
        </w:r>
      </w:hyperlink>
    </w:p>
    <w:p>
      <w:pPr>
        <w:pStyle w:val="BodyText"/>
      </w:pPr>
      <w:r>
        <w:t xml:space="preserve">Covariates adjusted for. Covariates adjusted for.</w:t>
      </w:r>
    </w:p>
    <w:p>
      <w:pPr>
        <w:pStyle w:val="BodyText"/>
      </w:pPr>
      <w:r>
        <w:t xml:space="preserve">Charlson index implemented using Read code lists.</w:t>
      </w:r>
      <w:hyperlink w:anchor="ref-khan2010">
        <w:r>
          <w:rPr>
            <w:rStyle w:val="Hyperlink"/>
            <w:vertAlign w:val="superscript"/>
          </w:rPr>
          <w:t xml:space="preserve">319</w:t>
        </w:r>
      </w:hyperlink>
      <w:r>
        <w:t xml:space="preserve"> </w:t>
      </w:r>
      <w:r>
        <w:t xml:space="preserve">Code lists based on those by Taylor et al.</w:t>
      </w:r>
      <w:hyperlink w:anchor="ref-taylor2016">
        <w:r>
          <w:rPr>
            <w:rStyle w:val="Hyperlink"/>
            <w:vertAlign w:val="superscript"/>
          </w:rPr>
          <w:t xml:space="preserve">320</w:t>
        </w:r>
      </w:hyperlink>
      <w:r>
        <w:t xml:space="preserve"> </w:t>
      </w:r>
      <w:r>
        <w:t xml:space="preserve">Charlson index implemented using Read code lists.</w:t>
      </w:r>
      <w:hyperlink w:anchor="ref-khan2010">
        <w:r>
          <w:rPr>
            <w:rStyle w:val="Hyperlink"/>
            <w:vertAlign w:val="superscript"/>
          </w:rPr>
          <w:t xml:space="preserve">319</w:t>
        </w:r>
      </w:hyperlink>
      <w:r>
        <w:t xml:space="preserve"> </w:t>
      </w:r>
      <w:r>
        <w:t xml:space="preserve">Code lists based on those by Taylor et al.</w:t>
      </w:r>
      <w:hyperlink w:anchor="ref-taylor2016">
        <w:r>
          <w:rPr>
            <w:rStyle w:val="Hyperlink"/>
            <w:vertAlign w:val="superscript"/>
          </w:rPr>
          <w:t xml:space="preserve">320</w:t>
        </w:r>
      </w:hyperlink>
    </w:p>
    <w:p>
      <w:pPr>
        <w:pStyle w:val="BodyText"/>
      </w:pPr>
      <w:r>
        <w:t xml:space="preserve">Most recent of recorded value (current, former or never) or Read code indicating a recorded value. Code lists based on those by Wright et al.</w:t>
      </w:r>
      <w:hyperlink w:anchor="ref-wright2017">
        <w:r>
          <w:rPr>
            <w:rStyle w:val="Hyperlink"/>
            <w:vertAlign w:val="superscript"/>
          </w:rPr>
          <w:t xml:space="preserve">321</w:t>
        </w:r>
      </w:hyperlink>
      <w:r>
        <w:t xml:space="preserve"> </w:t>
      </w:r>
      <w:r>
        <w:t xml:space="preserve">Most recent of recorded value (current, former or never) or Read code indicating a recorded value. Code lists based on those by Wright et al.</w:t>
      </w:r>
      <w:hyperlink w:anchor="ref-wright2017">
        <w:r>
          <w:rPr>
            <w:rStyle w:val="Hyperlink"/>
            <w:vertAlign w:val="superscript"/>
          </w:rPr>
          <w:t xml:space="preserve">321</w:t>
        </w:r>
      </w:hyperlink>
    </w:p>
    <w:p>
      <w:pPr>
        <w:pStyle w:val="TableCaption"/>
      </w:pPr>
      <w:r>
        <w:t xml:space="preserve">Table 11:</w:t>
      </w:r>
      <w:r>
        <w:t xml:space="preserve"> </w:t>
      </w:r>
      <w:bookmarkStart w:id="2a73d550-d433-4abf-8005-50e756e76e68" w:name="tab:covariateDef-table"/>
      <w:r>
        <w:t xml:space="preserve">Definition of covariates adjusted for in the full-adjusted model. The codelists used to define the majority of these covariates were originally created for use in a previously published analysis.[@walker2020] while others were built on or adapted from previous published work,[@khan2010; @taylor2016; @wright2017].</w:t>
      </w:r>
      <w:bookmarkEnd w:id="2a73d550-d433-4abf-8005-50e756e76e6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bookmarkEnd w:id="326"/>
    <w:bookmarkEnd w:id="327"/>
    <w:bookmarkStart w:id="328" w:name="bibliography"/>
    <w:p>
      <w:pPr>
        <w:pStyle w:val="Heading1"/>
      </w:pPr>
      <w:r>
        <w:t xml:space="preserve">Bibliography</w:t>
      </w:r>
    </w:p>
    <w:bookmarkEnd w:id="328"/>
    <w:bookmarkStart w:id="673" w:name="bibliography-1"/>
    <w:p>
      <w:pPr>
        <w:pStyle w:val="Heading1"/>
      </w:pPr>
      <w:r>
        <w:t xml:space="preserve">Bibliography</w:t>
      </w:r>
    </w:p>
    <w:bookmarkStart w:id="672" w:name="refs"/>
    <w:bookmarkStart w:id="329"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29"/>
    <w:bookmarkStart w:id="330"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30"/>
    <w:bookmarkStart w:id="331"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31"/>
    <w:bookmarkStart w:id="332"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32"/>
    <w:bookmarkStart w:id="333"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33"/>
    <w:bookmarkStart w:id="334"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34"/>
    <w:bookmarkStart w:id="335"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35"/>
    <w:bookmarkStart w:id="336"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36"/>
    <w:bookmarkStart w:id="337"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37"/>
    <w:bookmarkStart w:id="338"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38"/>
    <w:bookmarkStart w:id="339"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39"/>
    <w:bookmarkStart w:id="340"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40"/>
    <w:bookmarkStart w:id="341"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41"/>
    <w:bookmarkStart w:id="342"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42"/>
    <w:bookmarkStart w:id="343"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43"/>
    <w:bookmarkStart w:id="344"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44"/>
    <w:bookmarkStart w:id="346"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45">
        <w:r>
          <w:rPr>
            <w:rStyle w:val="Hyperlink"/>
          </w:rPr>
          <w:t xml:space="preserve">10.1016/j.neuropharm.2020.108352</w:t>
        </w:r>
      </w:hyperlink>
    </w:p>
    <w:bookmarkEnd w:id="346"/>
    <w:bookmarkStart w:id="347"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47"/>
    <w:bookmarkStart w:id="348"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48"/>
    <w:bookmarkStart w:id="349"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49"/>
    <w:bookmarkStart w:id="350"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50"/>
    <w:bookmarkStart w:id="351"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51"/>
    <w:bookmarkStart w:id="352"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52"/>
    <w:bookmarkStart w:id="353"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53"/>
    <w:bookmarkStart w:id="354"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54"/>
    <w:bookmarkStart w:id="355"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55"/>
    <w:bookmarkStart w:id="356"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56"/>
    <w:bookmarkStart w:id="357"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57"/>
    <w:bookmarkStart w:id="358"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58"/>
    <w:bookmarkStart w:id="359"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59"/>
    <w:bookmarkStart w:id="360"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60"/>
    <w:bookmarkStart w:id="361"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61"/>
    <w:bookmarkStart w:id="362"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62"/>
    <w:bookmarkStart w:id="363"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63"/>
    <w:bookmarkStart w:id="364"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64"/>
    <w:bookmarkStart w:id="365"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65"/>
    <w:bookmarkStart w:id="366"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66"/>
    <w:bookmarkStart w:id="367"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67"/>
    <w:bookmarkStart w:id="368"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68"/>
    <w:bookmarkStart w:id="369"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69"/>
    <w:bookmarkStart w:id="370"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70"/>
    <w:bookmarkStart w:id="371"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71"/>
    <w:bookmarkStart w:id="372"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72"/>
    <w:bookmarkStart w:id="373"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73"/>
    <w:bookmarkStart w:id="374"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74"/>
    <w:bookmarkStart w:id="375"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75"/>
    <w:bookmarkStart w:id="376"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76"/>
    <w:bookmarkStart w:id="377"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77"/>
    <w:bookmarkStart w:id="378"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78"/>
    <w:bookmarkStart w:id="379"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79"/>
    <w:bookmarkStart w:id="380"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80"/>
    <w:bookmarkStart w:id="381"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81"/>
    <w:bookmarkStart w:id="382"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82"/>
    <w:bookmarkStart w:id="383"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83"/>
    <w:bookmarkStart w:id="384"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84"/>
    <w:bookmarkStart w:id="385"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 Review 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85"/>
    <w:bookmarkStart w:id="386"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386"/>
    <w:bookmarkStart w:id="387"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87"/>
    <w:bookmarkStart w:id="388"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88"/>
    <w:bookmarkStart w:id="389"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89"/>
    <w:bookmarkStart w:id="390"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90"/>
    <w:bookmarkStart w:id="391"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91"/>
    <w:bookmarkStart w:id="392"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392"/>
    <w:bookmarkStart w:id="393"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93"/>
    <w:bookmarkStart w:id="394"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94"/>
    <w:bookmarkStart w:id="395"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395"/>
    <w:bookmarkStart w:id="396"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96"/>
    <w:bookmarkStart w:id="397" w:name="ref-chandler2019chapter"/>
    <w:p>
      <w:pPr>
        <w:pStyle w:val="Bibliography"/>
      </w:pPr>
      <w:r>
        <w:t xml:space="preserve">68.</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97"/>
    <w:bookmarkStart w:id="398"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98"/>
    <w:bookmarkStart w:id="399"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99"/>
    <w:bookmarkStart w:id="401"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00">
        <w:r>
          <w:rPr>
            <w:rStyle w:val="Hyperlink"/>
          </w:rPr>
          <w:t xml:space="preserve">10.1002/14651858.MR000010.pub3</w:t>
        </w:r>
      </w:hyperlink>
    </w:p>
    <w:bookmarkEnd w:id="401"/>
    <w:bookmarkStart w:id="402"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02"/>
    <w:bookmarkStart w:id="403"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03"/>
    <w:bookmarkStart w:id="404"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04"/>
    <w:bookmarkStart w:id="406" w:name="ref-fraser2020preprinting"/>
    <w:p>
      <w:pPr>
        <w:pStyle w:val="Bibliography"/>
      </w:pPr>
      <w:r>
        <w:t xml:space="preserve">75.</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05">
        <w:r>
          <w:rPr>
            <w:rStyle w:val="Hyperlink"/>
          </w:rPr>
          <w:t xml:space="preserve">10.1101/2020.05.22.111294</w:t>
        </w:r>
      </w:hyperlink>
    </w:p>
    <w:bookmarkEnd w:id="406"/>
    <w:bookmarkStart w:id="407" w:name="ref-rosenthal1979"/>
    <w:p>
      <w:pPr>
        <w:pStyle w:val="Bibliography"/>
      </w:pPr>
      <w:r>
        <w:t xml:space="preserve">76.</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07"/>
    <w:bookmarkStart w:id="408" w:name="ref-maslove2018"/>
    <w:p>
      <w:pPr>
        <w:pStyle w:val="Bibliography"/>
      </w:pPr>
      <w:r>
        <w:t xml:space="preserve">77.</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08"/>
    <w:bookmarkStart w:id="409" w:name="ref-schalkwyk2020"/>
    <w:p>
      <w:pPr>
        <w:pStyle w:val="Bibliography"/>
      </w:pPr>
      <w:r>
        <w:t xml:space="preserve">78.</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09"/>
    <w:bookmarkStart w:id="410" w:name="ref-mahood2014"/>
    <w:p>
      <w:pPr>
        <w:pStyle w:val="Bibliography"/>
      </w:pPr>
      <w:r>
        <w:t xml:space="preserve">79.</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10"/>
    <w:bookmarkStart w:id="411" w:name="ref-klein2019"/>
    <w:p>
      <w:pPr>
        <w:pStyle w:val="Bibliography"/>
      </w:pPr>
      <w:r>
        <w:t xml:space="preserve">80.</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11"/>
    <w:bookmarkStart w:id="413" w:name="ref-nicholson2021"/>
    <w:p>
      <w:pPr>
        <w:pStyle w:val="Bibliography"/>
      </w:pPr>
      <w:r>
        <w:t xml:space="preserve">81.</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12">
        <w:r>
          <w:rPr>
            <w:rStyle w:val="Hyperlink"/>
          </w:rPr>
          <w:t xml:space="preserve">10.1101/2021.03.04.433874</w:t>
        </w:r>
      </w:hyperlink>
    </w:p>
    <w:bookmarkEnd w:id="413"/>
    <w:bookmarkStart w:id="414" w:name="ref-munafo2018"/>
    <w:p>
      <w:pPr>
        <w:pStyle w:val="Bibliography"/>
      </w:pPr>
      <w:r>
        <w:t xml:space="preserve">82.</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14"/>
    <w:bookmarkStart w:id="415" w:name="ref-page2021"/>
    <w:p>
      <w:pPr>
        <w:pStyle w:val="Bibliography"/>
      </w:pPr>
      <w:r>
        <w:t xml:space="preserve">83.</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15"/>
    <w:bookmarkStart w:id="416" w:name="ref-mcguinness2018"/>
    <w:p>
      <w:pPr>
        <w:pStyle w:val="Bibliography"/>
      </w:pPr>
      <w:r>
        <w:t xml:space="preserve">84.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416"/>
    <w:bookmarkStart w:id="417" w:name="ref-riley2010"/>
    <w:p>
      <w:pPr>
        <w:pStyle w:val="Bibliography"/>
      </w:pPr>
      <w:r>
        <w:t xml:space="preserve">85.</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17"/>
    <w:bookmarkStart w:id="418" w:name="ref-stewart1993"/>
    <w:p>
      <w:pPr>
        <w:pStyle w:val="Bibliography"/>
      </w:pPr>
      <w:r>
        <w:t xml:space="preserve">86.</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18"/>
    <w:bookmarkStart w:id="419" w:name="ref-arain2009"/>
    <w:p>
      <w:pPr>
        <w:pStyle w:val="Bibliography"/>
      </w:pPr>
      <w:r>
        <w:t xml:space="preserve">87.</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19"/>
    <w:bookmarkStart w:id="420" w:name="ref-clayton2018"/>
    <w:p>
      <w:pPr>
        <w:pStyle w:val="Bibliography"/>
      </w:pPr>
      <w:r>
        <w:t xml:space="preserve">88.</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20"/>
    <w:bookmarkStart w:id="421" w:name="ref-mccartney2016"/>
    <w:p>
      <w:pPr>
        <w:pStyle w:val="Bibliography"/>
      </w:pPr>
      <w:r>
        <w:t xml:space="preserve">89.</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21"/>
    <w:bookmarkStart w:id="422" w:name="ref-letenneur1999"/>
    <w:p>
      <w:pPr>
        <w:pStyle w:val="Bibliography"/>
      </w:pPr>
      <w:r>
        <w:t xml:space="preserve">90.</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22"/>
    <w:bookmarkStart w:id="423" w:name="ref-riley2020"/>
    <w:p>
      <w:pPr>
        <w:pStyle w:val="Bibliography"/>
      </w:pPr>
      <w:r>
        <w:t xml:space="preserve">91.</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23"/>
    <w:bookmarkStart w:id="424" w:name="ref-stewart2002"/>
    <w:p>
      <w:pPr>
        <w:pStyle w:val="Bibliography"/>
      </w:pPr>
      <w:r>
        <w:t xml:space="preserve">92.</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24"/>
    <w:bookmarkStart w:id="425" w:name="ref-tugwell2010"/>
    <w:p>
      <w:pPr>
        <w:pStyle w:val="Bibliography"/>
      </w:pPr>
      <w:r>
        <w:t xml:space="preserve">93.</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25"/>
    <w:bookmarkStart w:id="426" w:name="ref-nevitt2017a"/>
    <w:p>
      <w:pPr>
        <w:pStyle w:val="Bibliography"/>
      </w:pPr>
      <w:r>
        <w:t xml:space="preserve">94.</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426"/>
    <w:bookmarkStart w:id="427" w:name="ref-ventresca2020"/>
    <w:p>
      <w:pPr>
        <w:pStyle w:val="Bibliography"/>
      </w:pPr>
      <w:r>
        <w:t xml:space="preserve">95.</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27"/>
    <w:bookmarkStart w:id="428" w:name="ref-alsheikh-ali2011"/>
    <w:p>
      <w:pPr>
        <w:pStyle w:val="Bibliography"/>
      </w:pPr>
      <w:r>
        <w:t xml:space="preserve">96.</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28"/>
    <w:bookmarkStart w:id="429" w:name="ref-vines2014"/>
    <w:p>
      <w:pPr>
        <w:pStyle w:val="Bibliography"/>
      </w:pPr>
      <w:r>
        <w:t xml:space="preserve">97.</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29"/>
    <w:bookmarkStart w:id="430" w:name="ref-wartenberg2010"/>
    <w:p>
      <w:pPr>
        <w:pStyle w:val="Bibliography"/>
      </w:pPr>
      <w:r>
        <w:t xml:space="preserve">98.</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30"/>
    <w:bookmarkStart w:id="431" w:name="ref-bauermeister2020"/>
    <w:p>
      <w:pPr>
        <w:pStyle w:val="Bibliography"/>
      </w:pPr>
      <w:r>
        <w:t xml:space="preserve">99.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31"/>
    <w:bookmarkStart w:id="432" w:name="ref-rawlinson2019"/>
    <w:p>
      <w:pPr>
        <w:pStyle w:val="Bibliography"/>
      </w:pPr>
      <w:r>
        <w:t xml:space="preserve">100.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32"/>
    <w:bookmarkStart w:id="434" w:name="ref-sever2019"/>
    <w:p>
      <w:pPr>
        <w:pStyle w:val="Bibliography"/>
      </w:pPr>
      <w:r>
        <w:t xml:space="preserve">101.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33">
        <w:r>
          <w:rPr>
            <w:rStyle w:val="Hyperlink"/>
          </w:rPr>
          <w:t xml:space="preserve">10.1101/833400</w:t>
        </w:r>
      </w:hyperlink>
    </w:p>
    <w:bookmarkEnd w:id="434"/>
    <w:bookmarkStart w:id="435" w:name="ref-bramer2018a"/>
    <w:p>
      <w:pPr>
        <w:pStyle w:val="Bibliography"/>
      </w:pPr>
      <w:r>
        <w:t xml:space="preserve">102.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435"/>
    <w:bookmarkStart w:id="436" w:name="ref-gusenbauer2020"/>
    <w:p>
      <w:pPr>
        <w:pStyle w:val="Bibliography"/>
      </w:pPr>
      <w:r>
        <w:t xml:space="preserve">103.</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36"/>
    <w:bookmarkStart w:id="437" w:name="ref-zotero-15029"/>
    <w:p>
      <w:pPr>
        <w:pStyle w:val="Bibliography"/>
      </w:pPr>
      <w:r>
        <w:t xml:space="preserve">104.</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37"/>
    <w:bookmarkStart w:id="438" w:name="ref-wateridge1995"/>
    <w:p>
      <w:pPr>
        <w:pStyle w:val="Bibliography"/>
      </w:pPr>
      <w:r>
        <w:t xml:space="preserve">105.</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38"/>
    <w:bookmarkStart w:id="439" w:name="ref-abdill2019"/>
    <w:p>
      <w:pPr>
        <w:pStyle w:val="Bibliography"/>
      </w:pPr>
      <w:r>
        <w:t xml:space="preserve">106.</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39"/>
    <w:bookmarkStart w:id="440" w:name="ref-zotero-15027"/>
    <w:p>
      <w:pPr>
        <w:pStyle w:val="Bibliography"/>
      </w:pPr>
      <w:r>
        <w:t xml:space="preserve">107.</w:t>
      </w:r>
      <w:r>
        <w:t xml:space="preserve"> </w:t>
      </w:r>
      <w:r>
        <w:t xml:space="preserve">	</w:t>
      </w:r>
      <w:r>
        <w:t xml:space="preserve">Rxivist: Explore popular biology preprints.</w:t>
      </w:r>
    </w:p>
    <w:bookmarkEnd w:id="440"/>
    <w:bookmarkStart w:id="441" w:name="ref-iwema2016"/>
    <w:p>
      <w:pPr>
        <w:pStyle w:val="Bibliography"/>
      </w:pPr>
      <w:r>
        <w:t xml:space="preserve">108.</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41"/>
    <w:bookmarkStart w:id="443" w:name="ref-shaw2002"/>
    <w:p>
      <w:pPr>
        <w:pStyle w:val="Bibliography"/>
      </w:pPr>
      <w:r>
        <w:t xml:space="preserve">109.</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42">
        <w:r>
          <w:rPr>
            <w:rStyle w:val="Hyperlink"/>
          </w:rPr>
          <w:t xml:space="preserve">10.1145/582128.582152</w:t>
        </w:r>
      </w:hyperlink>
    </w:p>
    <w:bookmarkEnd w:id="443"/>
    <w:bookmarkStart w:id="444" w:name="ref-laprie1992"/>
    <w:p>
      <w:pPr>
        <w:pStyle w:val="Bibliography"/>
      </w:pPr>
      <w:r>
        <w:t xml:space="preserve">110.</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44"/>
    <w:bookmarkStart w:id="445" w:name="ref-rcoreteam2019"/>
    <w:p>
      <w:pPr>
        <w:pStyle w:val="Bibliography"/>
      </w:pPr>
      <w:r>
        <w:t xml:space="preserve">111.</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45"/>
    <w:bookmarkStart w:id="446" w:name="ref-zotero-15031"/>
    <w:p>
      <w:pPr>
        <w:pStyle w:val="Bibliography"/>
      </w:pPr>
      <w:r>
        <w:t xml:space="preserve">112.</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46"/>
    <w:bookmarkStart w:id="447" w:name="ref-rethlefsen2021prisma"/>
    <w:p>
      <w:pPr>
        <w:pStyle w:val="Bibliography"/>
      </w:pPr>
      <w:r>
        <w:t xml:space="preserve">113.</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47"/>
    <w:bookmarkStart w:id="448" w:name="ref-bramer2018"/>
    <w:p>
      <w:pPr>
        <w:pStyle w:val="Bibliography"/>
      </w:pPr>
      <w:r>
        <w:t xml:space="preserve">114.</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48"/>
    <w:bookmarkStart w:id="450" w:name="ref-kodvanj2020"/>
    <w:p>
      <w:pPr>
        <w:pStyle w:val="Bibliography"/>
      </w:pPr>
      <w:r>
        <w:t xml:space="preserve">115.</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49">
        <w:r>
          <w:rPr>
            <w:rStyle w:val="Hyperlink"/>
          </w:rPr>
          <w:t xml:space="preserve">10.1101/2020.11.23.394577</w:t>
        </w:r>
      </w:hyperlink>
    </w:p>
    <w:bookmarkEnd w:id="450"/>
    <w:bookmarkStart w:id="451" w:name="ref-noone2020"/>
    <w:p>
      <w:pPr>
        <w:pStyle w:val="Bibliography"/>
      </w:pPr>
      <w:r>
        <w:t xml:space="preserve">116.</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51"/>
    <w:bookmarkStart w:id="452" w:name="ref-grassly2020"/>
    <w:p>
      <w:pPr>
        <w:pStyle w:val="Bibliography"/>
      </w:pPr>
      <w:r>
        <w:t xml:space="preserve">117.</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52"/>
    <w:bookmarkStart w:id="453" w:name="ref-boettiger2015"/>
    <w:p>
      <w:pPr>
        <w:pStyle w:val="Bibliography"/>
      </w:pPr>
      <w:r>
        <w:t xml:space="preserve">118.</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53"/>
    <w:bookmarkStart w:id="454" w:name="ref-zotero-15016"/>
    <w:p>
      <w:pPr>
        <w:pStyle w:val="Bibliography"/>
      </w:pPr>
      <w:r>
        <w:t xml:space="preserve">119.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54"/>
    <w:bookmarkStart w:id="455" w:name="ref-abdill2019b"/>
    <w:p>
      <w:pPr>
        <w:pStyle w:val="Bibliography"/>
      </w:pPr>
      <w:r>
        <w:t xml:space="preserve">120.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55"/>
    <w:bookmarkStart w:id="457" w:name="ref-bong2019"/>
    <w:p>
      <w:pPr>
        <w:pStyle w:val="Bibliography"/>
      </w:pPr>
      <w:r>
        <w:t xml:space="preserve">121.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56">
        <w:r>
          <w:rPr>
            <w:rStyle w:val="Hyperlink"/>
          </w:rPr>
          <w:t xml:space="preserve">10.1101/19000265</w:t>
        </w:r>
      </w:hyperlink>
    </w:p>
    <w:bookmarkEnd w:id="457"/>
    <w:bookmarkStart w:id="458" w:name="ref-song2010"/>
    <w:p>
      <w:pPr>
        <w:pStyle w:val="Bibliography"/>
      </w:pPr>
      <w:r>
        <w:t xml:space="preserve">122.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58"/>
    <w:bookmarkStart w:id="460" w:name="ref-vuorre2020"/>
    <w:p>
      <w:pPr>
        <w:pStyle w:val="Bibliography"/>
      </w:pPr>
      <w:r>
        <w:t xml:space="preserve">123.</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59">
        <w:r>
          <w:rPr>
            <w:rStyle w:val="Hyperlink"/>
          </w:rPr>
          <w:t xml:space="preserve">10.3758/s13428-020-01436-x</w:t>
        </w:r>
      </w:hyperlink>
    </w:p>
    <w:bookmarkEnd w:id="460"/>
    <w:bookmarkStart w:id="462" w:name="ref-mcguinnessluke2020"/>
    <w:p>
      <w:pPr>
        <w:pStyle w:val="Bibliography"/>
      </w:pPr>
      <w:r>
        <w:t xml:space="preserve">124.</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61">
        <w:r>
          <w:rPr>
            <w:rStyle w:val="Hyperlink"/>
          </w:rPr>
          <w:t xml:space="preserve">10.17605/OSF.IO/VTW5Y</w:t>
        </w:r>
      </w:hyperlink>
    </w:p>
    <w:bookmarkEnd w:id="462"/>
    <w:bookmarkStart w:id="463" w:name="ref-gusenbauer2020a"/>
    <w:p>
      <w:pPr>
        <w:pStyle w:val="Bibliography"/>
      </w:pPr>
      <w:r>
        <w:t xml:space="preserve">125.</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63"/>
    <w:bookmarkStart w:id="464" w:name="ref-bramer2016"/>
    <w:p>
      <w:pPr>
        <w:pStyle w:val="Bibliography"/>
      </w:pPr>
      <w:r>
        <w:t xml:space="preserve">126.</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64"/>
    <w:bookmarkStart w:id="465" w:name="ref-hupe2019"/>
    <w:p>
      <w:pPr>
        <w:pStyle w:val="Bibliography"/>
      </w:pPr>
      <w:r>
        <w:t xml:space="preserve">127.</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65"/>
    <w:bookmarkStart w:id="466" w:name="ref-ouzzani2016"/>
    <w:p>
      <w:pPr>
        <w:pStyle w:val="Bibliography"/>
      </w:pPr>
      <w:r>
        <w:t xml:space="preserve">128.</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66"/>
    <w:bookmarkStart w:id="467" w:name="ref-organizationwho1993"/>
    <w:p>
      <w:pPr>
        <w:pStyle w:val="Bibliography"/>
      </w:pPr>
      <w:r>
        <w:t xml:space="preserve">129.</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67"/>
    <w:bookmarkStart w:id="468" w:name="ref-roman1993"/>
    <w:p>
      <w:pPr>
        <w:pStyle w:val="Bibliography"/>
      </w:pPr>
      <w:r>
        <w:t xml:space="preserve">130.</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68"/>
    <w:bookmarkStart w:id="469" w:name="ref-edition2013"/>
    <w:p>
      <w:pPr>
        <w:pStyle w:val="Bibliography"/>
      </w:pPr>
      <w:r>
        <w:t xml:space="preserve">131.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69"/>
    <w:bookmarkStart w:id="470" w:name="ref-gwet2008"/>
    <w:p>
      <w:pPr>
        <w:pStyle w:val="Bibliography"/>
      </w:pPr>
      <w:r>
        <w:t xml:space="preserve">132.</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70"/>
    <w:bookmarkStart w:id="471" w:name="ref-cohen1960"/>
    <w:p>
      <w:pPr>
        <w:pStyle w:val="Bibliography"/>
      </w:pPr>
      <w:r>
        <w:t xml:space="preserve">133.</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71"/>
    <w:bookmarkStart w:id="472" w:name="ref-wongpakaran2013"/>
    <w:p>
      <w:pPr>
        <w:pStyle w:val="Bibliography"/>
      </w:pPr>
      <w:r>
        <w:t xml:space="preserve">134.</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72"/>
    <w:bookmarkStart w:id="473" w:name="ref-brennan1992"/>
    <w:p>
      <w:pPr>
        <w:pStyle w:val="Bibliography"/>
      </w:pPr>
      <w:r>
        <w:t xml:space="preserve">135.</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73"/>
    <w:bookmarkStart w:id="474" w:name="ref-mchugh2012"/>
    <w:p>
      <w:pPr>
        <w:pStyle w:val="Bibliography"/>
      </w:pPr>
      <w:r>
        <w:t xml:space="preserve">136.</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74"/>
    <w:bookmarkStart w:id="475" w:name="ref-higgins2019"/>
    <w:p>
      <w:pPr>
        <w:pStyle w:val="Bibliography"/>
      </w:pPr>
      <w:r>
        <w:t xml:space="preserve">137.</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75"/>
    <w:bookmarkStart w:id="476" w:name="ref-reynders2019"/>
    <w:p>
      <w:pPr>
        <w:pStyle w:val="Bibliography"/>
      </w:pPr>
      <w:r>
        <w:t xml:space="preserve">138.</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76"/>
    <w:bookmarkStart w:id="477" w:name="ref-mckenzie2019"/>
    <w:p>
      <w:pPr>
        <w:pStyle w:val="Bibliography"/>
      </w:pPr>
      <w:r>
        <w:t xml:space="preserve">139.</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77"/>
    <w:bookmarkStart w:id="478" w:name="ref-sterne2016"/>
    <w:p>
      <w:pPr>
        <w:pStyle w:val="Bibliography"/>
      </w:pPr>
      <w:r>
        <w:t xml:space="preserve">140.</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78"/>
    <w:bookmarkStart w:id="479" w:name="ref-campbell1957"/>
    <w:p>
      <w:pPr>
        <w:pStyle w:val="Bibliography"/>
      </w:pPr>
      <w:r>
        <w:t xml:space="preserve">141.</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79"/>
    <w:bookmarkStart w:id="480" w:name="ref-juni2001"/>
    <w:p>
      <w:pPr>
        <w:pStyle w:val="Bibliography"/>
      </w:pPr>
      <w:r>
        <w:t xml:space="preserve">142.</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80"/>
    <w:bookmarkStart w:id="481" w:name="ref-sterne2019"/>
    <w:p>
      <w:pPr>
        <w:pStyle w:val="Bibliography"/>
      </w:pPr>
      <w:r>
        <w:t xml:space="preserve">143.</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81"/>
    <w:bookmarkStart w:id="482" w:name="ref-morganr2020"/>
    <w:p>
      <w:pPr>
        <w:pStyle w:val="Bibliography"/>
      </w:pPr>
      <w:r>
        <w:t xml:space="preserve">144.</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82"/>
    <w:bookmarkStart w:id="483" w:name="ref-french2019"/>
    <w:p>
      <w:pPr>
        <w:pStyle w:val="Bibliography"/>
      </w:pPr>
      <w:r>
        <w:t xml:space="preserve">145.</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83"/>
    <w:bookmarkStart w:id="484" w:name="ref-wells2000"/>
    <w:p>
      <w:pPr>
        <w:pStyle w:val="Bibliography"/>
      </w:pPr>
      <w:r>
        <w:t xml:space="preserve">146.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84"/>
    <w:bookmarkStart w:id="485" w:name="ref-mamluk2020"/>
    <w:p>
      <w:pPr>
        <w:pStyle w:val="Bibliography"/>
      </w:pPr>
      <w:r>
        <w:t xml:space="preserve">147.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85"/>
    <w:bookmarkStart w:id="487" w:name="ref-spiga2021"/>
    <w:p>
      <w:pPr>
        <w:pStyle w:val="Bibliography"/>
      </w:pPr>
      <w:r>
        <w:t xml:space="preserve">148.</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486">
        <w:r>
          <w:rPr>
            <w:rStyle w:val="Hyperlink"/>
          </w:rPr>
          <w:t xml:space="preserve">10.1101/2021.10.21.21265126</w:t>
        </w:r>
      </w:hyperlink>
    </w:p>
    <w:bookmarkEnd w:id="487"/>
    <w:bookmarkStart w:id="488" w:name="ref-zotero-15123"/>
    <w:p>
      <w:pPr>
        <w:pStyle w:val="Bibliography"/>
      </w:pPr>
      <w:r>
        <w:t xml:space="preserve">149.</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88"/>
    <w:bookmarkStart w:id="489" w:name="ref-saran2018"/>
    <w:p>
      <w:pPr>
        <w:pStyle w:val="Bibliography"/>
      </w:pPr>
      <w:r>
        <w:t xml:space="preserve">150.</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89"/>
    <w:bookmarkStart w:id="490" w:name="ref-mcguinness2020robvisPaper"/>
    <w:p>
      <w:pPr>
        <w:pStyle w:val="Bibliography"/>
      </w:pPr>
      <w:r>
        <w:t xml:space="preserve">151.</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90"/>
    <w:bookmarkStart w:id="491" w:name="ref-zotero-14999"/>
    <w:p>
      <w:pPr>
        <w:pStyle w:val="Bibliography"/>
      </w:pPr>
      <w:r>
        <w:t xml:space="preserve">152.</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91"/>
    <w:bookmarkStart w:id="492" w:name="ref-feinstein1990"/>
    <w:p>
      <w:pPr>
        <w:pStyle w:val="Bibliography"/>
      </w:pPr>
      <w:r>
        <w:t xml:space="preserve">153.</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92"/>
    <w:bookmarkStart w:id="493" w:name="X49f9892f062f4edfe92b37e5c1639cb4f6c013f"/>
    <w:p>
      <w:pPr>
        <w:pStyle w:val="Bibliography"/>
      </w:pPr>
      <w:r>
        <w:t xml:space="preserve">154.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93"/>
    <w:bookmarkStart w:id="494" w:name="ref-ridker2008"/>
    <w:p>
      <w:pPr>
        <w:pStyle w:val="Bibliography"/>
      </w:pPr>
      <w:r>
        <w:t xml:space="preserve">155.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494"/>
    <w:bookmarkStart w:id="495" w:name="ref-ancelin2012"/>
    <w:p>
      <w:pPr>
        <w:pStyle w:val="Bibliography"/>
      </w:pPr>
      <w:r>
        <w:t xml:space="preserve">156.</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95"/>
    <w:bookmarkStart w:id="496" w:name="ref-arvanitakis2008"/>
    <w:p>
      <w:pPr>
        <w:pStyle w:val="Bibliography"/>
      </w:pPr>
      <w:r>
        <w:t xml:space="preserve">157.</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96"/>
    <w:bookmarkStart w:id="497" w:name="ref-bettermann2012"/>
    <w:p>
      <w:pPr>
        <w:pStyle w:val="Bibliography"/>
      </w:pPr>
      <w:r>
        <w:t xml:space="preserve">158.</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497"/>
    <w:bookmarkStart w:id="498" w:name="ref-beydoun2011"/>
    <w:p>
      <w:pPr>
        <w:pStyle w:val="Bibliography"/>
      </w:pPr>
      <w:r>
        <w:t xml:space="preserve">159.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98"/>
    <w:bookmarkStart w:id="499" w:name="ref-chao2015a"/>
    <w:p>
      <w:pPr>
        <w:pStyle w:val="Bibliography"/>
      </w:pPr>
      <w:r>
        <w:t xml:space="preserve">160.</w:t>
      </w:r>
      <w:r>
        <w:t xml:space="preserve"> </w:t>
      </w:r>
      <w:r>
        <w:t xml:space="preserve">	</w:t>
      </w:r>
      <w:r>
        <w:t xml:space="preserve">Chao, T. 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99"/>
    <w:bookmarkStart w:id="500" w:name="ref-chen2014"/>
    <w:p>
      <w:pPr>
        <w:pStyle w:val="Bibliography"/>
      </w:pPr>
      <w:r>
        <w:t xml:space="preserve">161.</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00"/>
    <w:bookmarkStart w:id="501" w:name="ref-chitnis2015"/>
    <w:p>
      <w:pPr>
        <w:pStyle w:val="Bibliography"/>
      </w:pPr>
      <w:r>
        <w:t xml:space="preserve">162.</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01"/>
    <w:bookmarkStart w:id="502" w:name="ref-chou2014a"/>
    <w:p>
      <w:pPr>
        <w:pStyle w:val="Bibliography"/>
      </w:pPr>
      <w:r>
        <w:t xml:space="preserve">163.</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02"/>
    <w:bookmarkStart w:id="503" w:name="ref-chuang2015"/>
    <w:p>
      <w:pPr>
        <w:pStyle w:val="Bibliography"/>
      </w:pPr>
      <w:r>
        <w:t xml:space="preserve">164.</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03"/>
    <w:bookmarkStart w:id="504" w:name="ref-cramer2008"/>
    <w:p>
      <w:pPr>
        <w:pStyle w:val="Bibliography"/>
      </w:pPr>
      <w:r>
        <w:t xml:space="preserve">165.</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04"/>
    <w:bookmarkStart w:id="505" w:name="ref-gnjidic2016"/>
    <w:p>
      <w:pPr>
        <w:pStyle w:val="Bibliography"/>
      </w:pPr>
      <w:r>
        <w:t xml:space="preserve">166.</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05"/>
    <w:bookmarkStart w:id="506" w:name="ref-haag2009"/>
    <w:p>
      <w:pPr>
        <w:pStyle w:val="Bibliography"/>
      </w:pPr>
      <w:r>
        <w:t xml:space="preserve">167.</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06"/>
    <w:bookmarkStart w:id="507" w:name="ref-hendrie2015"/>
    <w:p>
      <w:pPr>
        <w:pStyle w:val="Bibliography"/>
      </w:pPr>
      <w:r>
        <w:t xml:space="preserve">168.</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07"/>
    <w:bookmarkStart w:id="508" w:name="ref-hippisley-cox2010a"/>
    <w:p>
      <w:pPr>
        <w:pStyle w:val="Bibliography"/>
      </w:pPr>
      <w:r>
        <w:t xml:space="preserve">169.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508"/>
    <w:bookmarkStart w:id="509" w:name="ref-jick2000"/>
    <w:p>
      <w:pPr>
        <w:pStyle w:val="Bibliography"/>
      </w:pPr>
      <w:r>
        <w:t xml:space="preserve">170.</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09"/>
    <w:bookmarkStart w:id="510" w:name="ref-li2004"/>
    <w:p>
      <w:pPr>
        <w:pStyle w:val="Bibliography"/>
      </w:pPr>
      <w:r>
        <w:t xml:space="preserve">171.</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10"/>
    <w:bookmarkStart w:id="511" w:name="ref-li2010"/>
    <w:p>
      <w:pPr>
        <w:pStyle w:val="Bibliography"/>
      </w:pPr>
      <w:r>
        <w:t xml:space="preserve">172.</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11"/>
    <w:bookmarkStart w:id="512" w:name="ref-liao2013"/>
    <w:p>
      <w:pPr>
        <w:pStyle w:val="Bibliography"/>
      </w:pPr>
      <w:r>
        <w:t xml:space="preserve">173.</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12"/>
    <w:bookmarkStart w:id="513" w:name="ref-liu2019a"/>
    <w:p>
      <w:pPr>
        <w:pStyle w:val="Bibliography"/>
      </w:pPr>
      <w:r>
        <w:t xml:space="preserve">174.</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513"/>
    <w:bookmarkStart w:id="514" w:name="ref-pan2018"/>
    <w:p>
      <w:pPr>
        <w:pStyle w:val="Bibliography"/>
      </w:pPr>
      <w:r>
        <w:t xml:space="preserve">175.</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14"/>
    <w:bookmarkStart w:id="515" w:name="ref-parikh2011"/>
    <w:p>
      <w:pPr>
        <w:pStyle w:val="Bibliography"/>
      </w:pPr>
      <w:r>
        <w:t xml:space="preserve">176.</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15"/>
    <w:bookmarkStart w:id="516" w:name="ref-rea2005a"/>
    <w:p>
      <w:pPr>
        <w:pStyle w:val="Bibliography"/>
      </w:pPr>
      <w:r>
        <w:t xml:space="preserve">177.</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16"/>
    <w:bookmarkStart w:id="517" w:name="ref-redelmeier2019"/>
    <w:p>
      <w:pPr>
        <w:pStyle w:val="Bibliography"/>
      </w:pPr>
      <w:r>
        <w:t xml:space="preserve">178.</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17"/>
    <w:bookmarkStart w:id="518" w:name="ref-reitz2010"/>
    <w:p>
      <w:pPr>
        <w:pStyle w:val="Bibliography"/>
      </w:pPr>
      <w:r>
        <w:t xml:space="preserve">179.</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18"/>
    <w:bookmarkStart w:id="519" w:name="ref-smeeth2009a"/>
    <w:p>
      <w:pPr>
        <w:pStyle w:val="Bibliography"/>
      </w:pPr>
      <w:r>
        <w:t xml:space="preserve">180.</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19"/>
    <w:bookmarkStart w:id="520" w:name="ref-solomon2007"/>
    <w:p>
      <w:pPr>
        <w:pStyle w:val="Bibliography"/>
      </w:pPr>
      <w:r>
        <w:t xml:space="preserve">181.</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20"/>
    <w:bookmarkStart w:id="521" w:name="ref-sparks2008"/>
    <w:p>
      <w:pPr>
        <w:pStyle w:val="Bibliography"/>
      </w:pPr>
      <w:r>
        <w:t xml:space="preserve">182.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21"/>
    <w:bookmarkStart w:id="522" w:name="ref-szwast2007"/>
    <w:p>
      <w:pPr>
        <w:pStyle w:val="Bibliography"/>
      </w:pPr>
      <w:r>
        <w:t xml:space="preserve">183.</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22"/>
    <w:bookmarkStart w:id="523" w:name="ref-yang2015"/>
    <w:p>
      <w:pPr>
        <w:pStyle w:val="Bibliography"/>
      </w:pPr>
      <w:r>
        <w:t xml:space="preserve">184.</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23"/>
    <w:bookmarkStart w:id="524" w:name="ref-zamrini2004"/>
    <w:p>
      <w:pPr>
        <w:pStyle w:val="Bibliography"/>
      </w:pPr>
      <w:r>
        <w:t xml:space="preserve">185.</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24"/>
    <w:bookmarkStart w:id="525" w:name="ref-zandi2005"/>
    <w:p>
      <w:pPr>
        <w:pStyle w:val="Bibliography"/>
      </w:pPr>
      <w:r>
        <w:t xml:space="preserve">186.</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25"/>
    <w:bookmarkStart w:id="526" w:name="ref-ancelin2013"/>
    <w:p>
      <w:pPr>
        <w:pStyle w:val="Bibliography"/>
      </w:pPr>
      <w:r>
        <w:t xml:space="preserve">187.</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26"/>
    <w:bookmarkStart w:id="527" w:name="ref-batty2014"/>
    <w:p>
      <w:pPr>
        <w:pStyle w:val="Bibliography"/>
      </w:pPr>
      <w:r>
        <w:t xml:space="preserve">188.</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27"/>
    <w:bookmarkStart w:id="528" w:name="ref-benn2017b"/>
    <w:p>
      <w:pPr>
        <w:pStyle w:val="Bibliography"/>
      </w:pPr>
      <w:r>
        <w:t xml:space="preserve">189.</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 (Clinical research ed.)</w:t>
      </w:r>
      <w:r>
        <w:t xml:space="preserve"> </w:t>
      </w:r>
      <w:r>
        <w:rPr>
          <w:bCs/>
          <w:b/>
        </w:rPr>
        <w:t xml:space="preserve">357</w:t>
      </w:r>
      <w:r>
        <w:t xml:space="preserve">, j1648 (2017).</w:t>
      </w:r>
    </w:p>
    <w:bookmarkEnd w:id="528"/>
    <w:bookmarkStart w:id="529" w:name="ref-bruce2017"/>
    <w:p>
      <w:pPr>
        <w:pStyle w:val="Bibliography"/>
      </w:pPr>
      <w:r>
        <w:t xml:space="preserve">190.</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29"/>
    <w:bookmarkStart w:id="530" w:name="ref-chiang2007"/>
    <w:p>
      <w:pPr>
        <w:pStyle w:val="Bibliography"/>
      </w:pPr>
      <w:r>
        <w:t xml:space="preserve">191.</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30"/>
    <w:bookmarkStart w:id="531" w:name="ref-dodge2011"/>
    <w:p>
      <w:pPr>
        <w:pStyle w:val="Bibliography"/>
      </w:pPr>
      <w:r>
        <w:t xml:space="preserve">192.</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31"/>
    <w:bookmarkStart w:id="532" w:name="ref-forti2010"/>
    <w:p>
      <w:pPr>
        <w:pStyle w:val="Bibliography"/>
      </w:pPr>
      <w:r>
        <w:t xml:space="preserve">193.</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32"/>
    <w:bookmarkStart w:id="533" w:name="ref-gottesman2017"/>
    <w:p>
      <w:pPr>
        <w:pStyle w:val="Bibliography"/>
      </w:pPr>
      <w:r>
        <w:t xml:space="preserve">194.</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33"/>
    <w:bookmarkStart w:id="534" w:name="ref-gustafson2012"/>
    <w:p>
      <w:pPr>
        <w:pStyle w:val="Bibliography"/>
      </w:pPr>
      <w:r>
        <w:t xml:space="preserve">195.</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34"/>
    <w:bookmarkStart w:id="535" w:name="ref-hayden2006"/>
    <w:p>
      <w:pPr>
        <w:pStyle w:val="Bibliography"/>
      </w:pPr>
      <w:r>
        <w:t xml:space="preserve">196.</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35"/>
    <w:bookmarkStart w:id="536" w:name="ref-kimm2011"/>
    <w:p>
      <w:pPr>
        <w:pStyle w:val="Bibliography"/>
      </w:pPr>
      <w:r>
        <w:t xml:space="preserve">197.</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36"/>
    <w:bookmarkStart w:id="537" w:name="ref-kivipelto2001"/>
    <w:p>
      <w:pPr>
        <w:pStyle w:val="Bibliography"/>
      </w:pPr>
      <w:r>
        <w:t xml:space="preserve">198.</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37"/>
    <w:bookmarkStart w:id="538" w:name="ref-kivipelto2005a"/>
    <w:p>
      <w:pPr>
        <w:pStyle w:val="Bibliography"/>
      </w:pPr>
      <w:r>
        <w:t xml:space="preserve">199.</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538"/>
    <w:bookmarkStart w:id="539" w:name="ref-kuo2015"/>
    <w:p>
      <w:pPr>
        <w:pStyle w:val="Bibliography"/>
      </w:pPr>
      <w:r>
        <w:t xml:space="preserve">200.</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39"/>
    <w:bookmarkStart w:id="540" w:name="ref-mainousa.g.2005"/>
    <w:p>
      <w:pPr>
        <w:pStyle w:val="Bibliography"/>
      </w:pPr>
      <w:r>
        <w:t xml:space="preserve">201.</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540"/>
    <w:bookmarkStart w:id="541" w:name="ref-mielke2005a"/>
    <w:p>
      <w:pPr>
        <w:pStyle w:val="Bibliography"/>
      </w:pPr>
      <w:r>
        <w:t xml:space="preserve">202.</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541"/>
    <w:bookmarkStart w:id="542" w:name="ref-mielke2010a"/>
    <w:p>
      <w:pPr>
        <w:pStyle w:val="Bibliography"/>
      </w:pPr>
      <w:r>
        <w:t xml:space="preserve">203.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542"/>
    <w:bookmarkStart w:id="543" w:name="ref-mielke2011"/>
    <w:p>
      <w:pPr>
        <w:pStyle w:val="Bibliography"/>
      </w:pPr>
      <w:r>
        <w:t xml:space="preserve">204.</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43"/>
    <w:bookmarkStart w:id="544" w:name="ref-muller2007"/>
    <w:p>
      <w:pPr>
        <w:pStyle w:val="Bibliography"/>
      </w:pPr>
      <w:r>
        <w:t xml:space="preserve">205.</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44"/>
    <w:bookmarkStart w:id="545" w:name="ref-noale2013"/>
    <w:p>
      <w:pPr>
        <w:pStyle w:val="Bibliography"/>
      </w:pPr>
      <w:r>
        <w:t xml:space="preserve">206.</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45"/>
    <w:bookmarkStart w:id="546" w:name="ref-notkola1998"/>
    <w:p>
      <w:pPr>
        <w:pStyle w:val="Bibliography"/>
      </w:pPr>
      <w:r>
        <w:t xml:space="preserve">207.</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46"/>
    <w:bookmarkStart w:id="547" w:name="ref-peters2009"/>
    <w:p>
      <w:pPr>
        <w:pStyle w:val="Bibliography"/>
      </w:pPr>
      <w:r>
        <w:t xml:space="preserve">208.</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47"/>
    <w:bookmarkStart w:id="548" w:name="ref-raffaitin2009"/>
    <w:p>
      <w:pPr>
        <w:pStyle w:val="Bibliography"/>
      </w:pPr>
      <w:r>
        <w:t xml:space="preserve">209.</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48"/>
    <w:bookmarkStart w:id="549" w:name="ref-rantanen2017"/>
    <w:p>
      <w:pPr>
        <w:pStyle w:val="Bibliography"/>
      </w:pPr>
      <w:r>
        <w:t xml:space="preserve">210.</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49"/>
    <w:bookmarkStart w:id="550" w:name="ref-ronnemaa2011"/>
    <w:p>
      <w:pPr>
        <w:pStyle w:val="Bibliography"/>
      </w:pPr>
      <w:r>
        <w:t xml:space="preserve">211.</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50"/>
    <w:bookmarkStart w:id="551" w:name="ref-schilling2017a"/>
    <w:p>
      <w:pPr>
        <w:pStyle w:val="Bibliography"/>
      </w:pPr>
      <w:r>
        <w:t xml:space="preserve">212.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551"/>
    <w:bookmarkStart w:id="552" w:name="ref-solomon2009a"/>
    <w:p>
      <w:pPr>
        <w:pStyle w:val="Bibliography"/>
      </w:pPr>
      <w:r>
        <w:t xml:space="preserve">213.</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552"/>
    <w:bookmarkStart w:id="553" w:name="ref-solomon2010"/>
    <w:p>
      <w:pPr>
        <w:pStyle w:val="Bibliography"/>
      </w:pPr>
      <w:r>
        <w:t xml:space="preserve">214.</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53"/>
    <w:bookmarkStart w:id="554" w:name="ref-strand2013"/>
    <w:p>
      <w:pPr>
        <w:pStyle w:val="Bibliography"/>
      </w:pPr>
      <w:r>
        <w:t xml:space="preserve">215.</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54"/>
    <w:bookmarkStart w:id="555" w:name="ref-su2017"/>
    <w:p>
      <w:pPr>
        <w:pStyle w:val="Bibliography"/>
      </w:pPr>
      <w:r>
        <w:t xml:space="preserve">216.</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55"/>
    <w:bookmarkStart w:id="556" w:name="ref-svensson2019"/>
    <w:p>
      <w:pPr>
        <w:pStyle w:val="Bibliography"/>
      </w:pPr>
      <w:r>
        <w:t xml:space="preserve">217.</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56"/>
    <w:bookmarkStart w:id="557" w:name="ref-tynkkynen2016"/>
    <w:p>
      <w:pPr>
        <w:pStyle w:val="Bibliography"/>
      </w:pPr>
      <w:r>
        <w:t xml:space="preserve">218.</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57"/>
    <w:bookmarkStart w:id="558" w:name="ref-tynkkynen2018"/>
    <w:p>
      <w:pPr>
        <w:pStyle w:val="Bibliography"/>
      </w:pPr>
      <w:r>
        <w:t xml:space="preserve">219.</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58"/>
    <w:bookmarkStart w:id="559" w:name="ref-wang2012"/>
    <w:p>
      <w:pPr>
        <w:pStyle w:val="Bibliography"/>
      </w:pPr>
      <w:r>
        <w:t xml:space="preserve">220.</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59"/>
    <w:bookmarkStart w:id="560" w:name="ref-whitmer2005a"/>
    <w:p>
      <w:pPr>
        <w:pStyle w:val="Bibliography"/>
      </w:pPr>
      <w:r>
        <w:t xml:space="preserve">221.</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60"/>
    <w:bookmarkStart w:id="561" w:name="ref-yamada2009b"/>
    <w:p>
      <w:pPr>
        <w:pStyle w:val="Bibliography"/>
      </w:pPr>
      <w:r>
        <w:t xml:space="preserve">222.</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61"/>
    <w:bookmarkStart w:id="562" w:name="ref-yoshitake1995"/>
    <w:p>
      <w:pPr>
        <w:pStyle w:val="Bibliography"/>
      </w:pPr>
      <w:r>
        <w:t xml:space="preserve">223.</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62"/>
    <w:bookmarkStart w:id="563" w:name="ref-zimetbaum1992"/>
    <w:p>
      <w:pPr>
        <w:pStyle w:val="Bibliography"/>
      </w:pPr>
      <w:r>
        <w:t xml:space="preserve">224.</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63"/>
    <w:bookmarkStart w:id="564" w:name="ref-andrews2021"/>
    <w:p>
      <w:pPr>
        <w:pStyle w:val="Bibliography"/>
      </w:pPr>
      <w:r>
        <w:t xml:space="preserve">225.</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564"/>
    <w:bookmarkStart w:id="565" w:name="ref-burgess2017"/>
    <w:p>
      <w:pPr>
        <w:pStyle w:val="Bibliography"/>
      </w:pPr>
      <w:r>
        <w:t xml:space="preserve">226.</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565"/>
    <w:bookmarkStart w:id="566" w:name="ref-larsson2017a"/>
    <w:p>
      <w:pPr>
        <w:pStyle w:val="Bibliography"/>
      </w:pPr>
      <w:r>
        <w:t xml:space="preserve">227.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566"/>
    <w:bookmarkStart w:id="567" w:name="ref-mukherjee2013"/>
    <w:p>
      <w:pPr>
        <w:pStyle w:val="Bibliography"/>
      </w:pPr>
      <w:r>
        <w:t xml:space="preserve">228.</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67"/>
    <w:bookmarkStart w:id="568" w:name="ref-ostergaard2017"/>
    <w:p>
      <w:pPr>
        <w:pStyle w:val="Bibliography"/>
      </w:pPr>
      <w:r>
        <w:t xml:space="preserve">229.</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 A</w:t>
      </w:r>
      <w:r>
        <w:t xml:space="preserve"> </w:t>
      </w:r>
      <w:r>
        <w:t xml:space="preserve">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568"/>
    <w:bookmarkStart w:id="570" w:name="ref-so2017"/>
    <w:p>
      <w:pPr>
        <w:pStyle w:val="Bibliography"/>
      </w:pPr>
      <w:r>
        <w:t xml:space="preserve">230.</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69">
        <w:r>
          <w:rPr>
            <w:rStyle w:val="Hyperlink"/>
          </w:rPr>
          <w:t xml:space="preserve">10.1101/170241</w:t>
        </w:r>
      </w:hyperlink>
    </w:p>
    <w:bookmarkEnd w:id="570"/>
    <w:bookmarkStart w:id="571" w:name="ref-zhu2018"/>
    <w:p>
      <w:pPr>
        <w:pStyle w:val="Bibliography"/>
      </w:pPr>
      <w:r>
        <w:t xml:space="preserve">231.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71"/>
    <w:bookmarkStart w:id="573" w:name="ref-zhu2017"/>
    <w:p>
      <w:pPr>
        <w:pStyle w:val="Bibliography"/>
      </w:pPr>
      <w:r>
        <w:t xml:space="preserve">232.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72">
        <w:r>
          <w:rPr>
            <w:rStyle w:val="Hyperlink"/>
          </w:rPr>
          <w:t xml:space="preserve">10.1101/168674</w:t>
        </w:r>
      </w:hyperlink>
    </w:p>
    <w:bookmarkEnd w:id="573"/>
    <w:bookmarkStart w:id="575" w:name="ref-andrews2019"/>
    <w:p>
      <w:pPr>
        <w:pStyle w:val="Bibliography"/>
      </w:pPr>
      <w:r>
        <w:t xml:space="preserve">233.</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 A</w:t>
      </w:r>
      <w:r>
        <w:t xml:space="preserve"> </w:t>
      </w:r>
      <w:r>
        <w:t xml:space="preserve">Mendelian</w:t>
      </w:r>
      <w:r>
        <w:t xml:space="preserve"> </w:t>
      </w:r>
      <w:r>
        <w:t xml:space="preserve">randomization study. 689752 (2019). doi:</w:t>
      </w:r>
      <w:hyperlink r:id="rId574">
        <w:r>
          <w:rPr>
            <w:rStyle w:val="Hyperlink"/>
          </w:rPr>
          <w:t xml:space="preserve">10.1101/689752</w:t>
        </w:r>
      </w:hyperlink>
    </w:p>
    <w:bookmarkEnd w:id="575"/>
    <w:bookmarkStart w:id="576" w:name="ref-sterne2011"/>
    <w:p>
      <w:pPr>
        <w:pStyle w:val="Bibliography"/>
      </w:pPr>
      <w:r>
        <w:t xml:space="preserve">234.</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76"/>
    <w:bookmarkStart w:id="577" w:name="ref-shepherd2002a"/>
    <w:p>
      <w:pPr>
        <w:pStyle w:val="Bibliography"/>
      </w:pPr>
      <w:r>
        <w:t xml:space="preserve">235.</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77"/>
    <w:bookmarkStart w:id="579" w:name="ref-mcguinness2016"/>
    <w:p>
      <w:pPr>
        <w:pStyle w:val="Bibliography"/>
      </w:pPr>
      <w:r>
        <w:t xml:space="preserve">236.</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78">
        <w:r>
          <w:rPr>
            <w:rStyle w:val="Hyperlink"/>
          </w:rPr>
          <w:t xml:space="preserve">10.1002/14651858.CD003160.pub3</w:t>
        </w:r>
      </w:hyperlink>
    </w:p>
    <w:bookmarkEnd w:id="579"/>
    <w:bookmarkStart w:id="580" w:name="ref-yamada2009"/>
    <w:p>
      <w:pPr>
        <w:pStyle w:val="Bibliography"/>
      </w:pPr>
      <w:r>
        <w:t xml:space="preserve">237.</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80"/>
    <w:bookmarkStart w:id="581" w:name="ref-yamada2009a"/>
    <w:p>
      <w:pPr>
        <w:pStyle w:val="Bibliography"/>
      </w:pPr>
      <w:r>
        <w:t xml:space="preserve">238.</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581"/>
    <w:bookmarkStart w:id="582" w:name="ref-yang2020"/>
    <w:p>
      <w:pPr>
        <w:pStyle w:val="Bibliography"/>
      </w:pPr>
      <w:r>
        <w:t xml:space="preserve">239.</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582"/>
    <w:bookmarkStart w:id="584" w:name="ref-muangpaisan2010"/>
    <w:p>
      <w:pPr>
        <w:pStyle w:val="Bibliography"/>
      </w:pPr>
      <w:r>
        <w:t xml:space="preserve">240.</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83">
        <w:r>
          <w:rPr>
            <w:rStyle w:val="Hyperlink"/>
          </w:rPr>
          <w:t xml:space="preserve">10.1111/j.1447-0594.2009.00579.x</w:t>
        </w:r>
      </w:hyperlink>
    </w:p>
    <w:bookmarkEnd w:id="584"/>
    <w:bookmarkStart w:id="585" w:name="ref-poly2020"/>
    <w:p>
      <w:pPr>
        <w:pStyle w:val="Bibliography"/>
      </w:pPr>
      <w:r>
        <w:t xml:space="preserve">241.</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85"/>
    <w:bookmarkStart w:id="586" w:name="ref-kuzma2018a"/>
    <w:p>
      <w:pPr>
        <w:pStyle w:val="Bibliography"/>
      </w:pPr>
      <w:r>
        <w:t xml:space="preserve">242.</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86"/>
    <w:bookmarkStart w:id="587" w:name="ref-power2015"/>
    <w:p>
      <w:pPr>
        <w:pStyle w:val="Bibliography"/>
      </w:pPr>
      <w:r>
        <w:t xml:space="preserve">243.</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587"/>
    <w:bookmarkStart w:id="588" w:name="ref-aromataris2015"/>
    <w:p>
      <w:pPr>
        <w:pStyle w:val="Bibliography"/>
      </w:pPr>
      <w:r>
        <w:t xml:space="preserve">244.</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88"/>
    <w:bookmarkStart w:id="589" w:name="ref-smith2011"/>
    <w:p>
      <w:pPr>
        <w:pStyle w:val="Bibliography"/>
      </w:pPr>
      <w:r>
        <w:t xml:space="preserve">245.</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89"/>
    <w:bookmarkStart w:id="590" w:name="ref-sohani2015"/>
    <w:p>
      <w:pPr>
        <w:pStyle w:val="Bibliography"/>
      </w:pPr>
      <w:r>
        <w:t xml:space="preserve">246.</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90"/>
    <w:bookmarkStart w:id="591" w:name="ref-larsson2017b"/>
    <w:p>
      <w:pPr>
        <w:pStyle w:val="Bibliography"/>
      </w:pPr>
      <w:r>
        <w:t xml:space="preserve">247.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591"/>
    <w:bookmarkStart w:id="592" w:name="ref-waffenschmidt2020"/>
    <w:p>
      <w:pPr>
        <w:pStyle w:val="Bibliography"/>
      </w:pPr>
      <w:r>
        <w:t xml:space="preserve">248.</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92"/>
    <w:bookmarkStart w:id="593" w:name="ref-wagner2020"/>
    <w:p>
      <w:pPr>
        <w:pStyle w:val="Bibliography"/>
      </w:pPr>
      <w:r>
        <w:t xml:space="preserve">249.</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93"/>
    <w:bookmarkStart w:id="594" w:name="ref-benn2017a"/>
    <w:p>
      <w:pPr>
        <w:pStyle w:val="Bibliography"/>
      </w:pPr>
      <w:r>
        <w:t xml:space="preserve">250.</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594"/>
    <w:bookmarkStart w:id="595" w:name="ref-andrews2019b"/>
    <w:p>
      <w:pPr>
        <w:pStyle w:val="Bibliography"/>
      </w:pPr>
      <w:r>
        <w:t xml:space="preserve">251.</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574">
        <w:r>
          <w:rPr>
            <w:rStyle w:val="Hyperlink"/>
          </w:rPr>
          <w:t xml:space="preserve">10.1101/689752</w:t>
        </w:r>
      </w:hyperlink>
    </w:p>
    <w:bookmarkEnd w:id="595"/>
    <w:bookmarkStart w:id="596" w:name="ref-meursingereynders2019"/>
    <w:p>
      <w:pPr>
        <w:pStyle w:val="Bibliography"/>
      </w:pPr>
      <w:r>
        <w:t xml:space="preserve">252.</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96"/>
    <w:bookmarkStart w:id="597" w:name="ref-cooper2019"/>
    <w:p>
      <w:pPr>
        <w:pStyle w:val="Bibliography"/>
      </w:pPr>
      <w:r>
        <w:t xml:space="preserve">253.</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97"/>
    <w:bookmarkStart w:id="598" w:name="ref-hennessy2021"/>
    <w:p>
      <w:pPr>
        <w:pStyle w:val="Bibliography"/>
      </w:pPr>
      <w:r>
        <w:t xml:space="preserve">254.</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8">
        <w:r>
          <w:rPr>
            <w:rStyle w:val="Hyperlink"/>
          </w:rPr>
          <w:t xml:space="preserve">10.1007/s11121-021-01279-8</w:t>
        </w:r>
      </w:hyperlink>
    </w:p>
    <w:bookmarkEnd w:id="598"/>
    <w:bookmarkStart w:id="599" w:name="ref-hsieh2019"/>
    <w:p>
      <w:pPr>
        <w:pStyle w:val="Bibliography"/>
      </w:pPr>
      <w:r>
        <w:t xml:space="preserve">255.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99"/>
    <w:bookmarkStart w:id="600" w:name="ref-mcguinness2019validity"/>
    <w:p>
      <w:pPr>
        <w:pStyle w:val="Bibliography"/>
      </w:pPr>
      <w:r>
        <w:t xml:space="preserve">256.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00"/>
    <w:bookmarkStart w:id="601" w:name="ref-wilkinson2018"/>
    <w:p>
      <w:pPr>
        <w:pStyle w:val="Bibliography"/>
      </w:pPr>
      <w:r>
        <w:t xml:space="preserve">257.</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01"/>
    <w:bookmarkStart w:id="602" w:name="ref-jeyaraman2020"/>
    <w:p>
      <w:pPr>
        <w:pStyle w:val="Bibliography"/>
      </w:pPr>
      <w:r>
        <w:t xml:space="preserve">258.</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02"/>
    <w:bookmarkStart w:id="603" w:name="ref-cochrane1979"/>
    <w:p>
      <w:pPr>
        <w:pStyle w:val="Bibliography"/>
      </w:pPr>
      <w:r>
        <w:t xml:space="preserve">259.</w:t>
      </w:r>
      <w:r>
        <w:t xml:space="preserve"> </w:t>
      </w:r>
      <w:r>
        <w:t xml:space="preserve">	</w:t>
      </w:r>
      <w:r>
        <w:t xml:space="preserve">Cochrane, A. L. 1931-1971: A critical review, with particular reference to the medical profession.</w:t>
      </w:r>
      <w:r>
        <w:t xml:space="preserve"> </w:t>
      </w:r>
      <w:r>
        <w:rPr>
          <w:iCs/>
          <w:i/>
        </w:rPr>
        <w:t xml:space="preserve">Medicines for the year 2000</w:t>
      </w:r>
      <w:r>
        <w:t xml:space="preserve"> </w:t>
      </w:r>
      <w:r>
        <w:t xml:space="preserve">(1979).</w:t>
      </w:r>
    </w:p>
    <w:bookmarkEnd w:id="603"/>
    <w:bookmarkStart w:id="604" w:name="ref-suissa2008"/>
    <w:p>
      <w:pPr>
        <w:pStyle w:val="Bibliography"/>
      </w:pPr>
      <w:r>
        <w:t xml:space="preserve">260.</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04"/>
    <w:bookmarkStart w:id="605" w:name="ref-walker2016"/>
    <w:p>
      <w:pPr>
        <w:pStyle w:val="Bibliography"/>
      </w:pPr>
      <w:r>
        <w:t xml:space="preserve">261.</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05"/>
    <w:bookmarkStart w:id="606" w:name="ref-vonelm2008"/>
    <w:p>
      <w:pPr>
        <w:pStyle w:val="Bibliography"/>
      </w:pPr>
      <w:r>
        <w:t xml:space="preserve">262.</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06"/>
    <w:bookmarkStart w:id="607" w:name="ref-herrett2015"/>
    <w:p>
      <w:pPr>
        <w:pStyle w:val="Bibliography"/>
      </w:pPr>
      <w:r>
        <w:t xml:space="preserve">263.</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07"/>
    <w:bookmarkStart w:id="608" w:name="ref-williams2012"/>
    <w:p>
      <w:pPr>
        <w:pStyle w:val="Bibliography"/>
      </w:pPr>
      <w:r>
        <w:t xml:space="preserve">264.</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08"/>
    <w:bookmarkStart w:id="609" w:name="ref-wood2001revitalizing"/>
    <w:p>
      <w:pPr>
        <w:pStyle w:val="Bibliography"/>
      </w:pPr>
      <w:r>
        <w:t xml:space="preserve">265.</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09"/>
    <w:bookmarkStart w:id="610" w:name="ref-mathur2014"/>
    <w:p>
      <w:pPr>
        <w:pStyle w:val="Bibliography"/>
      </w:pPr>
      <w:r>
        <w:t xml:space="preserve">266.</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10"/>
    <w:bookmarkStart w:id="611" w:name="ref-booth1994"/>
    <w:p>
      <w:pPr>
        <w:pStyle w:val="Bibliography"/>
      </w:pPr>
      <w:r>
        <w:t xml:space="preserve">267.</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11"/>
    <w:bookmarkStart w:id="612" w:name="ref-wolf2019"/>
    <w:p>
      <w:pPr>
        <w:pStyle w:val="Bibliography"/>
      </w:pPr>
      <w:r>
        <w:t xml:space="preserve">268.</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12"/>
    <w:bookmarkStart w:id="613" w:name="ref-wishart2017"/>
    <w:p>
      <w:pPr>
        <w:pStyle w:val="Bibliography"/>
      </w:pPr>
      <w:r>
        <w:t xml:space="preserve">269.</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13"/>
    <w:bookmarkStart w:id="614" w:name="ref-charlson1987new"/>
    <w:p>
      <w:pPr>
        <w:pStyle w:val="Bibliography"/>
      </w:pPr>
      <w:r>
        <w:t xml:space="preserve">270.</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14"/>
    <w:bookmarkStart w:id="615" w:name="ref-wells2013strategies"/>
    <w:p>
      <w:pPr>
        <w:pStyle w:val="Bibliography"/>
      </w:pPr>
      <w:r>
        <w:t xml:space="preserve">271.</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15"/>
    <w:bookmarkStart w:id="616" w:name="ref-sterne2009"/>
    <w:p>
      <w:pPr>
        <w:pStyle w:val="Bibliography"/>
      </w:pPr>
      <w:r>
        <w:t xml:space="preserve">272.</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16"/>
    <w:bookmarkStart w:id="617" w:name="ref-moons2006using"/>
    <w:p>
      <w:pPr>
        <w:pStyle w:val="Bibliography"/>
      </w:pPr>
      <w:r>
        <w:t xml:space="preserve">273.</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17"/>
    <w:bookmarkStart w:id="618" w:name="ref-levesque2010"/>
    <w:p>
      <w:pPr>
        <w:pStyle w:val="Bibliography"/>
      </w:pPr>
      <w:r>
        <w:t xml:space="preserve">274.</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18"/>
    <w:bookmarkStart w:id="619" w:name="ref-lamarca1998"/>
    <w:p>
      <w:pPr>
        <w:pStyle w:val="Bibliography"/>
      </w:pPr>
      <w:r>
        <w:t xml:space="preserve">275.</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19"/>
    <w:bookmarkStart w:id="620" w:name="ref-gail2009"/>
    <w:p>
      <w:pPr>
        <w:pStyle w:val="Bibliography"/>
      </w:pPr>
      <w:r>
        <w:t xml:space="preserve">276.</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20"/>
    <w:bookmarkStart w:id="621" w:name="ref-pencina2007"/>
    <w:p>
      <w:pPr>
        <w:pStyle w:val="Bibliography"/>
      </w:pPr>
      <w:r>
        <w:t xml:space="preserve">277.</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21"/>
    <w:bookmarkStart w:id="622" w:name="ref-pigott2001review"/>
    <w:p>
      <w:pPr>
        <w:pStyle w:val="Bibliography"/>
      </w:pPr>
      <w:r>
        <w:t xml:space="preserve">278.</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22"/>
    <w:bookmarkStart w:id="623" w:name="ref-hughes2019"/>
    <w:p>
      <w:pPr>
        <w:pStyle w:val="Bibliography"/>
      </w:pPr>
      <w:r>
        <w:t xml:space="preserve">279.</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23"/>
    <w:bookmarkStart w:id="624" w:name="ref-lipsitch2010"/>
    <w:p>
      <w:pPr>
        <w:pStyle w:val="Bibliography"/>
      </w:pPr>
      <w:r>
        <w:t xml:space="preserve">280.</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24"/>
    <w:bookmarkStart w:id="625" w:name="ref-selva-ocallaghan2018"/>
    <w:p>
      <w:pPr>
        <w:pStyle w:val="Bibliography"/>
      </w:pPr>
      <w:r>
        <w:t xml:space="preserve">281.</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25"/>
    <w:bookmarkStart w:id="626" w:name="ref-herrett2021"/>
    <w:p>
      <w:pPr>
        <w:pStyle w:val="Bibliography"/>
      </w:pPr>
      <w:r>
        <w:t xml:space="preserve">282.</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26"/>
    <w:bookmarkStart w:id="627" w:name="ref-macedo2014"/>
    <w:p>
      <w:pPr>
        <w:pStyle w:val="Bibliography"/>
      </w:pPr>
      <w:r>
        <w:t xml:space="preserve">283.</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27"/>
    <w:bookmarkStart w:id="628" w:name="ref-smit2020"/>
    <w:p>
      <w:pPr>
        <w:pStyle w:val="Bibliography"/>
      </w:pPr>
      <w:r>
        <w:t xml:space="preserve">284.</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28"/>
    <w:bookmarkStart w:id="629" w:name="ref-karalis2016"/>
    <w:p>
      <w:pPr>
        <w:pStyle w:val="Bibliography"/>
      </w:pPr>
      <w:r>
        <w:t xml:space="preserve">285.</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29"/>
    <w:bookmarkStart w:id="630" w:name="ref-smeeth2009"/>
    <w:p>
      <w:pPr>
        <w:pStyle w:val="Bibliography"/>
      </w:pPr>
      <w:r>
        <w:t xml:space="preserve">286.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630"/>
    <w:bookmarkStart w:id="631" w:name="ref-carbonari2015"/>
    <w:p>
      <w:pPr>
        <w:pStyle w:val="Bibliography"/>
      </w:pPr>
      <w:r>
        <w:t xml:space="preserve">287.</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31"/>
    <w:bookmarkStart w:id="632" w:name="ref-salas1999"/>
    <w:p>
      <w:pPr>
        <w:pStyle w:val="Bibliography"/>
      </w:pPr>
      <w:r>
        <w:t xml:space="preserve">288.</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32"/>
    <w:bookmarkStart w:id="633" w:name="ref-suttorp2015"/>
    <w:p>
      <w:pPr>
        <w:pStyle w:val="Bibliography"/>
      </w:pPr>
      <w:r>
        <w:t xml:space="preserve">289.</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33"/>
    <w:bookmarkStart w:id="634" w:name="ref-danaei2013b"/>
    <w:p>
      <w:pPr>
        <w:pStyle w:val="Bibliography"/>
      </w:pPr>
      <w:r>
        <w:t xml:space="preserve">290.</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34"/>
    <w:bookmarkStart w:id="635" w:name="ref-taylor2013"/>
    <w:p>
      <w:pPr>
        <w:pStyle w:val="Bibliography"/>
      </w:pPr>
      <w:r>
        <w:t xml:space="preserve">291.</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35"/>
    <w:bookmarkStart w:id="636" w:name="ref-newman2019"/>
    <w:p>
      <w:pPr>
        <w:pStyle w:val="Bibliography"/>
      </w:pPr>
      <w:r>
        <w:t xml:space="preserve">292.</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36"/>
    <w:bookmarkStart w:id="637" w:name="ref-shepardson2011"/>
    <w:p>
      <w:pPr>
        <w:pStyle w:val="Bibliography"/>
      </w:pPr>
      <w:r>
        <w:t xml:space="preserve">293.</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37"/>
    <w:bookmarkStart w:id="638" w:name="ref-porta2014dictionary"/>
    <w:p>
      <w:pPr>
        <w:pStyle w:val="Bibliography"/>
      </w:pPr>
      <w:r>
        <w:t xml:space="preserve">294.</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38"/>
    <w:bookmarkStart w:id="639" w:name="ref-bennet2007"/>
    <w:p>
      <w:pPr>
        <w:pStyle w:val="Bibliography"/>
      </w:pPr>
      <w:r>
        <w:t xml:space="preserve">295.</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39"/>
    <w:bookmarkStart w:id="640" w:name="ref-goldacre2019c"/>
    <w:p>
      <w:pPr>
        <w:pStyle w:val="Bibliography"/>
      </w:pPr>
      <w:r>
        <w:t xml:space="preserve">296.</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640"/>
    <w:bookmarkStart w:id="641" w:name="ref-levis2021"/>
    <w:p>
      <w:pPr>
        <w:pStyle w:val="Bibliography"/>
      </w:pPr>
      <w:r>
        <w:t xml:space="preserve">297.</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41"/>
    <w:bookmarkStart w:id="642" w:name="ref-wang2017"/>
    <w:p>
      <w:pPr>
        <w:pStyle w:val="Bibliography"/>
      </w:pPr>
      <w:r>
        <w:t xml:space="preserve">298.</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642"/>
    <w:bookmarkStart w:id="643" w:name="ref-abo-zaid2013"/>
    <w:p>
      <w:pPr>
        <w:pStyle w:val="Bibliography"/>
      </w:pPr>
      <w:r>
        <w:t xml:space="preserve">299.</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43"/>
    <w:bookmarkStart w:id="645" w:name="ref-mcguinness2020DAScomparison"/>
    <w:p>
      <w:pPr>
        <w:pStyle w:val="Bibliography"/>
      </w:pPr>
      <w:r>
        <w:t xml:space="preserve">300.</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644">
        <w:r>
          <w:rPr>
            <w:rStyle w:val="Hyperlink"/>
          </w:rPr>
          <w:t xml:space="preserve">10.31222/osf.io/p75xe</w:t>
        </w:r>
      </w:hyperlink>
    </w:p>
    <w:bookmarkEnd w:id="645"/>
    <w:bookmarkStart w:id="646" w:name="ref-riboli1997"/>
    <w:p>
      <w:pPr>
        <w:pStyle w:val="Bibliography"/>
      </w:pPr>
      <w:r>
        <w:t xml:space="preserve">301.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46"/>
    <w:bookmarkStart w:id="647" w:name="ref-riboli2002"/>
    <w:p>
      <w:pPr>
        <w:pStyle w:val="Bibliography"/>
      </w:pPr>
      <w:r>
        <w:t xml:space="preserve">302.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47"/>
    <w:bookmarkStart w:id="648" w:name="ref-danko2019"/>
    <w:p>
      <w:pPr>
        <w:pStyle w:val="Bibliography"/>
      </w:pPr>
      <w:r>
        <w:t xml:space="preserve">303.</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48"/>
    <w:bookmarkStart w:id="649" w:name="ref-krawczyk2012"/>
    <w:p>
      <w:pPr>
        <w:pStyle w:val="Bibliography"/>
      </w:pPr>
      <w:r>
        <w:t xml:space="preserve">304.</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 Field</w:t>
      </w:r>
      <w:r>
        <w:t xml:space="preserve"> </w:t>
      </w:r>
      <w:r>
        <w:t xml:space="preserve">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649"/>
    <w:bookmarkStart w:id="650" w:name="ref-miyakawa2020"/>
    <w:p>
      <w:pPr>
        <w:pStyle w:val="Bibliography"/>
      </w:pPr>
      <w:r>
        <w:t xml:space="preserve">305.</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650"/>
    <w:bookmarkStart w:id="652" w:name="ref-naudet2018"/>
    <w:p>
      <w:pPr>
        <w:pStyle w:val="Bibliography"/>
      </w:pPr>
      <w:r>
        <w:t xml:space="preserve">306.</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651">
        <w:r>
          <w:rPr>
            <w:rStyle w:val="Hyperlink"/>
          </w:rPr>
          <w:t xml:space="preserve">10.1136/bmj.k400</w:t>
        </w:r>
      </w:hyperlink>
    </w:p>
    <w:bookmarkEnd w:id="652"/>
    <w:bookmarkStart w:id="653" w:name="ref-jaspers2014"/>
    <w:p>
      <w:pPr>
        <w:pStyle w:val="Bibliography"/>
      </w:pPr>
      <w:r>
        <w:t xml:space="preserve">307.</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53"/>
    <w:bookmarkStart w:id="654" w:name="ref-hill1965"/>
    <w:p>
      <w:pPr>
        <w:pStyle w:val="Bibliography"/>
      </w:pPr>
      <w:r>
        <w:t xml:space="preserve">308.</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54"/>
    <w:bookmarkStart w:id="655" w:name="ref-turner2009"/>
    <w:p>
      <w:pPr>
        <w:pStyle w:val="Bibliography"/>
      </w:pPr>
      <w:r>
        <w:t xml:space="preserve">309.</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55"/>
    <w:bookmarkStart w:id="656" w:name="ref-chao2015"/>
    <w:p>
      <w:pPr>
        <w:pStyle w:val="Bibliography"/>
      </w:pPr>
      <w:r>
        <w:t xml:space="preserve">310.</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656"/>
    <w:bookmarkStart w:id="657" w:name="ref-williams2020"/>
    <w:p>
      <w:pPr>
        <w:pStyle w:val="Bibliography"/>
      </w:pPr>
      <w:r>
        <w:t xml:space="preserve">311.</w:t>
      </w:r>
      <w:r>
        <w:t xml:space="preserve"> </w:t>
      </w:r>
      <w:r>
        <w:t xml:space="preserve">	</w:t>
      </w:r>
      <w:r>
        <w:t xml:space="preserve">Williams, D. M., Finan, C., Schmidt, A. F., Burgess, S. &amp; Hingorani, A. D. Lipid lowering and</w:t>
      </w:r>
      <w:r>
        <w:t xml:space="preserve"> </w:t>
      </w:r>
      <w:r>
        <w:t xml:space="preserve">Alzheimer</w:t>
      </w:r>
      <w:r>
        <w:t xml:space="preserve"> </w:t>
      </w:r>
      <w:r>
        <w:t xml:space="preserve">disease risk: A mendelian randomization study.</w:t>
      </w:r>
      <w:r>
        <w:t xml:space="preserve"> </w:t>
      </w:r>
      <w:r>
        <w:rPr>
          <w:iCs/>
          <w:i/>
        </w:rPr>
        <w:t xml:space="preserve">Annals of Neurology</w:t>
      </w:r>
      <w:r>
        <w:t xml:space="preserve"> </w:t>
      </w:r>
      <w:r>
        <w:rPr>
          <w:bCs/>
          <w:b/>
        </w:rPr>
        <w:t xml:space="preserve">87</w:t>
      </w:r>
      <w:r>
        <w:t xml:space="preserve">, 30–39 (2020).</w:t>
      </w:r>
    </w:p>
    <w:bookmarkEnd w:id="657"/>
    <w:bookmarkStart w:id="658" w:name="ref-stone2020"/>
    <w:p>
      <w:pPr>
        <w:pStyle w:val="Bibliography"/>
      </w:pPr>
      <w:r>
        <w:t xml:space="preserve">312.</w:t>
      </w:r>
      <w:r>
        <w:t xml:space="preserve"> </w:t>
      </w:r>
      <w:r>
        <w:t xml:space="preserve">	</w:t>
      </w:r>
      <w:r>
        <w:t xml:space="preserve">Stone, J. C., Glass, K., Munn, Z., Tugwell, P. &amp; Doi, S. A. R. Comparison of bias adjustment methods in meta-analysis suggests that quality effects modeling may have less limitations than other approaches.</w:t>
      </w:r>
      <w:r>
        <w:t xml:space="preserve"> </w:t>
      </w:r>
      <w:r>
        <w:rPr>
          <w:iCs/>
          <w:i/>
        </w:rPr>
        <w:t xml:space="preserve">Journal of Clinical Epidemiology</w:t>
      </w:r>
      <w:r>
        <w:t xml:space="preserve"> </w:t>
      </w:r>
      <w:r>
        <w:rPr>
          <w:bCs/>
          <w:b/>
        </w:rPr>
        <w:t xml:space="preserve">117</w:t>
      </w:r>
      <w:r>
        <w:t xml:space="preserve">, 36–45 (2020).</w:t>
      </w:r>
    </w:p>
    <w:bookmarkEnd w:id="658"/>
    <w:bookmarkStart w:id="659" w:name="ref-amer2021"/>
    <w:p>
      <w:pPr>
        <w:pStyle w:val="Bibliography"/>
      </w:pPr>
      <w:r>
        <w:t xml:space="preserve">313.</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659"/>
    <w:bookmarkStart w:id="660" w:name="ref-page2016"/>
    <w:p>
      <w:pPr>
        <w:pStyle w:val="Bibliography"/>
      </w:pPr>
      <w:r>
        <w:t xml:space="preserve">314.</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660"/>
    <w:bookmarkStart w:id="661" w:name="ref-rhodes2020"/>
    <w:p>
      <w:pPr>
        <w:pStyle w:val="Bibliography"/>
      </w:pPr>
      <w:r>
        <w:t xml:space="preserve">315.</w:t>
      </w:r>
      <w:r>
        <w:t xml:space="preserve"> </w:t>
      </w:r>
      <w:r>
        <w:t xml:space="preserve">	</w:t>
      </w:r>
      <w:r>
        <w:t xml:space="preserve">Rhodes, K. M.</w:t>
      </w:r>
      <w:r>
        <w:t xml:space="preserve"> </w:t>
      </w:r>
      <w:r>
        <w:rPr>
          <w:iCs/>
          <w:i/>
        </w:rPr>
        <w:t xml:space="preserve">et al.</w:t>
      </w:r>
      <w:r>
        <w:t xml:space="preserve"> Adjusting trial results for biases in meta-analysis: Combining data-based evidence on bias with detailed trial assessment.</w:t>
      </w:r>
      <w:r>
        <w:t xml:space="preserve"> </w:t>
      </w:r>
      <w:r>
        <w:rPr>
          <w:iCs/>
          <w:i/>
        </w:rPr>
        <w:t xml:space="preserve">Journal of the Royal Statistical Society. Series A, (Statistics in Society)</w:t>
      </w:r>
      <w:r>
        <w:t xml:space="preserve"> </w:t>
      </w:r>
      <w:r>
        <w:rPr>
          <w:bCs/>
          <w:b/>
        </w:rPr>
        <w:t xml:space="preserve">183</w:t>
      </w:r>
      <w:r>
        <w:t xml:space="preserve">, 193–209 (2020).</w:t>
      </w:r>
    </w:p>
    <w:bookmarkEnd w:id="661"/>
    <w:bookmarkStart w:id="662" w:name="ref-vanderweele2017"/>
    <w:p>
      <w:pPr>
        <w:pStyle w:val="Bibliography"/>
      </w:pPr>
      <w:r>
        <w:t xml:space="preserve">316.</w:t>
      </w:r>
      <w:r>
        <w:t xml:space="preserve"> </w:t>
      </w:r>
      <w:r>
        <w:t xml:space="preserve">	</w:t>
      </w:r>
      <w:r>
        <w:t xml:space="preserve">VanderWeele, T. J. &amp; Ding, P. Sensitivity</w:t>
      </w:r>
      <w:r>
        <w:t xml:space="preserve"> </w:t>
      </w:r>
      <w:r>
        <w:t xml:space="preserve">Analysis</w:t>
      </w:r>
      <w:r>
        <w:t xml:space="preserve"> </w:t>
      </w:r>
      <w:r>
        <w:t xml:space="preserve">in</w:t>
      </w:r>
      <w:r>
        <w:t xml:space="preserve"> </w:t>
      </w:r>
      <w:r>
        <w:t xml:space="preserve">Observational Research</w:t>
      </w:r>
      <w:r>
        <w:t xml:space="preserve">: Introducing the</w:t>
      </w:r>
      <w:r>
        <w:t xml:space="preserve"> </w:t>
      </w:r>
      <w:r>
        <w:t xml:space="preserve">E</w:t>
      </w:r>
      <w:r>
        <w:t xml:space="preserve">-</w:t>
      </w:r>
      <w:r>
        <w:t xml:space="preserve">Value</w:t>
      </w:r>
      <w:r>
        <w:t xml:space="preserve">.</w:t>
      </w:r>
      <w:r>
        <w:t xml:space="preserve"> </w:t>
      </w:r>
      <w:r>
        <w:rPr>
          <w:iCs/>
          <w:i/>
        </w:rPr>
        <w:t xml:space="preserve">Annals of Internal Medicine</w:t>
      </w:r>
      <w:r>
        <w:t xml:space="preserve"> </w:t>
      </w:r>
      <w:r>
        <w:rPr>
          <w:bCs/>
          <w:b/>
        </w:rPr>
        <w:t xml:space="preserve">167</w:t>
      </w:r>
      <w:r>
        <w:t xml:space="preserve">, 268–274 (2017).</w:t>
      </w:r>
    </w:p>
    <w:bookmarkEnd w:id="662"/>
    <w:bookmarkStart w:id="663" w:name="ref-yusuf1984"/>
    <w:p>
      <w:pPr>
        <w:pStyle w:val="Bibliography"/>
      </w:pPr>
      <w:r>
        <w:t xml:space="preserve">317.</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663"/>
    <w:bookmarkStart w:id="664" w:name="ref-walker2020"/>
    <w:p>
      <w:pPr>
        <w:pStyle w:val="Bibliography"/>
      </w:pPr>
      <w:r>
        <w:t xml:space="preserve">318.</w:t>
      </w:r>
      <w:r>
        <w:t xml:space="preserve"> </w:t>
      </w:r>
      <w:r>
        <w:t xml:space="preserve">	</w:t>
      </w:r>
      <w:r>
        <w:t xml:space="preserve">Walker, V. M., Davies, N. M., Martin, R. M. &amp; Kehoe, P. G. Comparison of</w:t>
      </w:r>
      <w:r>
        <w:t xml:space="preserve"> </w:t>
      </w:r>
      <w:r>
        <w:t xml:space="preserve">Antihypertensive Drug Classes</w:t>
      </w:r>
      <w:r>
        <w:t xml:space="preserve"> </w:t>
      </w:r>
      <w:r>
        <w:t xml:space="preserve">for</w:t>
      </w:r>
      <w:r>
        <w:t xml:space="preserve"> </w:t>
      </w:r>
      <w:r>
        <w:t xml:space="preserve">Dementia Prevention</w:t>
      </w:r>
      <w:r>
        <w:t xml:space="preserve">.</w:t>
      </w:r>
      <w:r>
        <w:t xml:space="preserve"> </w:t>
      </w:r>
      <w:r>
        <w:rPr>
          <w:iCs/>
          <w:i/>
        </w:rPr>
        <w:t xml:space="preserve">Epidemiology</w:t>
      </w:r>
      <w:r>
        <w:t xml:space="preserve"> </w:t>
      </w:r>
      <w:r>
        <w:rPr>
          <w:bCs/>
          <w:b/>
        </w:rPr>
        <w:t xml:space="preserve">31</w:t>
      </w:r>
      <w:r>
        <w:t xml:space="preserve">, 852–859 (2020).</w:t>
      </w:r>
    </w:p>
    <w:bookmarkEnd w:id="664"/>
    <w:bookmarkStart w:id="665" w:name="ref-khan2010"/>
    <w:p>
      <w:pPr>
        <w:pStyle w:val="Bibliography"/>
      </w:pPr>
      <w:r>
        <w:t xml:space="preserve">319.</w:t>
      </w:r>
      <w:r>
        <w:t xml:space="preserve"> </w:t>
      </w:r>
      <w:r>
        <w:t xml:space="preserve">	</w:t>
      </w:r>
      <w:r>
        <w:t xml:space="preserve">Khan, N. F., Perera, R., Harper, S. &amp; Rose, P. W. Adaptation and validation of the</w:t>
      </w:r>
      <w:r>
        <w:t xml:space="preserve"> </w:t>
      </w:r>
      <w:r>
        <w:t xml:space="preserve">Charlson Index</w:t>
      </w:r>
      <w:r>
        <w:t xml:space="preserve"> </w:t>
      </w:r>
      <w:r>
        <w:t xml:space="preserve">for</w:t>
      </w:r>
      <w:r>
        <w:t xml:space="preserve"> </w:t>
      </w:r>
      <w:r>
        <w:t xml:space="preserve">Read</w:t>
      </w:r>
      <w:r>
        <w:t xml:space="preserve">/</w:t>
      </w:r>
      <w:r>
        <w:t xml:space="preserve">OXMIS</w:t>
      </w:r>
      <w:r>
        <w:t xml:space="preserve"> </w:t>
      </w:r>
      <w:r>
        <w:t xml:space="preserve">coded databases.</w:t>
      </w:r>
      <w:r>
        <w:t xml:space="preserve"> </w:t>
      </w:r>
      <w:r>
        <w:rPr>
          <w:iCs/>
          <w:i/>
        </w:rPr>
        <w:t xml:space="preserve">BMC Family Practice</w:t>
      </w:r>
      <w:r>
        <w:t xml:space="preserve"> </w:t>
      </w:r>
      <w:r>
        <w:rPr>
          <w:bCs/>
          <w:b/>
        </w:rPr>
        <w:t xml:space="preserve">11</w:t>
      </w:r>
      <w:r>
        <w:t xml:space="preserve">, 1 (2010).</w:t>
      </w:r>
    </w:p>
    <w:bookmarkEnd w:id="665"/>
    <w:bookmarkStart w:id="666" w:name="ref-taylor2016"/>
    <w:p>
      <w:pPr>
        <w:pStyle w:val="Bibliography"/>
      </w:pPr>
      <w:r>
        <w:t xml:space="preserve">320.</w:t>
      </w:r>
      <w:r>
        <w:t xml:space="preserve"> </w:t>
      </w:r>
      <w:r>
        <w:t xml:space="preserve">	</w:t>
      </w:r>
      <w:r>
        <w:t xml:space="preserve">Taylor, G. M. J.</w:t>
      </w:r>
      <w:r>
        <w:t xml:space="preserve"> </w:t>
      </w:r>
      <w:r>
        <w:rPr>
          <w:iCs/>
          <w:i/>
        </w:rPr>
        <w:t xml:space="preserve">et al.</w:t>
      </w:r>
      <w:r>
        <w:t xml:space="preserve"> Effectiveness of varenicline versus nicotine replacement therapy on long-term smoking cessation in primary care: A prospective, cohort study of electronic medical records.</w:t>
      </w:r>
      <w:r>
        <w:t xml:space="preserve"> </w:t>
      </w:r>
      <w:r>
        <w:rPr>
          <w:iCs/>
          <w:i/>
        </w:rPr>
        <w:t xml:space="preserve">The Lancet</w:t>
      </w:r>
      <w:r>
        <w:t xml:space="preserve"> </w:t>
      </w:r>
      <w:r>
        <w:rPr>
          <w:bCs/>
          <w:b/>
        </w:rPr>
        <w:t xml:space="preserve">388</w:t>
      </w:r>
      <w:r>
        <w:t xml:space="preserve">, S107 (2016).</w:t>
      </w:r>
    </w:p>
    <w:bookmarkEnd w:id="666"/>
    <w:bookmarkStart w:id="667" w:name="ref-wright2017"/>
    <w:p>
      <w:pPr>
        <w:pStyle w:val="Bibliography"/>
      </w:pPr>
      <w:r>
        <w:t xml:space="preserve">321.</w:t>
      </w:r>
      <w:r>
        <w:t xml:space="preserve"> </w:t>
      </w:r>
      <w:r>
        <w:t xml:space="preserve">	</w:t>
      </w:r>
      <w:r>
        <w:t xml:space="preserve">Wright, A. K.</w:t>
      </w:r>
      <w:r>
        <w:t xml:space="preserve"> </w:t>
      </w:r>
      <w:r>
        <w:rPr>
          <w:iCs/>
          <w:i/>
        </w:rPr>
        <w:t xml:space="preserve">et al.</w:t>
      </w:r>
      <w:r>
        <w:t xml:space="preserve"> Life</w:t>
      </w:r>
      <w:r>
        <w:t xml:space="preserve"> </w:t>
      </w:r>
      <w:r>
        <w:t xml:space="preserve">Expectancy</w:t>
      </w:r>
      <w:r>
        <w:t xml:space="preserve"> </w:t>
      </w:r>
      <w:r>
        <w:t xml:space="preserve">and</w:t>
      </w:r>
      <w:r>
        <w:t xml:space="preserve"> </w:t>
      </w:r>
      <w:r>
        <w:t xml:space="preserve">Cause</w:t>
      </w:r>
      <w:r>
        <w:t xml:space="preserve">-</w:t>
      </w:r>
      <w:r>
        <w:t xml:space="preserve">Specific Mortality</w:t>
      </w:r>
      <w:r>
        <w:t xml:space="preserve"> </w:t>
      </w:r>
      <w:r>
        <w:t xml:space="preserve">in</w:t>
      </w:r>
      <w:r>
        <w:t xml:space="preserve"> </w:t>
      </w:r>
      <w:r>
        <w:t xml:space="preserve">Type</w:t>
      </w:r>
      <w:r>
        <w:t xml:space="preserve"> </w:t>
      </w:r>
      <w:r>
        <w:t xml:space="preserve">2</w:t>
      </w:r>
      <w:r>
        <w:t xml:space="preserve"> </w:t>
      </w:r>
      <w:r>
        <w:t xml:space="preserve">Diabetes</w:t>
      </w:r>
      <w:r>
        <w:t xml:space="preserve">: A</w:t>
      </w:r>
      <w:r>
        <w:t xml:space="preserve"> </w:t>
      </w:r>
      <w:r>
        <w:t xml:space="preserve">Population</w:t>
      </w:r>
      <w:r>
        <w:t xml:space="preserve">-</w:t>
      </w:r>
      <w:r>
        <w:t xml:space="preserve">Based Cohort Study Quantifying Relationships</w:t>
      </w:r>
      <w:r>
        <w:t xml:space="preserve"> </w:t>
      </w:r>
      <w:r>
        <w:t xml:space="preserve">in</w:t>
      </w:r>
      <w:r>
        <w:t xml:space="preserve"> </w:t>
      </w:r>
      <w:r>
        <w:t xml:space="preserve">Ethnic Subgroups</w:t>
      </w:r>
      <w:r>
        <w:t xml:space="preserve">.</w:t>
      </w:r>
      <w:r>
        <w:t xml:space="preserve"> </w:t>
      </w:r>
      <w:r>
        <w:rPr>
          <w:iCs/>
          <w:i/>
        </w:rPr>
        <w:t xml:space="preserve">Diabetes Care</w:t>
      </w:r>
      <w:r>
        <w:t xml:space="preserve"> </w:t>
      </w:r>
      <w:r>
        <w:rPr>
          <w:bCs/>
          <w:b/>
        </w:rPr>
        <w:t xml:space="preserve">40</w:t>
      </w:r>
      <w:r>
        <w:t xml:space="preserve">, 338–345 (2017).</w:t>
      </w:r>
    </w:p>
    <w:bookmarkEnd w:id="667"/>
    <w:bookmarkStart w:id="668" w:name="ref-wilson2014"/>
    <w:p>
      <w:pPr>
        <w:pStyle w:val="Bibliography"/>
      </w:pPr>
      <w:r>
        <w:t xml:space="preserve">322.</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668"/>
    <w:bookmarkStart w:id="669" w:name="ref-wilson2017"/>
    <w:p>
      <w:pPr>
        <w:pStyle w:val="Bibliography"/>
      </w:pPr>
      <w:r>
        <w:t xml:space="preserve">323.</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669"/>
    <w:bookmarkStart w:id="670" w:name="ref-simillis2020"/>
    <w:p>
      <w:pPr>
        <w:pStyle w:val="Bibliography"/>
      </w:pPr>
      <w:r>
        <w:t xml:space="preserve">324.</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670"/>
    <w:bookmarkStart w:id="671" w:name="ref-tanneru2020"/>
    <w:p>
      <w:pPr>
        <w:pStyle w:val="Bibliography"/>
      </w:pPr>
      <w:r>
        <w:t xml:space="preserve">325.</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671"/>
    <w:bookmarkEnd w:id="672"/>
    <w:bookmarkEnd w:id="673"/>
    <w:bookmarkStart w:id="674" w:name="appendix"/>
    <w:p>
      <w:pPr>
        <w:pStyle w:val="Heading1"/>
      </w:pPr>
      <w:r>
        <w:t xml:space="preserve">Appendix</w:t>
      </w:r>
    </w:p>
    <w:bookmarkEnd w:id="674"/>
    <w:bookmarkStart w:id="699" w:name="chapter-appendix-heading"/>
    <w:p>
      <w:pPr>
        <w:pStyle w:val="Heading1"/>
      </w:pPr>
      <w:r>
        <w:t xml:space="preserve">By Chapter</w:t>
      </w:r>
    </w:p>
    <w:bookmarkStart w:id="677" w:name="appendix-into"/>
    <w:p>
      <w:pPr>
        <w:pStyle w:val="Heading2"/>
      </w:pPr>
      <w:r>
        <w:t xml:space="preserve">Chapter</w:t>
      </w:r>
      <w:r>
        <w:t xml:space="preserve"> </w:t>
      </w:r>
      <w:r>
        <w:t xml:space="preserve">1</w:t>
      </w:r>
    </w:p>
    <w:bookmarkStart w:id="675" w:name="appendix-publications"/>
    <w:p>
      <w:pPr>
        <w:pStyle w:val="Heading3"/>
      </w:pPr>
      <w:r>
        <w:t xml:space="preserve">Publications beyond the scope of this thesis</w:t>
      </w:r>
    </w:p>
    <w:p>
      <w:pPr>
        <w:pStyle w:val="FirstParagraph"/>
      </w:pPr>
      <w:r>
        <w:rPr>
          <w:bCs/>
          <w:b/>
        </w:rPr>
        <w:t xml:space="preserve">Peer reviewed</w:t>
      </w:r>
    </w:p>
    <w:p>
      <w:pPr>
        <w:numPr>
          <w:ilvl w:val="0"/>
          <w:numId w:val="1014"/>
        </w:numPr>
      </w:pPr>
      <w:r>
        <w:t xml:space="preserve">PRISMA main paper</w:t>
      </w:r>
    </w:p>
    <w:p>
      <w:pPr>
        <w:numPr>
          <w:ilvl w:val="0"/>
          <w:numId w:val="1014"/>
        </w:numPr>
      </w:pPr>
      <w:r>
        <w:t xml:space="preserve">PRISMA E&amp;E</w:t>
      </w:r>
    </w:p>
    <w:p>
      <w:pPr>
        <w:numPr>
          <w:ilvl w:val="0"/>
          <w:numId w:val="1014"/>
        </w:numPr>
      </w:pPr>
      <w:r>
        <w:t xml:space="preserve">PRISMA 2020 software</w:t>
      </w:r>
    </w:p>
    <w:p>
      <w:pPr>
        <w:numPr>
          <w:ilvl w:val="0"/>
          <w:numId w:val="1014"/>
        </w:numPr>
      </w:pPr>
      <w:r>
        <w:t xml:space="preserve">COVID Suicide Living Review</w:t>
      </w:r>
    </w:p>
    <w:p>
      <w:pPr>
        <w:numPr>
          <w:ilvl w:val="0"/>
          <w:numId w:val="1014"/>
        </w:numPr>
      </w:pPr>
      <w:r>
        <w:t xml:space="preserve">Data extraction tools systematic review</w:t>
      </w:r>
    </w:p>
    <w:p>
      <w:pPr>
        <w:pStyle w:val="FirstParagraph"/>
      </w:pPr>
      <w:r>
        <w:rPr>
          <w:bCs/>
          <w:b/>
        </w:rPr>
        <w:t xml:space="preserve">Under review/Preprints</w:t>
      </w:r>
    </w:p>
    <w:p>
      <w:pPr>
        <w:numPr>
          <w:ilvl w:val="0"/>
          <w:numId w:val="1015"/>
        </w:numPr>
      </w:pPr>
      <w:r>
        <w:t xml:space="preserve">MSc Paper on systematic reviews of this thesis topic</w:t>
      </w:r>
    </w:p>
    <w:bookmarkEnd w:id="675"/>
    <w:bookmarkStart w:id="676"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676"/>
    <w:bookmarkEnd w:id="677"/>
    <w:bookmarkStart w:id="679" w:name="appendix-sys-rev-tools"/>
    <w:p>
      <w:pPr>
        <w:pStyle w:val="Heading2"/>
      </w:pPr>
      <w:r>
        <w:t xml:space="preserve">Chapter</w:t>
      </w:r>
      <w:r>
        <w:t xml:space="preserve"> </w:t>
      </w:r>
      <w:r>
        <w:t xml:space="preserve">2</w:t>
      </w:r>
    </w:p>
    <w:bookmarkStart w:id="678"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678"/>
    <w:bookmarkEnd w:id="679"/>
    <w:bookmarkStart w:id="690" w:name="appendix-sys-rev"/>
    <w:p>
      <w:pPr>
        <w:pStyle w:val="Heading2"/>
      </w:pPr>
      <w:r>
        <w:t xml:space="preserve">Chapter</w:t>
      </w:r>
      <w:r>
        <w:t xml:space="preserve"> </w:t>
      </w:r>
      <w:r>
        <w:t xml:space="preserve">??</w:t>
      </w:r>
    </w:p>
    <w:bookmarkStart w:id="680" w:name="appendix-search-strategy"/>
    <w:p>
      <w:pPr>
        <w:pStyle w:val="Heading3"/>
      </w:pPr>
      <w:r>
        <w:t xml:space="preserve">Search strategy</w:t>
      </w:r>
    </w:p>
    <w:p>
      <w:pPr>
        <w:pStyle w:val="FirstParagraph"/>
      </w:pPr>
      <w:r>
        <w:t xml:space="preserve"> </w:t>
      </w:r>
    </w:p>
    <w:p>
      <w:pPr>
        <w:pStyle w:val="TableCaption"/>
      </w:pPr>
      <w:r>
        <w:t xml:space="preserve">Table 22:</w:t>
      </w:r>
      <w:r>
        <w:t xml:space="preserve"> </w:t>
      </w:r>
      <w:bookmarkStart w:id="001ab792-d716-4d39-87f4-1eba438fe2d4" w:name="tab:searchHits-table"/>
      <w:r>
        <w:t xml:space="preserve">Overview of the full Medline search strategy.</w:t>
      </w:r>
      <w:bookmarkEnd w:id="001ab792-d716-4d39-87f4-1eba438fe2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680"/>
    <w:bookmarkStart w:id="681" w:name="appendix-wos-databases"/>
    <w:p>
      <w:pPr>
        <w:pStyle w:val="Heading3"/>
      </w:pPr>
      <w:r>
        <w:t xml:space="preserve">Web of Science Databases Searched</w:t>
      </w:r>
    </w:p>
    <w:p>
      <w:pPr>
        <w:pStyle w:val="FirstParagraph"/>
      </w:pPr>
      <w:r>
        <w:t xml:space="preserve"> </w:t>
      </w:r>
    </w:p>
    <w:p>
      <w:pPr>
        <w:pStyle w:val="BodyText"/>
      </w:pPr>
      <w:r>
        <w:t xml:space="preserve">Table 23: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681"/>
    <w:bookmarkStart w:id="682"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682"/>
    <w:bookmarkStart w:id="683"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9</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10</m:t>
          </m:r>
          <m:r>
            <m:rPr>
              <m:sty m:val="p"/>
            </m:rPr>
            <m:t>)</m:t>
          </m:r>
        </m:oMath>
      </m:oMathPara>
    </w:p>
    <w:bookmarkEnd w:id="683"/>
    <w:bookmarkStart w:id="684" w:name="appendix-mr-rob"/>
    <w:p>
      <w:pPr>
        <w:pStyle w:val="Heading3"/>
      </w:pPr>
      <w:r>
        <w:t xml:space="preserve">MR risk of bias tool</w:t>
      </w:r>
    </w:p>
    <w:bookmarkEnd w:id="684"/>
    <w:bookmarkStart w:id="689" w:name="lipid-fraction-forest-plots"/>
    <w:p>
      <w:pPr>
        <w:pStyle w:val="Heading3"/>
      </w:pPr>
      <w:r>
        <w:t xml:space="preserve">Forest plots for lipid fractions</w:t>
      </w:r>
    </w:p>
    <w:p>
      <w:pPr>
        <w:pStyle w:val="FirstParagraph"/>
      </w:pPr>
      <w:r>
        <w:drawing>
          <wp:inline>
            <wp:extent cx="5943600" cy="2717074"/>
            <wp:effectExtent b="0" l="0" r="0" t="0"/>
            <wp:docPr descr="" title="" id="1" name="Picture"/>
            <a:graphic>
              <a:graphicData uri="http://schemas.openxmlformats.org/drawingml/2006/picture">
                <pic:pic>
                  <pic:nvPicPr>
                    <pic:cNvPr descr="figures/sys-rev/fp_obs_Dementia_TC_.png" id="0" name="Picture"/>
                    <pic:cNvPicPr>
                      <a:picLocks noChangeArrowheads="1" noChangeAspect="1"/>
                    </pic:cNvPicPr>
                  </pic:nvPicPr>
                  <pic:blipFill>
                    <a:blip r:embed="rId685"/>
                    <a:stretch>
                      <a:fillRect/>
                    </a:stretch>
                  </pic:blipFill>
                  <pic:spPr bwMode="auto">
                    <a:xfrm>
                      <a:off x="0" y="0"/>
                      <a:ext cx="5943600" cy="2717074"/>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LDL_.png" id="0" name="Picture"/>
                    <pic:cNvPicPr>
                      <a:picLocks noChangeArrowheads="1" noChangeAspect="1"/>
                    </pic:cNvPicPr>
                  </pic:nvPicPr>
                  <pic:blipFill>
                    <a:blip r:embed="rId686"/>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HDL_.png" id="0" name="Picture"/>
                    <pic:cNvPicPr>
                      <a:picLocks noChangeArrowheads="1" noChangeAspect="1"/>
                    </pic:cNvPicPr>
                  </pic:nvPicPr>
                  <pic:blipFill>
                    <a:blip r:embed="rId68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TG_.png" id="0" name="Picture"/>
                    <pic:cNvPicPr>
                      <a:picLocks noChangeArrowheads="1" noChangeAspect="1"/>
                    </pic:cNvPicPr>
                  </pic:nvPicPr>
                  <pic:blipFill>
                    <a:blip r:embed="rId68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Table 24: Tool used to assess risk of bias in Mendelian randomisation studies, adapted from that developed by Mamluk et al.</w:t>
      </w:r>
      <w:hyperlink w:anchor="ref-mamluk2020">
        <w:r>
          <w:rPr>
            <w:rStyle w:val="Hyperlink"/>
            <w:vertAlign w:val="superscript"/>
          </w:rPr>
          <w:t xml:space="preserve">147</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689"/>
    <w:bookmarkEnd w:id="690"/>
    <w:bookmarkStart w:id="693" w:name="appendix-cprd-analysis"/>
    <w:p>
      <w:pPr>
        <w:pStyle w:val="Heading2"/>
      </w:pPr>
      <w:r>
        <w:t xml:space="preserve">Chapter</w:t>
      </w:r>
      <w:r>
        <w:t xml:space="preserve"> </w:t>
      </w:r>
      <w:r>
        <w:t xml:space="preserve">5</w:t>
      </w:r>
    </w:p>
    <w:bookmarkStart w:id="691" w:name="appendix-cprd-amendments"/>
    <w:p>
      <w:pPr>
        <w:pStyle w:val="Heading3"/>
      </w:pPr>
      <w:r>
        <w:t xml:space="preserve">Amendments to protocol</w:t>
      </w:r>
    </w:p>
    <w:bookmarkEnd w:id="691"/>
    <w:bookmarkStart w:id="692" w:name="code-lists"/>
    <w:p>
      <w:pPr>
        <w:pStyle w:val="Heading3"/>
      </w:pPr>
      <w:r>
        <w:t xml:space="preserve">Code lists</w:t>
      </w:r>
    </w:p>
    <w:bookmarkEnd w:id="692"/>
    <w:bookmarkEnd w:id="693"/>
    <w:bookmarkStart w:id="696" w:name="appendix-ipd-analysis"/>
    <w:p>
      <w:pPr>
        <w:pStyle w:val="Heading2"/>
      </w:pPr>
      <w:r>
        <w:t xml:space="preserve">Chapter</w:t>
      </w:r>
      <w:r>
        <w:t xml:space="preserve"> </w:t>
      </w:r>
      <w:r>
        <w:t xml:space="preserve">6</w:t>
      </w:r>
    </w:p>
    <w:bookmarkStart w:id="694" w:name="ipd-email-collab"/>
    <w:p>
      <w:pPr>
        <w:pStyle w:val="Heading3"/>
      </w:pPr>
      <w:r>
        <w:t xml:space="preserve">Email and documents sent to potental collaborators</w:t>
      </w:r>
    </w:p>
    <w:bookmarkEnd w:id="694"/>
    <w:bookmarkStart w:id="695" w:name="section-2"/>
    <w:p>
      <w:pPr>
        <w:pStyle w:val="Heading3"/>
      </w:pPr>
      <w:r>
        <w:t xml:space="preserve">Section 2</w:t>
      </w:r>
    </w:p>
    <w:bookmarkEnd w:id="695"/>
    <w:bookmarkEnd w:id="696"/>
    <w:bookmarkStart w:id="698" w:name="chapter-8"/>
    <w:p>
      <w:pPr>
        <w:pStyle w:val="Heading2"/>
      </w:pPr>
      <w:r>
        <w:t xml:space="preserve">Chapter</w:t>
      </w:r>
      <w:r>
        <w:t xml:space="preserve"> </w:t>
      </w:r>
      <w:r>
        <w:t xml:space="preserve">8</w:t>
      </w:r>
    </w:p>
    <w:bookmarkStart w:id="697" w:name="catalogue-of-failures"/>
    <w:p>
      <w:pPr>
        <w:pStyle w:val="Heading3"/>
      </w:pPr>
      <w:r>
        <w:t xml:space="preserve">Catalogue of failures</w:t>
      </w:r>
    </w:p>
    <w:p>
      <w:pPr>
        <w:pStyle w:val="FirstParagraph"/>
      </w:pPr>
      <w:r>
        <w:t xml:space="preserve">Short section detailing the things I tried to do but which did not work.</w:t>
      </w:r>
    </w:p>
    <w:bookmarkEnd w:id="697"/>
    <w:bookmarkEnd w:id="698"/>
    <w:bookmarkEnd w:id="699"/>
    <w:bookmarkStart w:id="713" w:name="other-appendix-heading"/>
    <w:p>
      <w:pPr>
        <w:pStyle w:val="Heading1"/>
      </w:pPr>
      <w:r>
        <w:t xml:space="preserve">Other Appendix</w:t>
      </w:r>
    </w:p>
    <w:bookmarkStart w:id="700"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png">
        <w:r>
          <w:rPr>
            <w:rStyle w:val="Hyperlink"/>
            <w:bCs/>
            <w:b/>
            <w:vertAlign w:val="superscript"/>
          </w:rPr>
          <w:t xml:space="preserve">R-png?</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322</w:t>
        </w:r>
      </w:hyperlink>
      <w:r>
        <w:rPr>
          <w:vertAlign w:val="superscript"/>
        </w:rPr>
        <w:t xml:space="preserve">,</w:t>
      </w:r>
      <w:hyperlink w:anchor="ref-wilson2017">
        <w:r>
          <w:rPr>
            <w:rStyle w:val="Hyperlink"/>
            <w:vertAlign w:val="superscript"/>
          </w:rPr>
          <w:t xml:space="preserve">323</w:t>
        </w:r>
      </w:hyperlink>
    </w:p>
    <w:bookmarkEnd w:id="700"/>
    <w:bookmarkStart w:id="710" w:name="appendix-robvis"/>
    <w:p>
      <w:pPr>
        <w:pStyle w:val="Heading2"/>
      </w:pPr>
      <w:r>
        <w:t xml:space="preserve">Producing risk-of-bias visualisations with</w:t>
      </w:r>
      <w:r>
        <w:t xml:space="preserve"> </w:t>
      </w:r>
      <w:r>
        <w:rPr>
          <w:rStyle w:val="VerbatimChar"/>
        </w:rPr>
        <w:t xml:space="preserve">robvis</w:t>
      </w:r>
    </w:p>
    <w:bookmarkStart w:id="703"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140</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701">
        <w:r>
          <w:rPr>
            <w:rStyle w:val="Hyperlink"/>
          </w:rPr>
          <w:t xml:space="preserve">https://cran.r-project.org/package=robvis</w:t>
        </w:r>
      </w:hyperlink>
      <w:r>
        <w:t xml:space="preserve">); or access and contribute to the development version via GitHub (</w:t>
      </w:r>
      <w:hyperlink r:id="rId702">
        <w:r>
          <w:rPr>
            <w:rStyle w:val="Hyperlink"/>
          </w:rPr>
          <w:t xml:space="preserve">https://github.com/mcguinlu/robvis</w:t>
        </w:r>
      </w:hyperlink>
      <w:r>
        <w:t xml:space="preserve">).</w:t>
      </w:r>
    </w:p>
    <w:bookmarkEnd w:id="703"/>
    <w:bookmarkStart w:id="704"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324</w:t>
        </w:r>
      </w:hyperlink>
      <w:r>
        <w:rPr>
          <w:vertAlign w:val="superscript"/>
        </w:rPr>
        <w:t xml:space="preserve">,</w:t>
      </w:r>
      <w:hyperlink w:anchor="ref-tanneru2020">
        <w:r>
          <w:rPr>
            <w:rStyle w:val="Hyperlink"/>
            <w:vertAlign w:val="superscript"/>
          </w:rPr>
          <w:t xml:space="preserve">325</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704"/>
    <w:bookmarkStart w:id="705"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705"/>
    <w:bookmarkStart w:id="708"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25</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37</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7: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706"/>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37: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38</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8: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707"/>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38: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25</w:t>
      </w:r>
    </w:p>
    <w:p>
      <w:pPr>
        <w:pStyle w:val="BodyText"/>
      </w:pPr>
      <w:r>
        <w:t xml:space="preserve"> </w:t>
      </w:r>
    </w:p>
    <w:p>
      <w:pPr>
        <w:pStyle w:val="BodyText"/>
      </w:pPr>
      <w:r>
        <w:t xml:space="preserve">Table 25: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p>
      <w:pPr>
        <w:pStyle w:val="BodyText"/>
      </w:pPr>
      <w:r>
        <w:t xml:space="preserve">Argument</w:t>
      </w:r>
    </w:p>
    <w:p>
      <w:pPr>
        <w:pStyle w:val="BodyText"/>
      </w:pPr>
      <w:r>
        <w:t xml:space="preserve">rob_traffic_light()</w:t>
      </w:r>
    </w:p>
    <w:p>
      <w:pPr>
        <w:pStyle w:val="BodyText"/>
      </w:pPr>
      <w:r>
        <w:t xml:space="preserve">rob_summary()</w:t>
      </w:r>
    </w:p>
    <w:p>
      <w:pPr>
        <w:pStyle w:val="BodyText"/>
      </w:pPr>
      <w:r>
        <w:t xml:space="preserve">Description</w:t>
      </w:r>
    </w:p>
    <w:p>
      <w:pPr>
        <w:pStyle w:val="BodyText"/>
      </w:pPr>
      <w:r>
        <w:t xml:space="preserve">data</w:t>
      </w:r>
    </w:p>
    <w:p>
      <w:pPr>
        <w:pStyle w:val="BodyText"/>
      </w:pPr>
      <w:r>
        <w:t xml:space="preserve">X</w:t>
      </w:r>
    </w:p>
    <w:p>
      <w:pPr>
        <w:pStyle w:val="BodyText"/>
      </w:pPr>
      <w:r>
        <w:t xml:space="preserve">X</w:t>
      </w:r>
    </w:p>
    <w:p>
      <w:pPr>
        <w:pStyle w:val="BodyText"/>
      </w:pPr>
      <w:r>
        <w:t xml:space="preserve">Defines the dataframe containing the summary (domain) level risk-of-bias assessments. See the text and Table 1 for the format expected by</w:t>
      </w:r>
      <w:r>
        <w:t xml:space="preserve"> </w:t>
      </w:r>
      <w:r>
        <w:rPr>
          <w:rStyle w:val="VerbatimChar"/>
        </w:rPr>
        <w:t xml:space="preserve">robvis</w:t>
      </w:r>
    </w:p>
    <w:p>
      <w:pPr>
        <w:pStyle w:val="BodyText"/>
      </w:pPr>
      <w:r>
        <w:t xml:space="preserve">tool</w:t>
      </w:r>
    </w:p>
    <w:p>
      <w:pPr>
        <w:pStyle w:val="BodyText"/>
      </w:pPr>
      <w:r>
        <w:t xml:space="preserve">X</w:t>
      </w:r>
    </w:p>
    <w:p>
      <w:pPr>
        <w:pStyle w:val="BodyText"/>
      </w:pPr>
      <w:r>
        <w:t xml:space="preserve">X</w:t>
      </w:r>
    </w:p>
    <w:p>
      <w:pPr>
        <w:pStyle w:val="BodyText"/>
      </w:pPr>
      <w:r>
        <w:t xml:space="preserve">Defines the risk of bias assessment tool used. The RoB2 (</w:t>
      </w:r>
      <w:r>
        <w:rPr>
          <w:rStyle w:val="VerbatimChar"/>
        </w:rPr>
        <w:t xml:space="preserve">tool=&amp;quot;ROB2&amp;quot;</w:t>
      </w:r>
      <w:r>
        <w:t xml:space="preserve">), ROBINS-I (</w:t>
      </w:r>
      <w:r>
        <w:rPr>
          <w:rStyle w:val="VerbatimChar"/>
        </w:rPr>
        <w:t xml:space="preserve">tool=&amp;quot;ROBINS-I&amp;quot;</w:t>
      </w:r>
      <w:r>
        <w:t xml:space="preserve">), and QUADAS-2 (</w:t>
      </w:r>
      <w:r>
        <w:rPr>
          <w:rStyle w:val="VerbatimChar"/>
        </w:rPr>
        <w:t xml:space="preserve">tool=&amp;quot;QUADAS-2&amp;quot;</w:t>
      </w:r>
      <w:r>
        <w:t xml:space="preserve">) assessments tools are currently supported. Other tools can be visualised using the generic template (</w:t>
      </w:r>
      <w:r>
        <w:rPr>
          <w:rStyle w:val="VerbatimChar"/>
        </w:rPr>
        <w:t xml:space="preserve">tool = &amp;quot;Generic&amp;quot;</w:t>
      </w:r>
      <w:r>
        <w:t xml:space="preserve">)</w:t>
      </w:r>
    </w:p>
    <w:p>
      <w:pPr>
        <w:pStyle w:val="BodyText"/>
      </w:pPr>
      <w:r>
        <w:t xml:space="preserve">colour</w:t>
      </w:r>
    </w:p>
    <w:p>
      <w:pPr>
        <w:pStyle w:val="BodyText"/>
      </w:pPr>
      <w:r>
        <w:t xml:space="preserve">X</w:t>
      </w:r>
    </w:p>
    <w:p>
      <w:pPr>
        <w:pStyle w:val="BodyText"/>
      </w:pPr>
      <w:r>
        <w:t xml:space="preserve">X</w:t>
      </w:r>
    </w:p>
    <w:p>
      <w:pPr>
        <w:pStyle w:val="BodyText"/>
      </w:pPr>
      <w:r>
        <w:t xml:space="preserve">Defines the colour scheme for the plot. The default is</w:t>
      </w:r>
      <w:r>
        <w:t xml:space="preserve"> </w:t>
      </w:r>
      <w:r>
        <w:rPr>
          <w:rStyle w:val="VerbatimChar"/>
        </w:rPr>
        <w:t xml:space="preserve">colour = &amp;quot;cochrane&amp;quot;</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&amp;quot;colourblind&amp;quot;</w:t>
      </w:r>
      <w:r>
        <w:t xml:space="preserve">). Alternatively, users can specify their own colour scheme e.g. </w:t>
      </w:r>
      <w:r>
        <w:rPr>
          <w:rStyle w:val="VerbatimChar"/>
        </w:rPr>
        <w:t xml:space="preserve">colour = c(&amp;quot;#f442c8&amp;quot;, &amp;quot;#bef441&amp;quot;, &amp;quot;#000000&amp;quot;)</w:t>
      </w:r>
    </w:p>
    <w:p>
      <w:pPr>
        <w:pStyle w:val="BodyText"/>
      </w:pPr>
      <w:r>
        <w:t xml:space="preserve">overall</w:t>
      </w:r>
    </w:p>
    <w:p>
      <w:pPr>
        <w:pStyle w:val="BodyText"/>
      </w:pPr>
      <w:r>
        <w:t xml:space="preserve">X</w:t>
      </w:r>
    </w:p>
    <w:p>
      <w:pPr>
        <w:pStyle w:val="BodyTex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p>
      <w:pPr>
        <w:pStyle w:val="BodyText"/>
      </w:pPr>
      <w:r>
        <w:t xml:space="preserve">weighted</w:t>
      </w:r>
    </w:p>
    <w:p>
      <w:pPr>
        <w:pStyle w:val="BodyText"/>
      </w:pPr>
      <w:r>
        <w:t xml:space="preserve">X</w:t>
      </w:r>
    </w:p>
    <w:p>
      <w:pPr>
        <w:pStyle w:val="BodyTex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p>
      <w:pPr>
        <w:pStyle w:val="BodyText"/>
      </w:pPr>
      <w:r>
        <w:t xml:space="preserve">psize</w:t>
      </w:r>
    </w:p>
    <w:p>
      <w:pPr>
        <w:pStyle w:val="BodyText"/>
      </w:pPr>
      <w:r>
        <w:t xml:space="preserve">X</w:t>
      </w:r>
    </w:p>
    <w:p>
      <w:pPr>
        <w:pStyle w:val="BodyText"/>
      </w:pPr>
      <w:r>
        <w:t xml:space="preserve">Defines the size of the points in the traffic light plot. Default is</w:t>
      </w:r>
      <w:r>
        <w:t xml:space="preserve"> </w:t>
      </w:r>
      <w:r>
        <w:rPr>
          <w:rStyle w:val="VerbatimChar"/>
        </w:rPr>
        <w:t xml:space="preserve">psize = 20</w:t>
      </w:r>
      <w:r>
        <w:t xml:space="preserve">.</w:t>
      </w:r>
    </w:p>
    <w:p>
      <w:pPr>
        <w:pStyle w:val="BodyText"/>
      </w:pPr>
      <w:r>
        <w:t xml:space="preserve"> </w:t>
      </w:r>
    </w:p>
    <w:bookmarkEnd w:id="708"/>
    <w:bookmarkStart w:id="709"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15700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709"/>
    <w:bookmarkEnd w:id="710"/>
    <w:bookmarkStart w:id="711" w:name="creating"/>
    <w:p>
      <w:pPr>
        <w:pStyle w:val="Heading2"/>
      </w:pPr>
      <w:r>
        <w:t xml:space="preserve">Creating</w:t>
      </w:r>
    </w:p>
    <w:p>
      <w:r>
        <w:br w:type="page"/>
      </w:r>
    </w:p>
    <w:bookmarkEnd w:id="711"/>
    <w:bookmarkStart w:id="712"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12"/>
    <w:bookmarkEnd w:id="713"/>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186" Target="media/rId186.png" /><Relationship Type="http://schemas.openxmlformats.org/officeDocument/2006/relationships/image" Id="rId169" Target="media/rId169.png" /><Relationship Type="http://schemas.openxmlformats.org/officeDocument/2006/relationships/image" Id="rId197" Target="media/rId197.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89" Target="media/rId189.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195" Target="media/rId195.png" /><Relationship Type="http://schemas.openxmlformats.org/officeDocument/2006/relationships/image" Id="rId174" Target="media/rId174.png" /><Relationship Type="http://schemas.openxmlformats.org/officeDocument/2006/relationships/image" Id="rId207" Target="media/rId207.png" /><Relationship Type="http://schemas.openxmlformats.org/officeDocument/2006/relationships/image" Id="rId178" Target="media/rId178.png" /><Relationship Type="http://schemas.openxmlformats.org/officeDocument/2006/relationships/image" Id="rId210" Target="media/rId210.png" /><Relationship Type="http://schemas.openxmlformats.org/officeDocument/2006/relationships/image" Id="rId255" Target="media/rId255.png" /><Relationship Type="http://schemas.openxmlformats.org/officeDocument/2006/relationships/image" Id="rId242" Target="media/rId242.png" /><Relationship Type="http://schemas.openxmlformats.org/officeDocument/2006/relationships/image" Id="rId69" Target="media/rId69.png" /><Relationship Type="http://schemas.openxmlformats.org/officeDocument/2006/relationships/image" Id="rId707" Target="media/rId707.png" /><Relationship Type="http://schemas.openxmlformats.org/officeDocument/2006/relationships/image" Id="rId706" Target="media/rId706.png" /><Relationship Type="http://schemas.openxmlformats.org/officeDocument/2006/relationships/image" Id="rId61" Target="media/rId61.png" /><Relationship Type="http://schemas.openxmlformats.org/officeDocument/2006/relationships/image" Id="rId115" Target="media/rId115.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31" Target="media/rId131.pdf" /><Relationship Type="http://schemas.openxmlformats.org/officeDocument/2006/relationships/image" Id="rId124" Target="media/rId124.pdf" /><Relationship Type="http://schemas.openxmlformats.org/officeDocument/2006/relationships/image" Id="rId687" Target="media/rId687.png" /><Relationship Type="http://schemas.openxmlformats.org/officeDocument/2006/relationships/image" Id="rId686" Target="media/rId686.png" /><Relationship Type="http://schemas.openxmlformats.org/officeDocument/2006/relationships/image" Id="rId685" Target="media/rId685.png" /><Relationship Type="http://schemas.openxmlformats.org/officeDocument/2006/relationships/image" Id="rId688" Target="media/rId688.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30" Target="media/rId130.png" /><Relationship Type="http://schemas.openxmlformats.org/officeDocument/2006/relationships/image" Id="rId123" Target="media/rId123.png" /><Relationship Type="http://schemas.openxmlformats.org/officeDocument/2006/relationships/image" Id="rId137" Target="media/rId137.png" /><Relationship Type="http://schemas.openxmlformats.org/officeDocument/2006/relationships/image" Id="rId118" Target="media/rId118.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52" Target="media/rId152.png" /><Relationship Type="http://schemas.openxmlformats.org/officeDocument/2006/relationships/image" Id="rId112" Target="media/rId112.png" /><Relationship Type="http://schemas.openxmlformats.org/officeDocument/2006/relationships/image" Id="rId147" Target="media/rId147.png" /><Relationship Type="http://schemas.openxmlformats.org/officeDocument/2006/relationships/image" Id="rId289" Target="media/rId289.png" /><Relationship Type="http://schemas.openxmlformats.org/officeDocument/2006/relationships/hyperlink" Id="rId701"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78" Target="https://doi.org/10.1002/14651858.CD003160.pub3" TargetMode="External" /><Relationship Type="http://schemas.openxmlformats.org/officeDocument/2006/relationships/hyperlink" Id="rId400"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45" Target="https://doi.org/10.1016/j.neuropharm.2020.108352" TargetMode="External" /><Relationship Type="http://schemas.openxmlformats.org/officeDocument/2006/relationships/hyperlink" Id="rId572" Target="https://doi.org/10.1101/168674" TargetMode="External" /><Relationship Type="http://schemas.openxmlformats.org/officeDocument/2006/relationships/hyperlink" Id="rId569" Target="https://doi.org/10.1101/170241" TargetMode="External" /><Relationship Type="http://schemas.openxmlformats.org/officeDocument/2006/relationships/hyperlink" Id="rId456" Target="https://doi.org/10.1101/19000265" TargetMode="External" /><Relationship Type="http://schemas.openxmlformats.org/officeDocument/2006/relationships/hyperlink" Id="rId405" Target="https://doi.org/10.1101/2020.05.22.111294" TargetMode="External" /><Relationship Type="http://schemas.openxmlformats.org/officeDocument/2006/relationships/hyperlink" Id="rId449" Target="https://doi.org/10.1101/2020.11.23.394577" TargetMode="External" /><Relationship Type="http://schemas.openxmlformats.org/officeDocument/2006/relationships/hyperlink" Id="rId412" Target="https://doi.org/10.1101/2021.03.04.433874" TargetMode="External" /><Relationship Type="http://schemas.openxmlformats.org/officeDocument/2006/relationships/hyperlink" Id="rId486" Target="https://doi.org/10.1101/2021.10.21.21265126" TargetMode="External" /><Relationship Type="http://schemas.openxmlformats.org/officeDocument/2006/relationships/hyperlink" Id="rId574" Target="https://doi.org/10.1101/689752" TargetMode="External" /><Relationship Type="http://schemas.openxmlformats.org/officeDocument/2006/relationships/hyperlink" Id="rId433" Target="https://doi.org/10.1101/833400" TargetMode="External" /><Relationship Type="http://schemas.openxmlformats.org/officeDocument/2006/relationships/hyperlink" Id="rId583" Target="https://doi.org/10.1111/j.1447-0594.2009.00579.x" TargetMode="External" /><Relationship Type="http://schemas.openxmlformats.org/officeDocument/2006/relationships/hyperlink" Id="rId651" Target="https://doi.org/10.1136/bmj.k400" TargetMode="External" /><Relationship Type="http://schemas.openxmlformats.org/officeDocument/2006/relationships/hyperlink" Id="rId442"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61"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44" Target="https://doi.org/10.31222/osf.io/p75xe" TargetMode="External" /><Relationship Type="http://schemas.openxmlformats.org/officeDocument/2006/relationships/hyperlink" Id="rId459" Target="https://doi.org/10.3758/s13428-020-01436-x" TargetMode="External" /><Relationship Type="http://schemas.openxmlformats.org/officeDocument/2006/relationships/hyperlink" Id="rId702"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7"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701"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78" Target="https://doi.org/10.1002/14651858.CD003160.pub3" TargetMode="External" /><Relationship Type="http://schemas.openxmlformats.org/officeDocument/2006/relationships/hyperlink" Id="rId400"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45" Target="https://doi.org/10.1016/j.neuropharm.2020.108352" TargetMode="External" /><Relationship Type="http://schemas.openxmlformats.org/officeDocument/2006/relationships/hyperlink" Id="rId572" Target="https://doi.org/10.1101/168674" TargetMode="External" /><Relationship Type="http://schemas.openxmlformats.org/officeDocument/2006/relationships/hyperlink" Id="rId569" Target="https://doi.org/10.1101/170241" TargetMode="External" /><Relationship Type="http://schemas.openxmlformats.org/officeDocument/2006/relationships/hyperlink" Id="rId456" Target="https://doi.org/10.1101/19000265" TargetMode="External" /><Relationship Type="http://schemas.openxmlformats.org/officeDocument/2006/relationships/hyperlink" Id="rId405" Target="https://doi.org/10.1101/2020.05.22.111294" TargetMode="External" /><Relationship Type="http://schemas.openxmlformats.org/officeDocument/2006/relationships/hyperlink" Id="rId449" Target="https://doi.org/10.1101/2020.11.23.394577" TargetMode="External" /><Relationship Type="http://schemas.openxmlformats.org/officeDocument/2006/relationships/hyperlink" Id="rId412" Target="https://doi.org/10.1101/2021.03.04.433874" TargetMode="External" /><Relationship Type="http://schemas.openxmlformats.org/officeDocument/2006/relationships/hyperlink" Id="rId486" Target="https://doi.org/10.1101/2021.10.21.21265126" TargetMode="External" /><Relationship Type="http://schemas.openxmlformats.org/officeDocument/2006/relationships/hyperlink" Id="rId574" Target="https://doi.org/10.1101/689752" TargetMode="External" /><Relationship Type="http://schemas.openxmlformats.org/officeDocument/2006/relationships/hyperlink" Id="rId433" Target="https://doi.org/10.1101/833400" TargetMode="External" /><Relationship Type="http://schemas.openxmlformats.org/officeDocument/2006/relationships/hyperlink" Id="rId583" Target="https://doi.org/10.1111/j.1447-0594.2009.00579.x" TargetMode="External" /><Relationship Type="http://schemas.openxmlformats.org/officeDocument/2006/relationships/hyperlink" Id="rId651" Target="https://doi.org/10.1136/bmj.k400" TargetMode="External" /><Relationship Type="http://schemas.openxmlformats.org/officeDocument/2006/relationships/hyperlink" Id="rId442"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61"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44" Target="https://doi.org/10.31222/osf.io/p75xe" TargetMode="External" /><Relationship Type="http://schemas.openxmlformats.org/officeDocument/2006/relationships/hyperlink" Id="rId459" Target="https://doi.org/10.3758/s13428-020-01436-x" TargetMode="External" /><Relationship Type="http://schemas.openxmlformats.org/officeDocument/2006/relationships/hyperlink" Id="rId702"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7"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2021-11-12T19:36:11Z</dcterms:created>
  <dcterms:modified xsi:type="dcterms:W3CDTF">2021-11-12T19:36:11Z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39966</vt:lpwstr>
  </property>
</Properties>
</file>