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187.png" ContentType="image/png"/>
  <Override PartName="/word/media/rId170.png" ContentType="image/png"/>
  <Override PartName="/word/media/rId201.png" ContentType="image/png"/>
  <Override PartName="/word/media/rId195.png" ContentType="image/png"/>
  <Override PartName="/word/media/rId197.png" ContentType="image/png"/>
  <Override PartName="/word/media/rId190.png" ContentType="image/png"/>
  <Override PartName="/word/media/rId203.png" ContentType="image/png"/>
  <Override PartName="/word/media/rId205.png" ContentType="image/png"/>
  <Override PartName="/word/media/rId199.png" ContentType="image/png"/>
  <Override PartName="/word/media/rId175.png" ContentType="image/png"/>
  <Override PartName="/word/media/rId211.png" ContentType="image/png"/>
  <Override PartName="/word/media/rId179.png" ContentType="image/png"/>
  <Override PartName="/word/media/rId214.png" ContentType="image/png"/>
  <Override PartName="/word/media/rId259.png" ContentType="image/png"/>
  <Override PartName="/word/media/rId237.png" ContentType="image/png"/>
  <Override PartName="/word/media/rId249.png" ContentType="image/png"/>
  <Override PartName="/word/media/rId251.png" ContentType="image/png"/>
  <Override PartName="/word/media/rId250.png" ContentType="image/png"/>
  <Override PartName="/word/media/rId245.png" ContentType="image/png"/>
  <Override PartName="/word/media/rId247.png" ContentType="image/png"/>
  <Override PartName="/word/media/rId246.png" ContentType="image/png"/>
  <Override PartName="/word/media/rId258.png" ContentType="image/png"/>
  <Override PartName="/word/media/rId67.png" ContentType="image/png"/>
  <Override PartName="/word/media/rId59.png" ContentType="image/png"/>
  <Override PartName="/word/media/rId117.png" ContentType="image/png"/>
  <Override PartName="/word/media/rId759.png" ContentType="image/png"/>
  <Override PartName="/word/media/rId145.png" ContentType="image/png"/>
  <Override PartName="/word/media/rId758.png" ContentType="image/png"/>
  <Override PartName="/word/media/rId130.png" ContentType="image/png"/>
  <Override PartName="/word/media/rId133.pdf" ContentType="application/pdf"/>
  <Override PartName="/word/media/rId126.pdf" ContentType="application/pdf"/>
  <Override PartName="/word/media/rId123.png" ContentType="image/png"/>
  <Override PartName="/word/media/rId129.png" ContentType="image/png"/>
  <Override PartName="/word/media/rId121.png" ContentType="image/png"/>
  <Override PartName="/word/media/rId137.png" ContentType="image/png"/>
  <Override PartName="/word/media/rId140.png" ContentType="image/png"/>
  <Override PartName="/word/media/rId132.png" ContentType="image/png"/>
  <Override PartName="/word/media/rId125.png" ContentType="image/png"/>
  <Override PartName="/word/media/rId139.png" ContentType="image/png"/>
  <Override PartName="/word/media/rId120.png" ContentType="image/png"/>
  <Override PartName="/word/media/rId153.png" ContentType="image/png"/>
  <Override PartName="/word/media/rId134.png" ContentType="image/png"/>
  <Override PartName="/word/media/rId155.png" ContentType="image/png"/>
  <Override PartName="/word/media/rId114.png" ContentType="image/png"/>
  <Override PartName="/word/media/rId150.png" ContentType="image/png"/>
  <Override PartName="/word/media/rId278.png" ContentType="image/png"/>
  <Override PartName="/word/media/rId288.png" ContentType="image/png"/>
  <Override PartName="/word/media/rId769.png" ContentType="image/png"/>
  <Override PartName="/word/media/rId291.png" ContentType="image/png"/>
  <Override PartName="/word/media/rId770.png" ContentType="image/png"/>
  <Override PartName="/word/media/rId287.png" ContentType="image/png"/>
  <Override PartName="/word/media/rId285.png" ContentType="image/png"/>
  <Override PartName="/word/media/rId2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t xml:space="preserve"> </w:t>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risk</w:t>
      </w:r>
      <w:r>
        <w:t xml:space="preserve"> </w:t>
      </w:r>
      <w:r>
        <w:t xml:space="preserve">of</w:t>
      </w:r>
      <w:r>
        <w:t xml:space="preserve"> </w:t>
      </w:r>
      <w:r>
        <w:t xml:space="preserve">dementia</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r>
        <w:t xml:space="preserve"> </w:t>
      </w:r>
      <w:r>
        <w:t xml:space="preserve">This</w:t>
      </w:r>
      <w:r>
        <w:t xml:space="preserve"> </w:t>
      </w:r>
      <w:r>
        <w:t xml:space="preserve">thesis</w:t>
      </w:r>
      <w:r>
        <w:t xml:space="preserve"> </w:t>
      </w:r>
      <w:r>
        <w:t xml:space="preserve">sought</w:t>
      </w:r>
      <w:r>
        <w:t xml:space="preserve"> </w:t>
      </w:r>
      <w:r>
        <w:t xml:space="preserve">to</w:t>
      </w:r>
      <w:r>
        <w:t xml:space="preserve"> </w:t>
      </w:r>
      <w:r>
        <w:t xml:space="preserve">triangulate</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(total</w:t>
      </w:r>
      <w:r>
        <w:t xml:space="preserve"> </w:t>
      </w:r>
      <w:r>
        <w:t xml:space="preserve">cholesterol,</w:t>
      </w:r>
      <w:r>
        <w:t xml:space="preserve"> </w:t>
      </w:r>
      <w:r>
        <w:t xml:space="preserve">LDL-c,</w:t>
      </w:r>
      <w:r>
        <w:t xml:space="preserve"> </w:t>
      </w:r>
      <w:r>
        <w:t xml:space="preserve">HDL-c,</w:t>
      </w:r>
      <w:r>
        <w:t xml:space="preserve"> </w:t>
      </w:r>
      <w:r>
        <w:t xml:space="preserve">and</w:t>
      </w:r>
      <w:r>
        <w:t xml:space="preserve"> </w:t>
      </w:r>
      <w:r>
        <w:t xml:space="preserve">triglycerides)</w:t>
      </w:r>
      <w:r>
        <w:t xml:space="preserve"> </w:t>
      </w:r>
      <w:r>
        <w:t xml:space="preserve">on</w:t>
      </w:r>
      <w:r>
        <w:t xml:space="preserve"> </w:t>
      </w:r>
      <w:r>
        <w:t xml:space="preserve">risk</w:t>
      </w:r>
      <w:r>
        <w:t xml:space="preserve"> </w:t>
      </w:r>
      <w:r>
        <w:t xml:space="preserve">of</w:t>
      </w:r>
      <w:r>
        <w:t xml:space="preserve"> </w:t>
      </w:r>
      <w:r>
        <w:t xml:space="preserve">incident</w:t>
      </w:r>
      <w:r>
        <w:t xml:space="preserve"> </w:t>
      </w:r>
      <w:r>
        <w:t xml:space="preserve">dementia</w:t>
      </w:r>
      <w:r>
        <w:t xml:space="preserve"> </w:t>
      </w:r>
      <w:r>
        <w:t xml:space="preserve">(all-cause</w:t>
      </w:r>
      <w:r>
        <w:t xml:space="preserve"> </w:t>
      </w:r>
      <w:r>
        <w:t xml:space="preserve">dementia,</w:t>
      </w:r>
      <w:r>
        <w:t xml:space="preserve"> </w:t>
      </w:r>
      <w:r>
        <w:t xml:space="preserve">Alzheimer’s</w:t>
      </w:r>
      <w:r>
        <w:t xml:space="preserve"> </w:t>
      </w:r>
      <w:r>
        <w:t xml:space="preserve">disease,</w:t>
      </w:r>
      <w:r>
        <w:t xml:space="preserve"> </w:t>
      </w:r>
      <w:r>
        <w:t xml:space="preserve">and</w:t>
      </w:r>
      <w:r>
        <w:t xml:space="preserve"> </w:t>
      </w:r>
      <w:r>
        <w:t xml:space="preserve">vascular</w:t>
      </w:r>
      <w:r>
        <w:t xml:space="preserve"> </w:t>
      </w:r>
      <w:r>
        <w:t xml:space="preserve">dementia)</w:t>
      </w:r>
      <w:r>
        <w:t xml:space="preserve"> </w:t>
      </w:r>
      <w:r>
        <w:t xml:space="preserve">using</w:t>
      </w:r>
      <w:r>
        <w:t xml:space="preserve"> </w:t>
      </w:r>
      <w:r>
        <w:t xml:space="preserve">existing</w:t>
      </w:r>
      <w:r>
        <w:t xml:space="preserve"> </w:t>
      </w:r>
      <w:r>
        <w:t xml:space="preserve">and</w:t>
      </w:r>
      <w:r>
        <w:t xml:space="preserve"> </w:t>
      </w:r>
      <w:r>
        <w:t xml:space="preserve">new</w:t>
      </w:r>
      <w:r>
        <w:t xml:space="preserve"> </w:t>
      </w:r>
      <w:r>
        <w:t xml:space="preserve">evidence.</w:t>
      </w:r>
    </w:p>
    <w:p>
      <w:pPr>
        <w:pStyle w:val="Abstract"/>
      </w:pPr>
      <w:r>
        <w:t xml:space="preserve"> </w:t>
      </w:r>
    </w:p>
    <w:p>
      <w:pPr>
        <w:pStyle w:val="Abstract"/>
      </w:pPr>
      <w:r>
        <w:rPr>
          <w:bCs/>
          <w:b/>
        </w:rPr>
        <w:t xml:space="preserve">Methods:</w:t>
      </w:r>
      <w:r>
        <w:t xml:space="preserve"> </w:t>
      </w:r>
      <w:r>
        <w:t xml:space="preserve">Four</w:t>
      </w:r>
      <w:r>
        <w:t xml:space="preserve"> </w:t>
      </w:r>
      <w:r>
        <w:t xml:space="preserve">distinct</w:t>
      </w:r>
      <w:r>
        <w:t xml:space="preserve"> </w:t>
      </w:r>
      <w:r>
        <w:t xml:space="preserve">analyses</w:t>
      </w:r>
      <w:r>
        <w:t xml:space="preserve"> </w:t>
      </w:r>
      <w:r>
        <w:t xml:space="preserve">were</w:t>
      </w:r>
      <w:r>
        <w:t xml:space="preserve"> </w:t>
      </w:r>
      <w:r>
        <w:t xml:space="preserve">conducted.</w:t>
      </w:r>
      <w:r>
        <w:t xml:space="preserve"> </w:t>
      </w:r>
      <w:r>
        <w:t xml:space="preserve">Firstly,</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81</w:t>
      </w:r>
      <w:r>
        <w:t xml:space="preserve"> </w:t>
      </w:r>
      <w:r>
        <w:t xml:space="preserve">published</w:t>
      </w:r>
      <w:r>
        <w:t xml:space="preserve"> </w:t>
      </w:r>
      <w:r>
        <w:t xml:space="preserve">and</w:t>
      </w:r>
      <w:r>
        <w:t xml:space="preserve"> </w:t>
      </w:r>
      <w:r>
        <w:t xml:space="preserve">preprinted</w:t>
      </w:r>
      <w:r>
        <w:t xml:space="preserve"> </w:t>
      </w:r>
      <w:r>
        <w:t xml:space="preserve">studies</w:t>
      </w:r>
      <w:r>
        <w:t xml:space="preserve"> </w:t>
      </w:r>
      <w:r>
        <w:t xml:space="preserve">was</w:t>
      </w:r>
      <w:r>
        <w:t xml:space="preserve"> </w:t>
      </w:r>
      <w:r>
        <w:t xml:space="preserve">used</w:t>
      </w:r>
      <w:r>
        <w:t xml:space="preserve"> </w:t>
      </w:r>
      <w:r>
        <w:t xml:space="preserve">to</w:t>
      </w:r>
      <w:r>
        <w:t xml:space="preserve"> </w:t>
      </w:r>
      <w:r>
        <w:t xml:space="preserve">summarise</w:t>
      </w:r>
      <w:r>
        <w:t xml:space="preserve"> </w:t>
      </w:r>
      <w:r>
        <w:t xml:space="preserve">the</w:t>
      </w:r>
      <w:r>
        <w:t xml:space="preserve"> </w:t>
      </w:r>
      <w:r>
        <w:t xml:space="preserve">existing</w:t>
      </w:r>
      <w:r>
        <w:t xml:space="preserve"> </w:t>
      </w:r>
      <w:r>
        <w:t xml:space="preserve">evidence</w:t>
      </w:r>
      <w:r>
        <w:t xml:space="preserve"> </w:t>
      </w:r>
      <w:r>
        <w:t xml:space="preserve">base.</w:t>
      </w:r>
      <w:r>
        <w:t xml:space="preserve"> </w:t>
      </w:r>
      <w:r>
        <w:t xml:space="preserve">Preprints</w:t>
      </w:r>
      <w:r>
        <w:t xml:space="preserve"> </w:t>
      </w:r>
      <w:r>
        <w:t xml:space="preserve">were</w:t>
      </w:r>
      <w:r>
        <w:t xml:space="preserve"> </w:t>
      </w:r>
      <w:r>
        <w:t xml:space="preserve">searched</w:t>
      </w:r>
      <w:r>
        <w:t xml:space="preserve"> </w:t>
      </w:r>
      <w:r>
        <w:t xml:space="preserve">using</w:t>
      </w:r>
      <w:r>
        <w:t xml:space="preserve"> </w:t>
      </w:r>
      <w:r>
        <w:t xml:space="preserve">a</w:t>
      </w:r>
      <w:r>
        <w:t xml:space="preserve"> </w:t>
      </w:r>
      <w:r>
        <w:t xml:space="preserve">new</w:t>
      </w:r>
      <w:r>
        <w:t xml:space="preserve"> </w:t>
      </w:r>
      <w:r>
        <w:t xml:space="preserve">research</w:t>
      </w:r>
      <w:r>
        <w:t xml:space="preserve"> </w:t>
      </w:r>
      <w:r>
        <w:t xml:space="preserve">tool</w:t>
      </w:r>
      <w:r>
        <w:t xml:space="preserve"> </w:t>
      </w:r>
      <w:r>
        <w:t xml:space="preserve">created</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The</w:t>
      </w:r>
      <w:r>
        <w:t xml:space="preserve"> </w:t>
      </w:r>
      <w:r>
        <w:t xml:space="preserve">existing</w:t>
      </w:r>
      <w:r>
        <w:t xml:space="preserve"> </w:t>
      </w:r>
      <w:r>
        <w:t xml:space="preserve">evidence</w:t>
      </w:r>
      <w:r>
        <w:t xml:space="preserve"> </w:t>
      </w:r>
      <w:r>
        <w:t xml:space="preserve">was</w:t>
      </w:r>
      <w:r>
        <w:t xml:space="preserve"> </w:t>
      </w:r>
      <w:r>
        <w:t xml:space="preserve">then</w:t>
      </w:r>
      <w:r>
        <w:t xml:space="preserve"> </w:t>
      </w:r>
      <w:r>
        <w:t xml:space="preserve">supplemented</w:t>
      </w:r>
      <w:r>
        <w:t xml:space="preserve"> </w:t>
      </w:r>
      <w:r>
        <w:t xml:space="preserve">via</w:t>
      </w:r>
      <w:r>
        <w:t xml:space="preserve"> </w:t>
      </w:r>
      <w:r>
        <w:t xml:space="preserve">two</w:t>
      </w:r>
      <w:r>
        <w:t xml:space="preserve"> </w:t>
      </w:r>
      <w:r>
        <w:t xml:space="preserve">primary</w:t>
      </w:r>
      <w:r>
        <w:t xml:space="preserve"> </w:t>
      </w:r>
      <w:r>
        <w:t xml:space="preserve">studies:</w:t>
      </w:r>
      <w:r>
        <w:t xml:space="preserve"> </w:t>
      </w:r>
      <w:r>
        <w:t xml:space="preserve">i)</w:t>
      </w:r>
      <w:r>
        <w:t xml:space="preserve"> </w:t>
      </w:r>
      <w:r>
        <w:t xml:space="preserve">a</w:t>
      </w:r>
      <w:r>
        <w:t xml:space="preserve"> </w:t>
      </w:r>
      <w:r>
        <w:t xml:space="preserve">cohort</w:t>
      </w:r>
      <w:r>
        <w:t xml:space="preserve"> </w:t>
      </w:r>
      <w:r>
        <w:t xml:space="preserve">study</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and</w:t>
      </w:r>
      <w:r>
        <w:t xml:space="preserve"> </w:t>
      </w:r>
      <w:r>
        <w:t xml:space="preserve">dementia</w:t>
      </w:r>
      <w:r>
        <w:t xml:space="preserve"> </w:t>
      </w:r>
      <w:r>
        <w:t xml:space="preserve">incidence</w:t>
      </w:r>
      <w:r>
        <w:t xml:space="preserve"> </w:t>
      </w:r>
      <w:r>
        <w:t xml:space="preserve">in</w:t>
      </w:r>
      <w:r>
        <w:t xml:space="preserve"> </w:t>
      </w:r>
      <w:r>
        <w:t xml:space="preserve">the</w:t>
      </w:r>
      <w:r>
        <w:t xml:space="preserve"> </w:t>
      </w:r>
      <w:r>
        <w:t xml:space="preserve">Clinical</w:t>
      </w:r>
      <w:r>
        <w:t xml:space="preserve"> </w:t>
      </w:r>
      <w:r>
        <w:t xml:space="preserve">Practice</w:t>
      </w:r>
      <w:r>
        <w:t xml:space="preserve"> </w:t>
      </w:r>
      <w:r>
        <w:t xml:space="preserve">Research</w:t>
      </w:r>
      <w:r>
        <w:t xml:space="preserve"> </w:t>
      </w:r>
      <w:r>
        <w:t xml:space="preserve">Datalink</w:t>
      </w:r>
      <w:r>
        <w:t xml:space="preserve"> </w:t>
      </w:r>
      <w:r>
        <w:t xml:space="preserve">(CPRD);</w:t>
      </w:r>
      <w:r>
        <w:t xml:space="preserve"> </w:t>
      </w:r>
      <w:r>
        <w:t xml:space="preserve">and</w:t>
      </w:r>
      <w:r>
        <w:t xml:space="preserve"> </w:t>
      </w:r>
      <w:r>
        <w:t xml:space="preserve">ii)</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blood</w:t>
      </w:r>
      <w:r>
        <w:t xml:space="preserve"> </w:t>
      </w:r>
      <w:r>
        <w:t xml:space="preserve">lipids</w:t>
      </w:r>
      <w:r>
        <w:t xml:space="preserve"> </w:t>
      </w:r>
      <w:r>
        <w:t xml:space="preserve">with</w:t>
      </w:r>
      <w:r>
        <w:t xml:space="preserve"> </w:t>
      </w:r>
      <w:r>
        <w:t xml:space="preserve">dementia</w:t>
      </w:r>
      <w:r>
        <w:t xml:space="preserve"> </w:t>
      </w:r>
      <w:r>
        <w:t xml:space="preserve">incidence</w:t>
      </w:r>
      <w:r>
        <w:t xml:space="preserve"> </w:t>
      </w:r>
      <w:r>
        <w:t xml:space="preserve">in</w:t>
      </w:r>
      <w:r>
        <w:t xml:space="preserve"> </w:t>
      </w:r>
      <w:r>
        <w:t xml:space="preserve">previously</w:t>
      </w:r>
      <w:r>
        <w:t xml:space="preserve"> </w:t>
      </w:r>
      <w:r>
        <w:t xml:space="preserve">unanalysed</w:t>
      </w:r>
      <w:r>
        <w:t xml:space="preserve"> </w:t>
      </w:r>
      <w:r>
        <w:t xml:space="preserve">cohorts</w:t>
      </w:r>
      <w:r>
        <w:t xml:space="preserve"> </w:t>
      </w:r>
      <w:r>
        <w:t xml:space="preserve">accessed</w:t>
      </w:r>
      <w:r>
        <w:t xml:space="preserve"> </w:t>
      </w:r>
      <w:r>
        <w:t xml:space="preserve">through</w:t>
      </w:r>
      <w:r>
        <w:t xml:space="preserve"> </w:t>
      </w:r>
      <w:r>
        <w:t xml:space="preserve">the</w:t>
      </w:r>
      <w:r>
        <w:t xml:space="preserve"> </w:t>
      </w:r>
      <w:r>
        <w:t xml:space="preserve">Dementia</w:t>
      </w:r>
      <w:r>
        <w:t xml:space="preserve"> </w:t>
      </w:r>
      <w:r>
        <w:t xml:space="preserve">Platform</w:t>
      </w:r>
      <w:r>
        <w:t xml:space="preserve"> </w:t>
      </w:r>
      <w:r>
        <w:t xml:space="preserve">UK.</w:t>
      </w:r>
      <w:r>
        <w:t xml:space="preserve"> </w:t>
      </w:r>
      <w:r>
        <w:t xml:space="preserve">Finally,</w:t>
      </w:r>
      <w:r>
        <w:t xml:space="preserve"> </w:t>
      </w:r>
      <w:r>
        <w:t xml:space="preserve">a</w:t>
      </w:r>
      <w:r>
        <w:t xml:space="preserve"> </w:t>
      </w:r>
      <w:r>
        <w:t xml:space="preserve">novel</w:t>
      </w:r>
      <w:r>
        <w:t xml:space="preserve"> </w:t>
      </w:r>
      <w:r>
        <w:t xml:space="preserve">quantitative</w:t>
      </w:r>
      <w:r>
        <w:t xml:space="preserve"> </w:t>
      </w:r>
      <w:r>
        <w:t xml:space="preserve">triangulation</w:t>
      </w:r>
      <w:r>
        <w:t xml:space="preserve"> </w:t>
      </w:r>
      <w:r>
        <w:t xml:space="preserve">framework</w:t>
      </w:r>
      <w:r>
        <w:t xml:space="preserve"> </w:t>
      </w:r>
      <w:r>
        <w:t xml:space="preserve">was</w:t>
      </w:r>
      <w:r>
        <w:t xml:space="preserve"> </w:t>
      </w:r>
      <w:r>
        <w:t xml:space="preserve">proposed,</w:t>
      </w:r>
      <w:r>
        <w:t xml:space="preserve"> </w:t>
      </w:r>
      <w:r>
        <w:t xml:space="preserve">building</w:t>
      </w:r>
      <w:r>
        <w:t xml:space="preserve"> </w:t>
      </w:r>
      <w:r>
        <w:t xml:space="preserve">on</w:t>
      </w:r>
      <w:r>
        <w:t xml:space="preserve"> </w:t>
      </w:r>
      <w:r>
        <w:t xml:space="preserve">recent</w:t>
      </w:r>
      <w:r>
        <w:t xml:space="preserve"> </w:t>
      </w:r>
      <w:r>
        <w:t xml:space="preserve">developments</w:t>
      </w:r>
      <w:r>
        <w:t xml:space="preserve"> </w:t>
      </w:r>
      <w:r>
        <w:t xml:space="preserve">in</w:t>
      </w:r>
      <w:r>
        <w:t xml:space="preserve"> </w:t>
      </w:r>
      <w:r>
        <w:t xml:space="preserve">risk-of-bias</w:t>
      </w:r>
      <w:r>
        <w:t xml:space="preserve"> </w:t>
      </w:r>
      <w:r>
        <w:t xml:space="preserve">assessment</w:t>
      </w:r>
      <w:r>
        <w:t xml:space="preserve"> </w:t>
      </w:r>
      <w:r>
        <w:t xml:space="preserve">and</w:t>
      </w:r>
      <w:r>
        <w:t xml:space="preserve"> </w:t>
      </w:r>
      <w:r>
        <w:t xml:space="preserve">bias-/indirectness-adjusted</w:t>
      </w:r>
      <w:r>
        <w:t xml:space="preserve"> </w:t>
      </w:r>
      <w:r>
        <w:t xml:space="preserve">meta-analyses.</w:t>
      </w:r>
      <w:r>
        <w:t xml:space="preserve"> </w:t>
      </w:r>
      <w:r>
        <w:t xml:space="preserve">This</w:t>
      </w:r>
      <w:r>
        <w:t xml:space="preserve"> </w:t>
      </w:r>
      <w:r>
        <w:t xml:space="preserve">framework</w:t>
      </w:r>
      <w:r>
        <w:t xml:space="preserve"> </w:t>
      </w:r>
      <w:r>
        <w:t xml:space="preserve">was</w:t>
      </w:r>
      <w:r>
        <w:t xml:space="preserve"> </w:t>
      </w:r>
      <w:r>
        <w:t xml:space="preserve">then</w:t>
      </w:r>
      <w:r>
        <w:t xml:space="preserve"> </w:t>
      </w:r>
      <w:r>
        <w:t xml:space="preserve">used</w:t>
      </w:r>
      <w:r>
        <w:t xml:space="preserve"> </w:t>
      </w:r>
      <w:r>
        <w:t xml:space="preserve">to</w:t>
      </w:r>
      <w:r>
        <w:t xml:space="preserve"> </w:t>
      </w:r>
      <w:r>
        <w:t xml:space="preserve">quantitatively</w:t>
      </w:r>
      <w:r>
        <w:t xml:space="preserve"> </w:t>
      </w:r>
      <w:r>
        <w:t xml:space="preserve">triangulate</w:t>
      </w:r>
      <w:r>
        <w:t xml:space="preserve"> </w:t>
      </w:r>
      <w:r>
        <w:t xml:space="preserve">the</w:t>
      </w:r>
      <w:r>
        <w:t xml:space="preserve"> </w:t>
      </w:r>
      <w:r>
        <w:t xml:space="preserve">evidence</w:t>
      </w:r>
      <w:r>
        <w:t xml:space="preserve"> </w:t>
      </w:r>
      <w:r>
        <w:t xml:space="preserve">identified</w:t>
      </w:r>
      <w:r>
        <w:t xml:space="preserve"> </w:t>
      </w:r>
      <w:r>
        <w:t xml:space="preserve">and</w:t>
      </w:r>
      <w:r>
        <w:t xml:space="preserve"> </w:t>
      </w:r>
      <w:r>
        <w:t xml:space="preserve">produced</w:t>
      </w:r>
      <w:r>
        <w:t xml:space="preserve"> </w:t>
      </w:r>
      <w:r>
        <w:t xml:space="preserve">by</w:t>
      </w:r>
      <w:r>
        <w:t xml:space="preserve"> </w:t>
      </w:r>
      <w:r>
        <w:t xml:space="preserve">this</w:t>
      </w:r>
      <w:r>
        <w:t xml:space="preserve"> </w:t>
      </w:r>
      <w:r>
        <w:t xml:space="preserve">thesis.</w:t>
      </w:r>
    </w:p>
    <w:p>
      <w:pPr>
        <w:pStyle w:val="Abstract"/>
      </w:pPr>
      <w:r>
        <w:t xml:space="preserve"> </w:t>
      </w:r>
    </w:p>
    <w:p>
      <w:pPr>
        <w:pStyle w:val="Abstract"/>
      </w:pPr>
      <w:r>
        <w:rPr>
          <w:bCs/>
          <w:b/>
        </w:rPr>
        <w:t xml:space="preserve">Results:</w:t>
      </w:r>
      <w:r>
        <w:t xml:space="preserve"> </w:t>
      </w:r>
      <w:r>
        <w:t xml:space="preserve">The</w:t>
      </w:r>
      <w:r>
        <w:t xml:space="preserve"> </w:t>
      </w:r>
      <w:r>
        <w:t xml:space="preserve">systematic</w:t>
      </w:r>
      <w:r>
        <w:t xml:space="preserve"> </w:t>
      </w:r>
      <w:r>
        <w:t xml:space="preserve">review</w:t>
      </w:r>
      <w:r>
        <w:t xml:space="preserve"> </w:t>
      </w:r>
      <w:r>
        <w:t xml:space="preserve">did</w:t>
      </w:r>
      <w:r>
        <w:t xml:space="preserve"> </w:t>
      </w:r>
      <w:r>
        <w:t xml:space="preserve">not</w:t>
      </w:r>
      <w:r>
        <w:t xml:space="preserve"> </w:t>
      </w:r>
      <w:r>
        <w:t xml:space="preserve">identify</w:t>
      </w:r>
      <w:r>
        <w:t xml:space="preserve"> </w:t>
      </w:r>
      <w:r>
        <w:t xml:space="preserve">a</w:t>
      </w:r>
      <w:r>
        <w:t xml:space="preserve"> </w:t>
      </w:r>
      <w:r>
        <w:t xml:space="preserve">consistent</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any</w:t>
      </w:r>
      <w:r>
        <w:t xml:space="preserve"> </w:t>
      </w:r>
      <w:r>
        <w:t xml:space="preserve">dementia</w:t>
      </w:r>
      <w:r>
        <w:t xml:space="preserve"> </w:t>
      </w:r>
      <w:r>
        <w:t xml:space="preserve">outcome</w:t>
      </w:r>
      <w:r>
        <w:t xml:space="preserve"> </w:t>
      </w:r>
      <w:r>
        <w:t xml:space="preserve">across</w:t>
      </w:r>
      <w:r>
        <w:t xml:space="preserve"> </w:t>
      </w:r>
      <w:r>
        <w:t xml:space="preserve">study</w:t>
      </w:r>
      <w:r>
        <w:t xml:space="preserve"> </w:t>
      </w:r>
      <w:r>
        <w:t xml:space="preserve">designs,</w:t>
      </w:r>
      <w:r>
        <w:t xml:space="preserve"> </w:t>
      </w:r>
      <w:r>
        <w:t xml:space="preserve">through</w:t>
      </w:r>
      <w:r>
        <w:t xml:space="preserve"> </w:t>
      </w:r>
      <w:r>
        <w:t xml:space="preserve">there</w:t>
      </w:r>
      <w:r>
        <w:t xml:space="preserve"> </w:t>
      </w:r>
      <w:r>
        <w:t xml:space="preserve">was</w:t>
      </w:r>
      <w:r>
        <w:t xml:space="preserve"> </w:t>
      </w:r>
      <w:r>
        <w:t xml:space="preserve">some</w:t>
      </w:r>
      <w:r>
        <w:t xml:space="preserve"> </w:t>
      </w:r>
      <w:r>
        <w:t xml:space="preserve">suggestion</w:t>
      </w:r>
      <w:r>
        <w:t xml:space="preserve"> </w:t>
      </w:r>
      <w:r>
        <w:t xml:space="preserve">of</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LDL-c</w:t>
      </w:r>
      <w:r>
        <w:t xml:space="preserve"> </w:t>
      </w:r>
      <w:r>
        <w:t xml:space="preserve">lowering</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Alzheimerâ€™s</w:t>
      </w:r>
      <w:r>
        <w:t xml:space="preserve"> </w:t>
      </w:r>
      <w:r>
        <w:t xml:space="preserve">disease</w:t>
      </w:r>
      <w:r>
        <w:t xml:space="preserve"> </w:t>
      </w:r>
      <w:r>
        <w:t xml:space="preserve">in</w:t>
      </w:r>
      <w:r>
        <w:t xml:space="preserve"> </w:t>
      </w:r>
      <w:r>
        <w:t xml:space="preserve">observational</w:t>
      </w:r>
      <w:r>
        <w:t xml:space="preserve"> </w:t>
      </w:r>
      <w:r>
        <w:t xml:space="preserve">studies</w:t>
      </w:r>
      <w:r>
        <w:t xml:space="preserve"> </w:t>
      </w:r>
      <w:r>
        <w:t xml:space="preserve">of</w:t>
      </w:r>
      <w:r>
        <w:t xml:space="preserve"> </w:t>
      </w:r>
      <w:r>
        <w:t xml:space="preserve">statin</w:t>
      </w:r>
      <w:r>
        <w:t xml:space="preserve"> </w:t>
      </w:r>
      <w:r>
        <w:t xml:space="preserve">use.</w:t>
      </w:r>
      <w:r>
        <w:t xml:space="preserve"> </w:t>
      </w:r>
      <w:r>
        <w:t xml:space="preserve">The</w:t>
      </w:r>
      <w:r>
        <w:t xml:space="preserve"> </w:t>
      </w:r>
      <w:r>
        <w:t xml:space="preserve">analysis</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in</w:t>
      </w:r>
      <w:r>
        <w:t xml:space="preserve"> </w:t>
      </w:r>
      <w:r>
        <w:t xml:space="preserve">the</w:t>
      </w:r>
      <w:r>
        <w:t xml:space="preserve"> </w:t>
      </w:r>
      <w:r>
        <w:t xml:space="preserve">CPRD</w:t>
      </w:r>
      <w:r>
        <w:t xml:space="preserve"> </w:t>
      </w:r>
      <w:r>
        <w:t xml:space="preserve">provided</w:t>
      </w:r>
      <w:r>
        <w:t xml:space="preserve"> </w:t>
      </w:r>
      <w:r>
        <w:t xml:space="preserve">weak</w:t>
      </w:r>
      <w:r>
        <w:t xml:space="preserve"> </w:t>
      </w:r>
      <w:r>
        <w:t xml:space="preserve">evidence</w:t>
      </w:r>
      <w:r>
        <w:t xml:space="preserve"> </w:t>
      </w:r>
      <w:r>
        <w:t xml:space="preserve">for</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statins</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Alzheimer’s</w:t>
      </w:r>
      <w:r>
        <w:t xml:space="preserve"> </w:t>
      </w:r>
      <w:r>
        <w:t xml:space="preserve">disease</w:t>
      </w:r>
      <w:r>
        <w:t xml:space="preserve"> </w:t>
      </w:r>
      <w:r>
        <w:t xml:space="preserve">but</w:t>
      </w:r>
      <w:r>
        <w:t xml:space="preserve"> </w:t>
      </w:r>
      <w:r>
        <w:t xml:space="preserve">suggested</w:t>
      </w:r>
      <w:r>
        <w:t xml:space="preserve"> </w:t>
      </w:r>
      <w:r>
        <w:t xml:space="preserve">a</w:t>
      </w:r>
      <w:r>
        <w:t xml:space="preserve"> </w:t>
      </w:r>
      <w:r>
        <w:t xml:space="preserve">harmful</w:t>
      </w:r>
      <w:r>
        <w:t xml:space="preserve"> </w:t>
      </w:r>
      <w:r>
        <w:t xml:space="preserve">association</w:t>
      </w:r>
      <w:r>
        <w:t xml:space="preserve"> </w:t>
      </w:r>
      <w:r>
        <w:t xml:space="preserve">with</w:t>
      </w:r>
      <w:r>
        <w:t xml:space="preserve"> </w:t>
      </w:r>
      <w:r>
        <w:t xml:space="preserve">vascular</w:t>
      </w:r>
      <w:r>
        <w:t xml:space="preserve"> </w:t>
      </w:r>
      <w:r>
        <w:t xml:space="preserve">dementia.</w:t>
      </w:r>
      <w:r>
        <w:t xml:space="preserve"> </w:t>
      </w:r>
      <w:r>
        <w:t xml:space="preserve">However,</w:t>
      </w:r>
      <w:r>
        <w:t xml:space="preserve"> </w:t>
      </w:r>
      <w:r>
        <w:t xml:space="preserve">the</w:t>
      </w:r>
      <w:r>
        <w:t xml:space="preserve"> </w:t>
      </w:r>
      <w:r>
        <w:t xml:space="preserve">use</w:t>
      </w:r>
      <w:r>
        <w:t xml:space="preserve"> </w:t>
      </w:r>
      <w:r>
        <w:t xml:space="preserve">of</w:t>
      </w:r>
      <w:r>
        <w:t xml:space="preserve"> </w:t>
      </w:r>
      <w:r>
        <w:t xml:space="preserve">control</w:t>
      </w:r>
      <w:r>
        <w:t xml:space="preserve"> </w:t>
      </w:r>
      <w:r>
        <w:t xml:space="preserve">outcomes</w:t>
      </w:r>
      <w:r>
        <w:t xml:space="preserve"> </w:t>
      </w:r>
      <w:r>
        <w:t xml:space="preserve">illustrated</w:t>
      </w:r>
      <w:r>
        <w:t xml:space="preserve"> </w:t>
      </w:r>
      <w:r>
        <w:t xml:space="preserve">this</w:t>
      </w:r>
      <w:r>
        <w:t xml:space="preserve"> </w:t>
      </w:r>
      <w:r>
        <w:t xml:space="preserve">finding</w:t>
      </w:r>
      <w:r>
        <w:t xml:space="preserve"> </w:t>
      </w:r>
      <w:r>
        <w:t xml:space="preserve">was</w:t>
      </w:r>
      <w:r>
        <w:t xml:space="preserve"> </w:t>
      </w:r>
      <w:r>
        <w:t xml:space="preserve">likely</w:t>
      </w:r>
      <w:r>
        <w:t xml:space="preserve"> </w:t>
      </w:r>
      <w:r>
        <w:t xml:space="preserve">due</w:t>
      </w:r>
      <w:r>
        <w:t xml:space="preserve"> </w:t>
      </w:r>
      <w:r>
        <w:t xml:space="preserve">to</w:t>
      </w:r>
      <w:r>
        <w:t xml:space="preserve"> </w:t>
      </w:r>
      <w:r>
        <w:t xml:space="preserve">confounding</w:t>
      </w:r>
      <w:r>
        <w:t xml:space="preserve"> </w:t>
      </w:r>
      <w:r>
        <w:t xml:space="preserve">by</w:t>
      </w:r>
      <w:r>
        <w:t xml:space="preserve"> </w:t>
      </w:r>
      <w:r>
        <w:t xml:space="preserve">indication</w:t>
      </w:r>
      <w:r>
        <w:t xml:space="preserve"> </w:t>
      </w:r>
      <w:r>
        <w:t xml:space="preserve">related</w:t>
      </w:r>
      <w:r>
        <w:t xml:space="preserve"> </w:t>
      </w:r>
      <w:r>
        <w:t xml:space="preserve">to</w:t>
      </w:r>
      <w:r>
        <w:t xml:space="preserve"> </w:t>
      </w:r>
      <w:r>
        <w:t xml:space="preserve">vascular</w:t>
      </w:r>
      <w:r>
        <w:t xml:space="preserve"> </w:t>
      </w:r>
      <w:r>
        <w:t xml:space="preserve">factors.</w:t>
      </w:r>
      <w:r>
        <w:t xml:space="preserve"> </w:t>
      </w:r>
      <w:r>
        <w:t xml:space="preserve">The</w:t>
      </w:r>
      <w:r>
        <w:t xml:space="preserve"> </w:t>
      </w:r>
      <w:r>
        <w:t xml:space="preserve">individual</w:t>
      </w:r>
      <w:r>
        <w:t xml:space="preserve"> </w:t>
      </w:r>
      <w:r>
        <w:t xml:space="preserve">participant</w:t>
      </w:r>
      <w:r>
        <w:t xml:space="preserve"> </w:t>
      </w:r>
      <w:r>
        <w:t xml:space="preserve">data</w:t>
      </w:r>
      <w:r>
        <w:t xml:space="preserve"> </w:t>
      </w:r>
      <w:r>
        <w:t xml:space="preserve">meta-analysis</w:t>
      </w:r>
      <w:r>
        <w:t xml:space="preserve"> </w:t>
      </w:r>
      <w:r>
        <w:t xml:space="preserve">suffered</w:t>
      </w:r>
      <w:r>
        <w:t xml:space="preserve"> </w:t>
      </w:r>
      <w:r>
        <w:t xml:space="preserve">from</w:t>
      </w:r>
      <w:r>
        <w:t xml:space="preserve"> </w:t>
      </w:r>
      <w:r>
        <w:t xml:space="preserve">a</w:t>
      </w:r>
      <w:r>
        <w:t xml:space="preserve"> </w:t>
      </w:r>
      <w:r>
        <w:t xml:space="preserve">low</w:t>
      </w:r>
      <w:r>
        <w:t xml:space="preserve"> </w:t>
      </w:r>
      <w:r>
        <w:t xml:space="preserve">response</w:t>
      </w:r>
      <w:r>
        <w:t xml:space="preserve"> </w:t>
      </w:r>
      <w:r>
        <w:t xml:space="preserve">rate</w:t>
      </w:r>
      <w:r>
        <w:t xml:space="preserve"> </w:t>
      </w:r>
      <w:r>
        <w:t xml:space="preserve">to</w:t>
      </w:r>
      <w:r>
        <w:t xml:space="preserve"> </w:t>
      </w:r>
      <w:r>
        <w:t xml:space="preserve">data</w:t>
      </w:r>
      <w:r>
        <w:t xml:space="preserve"> </w:t>
      </w:r>
      <w:r>
        <w:t xml:space="preserve">access</w:t>
      </w:r>
      <w:r>
        <w:t xml:space="preserve"> </w:t>
      </w:r>
      <w:r>
        <w:t xml:space="preserve">requests,</w:t>
      </w:r>
      <w:r>
        <w:t xml:space="preserve"> </w:t>
      </w:r>
      <w:r>
        <w:t xml:space="preserve">but</w:t>
      </w:r>
      <w:r>
        <w:t xml:space="preserve"> </w:t>
      </w:r>
      <w:r>
        <w:t xml:space="preserve">in</w:t>
      </w:r>
      <w:r>
        <w:t xml:space="preserve"> </w:t>
      </w:r>
      <w:r>
        <w:t xml:space="preserve">the</w:t>
      </w:r>
      <w:r>
        <w:t xml:space="preserve"> </w:t>
      </w:r>
      <w:r>
        <w:t xml:space="preserve">three</w:t>
      </w:r>
      <w:r>
        <w:t xml:space="preserve"> </w:t>
      </w:r>
      <w:r>
        <w:t xml:space="preserve">cohorts</w:t>
      </w:r>
      <w:r>
        <w:t xml:space="preserve"> </w:t>
      </w:r>
      <w:r>
        <w:t xml:space="preserve">analysed,</w:t>
      </w:r>
      <w:r>
        <w:t xml:space="preserve"> </w:t>
      </w:r>
      <w:r>
        <w:t xml:space="preserve">there</w:t>
      </w:r>
      <w:r>
        <w:t xml:space="preserve"> </w:t>
      </w:r>
      <w:r>
        <w:t xml:space="preserve">was</w:t>
      </w:r>
      <w:r>
        <w:t xml:space="preserve"> </w:t>
      </w:r>
      <w:r>
        <w:t xml:space="preserve">some</w:t>
      </w:r>
      <w:r>
        <w:t xml:space="preserve"> </w:t>
      </w:r>
      <w:r>
        <w:t xml:space="preserve">evidence</w:t>
      </w:r>
      <w:r>
        <w:t xml:space="preserve"> </w:t>
      </w:r>
      <w:r>
        <w:t xml:space="preserve">only</w:t>
      </w:r>
      <w:r>
        <w:t xml:space="preserve"> </w:t>
      </w:r>
      <w:r>
        <w:t xml:space="preserve">for</w:t>
      </w:r>
      <w:r>
        <w:t xml:space="preserve"> </w:t>
      </w:r>
      <w:r>
        <w:t xml:space="preserve">the</w:t>
      </w:r>
      <w:r>
        <w:t xml:space="preserve"> </w:t>
      </w:r>
      <w:r>
        <w:t xml:space="preserve">association</w:t>
      </w:r>
      <w:r>
        <w:t xml:space="preserve"> </w:t>
      </w:r>
      <w:r>
        <w:t xml:space="preserve">of</w:t>
      </w:r>
      <w:r>
        <w:t xml:space="preserve"> </w:t>
      </w:r>
      <w:r>
        <w:t xml:space="preserve">triglycerides</w:t>
      </w:r>
      <w:r>
        <w:t xml:space="preserve"> </w:t>
      </w:r>
      <w:r>
        <w:t xml:space="preserve">and</w:t>
      </w:r>
      <w:r>
        <w:t xml:space="preserve"> </w:t>
      </w:r>
      <w:r>
        <w:t xml:space="preserve">vascular</w:t>
      </w:r>
      <w:r>
        <w:t xml:space="preserve"> </w:t>
      </w:r>
      <w:r>
        <w:t xml:space="preserve">dementia.</w:t>
      </w:r>
      <w:r>
        <w:t xml:space="preserve"> </w:t>
      </w:r>
      <w:r>
        <w:t xml:space="preserve">Finally,</w:t>
      </w:r>
      <w:r>
        <w:t xml:space="preserve"> </w:t>
      </w:r>
      <w:r>
        <w:t xml:space="preserve">the</w:t>
      </w:r>
      <w:r>
        <w:t xml:space="preserve"> </w:t>
      </w:r>
      <w:r>
        <w:t xml:space="preserve">triangulation</w:t>
      </w:r>
      <w:r>
        <w:t xml:space="preserve"> </w:t>
      </w:r>
      <w:r>
        <w:t xml:space="preserve">analysis</w:t>
      </w:r>
      <w:r>
        <w:t xml:space="preserve"> </w:t>
      </w:r>
      <w:r>
        <w:t xml:space="preserve">integrating</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previous</w:t>
      </w:r>
      <w:r>
        <w:t xml:space="preserve"> </w:t>
      </w:r>
      <w:r>
        <w:t xml:space="preserve">three</w:t>
      </w:r>
      <w:r>
        <w:t xml:space="preserve"> </w:t>
      </w:r>
      <w:r>
        <w:t xml:space="preserve">studies</w:t>
      </w:r>
      <w:r>
        <w:t xml:space="preserve"> </w:t>
      </w:r>
      <w:r>
        <w:t xml:space="preserve">did</w:t>
      </w:r>
      <w:r>
        <w:t xml:space="preserve"> </w:t>
      </w:r>
      <w:r>
        <w:t xml:space="preserve">not</w:t>
      </w:r>
      <w:r>
        <w:t xml:space="preserve"> </w:t>
      </w:r>
      <w:r>
        <w:t xml:space="preserve">provide</w:t>
      </w:r>
      <w:r>
        <w:t xml:space="preserve"> </w:t>
      </w:r>
      <w:r>
        <w:t xml:space="preserve">strong</w:t>
      </w:r>
      <w:r>
        <w:t xml:space="preserve"> </w:t>
      </w:r>
      <w:r>
        <w:t xml:space="preserve">evidence</w:t>
      </w:r>
      <w:r>
        <w:t xml:space="preserve"> </w:t>
      </w:r>
      <w:r>
        <w:t xml:space="preserve">for</w:t>
      </w:r>
      <w:r>
        <w:t xml:space="preserve"> </w:t>
      </w:r>
      <w:r>
        <w:t xml:space="preserve">the</w:t>
      </w:r>
      <w:r>
        <w:t xml:space="preserve"> </w:t>
      </w:r>
      <w:r>
        <w:t xml:space="preserve">causal</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dementia</w:t>
      </w:r>
      <w:r>
        <w:t xml:space="preserve"> </w:t>
      </w:r>
      <w:r>
        <w:t xml:space="preserve">outcomes.</w:t>
      </w:r>
    </w:p>
    <w:p>
      <w:pPr>
        <w:pStyle w:val="Abstract"/>
      </w:pPr>
      <w:r>
        <w:t xml:space="preserve"> </w:t>
      </w:r>
    </w:p>
    <w:p>
      <w:pPr>
        <w:pStyle w:val="Abstract"/>
      </w:pPr>
      <w:r>
        <w:rPr>
          <w:bCs/>
          <w:b/>
        </w:rPr>
        <w:t xml:space="preserve">Conclusions:</w:t>
      </w:r>
      <w:r>
        <w:t xml:space="preserve"> </w:t>
      </w:r>
      <w:r>
        <w:t xml:space="preserve">This</w:t>
      </w:r>
      <w:r>
        <w:t xml:space="preserve"> </w:t>
      </w:r>
      <w:r>
        <w:t xml:space="preserve">thesis</w:t>
      </w:r>
      <w:r>
        <w:t xml:space="preserve"> </w:t>
      </w:r>
      <w:r>
        <w:t xml:space="preserve">provides</w:t>
      </w:r>
      <w:r>
        <w:t xml:space="preserve"> </w:t>
      </w:r>
      <w:r>
        <w:t xml:space="preserve">new</w:t>
      </w:r>
      <w:r>
        <w:t xml:space="preserve"> </w:t>
      </w:r>
      <w:r>
        <w:t xml:space="preserve">evidence</w:t>
      </w:r>
      <w:r>
        <w:t xml:space="preserve"> </w:t>
      </w:r>
      <w:r>
        <w:t xml:space="preserve">concerning</w:t>
      </w:r>
      <w:r>
        <w:t xml:space="preserve"> </w:t>
      </w:r>
      <w:r>
        <w:t xml:space="preserve">the</w:t>
      </w:r>
      <w:r>
        <w:t xml:space="preserve"> </w:t>
      </w:r>
      <w:r>
        <w:t xml:space="preserve">role</w:t>
      </w:r>
      <w:r>
        <w:t xml:space="preserve"> </w:t>
      </w:r>
      <w:r>
        <w:t xml:space="preserve">of</w:t>
      </w:r>
      <w:r>
        <w:t xml:space="preserve"> </w:t>
      </w:r>
      <w:r>
        <w:t xml:space="preserve">blood</w:t>
      </w:r>
      <w:r>
        <w:t xml:space="preserve"> </w:t>
      </w:r>
      <w:r>
        <w:t xml:space="preserve">lipids</w:t>
      </w:r>
      <w:r>
        <w:t xml:space="preserve"> </w:t>
      </w:r>
      <w:r>
        <w:t xml:space="preserve">as</w:t>
      </w:r>
      <w:r>
        <w:t xml:space="preserve"> </w:t>
      </w:r>
      <w:r>
        <w:t xml:space="preserve">a</w:t>
      </w:r>
      <w:r>
        <w:t xml:space="preserve"> </w:t>
      </w:r>
      <w:r>
        <w:t xml:space="preserve">modifiable</w:t>
      </w:r>
      <w:r>
        <w:t xml:space="preserve"> </w:t>
      </w:r>
      <w:r>
        <w:t xml:space="preserve">risk</w:t>
      </w:r>
      <w:r>
        <w:t xml:space="preserve"> </w:t>
      </w:r>
      <w:r>
        <w:t xml:space="preserve">factor</w:t>
      </w:r>
      <w:r>
        <w:t xml:space="preserve"> </w:t>
      </w:r>
      <w:r>
        <w:t xml:space="preserve">for</w:t>
      </w:r>
      <w:r>
        <w:t xml:space="preserve"> </w:t>
      </w:r>
      <w:r>
        <w:t xml:space="preserve">dementia</w:t>
      </w:r>
      <w:r>
        <w:t xml:space="preserve"> </w:t>
      </w:r>
      <w:r>
        <w:t xml:space="preserve">and</w:t>
      </w:r>
      <w:r>
        <w:t xml:space="preserve"> </w:t>
      </w:r>
      <w:r>
        <w:t xml:space="preserve">highlights</w:t>
      </w:r>
      <w:r>
        <w:t xml:space="preserve"> </w:t>
      </w:r>
      <w:r>
        <w:t xml:space="preserve">the</w:t>
      </w:r>
      <w:r>
        <w:t xml:space="preserve"> </w:t>
      </w:r>
      <w:r>
        <w:t xml:space="preserve">uncertainty</w:t>
      </w:r>
      <w:r>
        <w:t xml:space="preserve"> </w:t>
      </w:r>
      <w:r>
        <w:t xml:space="preserve">that</w:t>
      </w:r>
      <w:r>
        <w:t xml:space="preserve"> </w:t>
      </w:r>
      <w:r>
        <w:t xml:space="preserve">still</w:t>
      </w:r>
      <w:r>
        <w:t xml:space="preserve"> </w:t>
      </w:r>
      <w:r>
        <w:t xml:space="preserve">remains</w:t>
      </w:r>
      <w:r>
        <w:t xml:space="preserve"> </w:t>
      </w:r>
      <w:r>
        <w:t xml:space="preserve">in</w:t>
      </w:r>
      <w:r>
        <w:t xml:space="preserve"> </w:t>
      </w:r>
      <w:r>
        <w:t xml:space="preserve">relation</w:t>
      </w:r>
      <w:r>
        <w:t xml:space="preserve"> </w:t>
      </w:r>
      <w:r>
        <w:t xml:space="preserve">to</w:t>
      </w:r>
      <w:r>
        <w:t xml:space="preserve"> </w:t>
      </w:r>
      <w:r>
        <w:t xml:space="preserve">this</w:t>
      </w:r>
      <w:r>
        <w:t xml:space="preserve"> </w:t>
      </w:r>
      <w:r>
        <w:t xml:space="preserve">causal</w:t>
      </w:r>
      <w:r>
        <w:t xml:space="preserve"> </w:t>
      </w:r>
      <w:r>
        <w:t xml:space="preserve">question.</w:t>
      </w:r>
      <w:r>
        <w:t xml:space="preserve"> </w:t>
      </w:r>
      <w:r>
        <w:t xml:space="preserve">In</w:t>
      </w:r>
      <w:r>
        <w:t xml:space="preserve"> </w:t>
      </w:r>
      <w:r>
        <w:t xml:space="preserve">addition,</w:t>
      </w:r>
      <w:r>
        <w:t xml:space="preserve"> </w:t>
      </w:r>
      <w:r>
        <w:t xml:space="preserve">it</w:t>
      </w:r>
      <w:r>
        <w:t xml:space="preserve"> </w:t>
      </w:r>
      <w:r>
        <w:t xml:space="preserve">has</w:t>
      </w:r>
      <w:r>
        <w:t xml:space="preserve"> </w:t>
      </w:r>
      <w:r>
        <w:t xml:space="preserve">developed</w:t>
      </w:r>
      <w:r>
        <w:t xml:space="preserve"> </w:t>
      </w:r>
      <w:r>
        <w:t xml:space="preserve">new</w:t>
      </w:r>
      <w:r>
        <w:t xml:space="preserve"> </w:t>
      </w:r>
      <w:r>
        <w:t xml:space="preserve">evidence</w:t>
      </w:r>
      <w:r>
        <w:t xml:space="preserve"> </w:t>
      </w:r>
      <w:r>
        <w:t xml:space="preserve">synthesis</w:t>
      </w:r>
      <w:r>
        <w:t xml:space="preserve"> </w:t>
      </w:r>
      <w:r>
        <w:t xml:space="preserve">methods</w:t>
      </w:r>
      <w:r>
        <w:t xml:space="preserve"> </w:t>
      </w:r>
      <w:r>
        <w:t xml:space="preserve">and</w:t>
      </w:r>
      <w:r>
        <w:t xml:space="preserve"> </w:t>
      </w:r>
      <w:r>
        <w:t xml:space="preserve">tools,</w:t>
      </w:r>
      <w:r>
        <w:t xml:space="preserve"> </w:t>
      </w:r>
      <w:r>
        <w:t xml:space="preserve">specifically</w:t>
      </w:r>
      <w:r>
        <w:t xml:space="preserve"> </w:t>
      </w:r>
      <w:r>
        <w:t xml:space="preserve">around</w:t>
      </w:r>
      <w:r>
        <w:t xml:space="preserve"> </w:t>
      </w:r>
      <w:r>
        <w:t xml:space="preserve">the</w:t>
      </w:r>
      <w:r>
        <w:t xml:space="preserve"> </w:t>
      </w:r>
      <w:r>
        <w:t xml:space="preserve">inclusion</w:t>
      </w:r>
      <w:r>
        <w:t xml:space="preserve"> </w:t>
      </w:r>
      <w:r>
        <w:t xml:space="preserve">of</w:t>
      </w:r>
      <w:r>
        <w:t xml:space="preserve"> </w:t>
      </w:r>
      <w:r>
        <w:t xml:space="preserve">preprints</w:t>
      </w:r>
      <w:r>
        <w:t xml:space="preserve"> </w:t>
      </w:r>
      <w:r>
        <w:t xml:space="preserve">in</w:t>
      </w:r>
      <w:r>
        <w:t xml:space="preserve"> </w:t>
      </w:r>
      <w:r>
        <w:t xml:space="preserve">systematic</w:t>
      </w:r>
      <w:r>
        <w:t xml:space="preserve"> </w:t>
      </w:r>
      <w:r>
        <w:t xml:space="preserve">reviews</w:t>
      </w:r>
      <w:r>
        <w:t xml:space="preserve"> </w:t>
      </w:r>
      <w:r>
        <w:t xml:space="preserve">and</w:t>
      </w:r>
      <w:r>
        <w:t xml:space="preserve"> </w:t>
      </w:r>
      <w:r>
        <w:t xml:space="preserve">the</w:t>
      </w:r>
      <w:r>
        <w:t xml:space="preserve"> </w:t>
      </w:r>
      <w:r>
        <w:t xml:space="preserve">quantitative</w:t>
      </w:r>
      <w:r>
        <w:t xml:space="preserve"> </w:t>
      </w:r>
      <w:r>
        <w:t xml:space="preserve">triangulation</w:t>
      </w:r>
      <w:r>
        <w:t xml:space="preserve"> </w:t>
      </w:r>
      <w:r>
        <w:t xml:space="preserve">of</w:t>
      </w:r>
      <w:r>
        <w:t xml:space="preserve"> </w:t>
      </w:r>
      <w:r>
        <w:t xml:space="preserve">evidence</w:t>
      </w:r>
      <w:r>
        <w:t xml:space="preserve"> </w:t>
      </w:r>
      <w:r>
        <w:t xml:space="preserve">sources.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55" w:name="background-heading"/>
    <w:p>
      <w:pPr>
        <w:pStyle w:val="Heading1"/>
      </w:pPr>
      <w:r>
        <w:t xml:space="preserve">Background, Theoretical framework, Aims &amp; Objectives</w:t>
      </w:r>
    </w:p>
    <w:p>
      <w:pPr>
        <w:pStyle w:val="FirstParagraph"/>
      </w:pPr>
      <w:r>
        <w:t xml:space="preserve"> </w:t>
      </w:r>
    </w:p>
    <w:p>
      <w:pPr>
        <w:pStyle w:val="BodyText"/>
      </w:pPr>
    </w:p>
    <w:p>
      <w:r>
        <w:br w:type="page"/>
      </w:r>
    </w:p>
    <w:bookmarkStart w:id="20"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 levels are in fact a risk factor for dementia.</w:t>
      </w:r>
    </w:p>
    <w:p>
      <w:pPr>
        <w:pStyle w:val="BodyText"/>
      </w:pPr>
      <w:r>
        <w:t xml:space="preserve"> </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0"/>
    <w:p>
      <w:pPr>
        <w:pStyle w:val="BodyText"/>
      </w:pPr>
      <w:r>
        <w:t xml:space="preserve"> </w:t>
      </w:r>
    </w:p>
    <w:bookmarkStart w:id="21"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1"/>
    <w:bookmarkStart w:id="27" w:name="dementia"/>
    <w:p>
      <w:pPr>
        <w:pStyle w:val="Heading2"/>
      </w:pPr>
      <w:r>
        <w:t xml:space="preserve">Dementia</w:t>
      </w:r>
    </w:p>
    <w:bookmarkStart w:id="22"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culminating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it is an insidious disease, with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p>
      <w:pPr>
        <w:pStyle w:val="BodyText"/>
      </w:pPr>
      <w:r>
        <w:t xml:space="preserve"> </w:t>
      </w:r>
    </w:p>
    <w:bookmarkEnd w:id="22"/>
    <w:bookmarkStart w:id="23"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One of the most commonly used sets of criteria for diagnosing dementia cases are the Diagnostic and Statistical Manual of Mental Disorders (DSM) criteria (Table</w:t>
      </w:r>
      <w:r>
        <w:t xml:space="preserve"> </w:t>
      </w:r>
      <w:r>
        <w:t xml:space="preserve">1</w:t>
      </w:r>
      <w:r>
        <w:t xml:space="preserve">).</w:t>
      </w:r>
      <w:hyperlink w:anchor="ref-edition2013">
        <w:r>
          <w:rPr>
            <w:rStyle w:val="Hyperlink"/>
            <w:vertAlign w:val="superscript"/>
          </w:rPr>
          <w:t xml:space="preserve">1</w:t>
        </w:r>
      </w:hyperlink>
      <w:r>
        <w:t xml:space="preserve"> </w:t>
      </w:r>
      <w:r>
        <w:t xml:space="preserve">Outlined in Table</w:t>
      </w:r>
      <w:r>
        <w:t xml:space="preserve"> </w:t>
      </w:r>
      <w:r>
        <w:t xml:space="preserve">1</w:t>
      </w:r>
      <w:r>
        <w:t xml:space="preserve">, these form the broad definition of a dementia diagnoses, and are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 </w:t>
      </w:r>
    </w:p>
    <w:p>
      <w:pPr>
        <w:pStyle w:val="TableCaption"/>
      </w:pPr>
      <w:r>
        <w:t xml:space="preserve">Table 1:</w:t>
      </w:r>
      <w:r>
        <w:t xml:space="preserve"> </w:t>
      </w:r>
      <w:bookmarkStart w:id="4cd22406-b1b5-4eb0-8659-def8a6cd45e5" w:name="tab:diagnosticCriteria-table"/>
      <w:r>
        <w:t xml:space="preserve">Overview of the DSM-5 criteria for dementia and vascular dementia.[@edition2013]</w:t>
      </w:r>
      <w:bookmarkEnd w:id="4cd22406-b1b5-4eb0-8659-def8a6cd45e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1.2.4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
        <w:r>
          <w:rPr>
            <w:rStyle w:val="Hyperlink"/>
            <w:vertAlign w:val="superscript"/>
          </w:rPr>
          <w:t xml:space="preserve">11</w:t>
        </w:r>
      </w:hyperlink>
    </w:p>
    <w:p>
      <w:pPr>
        <w:pStyle w:val="BodyText"/>
      </w:pPr>
      <w:r>
        <w:t xml:space="preserve"> </w:t>
      </w:r>
    </w:p>
    <w:bookmarkEnd w:id="23"/>
    <w:bookmarkStart w:id="24"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a leading cause of death in the UK,</w:t>
      </w:r>
      <w:hyperlink w:anchor="ref-zotero-15757">
        <w:r>
          <w:rPr>
            <w:rStyle w:val="Hyperlink"/>
            <w:vertAlign w:val="superscript"/>
          </w:rPr>
          <w:t xml:space="preserve">15</w:t>
        </w:r>
      </w:hyperlink>
      <w:r>
        <w:t xml:space="preserve"> </w:t>
      </w:r>
      <w:r>
        <w:t xml:space="preserve">and one of the few without a proven treatment.</w:t>
      </w:r>
    </w:p>
    <w:p>
      <w:pPr>
        <w:pStyle w:val="BodyText"/>
      </w:pPr>
      <w:r>
        <w:t xml:space="preserve">Dementia also has a substantial economic impact. In 2015, the estimated total cost of dementia in England was £24.2 billion. Health care costs alone were £3.8 billion, with the remainder being divided between unpaid care and social care costs.</w:t>
      </w:r>
      <w:hyperlink w:anchor="ref-wittenberg2019">
        <w:r>
          <w:rPr>
            <w:rStyle w:val="Hyperlink"/>
            <w:vertAlign w:val="superscript"/>
          </w:rPr>
          <w:t xml:space="preserve">16</w:t>
        </w:r>
      </w:hyperlink>
      <w:r>
        <w:t xml:space="preserve"> </w:t>
      </w:r>
      <w:r>
        <w:t xml:space="preserve">Globally, the cost of dementia care is expected to rise to $1tr by 2030.</w:t>
      </w:r>
      <w:hyperlink w:anchor="ref-prince2014">
        <w:r>
          <w:rPr>
            <w:rStyle w:val="Hyperlink"/>
            <w:vertAlign w:val="superscript"/>
          </w:rPr>
          <w:t xml:space="preserve">17</w:t>
        </w:r>
      </w:hyperlink>
      <w:r>
        <w:t xml:space="preserve"> </w:t>
      </w:r>
      <w:r>
        <w:t xml:space="preserve">As such, the urgent need to reduce the burden of dementia, both at the personal and system level, is clear.</w:t>
      </w:r>
    </w:p>
    <w:p>
      <w:pPr>
        <w:pStyle w:val="BodyText"/>
      </w:pPr>
      <w:r>
        <w:t xml:space="preserve"> </w:t>
      </w:r>
    </w:p>
    <w:bookmarkEnd w:id="24"/>
    <w:bookmarkStart w:id="25" w:name="intro-treatments"/>
    <w:p>
      <w:pPr>
        <w:pStyle w:val="Heading3"/>
      </w:pPr>
      <w:r>
        <w:t xml:space="preserve">Treatments</w:t>
      </w:r>
    </w:p>
    <w:p>
      <w:pPr>
        <w:pStyle w:val="FirstParagraph"/>
      </w:pPr>
      <w:r>
        <w:t xml:space="preserve">Developing treatments for dementia is regularly deemed to be one of the most challenging markets in the pharmaceutical world, with trials of seemingly promising therapeutics being regularly abandoned due to futility.</w:t>
      </w:r>
      <w:hyperlink w:anchor="ref-cummings2020">
        <w:r>
          <w:rPr>
            <w:rStyle w:val="Hyperlink"/>
            <w:vertAlign w:val="superscript"/>
          </w:rPr>
          <w:t xml:space="preserve">18</w:t>
        </w:r>
      </w:hyperlink>
      <w:r>
        <w:t xml:space="preserve">. At present, there are no known curative treatments for dementia, regardless of the underlying cause, though several available therapeutics can help alleviate the symptoms of Alzheimer’s disease.</w:t>
      </w:r>
      <w:r>
        <w:t xml:space="preserve"> </w:t>
      </w: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19</w:t>
        </w:r>
      </w:hyperlink>
      <w:r>
        <w:t xml:space="preserve"> </w:t>
      </w:r>
      <w:r>
        <w:t xml:space="preserve">Commonly prescribed ACE inhibitors include donepezil and galantamine.</w:t>
      </w:r>
      <w:hyperlink w:anchor="ref-pariente2008">
        <w:r>
          <w:rPr>
            <w:rStyle w:val="Hyperlink"/>
            <w:vertAlign w:val="superscript"/>
          </w:rPr>
          <w:t xml:space="preserve">20</w:t>
        </w:r>
      </w:hyperlink>
      <w:r>
        <w:t xml:space="preserve"> </w:t>
      </w:r>
      <w:r>
        <w:t xml:space="preserve">ACE inhibitors increase the availability of the neurotransmitter, and have shown clinical effect is easing the behavioural and memory-related symptoms of Alzheimer’s disease.</w:t>
      </w:r>
      <w:hyperlink w:anchor="ref-marucci2020">
        <w:r>
          <w:rPr>
            <w:rStyle w:val="Hyperlink"/>
            <w:vertAlign w:val="superscript"/>
          </w:rPr>
          <w:t xml:space="preserve">21</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22</w:t>
        </w:r>
      </w:hyperlink>
    </w:p>
    <w:p>
      <w:pPr>
        <w:pStyle w:val="BodyText"/>
      </w:pPr>
      <w:r>
        <w:t xml:space="preserve"> </w:t>
      </w:r>
    </w:p>
    <w:bookmarkEnd w:id="25"/>
    <w:bookmarkStart w:id="26"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
        <w:r>
          <w:rPr>
            <w:rStyle w:val="Hyperlink"/>
            <w:vertAlign w:val="superscript"/>
          </w:rPr>
          <w:t xml:space="preserve">23</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24</w:t>
        </w:r>
      </w:hyperlink>
      <w:r>
        <w:rPr>
          <w:vertAlign w:val="superscript"/>
        </w:rPr>
        <w:t xml:space="preserve">–</w:t>
      </w:r>
      <w:hyperlink w:anchor="ref-anstey2019">
        <w:r>
          <w:rPr>
            <w:rStyle w:val="Hyperlink"/>
            <w:vertAlign w:val="superscript"/>
          </w:rPr>
          <w:t xml:space="preserve">26</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
        <w:r>
          <w:rPr>
            <w:rStyle w:val="Hyperlink"/>
            <w:vertAlign w:val="superscript"/>
          </w:rPr>
          <w:t xml:space="preserve">27</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28</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
        <w:r>
          <w:rPr>
            <w:rStyle w:val="Hyperlink"/>
            <w:vertAlign w:val="superscript"/>
          </w:rPr>
          <w:t xml:space="preserve">29</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1.4</w:t>
      </w:r>
      <w:r>
        <w:t xml:space="preserve"> </w:t>
      </w:r>
      <w:r>
        <w:t xml:space="preserve">provides an overview of the existing evidence for an association between lipids and dementia outcomes.</w:t>
      </w:r>
    </w:p>
    <w:p>
      <w:pPr>
        <w:pStyle w:val="BodyText"/>
      </w:pPr>
      <w:r>
        <w:t xml:space="preserve"> </w:t>
      </w:r>
    </w:p>
    <w:bookmarkEnd w:id="26"/>
    <w:bookmarkEnd w:id="27"/>
    <w:bookmarkStart w:id="32" w:name="serum-lipids"/>
    <w:p>
      <w:pPr>
        <w:pStyle w:val="Heading2"/>
      </w:pPr>
      <w:r>
        <w:t xml:space="preserve">Serum lipids</w:t>
      </w:r>
    </w:p>
    <w:bookmarkStart w:id="28"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24</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30</w:t>
        </w:r>
      </w:hyperlink>
      <w:r>
        <w:t xml:space="preserve"> </w:t>
      </w:r>
      <w:r>
        <w:t xml:space="preserve">In contrast, cholesterol is primarily used to create cell walls and certain sex hormones.</w:t>
      </w:r>
      <w:hyperlink w:anchor="ref-zampelas2019">
        <w:r>
          <w:rPr>
            <w:rStyle w:val="Hyperlink"/>
            <w:vertAlign w:val="superscript"/>
          </w:rPr>
          <w:t xml:space="preserve">31</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24</w:t>
        </w:r>
      </w:hyperlink>
    </w:p>
    <w:p>
      <w:pPr>
        <w:pStyle w:val="BodyText"/>
      </w:pPr>
      <w:r>
        <w:t xml:space="preserve">In addition to the individual fractions, total serum cholesterol (TC) is a commonly-used summary measure to estimate the total amount of lipid present in the blood. The level of TC is derived from measurements of the individual HDL-c, LDL-c and TG levels using the Friedwald formula:</w:t>
      </w:r>
      <w:hyperlink w:anchor="ref-friedewald1972">
        <w:r>
          <w:rPr>
            <w:rStyle w:val="Hyperlink"/>
            <w:vertAlign w:val="superscript"/>
          </w:rPr>
          <w:t xml:space="preserve">32</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 Widely-used ranges for the acceptable levels of different types of lipids are based on the National Cholesterol Education Program (NCEP)</w:t>
      </w:r>
      <w:hyperlink w:anchor="ref-national2002third">
        <w:r>
          <w:rPr>
            <w:rStyle w:val="Hyperlink"/>
            <w:vertAlign w:val="superscript"/>
          </w:rPr>
          <w:t xml:space="preserve">33</w:t>
        </w:r>
      </w:hyperlink>
      <w:r>
        <w:t xml:space="preserve">, and are outlined in Table</w:t>
      </w:r>
      <w:r>
        <w:t xml:space="preserve"> </w:t>
      </w:r>
      <w:r>
        <w:t xml:space="preserve">2</w:t>
      </w:r>
      <w:r>
        <w:t xml:space="preserve">.</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34</w:t>
        </w:r>
      </w:hyperlink>
      <w:r>
        <w:t xml:space="preserve"> </w:t>
      </w:r>
      <w:r>
        <w:t xml:space="preserve">can lead to atherosclerosis,</w:t>
      </w:r>
      <w:hyperlink w:anchor="ref-libby2019">
        <w:r>
          <w:rPr>
            <w:rStyle w:val="Hyperlink"/>
            <w:vertAlign w:val="superscript"/>
          </w:rPr>
          <w:t xml:space="preserve">35</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attack or stroke.</w:t>
      </w:r>
      <w:hyperlink w:anchor="ref-libby2019">
        <w:r>
          <w:rPr>
            <w:rStyle w:val="Hyperlink"/>
            <w:vertAlign w:val="superscript"/>
          </w:rPr>
          <w:t xml:space="preserve">35</w:t>
        </w:r>
      </w:hyperlink>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33</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bookmarkEnd w:id="28"/>
    <w:bookmarkStart w:id="30"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36</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29"/>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
        <w:r>
          <w:rPr>
            <w:rStyle w:val="Hyperlink"/>
            <w:vertAlign w:val="superscript"/>
          </w:rPr>
          <w:t xml:space="preserve">36</w:t>
        </w:r>
      </w:hyperlink>
      <w:r>
        <w:rPr>
          <w:vertAlign w:val="superscript"/>
        </w:rPr>
        <w:t xml:space="preserve">,</w:t>
      </w:r>
      <w:hyperlink w:anchor="ref-law2003">
        <w:r>
          <w:rPr>
            <w:rStyle w:val="Hyperlink"/>
            <w:vertAlign w:val="superscript"/>
          </w:rPr>
          <w:t xml:space="preserve">37</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38</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39</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0"/>
    <w:bookmarkStart w:id="31"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each of which act via different mechanisms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40</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41</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42</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
        <w:r>
          <w:rPr>
            <w:rStyle w:val="Hyperlink"/>
            <w:vertAlign w:val="superscript"/>
          </w:rPr>
          <w:t xml:space="preserve">43</w:t>
        </w:r>
      </w:hyperlink>
      <w:r>
        <w:t xml:space="preserve"> </w:t>
      </w:r>
      <w:r>
        <w:t xml:space="preserve">and omega-3-fatty acids,</w:t>
      </w:r>
      <w:hyperlink w:anchor="ref-skulas2019">
        <w:r>
          <w:rPr>
            <w:rStyle w:val="Hyperlink"/>
            <w:vertAlign w:val="superscript"/>
          </w:rPr>
          <w:t xml:space="preserve">44</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1"/>
    <w:bookmarkEnd w:id="32"/>
    <w:bookmarkStart w:id="37"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p>
      <w:pPr>
        <w:pStyle w:val="BodyText"/>
      </w:pPr>
      <w:r>
        <w:t xml:space="preserve"> </w:t>
      </w:r>
    </w:p>
    <w:bookmarkStart w:id="33" w:name="intro-basic-science"/>
    <w:p>
      <w:pPr>
        <w:pStyle w:val="Heading3"/>
      </w:pPr>
      <w:r>
        <w:t xml:space="preserve">Basic science</w:t>
      </w:r>
    </w:p>
    <w:p>
      <w:pPr>
        <w:pStyle w:val="FirstParagraph"/>
      </w:pPr>
      <w:r>
        <w:t xml:space="preserve">A role for lipids in the aetiology of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45</w:t>
        </w:r>
      </w:hyperlink>
      <w:r>
        <w:rPr>
          <w:vertAlign w:val="superscript"/>
        </w:rPr>
        <w:t xml:space="preserve">,</w:t>
      </w:r>
      <w:hyperlink w:anchor="ref-mizuno1999">
        <w:r>
          <w:rPr>
            <w:rStyle w:val="Hyperlink"/>
            <w:vertAlign w:val="superscript"/>
          </w:rPr>
          <w:t xml:space="preserve">46</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47</w:t>
        </w:r>
      </w:hyperlink>
      <w:r>
        <w:rPr>
          <w:vertAlign w:val="superscript"/>
        </w:rPr>
        <w:t xml:space="preserve">–</w:t>
      </w:r>
      <w:hyperlink w:anchor="ref-meng2007">
        <w:r>
          <w:rPr>
            <w:rStyle w:val="Hyperlink"/>
            <w:vertAlign w:val="superscript"/>
          </w:rPr>
          <w:t xml:space="preserve">49</w:t>
        </w:r>
      </w:hyperlink>
    </w:p>
    <w:p>
      <w:pPr>
        <w:pStyle w:val="BodyText"/>
      </w:pPr>
      <w:r>
        <w:t xml:space="preserve">Despite these results, evidence from the diverse range of epidemiological studies on this topic has been inconclusive.</w:t>
      </w:r>
    </w:p>
    <w:p>
      <w:pPr>
        <w:pStyle w:val="BodyText"/>
      </w:pPr>
      <w:r>
        <w:t xml:space="preserve"> </w:t>
      </w:r>
    </w:p>
    <w:bookmarkEnd w:id="33"/>
    <w:bookmarkStart w:id="34" w:name="observational-studies"/>
    <w:p>
      <w:pPr>
        <w:pStyle w:val="Heading3"/>
      </w:pPr>
      <w:r>
        <w:t xml:space="preserve">Observational studies</w:t>
      </w:r>
    </w:p>
    <w:p>
      <w:pPr>
        <w:pStyle w:val="FirstParagraph"/>
      </w:pPr>
      <w:r>
        <w:t xml:space="preserve">By far the largest source of evidence on the relationship between blood lipids and dementia outcomes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50</w:t>
        </w:r>
      </w:hyperlink>
      <w:r>
        <w:rPr>
          <w:vertAlign w:val="superscript"/>
        </w:rPr>
        <w:t xml:space="preserve">–</w:t>
      </w:r>
      <w:hyperlink w:anchor="ref-whitmer2005">
        <w:r>
          <w:rPr>
            <w:rStyle w:val="Hyperlink"/>
            <w:vertAlign w:val="superscript"/>
          </w:rPr>
          <w:t xml:space="preserve">54</w:t>
        </w:r>
      </w:hyperlink>
      <w:r>
        <w:t xml:space="preserve"> </w:t>
      </w:r>
      <w:r>
        <w:t xml:space="preserve">however others have shown no association,</w:t>
      </w:r>
      <w:hyperlink w:anchor="ref-li2005">
        <w:r>
          <w:rPr>
            <w:rStyle w:val="Hyperlink"/>
            <w:vertAlign w:val="superscript"/>
          </w:rPr>
          <w:t xml:space="preserve">55</w:t>
        </w:r>
      </w:hyperlink>
      <w:r>
        <w:rPr>
          <w:vertAlign w:val="superscript"/>
        </w:rPr>
        <w:t xml:space="preserve">–</w:t>
      </w:r>
      <w:hyperlink w:anchor="ref-tan2003">
        <w:r>
          <w:rPr>
            <w:rStyle w:val="Hyperlink"/>
            <w:vertAlign w:val="superscript"/>
          </w:rPr>
          <w:t xml:space="preserve">58</w:t>
        </w:r>
      </w:hyperlink>
      <w:r>
        <w:t xml:space="preserve"> </w:t>
      </w:r>
      <w:r>
        <w:t xml:space="preserve">or a reduced susceptibility.</w:t>
      </w:r>
      <w:hyperlink w:anchor="ref-mielke2005">
        <w:r>
          <w:rPr>
            <w:rStyle w:val="Hyperlink"/>
            <w:vertAlign w:val="superscript"/>
          </w:rPr>
          <w:t xml:space="preserve">59</w:t>
        </w:r>
      </w:hyperlink>
      <w:r>
        <w:rPr>
          <w:vertAlign w:val="superscript"/>
        </w:rPr>
        <w:t xml:space="preserve">,</w:t>
      </w:r>
      <w:hyperlink w:anchor="ref-reitz2004">
        <w:r>
          <w:rPr>
            <w:rStyle w:val="Hyperlink"/>
            <w:vertAlign w:val="superscript"/>
          </w:rPr>
          <w:t xml:space="preserve">60</w:t>
        </w:r>
      </w:hyperlink>
      <w:r>
        <w:t xml:space="preserve"> With regard to vascular dementia, decreased levels of HDL-c appear to be associated with increased risk,</w:t>
      </w:r>
      <w:hyperlink w:anchor="ref-reitz2004">
        <w:r>
          <w:rPr>
            <w:rStyle w:val="Hyperlink"/>
            <w:vertAlign w:val="superscript"/>
          </w:rPr>
          <w:t xml:space="preserve">60</w:t>
        </w:r>
      </w:hyperlink>
      <w:r>
        <w:t xml:space="preserve"> while for LDL-c, studies have reported both positive and negative associations.</w:t>
      </w:r>
      <w:hyperlink w:anchor="ref-reitz2004">
        <w:r>
          <w:rPr>
            <w:rStyle w:val="Hyperlink"/>
            <w:vertAlign w:val="superscript"/>
          </w:rPr>
          <w:t xml:space="preserve">60</w:t>
        </w:r>
      </w:hyperlink>
      <w:r>
        <w:rPr>
          <w:vertAlign w:val="superscript"/>
        </w:rPr>
        <w:t xml:space="preserve">,</w:t>
      </w:r>
      <w:hyperlink w:anchor="ref-moroney1999">
        <w:r>
          <w:rPr>
            <w:rStyle w:val="Hyperlink"/>
            <w:vertAlign w:val="superscript"/>
          </w:rPr>
          <w:t xml:space="preserve">61</w:t>
        </w:r>
      </w:hyperlink>
    </w:p>
    <w:p>
      <w:pPr>
        <w:pStyle w:val="BodyText"/>
      </w:pPr>
      <w:r>
        <w:t xml:space="preserve"> </w:t>
      </w:r>
    </w:p>
    <w:bookmarkEnd w:id="34"/>
    <w:bookmarkStart w:id="35"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 However, RCTs may be infeasible if the outcome of interest is one with a long prodomal period, such as dementia (see Section</w:t>
      </w:r>
      <w:r>
        <w:t xml:space="preserve"> </w:t>
      </w:r>
      <w:r>
        <w:t xml:space="preserve">1.2.1</w:t>
      </w:r>
      <w:r>
        <w:t xml:space="preserve">), as they would require extremely long and costly follow-up.</w:t>
      </w:r>
      <w:hyperlink w:anchor="ref-ritchie2015">
        <w:r>
          <w:rPr>
            <w:rStyle w:val="Hyperlink"/>
            <w:vertAlign w:val="superscript"/>
          </w:rPr>
          <w:t xml:space="preserve">62</w:t>
        </w:r>
      </w:hyperlink>
      <w:r>
        <w:t xml:space="preserve"> </w:t>
      </w:r>
      <w:r>
        <w:t xml:space="preserve">It is no surprise then that the two previous trials providing evidence on the effect of statins on dementia risk, identified by a recent Cochrane review,</w:t>
      </w:r>
      <w:hyperlink w:anchor="ref-mcguinness2016">
        <w:r>
          <w:rPr>
            <w:rStyle w:val="Hyperlink"/>
            <w:vertAlign w:val="superscript"/>
          </w:rPr>
          <w:t xml:space="preserve">63</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in assessing the impact of lipid-lowering treatment on dementia risk. Firstly, the criteria used to determine a dementia outcome are unclear. One of the trials, the Prospective Study of Pravastatin in the Elderly (PROSPER) trial,</w:t>
      </w:r>
      <w:hyperlink w:anchor="ref-trompet2010">
        <w:r>
          <w:rPr>
            <w:rStyle w:val="Hyperlink"/>
            <w:vertAlign w:val="superscript"/>
          </w:rPr>
          <w:t xml:space="preserve">64</w:t>
        </w:r>
      </w:hyperlink>
      <w:r>
        <w:t xml:space="preserve"> </w:t>
      </w:r>
      <w:r>
        <w:t xml:space="preserve">reported not on dementia outcomes but on the change in cognitive scores over a mean of 3.2 years. As highlighted in Section</w:t>
      </w:r>
      <w:r>
        <w:t xml:space="preserve"> </w:t>
      </w:r>
      <w:r>
        <w:t xml:space="preserve">1.2.2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X49f9892f062f4edfe92b37e5c1639cb4f6c013f">
        <w:r>
          <w:rPr>
            <w:rStyle w:val="Hyperlink"/>
            <w:vertAlign w:val="superscript"/>
          </w:rPr>
          <w:t xml:space="preserve">65</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1.2.1</w:t>
      </w:r>
      <w:r>
        <w:t xml:space="preserve">, the different underlying pathologies of dementia have different mechanisms of action, and so it is not gauranteed that the effect of statins would be consistent across them.</w:t>
      </w:r>
    </w:p>
    <w:p>
      <w:pPr>
        <w:pStyle w:val="BodyText"/>
      </w:pPr>
      <w:r>
        <w:t xml:space="preserve">Both trials were also limited by the relatively short follow-up period examined. This limited follow-up was expected, as the primary aim of both trials was to assess the effect of statins on short-term coronary-related outcomes.</w:t>
      </w:r>
      <w:hyperlink w:anchor="ref-trompet2010">
        <w:r>
          <w:rPr>
            <w:rStyle w:val="Hyperlink"/>
            <w:vertAlign w:val="superscript"/>
          </w:rPr>
          <w:t xml:space="preserve">64</w:t>
        </w:r>
      </w:hyperlink>
      <w:r>
        <w:rPr>
          <w:vertAlign w:val="superscript"/>
        </w:rPr>
        <w:t xml:space="preserve">,</w:t>
      </w:r>
      <w:hyperlink w:anchor="X49f9892f062f4edfe92b37e5c1639cb4f6c013f">
        <w:r>
          <w:rPr>
            <w:rStyle w:val="Hyperlink"/>
            <w:vertAlign w:val="superscript"/>
          </w:rPr>
          <w:t xml:space="preserve">65</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
        <w:r>
          <w:rPr>
            <w:rStyle w:val="Hyperlink"/>
            <w:vertAlign w:val="superscript"/>
          </w:rPr>
          <w:t xml:space="preserve">63</w:t>
        </w:r>
      </w:hyperlink>
    </w:p>
    <w:p>
      <w:pPr>
        <w:pStyle w:val="BodyText"/>
      </w:pPr>
      <w:r>
        <w:t xml:space="preserve"> </w:t>
      </w:r>
    </w:p>
    <w:bookmarkEnd w:id="35"/>
    <w:bookmarkStart w:id="36"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Mendelian randomisation attempts to combat the risk of reverse causation and residual confounding inherent to observational studies by using natural random varation in participants genomes.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w:t>
      </w:r>
      <w:r>
        <w:t xml:space="preserve"> </w:t>
      </w:r>
      <w:r>
        <w:rPr>
          <w:iCs/>
          <w:i/>
        </w:rPr>
        <w:t xml:space="preserve">ApoE4</w:t>
      </w:r>
      <w:r>
        <w:t xml:space="preserve"> </w:t>
      </w:r>
      <w:r>
        <w:t xml:space="preserve">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r>
        <w:t xml:space="preserve"> </w:t>
      </w:r>
      <w:r>
        <w:t xml:space="preserve">Despite the increasing number of MR studies examining this topic, no systematic review of this study design as a source of evidence has been performed.</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 </w:t>
      </w:r>
    </w:p>
    <w:bookmarkEnd w:id="36"/>
    <w:bookmarkEnd w:id="37"/>
    <w:bookmarkStart w:id="41"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
        <w:r>
          <w:rPr>
            <w:rStyle w:val="Hyperlink"/>
            <w:vertAlign w:val="superscript"/>
          </w:rPr>
          <w:t xml:space="preserve">73</w:t>
        </w:r>
      </w:hyperlink>
      <w:r>
        <w:t xml:space="preserve"> </w:t>
      </w:r>
      <w:r>
        <w:t xml:space="preserve">A common type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 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Individual participant data meta-analysis</w:t>
      </w:r>
    </w:p>
    <w:p>
      <w:pPr>
        <w:numPr>
          <w:ilvl w:val="0"/>
          <w:numId w:val="1003"/>
        </w:numPr>
        <w:pStyle w:val="Compact"/>
      </w:pPr>
      <w:r>
        <w:t xml:space="preserve">Triangulation across evidence sources</w:t>
      </w:r>
    </w:p>
    <w:p>
      <w:pPr>
        <w:pStyle w:val="FirstParagraph"/>
      </w:pPr>
      <w:r>
        <w:t xml:space="preserve">These three elements are expanded on below and are used to frame the research presented in the subsequent Chapters.</w:t>
      </w:r>
    </w:p>
    <w:p>
      <w:pPr>
        <w:pStyle w:val="BodyText"/>
      </w:pPr>
      <w:r>
        <w:t xml:space="preserve"> </w:t>
      </w:r>
    </w:p>
    <w:bookmarkStart w:id="38" w:name="diverse-sources-preprints"/>
    <w:p>
      <w:pPr>
        <w:pStyle w:val="Heading3"/>
      </w:pPr>
      <w:r>
        <w:t xml:space="preserve">Inclusion of preprints</w:t>
      </w:r>
    </w:p>
    <w:p>
      <w:pPr>
        <w:pStyle w:val="FirstParagraph"/>
      </w:pPr>
      <w:r>
        <w:t xml:space="preserve">The importance of including grey literature, defined as literature not published in peer-reviewed journals,</w:t>
      </w:r>
      <w:hyperlink w:anchor="ref-paez2017">
        <w:r>
          <w:rPr>
            <w:rStyle w:val="Hyperlink"/>
            <w:vertAlign w:val="superscript"/>
          </w:rPr>
          <w:t xml:space="preserve">75</w:t>
        </w:r>
      </w:hyperlink>
      <w:r>
        <w:t xml:space="preserve"> </w:t>
      </w:r>
      <w:r>
        <w:t xml:space="preserve">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76</w:t>
        </w:r>
      </w:hyperlink>
      <w:r>
        <w:rPr>
          <w:vertAlign w:val="superscript"/>
        </w:rPr>
        <w:t xml:space="preserve">–</w:t>
      </w:r>
      <w:hyperlink w:anchor="ref-hopewell2007">
        <w:r>
          <w:rPr>
            <w:rStyle w:val="Hyperlink"/>
            <w:vertAlign w:val="superscript"/>
          </w:rPr>
          <w:t xml:space="preserve">78</w:t>
        </w:r>
      </w:hyperlink>
      <w:r>
        <w:t xml:space="preserve"> </w:t>
      </w:r>
      <w:r>
        <w:t xml:space="preserve">Common, well-accepted forms of grey literature include conference abstracts, government reports and theses.</w:t>
      </w:r>
      <w:hyperlink w:anchor="ref-paez2017">
        <w:r>
          <w:rPr>
            <w:rStyle w:val="Hyperlink"/>
            <w:vertAlign w:val="superscript"/>
          </w:rPr>
          <w:t xml:space="preserve">75</w:t>
        </w:r>
      </w:hyperlink>
      <w:r>
        <w:rPr>
          <w:vertAlign w:val="superscript"/>
        </w:rPr>
        <w:t xml:space="preserve">,</w:t>
      </w:r>
      <w:hyperlink w:anchor="ref-lefebvre2019searching">
        <w:r>
          <w:rPr>
            <w:rStyle w:val="Hyperlink"/>
            <w:vertAlign w:val="superscript"/>
          </w:rPr>
          <w:t xml:space="preserve">79</w:t>
        </w:r>
      </w:hyperlink>
    </w:p>
    <w:p>
      <w:pPr>
        <w:pStyle w:val="BodyText"/>
      </w:pPr>
      <w:r>
        <w:t xml:space="preserve">However, the role of preprints in evidence syntheses is less well defined.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80</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81</w:t>
        </w:r>
      </w:hyperlink>
      <w:r>
        <w:t xml:space="preserve"> </w:t>
      </w:r>
      <w:r>
        <w:t xml:space="preserve">In addition, the allow for the rapid disseminate research findings, as occurred during the COVID-19 pandemic.</w:t>
      </w:r>
      <w:hyperlink w:anchor="ref-fraser2020preprinting">
        <w:r>
          <w:rPr>
            <w:rStyle w:val="Hyperlink"/>
            <w:vertAlign w:val="superscript"/>
          </w:rPr>
          <w:t xml:space="preserve">82</w:t>
        </w:r>
      </w:hyperlink>
      <w:r>
        <w:t xml:space="preserve"> </w:t>
      </w:r>
      <w:r>
        <w:t xml:space="preserve">Finally, they are a source of information on manuscripts that may not have been accepted elsewhere, helping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84</w:t>
        </w:r>
      </w:hyperlink>
      <w:r>
        <w:rPr>
          <w:vertAlign w:val="superscript"/>
        </w:rPr>
        <w:t xml:space="preserve">,</w:t>
      </w:r>
      <w:hyperlink w:anchor="ref-schalkwyk2020">
        <w:r>
          <w:rPr>
            <w:rStyle w:val="Hyperlink"/>
            <w:vertAlign w:val="superscript"/>
          </w:rPr>
          <w:t xml:space="preserve">85</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79</w:t>
        </w:r>
      </w:hyperlink>
      <w:r>
        <w:rPr>
          <w:vertAlign w:val="superscript"/>
        </w:rPr>
        <w:t xml:space="preserve">,</w:t>
      </w:r>
      <w:hyperlink w:anchor="ref-mahood2014">
        <w:r>
          <w:rPr>
            <w:rStyle w:val="Hyperlink"/>
            <w:vertAlign w:val="superscript"/>
          </w:rPr>
          <w:t xml:space="preserve">86</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
        <w:r>
          <w:rPr>
            <w:rStyle w:val="Hyperlink"/>
            <w:vertAlign w:val="superscript"/>
          </w:rPr>
          <w:t xml:space="preserve">87</w:t>
        </w:r>
      </w:hyperlink>
      <w:r>
        <w:rPr>
          <w:vertAlign w:val="superscript"/>
        </w:rPr>
        <w:t xml:space="preserve">–</w:t>
      </w:r>
      <w:hyperlink w:anchor="ref-nicholson2021">
        <w:r>
          <w:rPr>
            <w:rStyle w:val="Hyperlink"/>
            <w:vertAlign w:val="superscript"/>
          </w:rPr>
          <w:t xml:space="preserve">89</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grey literature,</w:t>
      </w:r>
      <w:hyperlink w:anchor="ref-mahood2014">
        <w:r>
          <w:rPr>
            <w:rStyle w:val="Hyperlink"/>
            <w:vertAlign w:val="superscript"/>
          </w:rPr>
          <w:t xml:space="preserve">86</w:t>
        </w:r>
      </w:hyperlink>
      <w:r>
        <w:t xml:space="preserve"> </w:t>
      </w:r>
      <w:r>
        <w:t xml:space="preserve">there are several logistical problems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p>
      <w:pPr>
        <w:pStyle w:val="BodyText"/>
      </w:pPr>
      <w:r>
        <w:t xml:space="preserve"> </w:t>
      </w:r>
    </w:p>
    <w:bookmarkEnd w:id="38"/>
    <w:bookmarkStart w:id="39" w:name="X5fe8fd9daa9214f38c9e7971b3862db7495db5d"/>
    <w:p>
      <w:pPr>
        <w:pStyle w:val="Heading3"/>
      </w:pPr>
      <w:r>
        <w:t xml:space="preserve">Individual participant data meta-analysis</w:t>
      </w:r>
    </w:p>
    <w:p>
      <w:pPr>
        <w:pStyle w:val="FirstParagraph"/>
      </w:pPr>
      <w:r>
        <w:t xml:space="preserve">Individual participant data (IPD) meta-analyses are commonly considered to be the gold standard in evidence synthesis methodology.</w:t>
      </w:r>
      <w:hyperlink w:anchor="ref-riley2010">
        <w:r>
          <w:rPr>
            <w:rStyle w:val="Hyperlink"/>
            <w:vertAlign w:val="superscript"/>
          </w:rPr>
          <w:t xml:space="preserve">90</w:t>
        </w:r>
      </w:hyperlink>
      <w:r>
        <w:rPr>
          <w:vertAlign w:val="superscript"/>
        </w:rPr>
        <w:t xml:space="preserve">,</w:t>
      </w:r>
      <w:hyperlink w:anchor="ref-stewart1993">
        <w:r>
          <w:rPr>
            <w:rStyle w:val="Hyperlink"/>
            <w:vertAlign w:val="superscript"/>
          </w:rPr>
          <w:t xml:space="preserve">91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92</w:t>
        </w:r>
      </w:hyperlink>
      <w:r>
        <w:rPr>
          <w:vertAlign w:val="superscript"/>
        </w:rPr>
        <w:t xml:space="preserve">–</w:t>
      </w:r>
      <w:hyperlink w:anchor="ref-mccartney2016">
        <w:r>
          <w:rPr>
            <w:rStyle w:val="Hyperlink"/>
            <w:vertAlign w:val="superscript"/>
          </w:rPr>
          <w:t xml:space="preserve">94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90</w:t>
        </w:r>
      </w:hyperlink>
      <w:r>
        <w:t xml:space="preserve"> </w:t>
      </w:r>
      <w:r>
        <w:t xml:space="preserve">In terms of this thesis, participant age and sex are considered to be of particular interest.</w:t>
      </w:r>
      <w:hyperlink w:anchor="ref-arain2009">
        <w:r>
          <w:rPr>
            <w:rStyle w:val="Hyperlink"/>
            <w:vertAlign w:val="superscript"/>
          </w:rPr>
          <w:t xml:space="preserve">92</w:t>
        </w:r>
      </w:hyperlink>
      <w:r>
        <w:rPr>
          <w:vertAlign w:val="superscript"/>
        </w:rPr>
        <w:t xml:space="preserve">,</w:t>
      </w:r>
      <w:hyperlink w:anchor="ref-letenneur1999">
        <w:r>
          <w:rPr>
            <w:rStyle w:val="Hyperlink"/>
            <w:vertAlign w:val="superscript"/>
          </w:rPr>
          <w:t xml:space="preserve">95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96</w:t>
        </w:r>
      </w:hyperlink>
      <w:r>
        <w:t xml:space="preserve"> </w:t>
      </w:r>
      <w:r>
        <w:t xml:space="preserve">This approach has the added benefit of allowing a common set of inclusion criteria and a common statistical model to be applied across all datasets, potentially eliminating some important sources of heterogeneity.</w:t>
      </w:r>
      <w:hyperlink w:anchor="ref-stewart2002">
        <w:r>
          <w:rPr>
            <w:rStyle w:val="Hyperlink"/>
            <w:vertAlign w:val="superscript"/>
          </w:rPr>
          <w:t xml:space="preserve">97</w:t>
        </w:r>
      </w:hyperlink>
    </w:p>
    <w:p>
      <w:pPr>
        <w:pStyle w:val="BodyText"/>
      </w:pPr>
      <w:r>
        <w:t xml:space="preserve">Despite their advantages, IPD meta-analysis are rarely performed.</w:t>
      </w:r>
      <w:hyperlink w:anchor="ref-tugwell2010">
        <w:r>
          <w:rPr>
            <w:rStyle w:val="Hyperlink"/>
            <w:vertAlign w:val="superscript"/>
          </w:rPr>
          <w:t xml:space="preserve">98</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
        <w:r>
          <w:rPr>
            <w:rStyle w:val="Hyperlink"/>
            <w:vertAlign w:val="superscript"/>
          </w:rPr>
          <w:t xml:space="preserve">99</w:t>
        </w:r>
      </w:hyperlink>
      <w:r>
        <w:rPr>
          <w:vertAlign w:val="superscript"/>
        </w:rPr>
        <w:t xml:space="preserve">,</w:t>
      </w:r>
      <w:hyperlink w:anchor="ref-ventresca2020">
        <w:r>
          <w:rPr>
            <w:rStyle w:val="Hyperlink"/>
            <w:vertAlign w:val="superscript"/>
          </w:rPr>
          <w:t xml:space="preserve">100</w:t>
        </w:r>
      </w:hyperlink>
      <w:r>
        <w:t xml:space="preserve"> </w:t>
      </w:r>
      <w:r>
        <w:t xml:space="preserve">The data underlying primary studies are frequently not publicly available,</w:t>
      </w:r>
      <w:hyperlink w:anchor="ref-alsheikh-ali2011">
        <w:r>
          <w:rPr>
            <w:rStyle w:val="Hyperlink"/>
            <w:vertAlign w:val="superscript"/>
          </w:rPr>
          <w:t xml:space="preserve">101</w:t>
        </w:r>
      </w:hyperlink>
      <w:r>
        <w:rPr>
          <w:vertAlign w:val="superscript"/>
        </w:rPr>
        <w:t xml:space="preserve">,</w:t>
      </w:r>
      <w:hyperlink w:anchor="ref-federer2018">
        <w:r>
          <w:rPr>
            <w:rStyle w:val="Hyperlink"/>
            <w:vertAlign w:val="superscript"/>
          </w:rPr>
          <w:t xml:space="preserve">102</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103</w:t>
        </w:r>
      </w:hyperlink>
      <w:r>
        <w:t xml:space="preserve"> </w:t>
      </w:r>
      <w:r>
        <w:t xml:space="preserve">Several systematic barriers to open data sharing have been identified</w:t>
      </w:r>
      <w:hyperlink w:anchor="ref-vanpanhuis2014">
        <w:r>
          <w:rPr>
            <w:rStyle w:val="Hyperlink"/>
            <w:vertAlign w:val="superscript"/>
          </w:rPr>
          <w:t xml:space="preserve">104</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105</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106</w:t>
        </w:r>
      </w:hyperlink>
      <w:r>
        <w:t xml:space="preserve"> </w:t>
      </w:r>
      <w:r>
        <w:t xml:space="preserve">which aims to provide access to several dementia-related datasets via a single simplified application process.</w:t>
      </w:r>
    </w:p>
    <w:p>
      <w:pPr>
        <w:pStyle w:val="BodyText"/>
      </w:pPr>
      <w:r>
        <w:t xml:space="preserve">I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IPD meta-analysis in Chapter</w:t>
      </w:r>
      <w:r>
        <w:t xml:space="preserve"> </w:t>
      </w:r>
      <w:r>
        <w:t xml:space="preserve">??</w:t>
      </w:r>
      <w:r>
        <w:t xml:space="preserve">. This will enable the assessment of the effect of lipids on dementia stratified by key variables such as sex.</w:t>
      </w:r>
    </w:p>
    <w:bookmarkEnd w:id="39"/>
    <w:bookmarkStart w:id="40" w:name="intro-triangulation"/>
    <w:p>
      <w:pPr>
        <w:pStyle w:val="Heading3"/>
      </w:pPr>
      <w:r>
        <w:t xml:space="preserve">Triangulating across study designs</w:t>
      </w:r>
    </w:p>
    <w:p>
      <w:pPr>
        <w:pStyle w:val="FirstParagraph"/>
      </w:pPr>
      <w:r>
        <w:t xml:space="preserve">As illustrated in Section</w:t>
      </w:r>
      <w:r>
        <w:t xml:space="preserve"> </w:t>
      </w:r>
      <w:r>
        <w:t xml:space="preserve">1.4</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
        <w:r>
          <w:rPr>
            <w:rStyle w:val="Hyperlink"/>
            <w:vertAlign w:val="superscript"/>
          </w:rPr>
          <w:t xml:space="preserve">107</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one to strengthen the effect of the exposure and the other to attenuate it.</w:t>
      </w:r>
      <w:hyperlink w:anchor="ref-lawlor2016">
        <w:r>
          <w:rPr>
            <w:rStyle w:val="Hyperlink"/>
            <w:vertAlign w:val="superscript"/>
          </w:rPr>
          <w:t xml:space="preserve">107</w:t>
        </w:r>
      </w:hyperlink>
      <w:r>
        <w:t xml:space="preserve"> </w:t>
      </w:r>
      <w:r>
        <w:t xml:space="preserve">As such, triangulating these results can provide a middle-ground between the competing directions of bias. A triangulation approach can also prove useful in helping to prospectively design new studies that are at risk of different sources of bias to those already observed in the published literature.</w:t>
      </w:r>
      <w:hyperlink w:anchor="ref-munafo2018">
        <w:r>
          <w:rPr>
            <w:rStyle w:val="Hyperlink"/>
            <w:vertAlign w:val="superscript"/>
          </w:rPr>
          <w:t xml:space="preserve">108</w:t>
        </w:r>
      </w:hyperlink>
      <w:r>
        <w:t xml:space="preserve"> </w:t>
      </w:r>
      <w:r>
        <w:t xml:space="preserve">However, existing methods for triangulation are limited to a qualitative discussion of the different identified results with respect to their biases,</w:t>
      </w:r>
      <w:hyperlink w:anchor="ref-lawlor2016">
        <w:r>
          <w:rPr>
            <w:rStyle w:val="Hyperlink"/>
            <w:vertAlign w:val="superscript"/>
          </w:rPr>
          <w:t xml:space="preserve">107</w:t>
        </w:r>
      </w:hyperlink>
      <w:r>
        <w:t xml:space="preserve"> </w:t>
      </w:r>
      <w:r>
        <w:t xml:space="preserve">an approach which faces issues in interpretability when assessing many results.</w:t>
      </w:r>
    </w:p>
    <w:p>
      <w:pPr>
        <w:pStyle w:val="BodyText"/>
      </w:pPr>
      <w:r>
        <w:t xml:space="preserve">To address this limitation, this thesis seeks to develop and apply a novel quantitative triangulation approach to answer causal questions on the effect of blood lipids on dementia outcomes. All existing evidence, regardless of study design, is first identified and assessed using domain-based tools by the systematic review presented in Chapters</w:t>
      </w:r>
      <w:r>
        <w:t xml:space="preserve"> </w:t>
      </w:r>
      <w:r>
        <w:t xml:space="preserve">3</w:t>
      </w:r>
      <w:r>
        <w:t xml:space="preserve">/</w:t>
      </w:r>
      <w:r>
        <w:t xml:space="preserve">4</w:t>
      </w:r>
      <w:r>
        <w:t xml:space="preserve">. The existing evidence base is then supplemented by two primary analyses, presented in Chapters</w:t>
      </w:r>
      <w:r>
        <w:t xml:space="preserve"> </w:t>
      </w:r>
      <w:r>
        <w:t xml:space="preserve">5</w:t>
      </w:r>
      <w:r>
        <w:t xml:space="preserve"> </w:t>
      </w:r>
      <w:r>
        <w:t xml:space="preserve">and</w:t>
      </w:r>
      <w:r>
        <w:t xml:space="preserve"> </w:t>
      </w:r>
      <w:r>
        <w:t xml:space="preserve">??</w:t>
      </w:r>
      <w:r>
        <w:t xml:space="preserve">. Finally all existing and new evidence is incorporated into the quantiatative triangulation framework in Chapter</w:t>
      </w:r>
      <w:r>
        <w:t xml:space="preserve"> </w:t>
      </w:r>
      <w:r>
        <w:t xml:space="preserve">7</w:t>
      </w:r>
      <w:r>
        <w:t xml:space="preserve">.</w:t>
      </w:r>
    </w:p>
    <w:p>
      <w:pPr>
        <w:pStyle w:val="BodyText"/>
      </w:pPr>
      <w:r>
        <w:t xml:space="preserve"> </w:t>
      </w:r>
    </w:p>
    <w:bookmarkEnd w:id="40"/>
    <w:bookmarkEnd w:id="41"/>
    <w:bookmarkStart w:id="44" w:name="background-thesis-overview"/>
    <w:p>
      <w:pPr>
        <w:pStyle w:val="Heading2"/>
      </w:pPr>
      <w:r>
        <w:t xml:space="preserve">Thesis overview</w:t>
      </w:r>
    </w:p>
    <w:bookmarkStart w:id="42"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produce evidence on lipid-covariate interactions as part of an IPD meta-analysis</w:t>
      </w:r>
    </w:p>
    <w:p>
      <w:pPr>
        <w:numPr>
          <w:ilvl w:val="0"/>
          <w:numId w:val="1004"/>
        </w:numPr>
        <w:pStyle w:val="Compact"/>
      </w:pPr>
      <w:r>
        <w:t xml:space="preserve">To propose a generalised framework for the quantitative triangulation across diverse evidence sources</w:t>
      </w:r>
    </w:p>
    <w:p>
      <w:pPr>
        <w:pStyle w:val="FirstParagraph"/>
      </w:pPr>
      <w:r>
        <w:t xml:space="preserve"> </w:t>
      </w:r>
    </w:p>
    <w:bookmarkEnd w:id="42"/>
    <w:bookmarkStart w:id="43"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w:t>
      </w:r>
      <w:r>
        <w:t xml:space="preserve"> </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participant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evidence identified and produced by the preceeding chapters as part of a quantitative triangulation framework.</w:t>
      </w:r>
    </w:p>
    <w:p>
      <w:pPr>
        <w:numPr>
          <w:ilvl w:val="0"/>
          <w:numId w:val="1005"/>
        </w:numPr>
        <w:pStyle w:val="Compact"/>
      </w:pPr>
      <w:r>
        <w:rPr>
          <w:bCs/>
          <w:b/>
        </w:rPr>
        <w:t xml:space="preserve">Chapter</w:t>
      </w:r>
      <w:r>
        <w:rPr>
          <w:bCs/>
          <w:b/>
        </w:rPr>
        <w:t xml:space="preserve"> </w:t>
      </w:r>
      <w:r>
        <w:rPr>
          <w:bCs/>
          <w:b/>
        </w:rPr>
        <w:t xml:space="preserve">8</w:t>
      </w:r>
      <w:r>
        <w:t xml:space="preserve">: This chapter summarise the key clinical and methodological findings of the thesis and discusses their implications for practice. The overall strengths and weaknesses of this project are discussed in detail, and further avenues of research are suggested.</w:t>
      </w:r>
    </w:p>
    <w:p>
      <w:pPr>
        <w:pStyle w:val="FirstParagraph"/>
      </w:pPr>
      <w:r>
        <w:t xml:space="preserve"> </w:t>
      </w:r>
    </w:p>
    <w:bookmarkEnd w:id="43"/>
    <w:bookmarkEnd w:id="44"/>
    <w:bookmarkStart w:id="53"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p>
      <w:pPr>
        <w:pStyle w:val="BodyText"/>
      </w:pPr>
      <w:r>
        <w:t xml:space="preserve"> </w:t>
      </w:r>
    </w:p>
    <w:bookmarkStart w:id="50"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rPr>
          <w:bCs/>
          <w:b/>
          <w:iCs/>
          <w:i/>
        </w:rPr>
        <w:t xml:space="preserve">McGuinness L. A.</w:t>
      </w:r>
      <w:r>
        <w:rPr>
          <w:iCs/>
          <w:i/>
        </w:rPr>
        <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w:t>
      </w:r>
      <w:r>
        <w:rPr>
          <w:iCs/>
          <w:i/>
        </w:rPr>
        <w:t xml:space="preserve"> </w:t>
      </w:r>
      <w:hyperlink r:id="rId45">
        <w:r>
          <w:rPr>
            <w:rStyle w:val="Hyperlink"/>
            <w:iCs/>
            <w:i/>
          </w:rPr>
          <w:t xml:space="preserve">10.1101/2021.10.21.21265131</w:t>
        </w:r>
      </w:hyperlink>
    </w:p>
    <w:p>
      <w:pPr>
        <w:pStyle w:val="BodyText"/>
      </w:pPr>
      <w:r>
        <w:t xml:space="preserve">Preprinted manuscript of the analysis of lipid-regulating agents and dementia outcomes in the CPRD, which is presented in Chapter</w:t>
      </w:r>
      <w:r>
        <w:t xml:space="preserve"> </w:t>
      </w:r>
      <w:r>
        <w:t xml:space="preserve">5</w:t>
      </w:r>
      <w:r>
        <w:t xml:space="preserve">.</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6">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2.1</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and 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7">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8">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49">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0"/>
    <w:bookmarkStart w:id="51"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p>
      <w:pPr>
        <w:pStyle w:val="BodyText"/>
      </w:pPr>
      <w:r>
        <w:t xml:space="preserve"> </w:t>
      </w:r>
    </w:p>
    <w:bookmarkEnd w:id="51"/>
    <w:bookmarkStart w:id="52"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search and retrieve bibliographic data from the medRxiv</w:t>
      </w:r>
      <w:hyperlink w:anchor="ref-rawlinson2019">
        <w:r>
          <w:rPr>
            <w:rStyle w:val="Hyperlink"/>
            <w:vertAlign w:val="superscript"/>
          </w:rPr>
          <w:t xml:space="preserve">109</w:t>
        </w:r>
      </w:hyperlink>
      <w:r>
        <w:t xml:space="preserve"> </w:t>
      </w:r>
      <w:r>
        <w:t xml:space="preserve">and bioRxiv</w:t>
      </w:r>
      <w:hyperlink w:anchor="ref-sever2019">
        <w:r>
          <w:rPr>
            <w:rStyle w:val="Hyperlink"/>
            <w:vertAlign w:val="superscript"/>
          </w:rPr>
          <w:t xml:space="preserve">110</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triangulate</w:t>
      </w:r>
    </w:p>
    <w:p>
      <w:pPr>
        <w:pStyle w:val="BodyText"/>
      </w:pPr>
      <w:r>
        <w:t xml:space="preserve">An R package containing function to implement the quantitative triangulation approach detailed in Chapter</w:t>
      </w:r>
      <w:r>
        <w:t xml:space="preserve"> </w:t>
      </w:r>
      <w:r>
        <w:t xml:space="preserve">7</w:t>
      </w:r>
      <w:r>
        <w:t xml:space="preserve">. At present, only the development version of the package is available, which can be installed from GitHub using:</w:t>
      </w:r>
    </w:p>
    <w:p>
      <w:pPr>
        <w:pStyle w:val="SourceCode"/>
      </w:pP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"mcguinlu/triangulate"</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2"/>
    <w:bookmarkEnd w:id="53"/>
    <w:bookmarkStart w:id="54" w:name="summary"/>
    <w:p>
      <w:pPr>
        <w:pStyle w:val="Heading2"/>
      </w:pPr>
      <w:r>
        <w:t xml:space="preserve">Summary</w:t>
      </w:r>
    </w:p>
    <w:p>
      <w:pPr>
        <w:numPr>
          <w:ilvl w:val="0"/>
          <w:numId w:val="1006"/>
        </w:numPr>
      </w:pPr>
      <w:r>
        <w:t xml:space="preserve">In this introductory chapter, I provided background information on the core elements of the central research question and framed the research presented in the context of a theoretical framework of evidence synthesis. I outlined the central aim of the thesis and provided an overview of the individual analyses performed.</w:t>
      </w:r>
    </w:p>
    <w:p>
      <w:pPr>
        <w:numPr>
          <w:ilvl w:val="0"/>
          <w:numId w:val="1006"/>
        </w:numPr>
      </w:pPr>
      <w:r>
        <w:t xml:space="preserve">I also described the contributions of this thesis to the scientific literature. Finally, I discussed the research tools and software developed to support the analyses in this thesis, one of which (the preprint search tool) is introduced more fully in the following chapter.</w:t>
      </w:r>
    </w:p>
    <w:bookmarkEnd w:id="54"/>
    <w:bookmarkEnd w:id="55"/>
    <w:bookmarkStart w:id="80" w:name="sys-rev-tools-heading"/>
    <w:p>
      <w:pPr>
        <w:pStyle w:val="Heading1"/>
      </w:pPr>
      <w:r>
        <w:t xml:space="preserve">medrxivr: an R package for systematically searching biomedical preprints</w:t>
      </w:r>
    </w:p>
    <w:p>
      <w:pPr>
        <w:pStyle w:val="FirstParagraph"/>
      </w:pPr>
      <w:r>
        <w:t xml:space="preserve"> </w:t>
      </w:r>
    </w:p>
    <w:p>
      <w:pPr>
        <w:pStyle w:val="BodyText"/>
      </w:pPr>
    </w:p>
    <w:p>
      <w:r>
        <w:br w:type="page"/>
      </w:r>
    </w:p>
    <w:bookmarkStart w:id="56"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as part of this thesis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6"/>
    <w:bookmarkStart w:id="60"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1.5.1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109</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complex searches containing Boolean logic operators (AND/OR/NOT) that information specialists use to query other major databases.</w:t>
      </w:r>
      <w:hyperlink w:anchor="ref-bramer2018">
        <w:r>
          <w:rPr>
            <w:rStyle w:val="Hyperlink"/>
            <w:vertAlign w:val="superscript"/>
          </w:rPr>
          <w:t xml:space="preserve">111</w:t>
        </w:r>
      </w:hyperlink>
      <w:r>
        <w:rPr>
          <w:vertAlign w:val="superscript"/>
        </w:rPr>
        <w:t xml:space="preserve">,</w:t>
      </w:r>
      <w:hyperlink w:anchor="ref-gusenbauer2020">
        <w:r>
          <w:rPr>
            <w:rStyle w:val="Hyperlink"/>
            <w:vertAlign w:val="superscript"/>
          </w:rPr>
          <w:t xml:space="preserve">112</w:t>
        </w:r>
      </w:hyperlink>
      <w:r>
        <w:t xml:space="preserve"> </w:t>
      </w:r>
      <w:r>
        <w:t xml:space="preserve">Additionally, the best available extraction mechanism for obtaining references for all records returned by a search involved going through each record and downloading individual citations one-by-one.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7">
        <w:r>
          <w:rPr>
            <w:rStyle w:val="Hyperlink"/>
          </w:rPr>
          <w:t xml:space="preserve">https://github.com/ropensci/medrxivr</w:t>
        </w:r>
      </w:hyperlink>
      <w:r>
        <w:t xml:space="preserve"> </w:t>
      </w:r>
      <w:r>
        <w:t xml:space="preserve">and</w:t>
      </w:r>
      <w:r>
        <w:t xml:space="preserve"> </w:t>
      </w:r>
      <w:hyperlink r:id="rId58">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113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59"/>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0"/>
    <w:bookmarkStart w:id="65" w:name="development"/>
    <w:p>
      <w:pPr>
        <w:pStyle w:val="Heading2"/>
      </w:pPr>
      <w:r>
        <w:t xml:space="preserve">Development</w:t>
      </w:r>
    </w:p>
    <w:bookmarkStart w:id="61"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7"/>
        </w:numPr>
      </w:pPr>
      <w:r>
        <w:t xml:space="preserve">reliable, reproducible and transparent search functionality, allowing for Boolean (AND/OR/NOT) operator logic;</w:t>
      </w:r>
    </w:p>
    <w:p>
      <w:pPr>
        <w:numPr>
          <w:ilvl w:val="0"/>
          <w:numId w:val="1007"/>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7"/>
        </w:numPr>
      </w:pPr>
      <w:r>
        <w:t xml:space="preserve">automated retrieval of the full-text PDFs of relevant records, similar to the Find Full Text feature offered by EndNote.</w:t>
      </w:r>
    </w:p>
    <w:p>
      <w:pPr>
        <w:pStyle w:val="FirstParagraph"/>
      </w:pPr>
      <w:r>
        <w:t xml:space="preserve"> </w:t>
      </w:r>
    </w:p>
    <w:bookmarkEnd w:id="61"/>
    <w:bookmarkStart w:id="62"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addresses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116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2"/>
    <w:bookmarkStart w:id="63"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118</w:t>
        </w:r>
      </w:hyperlink>
      <w:r>
        <w:rPr>
          <w:vertAlign w:val="superscript"/>
        </w:rPr>
        <w:t xml:space="preserve">,</w:t>
      </w:r>
      <w:hyperlink w:anchor="ref-laprie1992">
        <w:r>
          <w:rPr>
            <w:rStyle w:val="Hyperlink"/>
            <w:vertAlign w:val="superscript"/>
          </w:rPr>
          <w:t xml:space="preserve">119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that I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119</w:t>
        </w:r>
      </w:hyperlink>
    </w:p>
    <w:p>
      <w:pPr>
        <w:pStyle w:val="BodyText"/>
      </w:pPr>
      <w:r>
        <w:t xml:space="preserve"> </w:t>
      </w:r>
    </w:p>
    <w:bookmarkEnd w:id="63"/>
    <w:bookmarkStart w:id="64"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120</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4"/>
    <w:bookmarkEnd w:id="65"/>
    <w:bookmarkStart w:id="73"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8"/>
        </w:numPr>
        <w:pStyle w:val="Compact"/>
      </w:pPr>
      <w:r>
        <w:t xml:space="preserve">an interface to the Cold Springs Harbor Laboratory API, which imports medRxiv and bioRxiv metadata into R; and</w:t>
      </w:r>
    </w:p>
    <w:p>
      <w:pPr>
        <w:numPr>
          <w:ilvl w:val="0"/>
          <w:numId w:val="1008"/>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6"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6"/>
    <w:bookmarkStart w:id="68"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 requires a time-intensive process of cycling through each page. Secondly, the API can become unavailable, either during peak usage times or planned maintainence windows. 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121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in an online repository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 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7"/>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68"/>
    <w:bookmarkStart w:id="69"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searched for. Search terms can also contain common syntax used by systematic reviewers and health librarians, including the NEAR operator for the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69"/>
    <w:bookmarkStart w:id="70"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122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111</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Alzheimer’s</w:t>
      </w:r>
      <w:r>
        <w:t xml:space="preserve">”</w:t>
      </w:r>
      <w:r>
        <w:t xml:space="preserve"> </w:t>
      </w:r>
      <w:r>
        <w:t xml:space="preserve">is a proper noun and so should be capitalised, but serves to illustrate the usefulness of the reporting function.</w:t>
      </w:r>
    </w:p>
    <w:p>
      <w:pPr>
        <w:pStyle w:val="BodyText"/>
      </w:pPr>
      <w:r>
        <w:t xml:space="preserve">In hindsight, the decision to make the search case-sensitive was a poor one as users reported being unaware of this setting when searchin. However, changing the default behaviour of</w:t>
      </w:r>
      <w:r>
        <w:t xml:space="preserve"> </w:t>
      </w:r>
      <w:r>
        <w:rPr>
          <w:rStyle w:val="VerbatimChar"/>
        </w:rPr>
        <w:t xml:space="preserve">mx_search()</w:t>
      </w:r>
      <w:r>
        <w:t xml:space="preserve"> </w:t>
      </w:r>
      <w:r>
        <w:t xml:space="preserve">to be case-insensitive is problematic, as it could result in different numbers of hits based solely on which version of the package the user has installed. To address this,</w:t>
      </w:r>
      <w:r>
        <w:t xml:space="preserve"> </w:t>
      </w:r>
      <w:r>
        <w:rPr>
          <w:rStyle w:val="VerbatimChar"/>
        </w:rPr>
        <w:t xml:space="preserve">mx_search()</w:t>
      </w:r>
      <w:r>
        <w:t xml:space="preserve"> </w:t>
      </w:r>
      <w:r>
        <w:t xml:space="preserve">now contains an</w:t>
      </w:r>
      <w:r>
        <w:t xml:space="preserve"> </w:t>
      </w:r>
      <w:r>
        <w:rPr>
          <w:rStyle w:val="VerbatimChar"/>
        </w:rPr>
        <w:t xml:space="preserve">autocaps</w:t>
      </w:r>
      <w:r>
        <w:t xml:space="preserve"> </w:t>
      </w:r>
      <w:r>
        <w:t xml:space="preserve">argument, which when set to</w:t>
      </w:r>
      <w:r>
        <w:t xml:space="preserve"> </w:t>
      </w:r>
      <w:r>
        <w:rPr>
          <w:rStyle w:val="VerbatimChar"/>
        </w:rPr>
        <w:t xml:space="preserve">TRUE</w:t>
      </w:r>
      <w:r>
        <w:t xml:space="preserve"> </w:t>
      </w:r>
      <w:r>
        <w:t xml:space="preserve">will automatically search for both capitalised and uncapitalised versions of the search term.</w:t>
      </w:r>
    </w:p>
    <w:p>
      <w:pPr>
        <w:pStyle w:val="BodyText"/>
      </w:pPr>
      <w:r>
        <w:t xml:space="preserve"> </w:t>
      </w:r>
    </w:p>
    <w:bookmarkEnd w:id="70"/>
    <w:bookmarkStart w:id="71"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2.2.1</w:t>
      </w:r>
      <w:r>
        <w:t xml:space="preserve">), one of the key features of the</w:t>
      </w:r>
      <w:r>
        <w:t xml:space="preserve"> </w:t>
      </w:r>
      <w:r>
        <w:rPr>
          <w:rStyle w:val="VerbatimChar"/>
        </w:rPr>
        <w:t xml:space="preserve">medrxivr</w:t>
      </w:r>
      <w:r>
        <w:t xml:space="preserve"> </w:t>
      </w:r>
      <w:r>
        <w:t xml:space="preserve">is the ability for users to export easily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1"/>
    <w:bookmarkStart w:id="72"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also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2"/>
    <w:bookmarkEnd w:id="73"/>
    <w:bookmarkStart w:id="78" w:name="discussion"/>
    <w:p>
      <w:pPr>
        <w:pStyle w:val="Heading2"/>
      </w:pPr>
      <w:r>
        <w:t xml:space="preserve">Discussion</w:t>
      </w:r>
    </w:p>
    <w:bookmarkStart w:id="74"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6100 times), and several use cases have been reported. It has been used to investigate the role of preprints in the response to the 2019 coronavirus outbreak,</w:t>
      </w:r>
      <w:hyperlink w:anchor="ref-kodvanj2020">
        <w:r>
          <w:rPr>
            <w:rStyle w:val="Hyperlink"/>
            <w:vertAlign w:val="superscript"/>
          </w:rPr>
          <w:t xml:space="preserve">123</w:t>
        </w:r>
      </w:hyperlink>
      <w:r>
        <w:t xml:space="preserve"> </w:t>
      </w:r>
      <w:r>
        <w:t xml:space="preserve">perform searches of preprints as part of a systematic review,</w:t>
      </w:r>
      <w:hyperlink w:anchor="ref-noone2020">
        <w:r>
          <w:rPr>
            <w:rStyle w:val="Hyperlink"/>
            <w:vertAlign w:val="superscript"/>
          </w:rPr>
          <w:t xml:space="preserve">124</w:t>
        </w:r>
      </w:hyperlink>
      <w:r>
        <w:rPr>
          <w:vertAlign w:val="superscript"/>
        </w:rPr>
        <w:t xml:space="preserve">,</w:t>
      </w:r>
      <w:hyperlink w:anchor="ref-grassly2020">
        <w:r>
          <w:rPr>
            <w:rStyle w:val="Hyperlink"/>
            <w:vertAlign w:val="superscript"/>
          </w:rPr>
          <w:t xml:space="preserve">125</w:t>
        </w:r>
      </w:hyperlink>
      <w:r>
        <w:t xml:space="preserve"> </w:t>
      </w:r>
      <w:r>
        <w:t xml:space="preserve">and examine how data-sharing behaviour is affected by journal policies (see</w:t>
      </w:r>
      <w:r>
        <w:t xml:space="preserve"> </w:t>
      </w:r>
      <w:r>
        <w:t xml:space="preserve">1.7</w:t>
      </w:r>
      <w:r>
        <w:t xml:space="preserve">).</w:t>
      </w:r>
      <w:hyperlink w:anchor="ref-mcguinness2020DAScomparison">
        <w:r>
          <w:rPr>
            <w:rStyle w:val="Hyperlink"/>
            <w:vertAlign w:val="superscript"/>
          </w:rPr>
          <w:t xml:space="preserve">126</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127</w:t>
        </w:r>
      </w:hyperlink>
      <w:r>
        <w:t xml:space="preserve"> </w:t>
      </w:r>
      <w:r>
        <w:t xml:space="preserve">As part of this process, following rigorous peer-review, an associated article introducing the tool was published by the Journal of Open Source Software.</w:t>
      </w:r>
      <w:hyperlink w:anchor="ref-mcguinness2020medrxivr">
        <w:r>
          <w:rPr>
            <w:rStyle w:val="Hyperlink"/>
            <w:vertAlign w:val="superscript"/>
          </w:rPr>
          <w:t xml:space="preserve">128</w:t>
        </w:r>
      </w:hyperlink>
      <w:r>
        <w:t xml:space="preserve"> </w:t>
      </w:r>
      <w:r>
        <w:t xml:space="preserve">The entire review discussion is publicly available and can be viewed online.</w:t>
      </w:r>
      <w:hyperlink w:anchor="ref-zotero-15016">
        <w:r>
          <w:rPr>
            <w:rStyle w:val="Hyperlink"/>
            <w:vertAlign w:val="superscript"/>
          </w:rPr>
          <w:t xml:space="preserve">129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4"/>
    <w:bookmarkStart w:id="75" w:name="use-cases"/>
    <w:p>
      <w:pPr>
        <w:pStyle w:val="Heading3"/>
      </w:pPr>
      <w:r>
        <w:t xml:space="preserve">Use cases</w:t>
      </w:r>
    </w:p>
    <w:p>
      <w:pPr>
        <w:pStyle w:val="FirstParagraph"/>
      </w:pPr>
      <w:r>
        <w:t xml:space="preserve">In addition to being used to search systematically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 same content, authors and funders - under two different publication policies (preprint server vs peer-review journal). This comparison provides evidence on whether stricter policies which require data sharing as a condition of publication result in increased data availability. The analysis found some evidence that data availability statements more frequently described open data on publication when the journal mandated data sharing, compared to when the journal did not mandate data sharing. This study has since been published,</w:t>
      </w:r>
      <w:hyperlink w:anchor="ref-mcguinness2020DAScomparison">
        <w:r>
          <w:rPr>
            <w:rStyle w:val="Hyperlink"/>
            <w:vertAlign w:val="superscript"/>
          </w:rPr>
          <w:t xml:space="preserve">126</w:t>
        </w:r>
      </w:hyperlink>
      <w:r>
        <w:t xml:space="preserve"> </w:t>
      </w:r>
      <w:r>
        <w:t xml:space="preserve">and a copy is included in Appendix</w:t>
      </w:r>
      <w:r>
        <w:t xml:space="preserve"> </w:t>
      </w:r>
      <w:r>
        <w:t xml:space="preserve">11.3</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87 of the 129 records (67.4%)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popularity">
        <w:r>
          <w:rPr>
            <w:rStyle w:val="Hyperlink"/>
            <w:vertAlign w:val="superscript"/>
          </w:rPr>
          <w:t xml:space="preserve">130</w:t>
        </w:r>
      </w:hyperlink>
      <w:r>
        <w:t xml:space="preserve"> </w:t>
      </w:r>
      <w:r>
        <w:t xml:space="preserve">This analysis further illustrates that a non-insignificant number of preprints are never formally published but remain accessible as preprints.</w:t>
      </w:r>
    </w:p>
    <w:p>
      <w:pPr>
        <w:pStyle w:val="BodyText"/>
      </w:pPr>
      <w:r>
        <w:t xml:space="preserve">In summary, the meta-research/methodological analyses described above illustrate that easy access to medRxiv/bioRxiv metadata has applications beyond the inclusion of preprints in systeamtic review.</w:t>
      </w:r>
    </w:p>
    <w:bookmarkEnd w:id="75"/>
    <w:bookmarkStart w:id="76"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and so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131</w:t>
        </w:r>
      </w:hyperlink>
    </w:p>
    <w:p>
      <w:pPr>
        <w:pStyle w:val="BodyText"/>
      </w:pPr>
      <w:r>
        <w:t xml:space="preserve">There is also the potential that the cross-section of literature posted on medrxiv/bioRxiv is substantially different to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132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It is probably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6"/>
    <w:bookmarkStart w:id="7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
        <w:r>
          <w:rPr>
            <w:rStyle w:val="Hyperlink"/>
            <w:vertAlign w:val="superscript"/>
          </w:rPr>
          <w:t xml:space="preserve">133</w:t>
        </w:r>
      </w:hyperlink>
      <w:r>
        <w:rPr>
          <w:vertAlign w:val="superscript"/>
        </w:rPr>
        <w:t xml:space="preserve">,</w:t>
      </w:r>
      <w:hyperlink w:anchor="ref-mckiernan2016">
        <w:r>
          <w:rPr>
            <w:rStyle w:val="Hyperlink"/>
            <w:vertAlign w:val="superscript"/>
          </w:rPr>
          <w:t xml:space="preserve">134</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fraser2020rbiorixv">
        <w:r>
          <w:rPr>
            <w:rStyle w:val="Hyperlink"/>
            <w:vertAlign w:val="superscript"/>
          </w:rPr>
          <w:t xml:space="preserve">135</w:t>
        </w:r>
      </w:hyperlink>
      <w:r>
        <w:t xml:space="preserve"> </w:t>
      </w:r>
      <w:r>
        <w:t xml:space="preserve">If these scripts continue to be developed in private and are never shared or publicised, this will inevitably hamper the efforts of the evidence synthesis community, not only in terms of duplication of time and effort but also due to lost opportunities for collaboration.</w:t>
      </w:r>
      <w:hyperlink w:anchor="ref-mckiernan2016">
        <w:r>
          <w:rPr>
            <w:rStyle w:val="Hyperlink"/>
            <w:vertAlign w:val="superscript"/>
          </w:rPr>
          <w:t xml:space="preserve">134</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136</w:t>
        </w:r>
      </w:hyperlink>
    </w:p>
    <w:bookmarkEnd w:id="77"/>
    <w:bookmarkEnd w:id="78"/>
    <w:bookmarkStart w:id="79" w:name="summary-1"/>
    <w:p>
      <w:pPr>
        <w:pStyle w:val="Heading2"/>
      </w:pPr>
      <w:r>
        <w:t xml:space="preserve">Summary</w:t>
      </w:r>
    </w:p>
    <w:p>
      <w:pPr>
        <w:numPr>
          <w:ilvl w:val="0"/>
          <w:numId w:val="1009"/>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9"/>
        </w:numPr>
      </w:pPr>
      <w:r>
        <w:t xml:space="preserve">I have outlined the motivation for developing this tool in relation to this thesis - more specifically, that it was used to perform systematic and reproducible searches of key literature sources used in the comprehensive systematic review described in Chapter</w:t>
      </w:r>
      <w:r>
        <w:t xml:space="preserve"> </w:t>
      </w:r>
      <w:r>
        <w:t xml:space="preserve">??</w:t>
      </w:r>
      <w:r>
        <w:t xml:space="preserve">.</w:t>
      </w:r>
    </w:p>
    <w:p>
      <w:pPr>
        <w:numPr>
          <w:ilvl w:val="0"/>
          <w:numId w:val="1009"/>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bookmarkEnd w:id="79"/>
    <w:bookmarkEnd w:id="80"/>
    <w:bookmarkStart w:id="110" w:name="sys-rev-methods-heading"/>
    <w:p>
      <w:pPr>
        <w:pStyle w:val="Heading1"/>
      </w:pPr>
      <w:r>
        <w:t xml:space="preserve">Systematic review of existing evidence on the association between blood lipids and dementia outcomes: Methods</w:t>
      </w:r>
    </w:p>
    <w:p>
      <w:pPr>
        <w:pStyle w:val="FirstParagraph"/>
      </w:pPr>
      <w:r>
        <w:t xml:space="preserve"> </w:t>
      </w:r>
    </w:p>
    <w:p>
      <w:pPr>
        <w:pStyle w:val="BodyText"/>
      </w:pPr>
    </w:p>
    <w:bookmarkStart w:id="81"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for existing studies; assessment of the studies against predefined inclusion criteria; collection of data from each study; and assessment of each study’s method and results.</w:t>
      </w:r>
      <w:r>
        <w:t xml:space="preserve"> </w:t>
      </w:r>
      <w:r>
        <w:t xml:space="preserve"> </w:t>
      </w:r>
    </w:p>
    <w:p>
      <w:pPr>
        <w:pStyle w:val="BodyText"/>
      </w:pPr>
      <w:r>
        <w:t xml:space="preserve">This chapter presents the methods used to perform a systematic review of primary studies that have examined the relationship between the levels of blood lipids (such as cholesterol and triglycerides) and dementia outcomes. In addition, the review examined the relationship between treatments that change blood lipid levels, such as statins, and dementia outcomes. The results of this systematic review are then presented in Chapter</w:t>
      </w:r>
      <w:r>
        <w:t xml:space="preserve"> </w:t>
      </w:r>
      <w:r>
        <w:t xml:space="preserve">4</w:t>
      </w:r>
      <w:r>
        <w:t xml:space="preserve">.</w:t>
      </w:r>
    </w:p>
    <w:bookmarkEnd w:id="81"/>
    <w:p>
      <w:pPr>
        <w:pStyle w:val="BodyText"/>
      </w:pPr>
      <w:r>
        <w:t xml:space="preserve"> </w:t>
      </w:r>
    </w:p>
    <w:bookmarkStart w:id="82"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1.4</w:t>
      </w:r>
      <w:r>
        <w:t xml:space="preserve">), several diverse forms of evidence on the relationship between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can report relevant unpublished analyses. As a sensitivity analysis to the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Given the size of the review, I have separated the methods and results into two chapters for ease of reading. This chapter details the methodology used, while Chapter</w:t>
      </w:r>
      <w:r>
        <w:t xml:space="preserve"> </w:t>
      </w:r>
      <w:r>
        <w:t xml:space="preserve">4</w:t>
      </w:r>
      <w:r>
        <w:t xml:space="preserve"> </w:t>
      </w:r>
      <w:r>
        <w:t xml:space="preserve">presents the results.</w:t>
      </w:r>
    </w:p>
    <w:p>
      <w:pPr>
        <w:pStyle w:val="BodyText"/>
      </w:pPr>
      <w:r>
        <w:t xml:space="preserve"> </w:t>
      </w:r>
      <w:r>
        <w:t xml:space="preserve"> </w:t>
      </w:r>
    </w:p>
    <w:bookmarkEnd w:id="82"/>
    <w:bookmarkStart w:id="108" w:name="methods"/>
    <w:p>
      <w:pPr>
        <w:pStyle w:val="Heading2"/>
      </w:pPr>
      <w:r>
        <w:t xml:space="preserve">Methods</w:t>
      </w:r>
    </w:p>
    <w:bookmarkStart w:id="83"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137</w:t>
        </w:r>
      </w:hyperlink>
    </w:p>
    <w:p>
      <w:pPr>
        <w:pStyle w:val="BodyText"/>
      </w:pPr>
      <w:r>
        <w:t xml:space="preserve"> </w:t>
      </w:r>
    </w:p>
    <w:bookmarkEnd w:id="83"/>
    <w:bookmarkStart w:id="84"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p>
    <w:p>
      <w:pPr>
        <w:pStyle w:val="BodyText"/>
      </w:pPr>
      <w:r>
        <w:t xml:space="preserve"> </w:t>
      </w:r>
    </w:p>
    <w:bookmarkEnd w:id="84"/>
    <w:bookmarkStart w:id="87" w:name="eligibility-criteria"/>
    <w:p>
      <w:pPr>
        <w:pStyle w:val="Heading3"/>
      </w:pPr>
      <w:r>
        <w:t xml:space="preserve">Eligibility criteria</w:t>
      </w:r>
    </w:p>
    <w:bookmarkStart w:id="85" w:name="inclusion-criteria"/>
    <w:p>
      <w:pPr>
        <w:pStyle w:val="Heading4"/>
      </w:pPr>
      <w:r>
        <w:t xml:space="preserve">Inclusion criteria</w:t>
      </w:r>
    </w:p>
    <w:p>
      <w:pPr>
        <w:pStyle w:val="FirstParagraph"/>
      </w:pPr>
      <w:r>
        <w:t xml:space="preserve">I sought to include studies that examined blood lipid levels as a risk factor for dementia outcomes, defined either as binary hypercholesterolemia variable or by category/1-standard-deviation increase in a specific lipid fraction (total cholesterol, high- and low-density lipoprotein cholesterol and triglycerides). I also aimed to include studies examining the effect of lipid-regulating agents (LRA) as a source of indirect evidence. LRA are treatments used to modify blood lipids levels, and common examples include statins, fibrates, and ezetimibe.</w:t>
      </w:r>
    </w:p>
    <w:p>
      <w:pPr>
        <w:pStyle w:val="BodyText"/>
      </w:pPr>
      <w:r>
        <w:t xml:space="preserve">Eligible study designs were randomized controlled trials of LRA, cohort studies examining blood lipids or LRA, and genetic instrumental variable studies (more commonly known as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No limits were placed on the sample size of included studies. Eligible studies defined dementia outcomes according to recognised criteria. Examples of acceptable criteria included the International Classification of Diseases (ICD),</w:t>
      </w:r>
      <w:hyperlink w:anchor="ref-organizationwho1993">
        <w:r>
          <w:rPr>
            <w:rStyle w:val="Hyperlink"/>
            <w:vertAlign w:val="superscript"/>
          </w:rPr>
          <w:t xml:space="preserve">138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11</w:t>
        </w:r>
      </w:hyperlink>
      <w:r>
        <w:t xml:space="preserve"> </w:t>
      </w:r>
      <w:r>
        <w:t xml:space="preserve">or Diagnostic and Statistical Manual of Mental Disorders (DSM) criteria.</w:t>
      </w:r>
      <w:hyperlink w:anchor="ref-edition2013">
        <w:r>
          <w:rPr>
            <w:rStyle w:val="Hyperlink"/>
            <w:vertAlign w:val="superscript"/>
          </w:rPr>
          <w:t xml:space="preserve">1</w:t>
        </w:r>
      </w:hyperlink>
      <w:r>
        <w:t xml:space="preserve"> </w:t>
      </w:r>
      <w:r>
        <w:t xml:space="preserve">Studies utilising electronic health records were the sole exception to this, as it was assumed that health care professionals employed their own expertise when entering the outcome into the EHR.</w:t>
      </w:r>
    </w:p>
    <w:p>
      <w:pPr>
        <w:pStyle w:val="BodyText"/>
      </w:pPr>
      <w:r>
        <w:t xml:space="preserve">Conference abstracts with no corresponding full-text publication were eligible, and where required, I contacted authors to obtain relevant additional information not available from the abstract. No limitations were imposed on publication status, date, venue or language.</w:t>
      </w:r>
    </w:p>
    <w:p>
      <w:pPr>
        <w:pStyle w:val="BodyText"/>
      </w:pPr>
      <w:r>
        <w:t xml:space="preserve"> </w:t>
      </w:r>
    </w:p>
    <w:bookmarkEnd w:id="85"/>
    <w:bookmarkStart w:id="8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an attempt to map these scores to ordinal groups (e.g. no dementia/dementia).</w:t>
      </w:r>
      <w:hyperlink w:anchor="ref-tennant2021">
        <w:r>
          <w:rPr>
            <w:rStyle w:val="Hyperlink"/>
            <w:vertAlign w:val="superscript"/>
          </w:rPr>
          <w:t xml:space="preserve">139</w:t>
        </w:r>
      </w:hyperlink>
      <w:r>
        <w:t xml:space="preserve"> </w:t>
      </w:r>
      <w:r>
        <w:t xml:space="preserve">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and studies where there was no screening for dementia at baseline were excluded. An exception to the latter criteria was made if the sample was initially assessed in mid-life (i.e. below the age of 50) were excluded. Additionally, studies implementing a</w:t>
      </w:r>
      <w:r>
        <w:t xml:space="preserve"> </w:t>
      </w:r>
      <w:r>
        <w:t xml:space="preserve">“</w:t>
      </w:r>
      <w:r>
        <w:t xml:space="preserve">multi-domain intervention</w:t>
      </w:r>
      <w:r>
        <w:t xml:space="preserve">”</w:t>
      </w:r>
      <w:r>
        <w:t xml:space="preserve"> </w:t>
      </w:r>
      <w:r>
        <w:t xml:space="preserve">where a lipid-regulating agent is included in each arm were excluded. For example, a study examining exercise + statins versus statins alone would be excluded, but a study examining exercise + statins vs exercise alone would be eligible as the effect of statins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
      </w:r>
    </w:p>
    <w:p>
      <w:pPr>
        <w:pStyle w:val="BodyText"/>
      </w:pPr>
      <w:r>
        <w:t xml:space="preserve"> </w:t>
      </w:r>
    </w:p>
    <w:bookmarkEnd w:id="86"/>
    <w:bookmarkEnd w:id="87"/>
    <w:bookmarkStart w:id="88" w:name="information-sources-and-search-strategy"/>
    <w:p>
      <w:pPr>
        <w:pStyle w:val="Heading3"/>
      </w:pPr>
      <w:r>
        <w:t xml:space="preserve">Information sources and 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in June 2019 from inception onwards: Medline, EMBASE, Psychinfo, Cochrane Central Register of Controlled Trials (CENTRAL), and Web of Science Core Collection. As the contents of the Web of Science Core Collection can vary by institution,</w:t>
      </w:r>
      <w:hyperlink w:anchor="ref-gusenbauer2020">
        <w:r>
          <w:rPr>
            <w:rStyle w:val="Hyperlink"/>
            <w:vertAlign w:val="superscript"/>
          </w:rPr>
          <w:t xml:space="preserve">112</w:t>
        </w:r>
      </w:hyperlink>
      <w:r>
        <w:t xml:space="preserve"> </w:t>
      </w:r>
      <w:r>
        <w:t xml:space="preserve">the specific databases and date ranges for each database searched via this platform are listed in Appendix</w:t>
      </w:r>
      <w:r>
        <w:t xml:space="preserve"> </w:t>
      </w:r>
      <w:r>
        <w:t xml:space="preserve">10.3.3</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10.3.2</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10.3.2</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(Lines 9-11 in Table</w:t>
      </w:r>
      <w:r>
        <w:t xml:space="preserve"> </w:t>
      </w:r>
      <w:r>
        <w:t xml:space="preserve">5</w:t>
      </w:r>
      <w:r>
        <w:t xml:space="preserve">) were employed to try to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10.3.4</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forward and reverse citation searching (</w:t>
      </w:r>
      <w:r>
        <w:t xml:space="preserve">“</w:t>
      </w:r>
      <w:r>
        <w:t xml:space="preserve">snowballing</w:t>
      </w:r>
      <w:r>
        <w:t xml:space="preserve">”</w:t>
      </w:r>
      <w:r>
        <w:t xml:space="preserve">) was performed using Google Scholar.</w:t>
      </w:r>
      <w:hyperlink w:anchor="ref-greenhalgh2005">
        <w:r>
          <w:rPr>
            <w:rStyle w:val="Hyperlink"/>
            <w:vertAlign w:val="superscript"/>
          </w:rPr>
          <w:t xml:space="preserve">140</w:t>
        </w:r>
      </w:hyperlink>
      <w:r>
        <w:rPr>
          <w:vertAlign w:val="superscript"/>
        </w:rPr>
        <w:t xml:space="preserve">,</w:t>
      </w:r>
      <w:hyperlink w:anchor="ref-wohlin2014">
        <w:r>
          <w:rPr>
            <w:rStyle w:val="Hyperlink"/>
            <w:vertAlign w:val="superscript"/>
          </w:rPr>
          <w:t xml:space="preserve">141</w:t>
        </w:r>
      </w:hyperlink>
    </w:p>
    <w:p>
      <w:pPr>
        <w:pStyle w:val="BodyText"/>
      </w:pPr>
      <w:r>
        <w:t xml:space="preserve"> </w:t>
      </w:r>
      <w:r>
        <w:t xml:space="preserve"> </w:t>
      </w:r>
    </w:p>
    <w:bookmarkEnd w:id="88"/>
    <w:bookmarkStart w:id="89"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142</w:t>
        </w:r>
      </w:hyperlink>
      <w:r>
        <w:t xml:space="preserve"> </w:t>
      </w:r>
      <w:r>
        <w:t xml:space="preserve">In summary, this method uses multiple stages to identify potential duplicates. The initial step involves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and is followed by manual review of articles with less overlap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and Rayyan. Endnote is a citation management tool,</w:t>
      </w:r>
      <w:hyperlink w:anchor="ref-hupe2019">
        <w:r>
          <w:rPr>
            <w:rStyle w:val="Hyperlink"/>
            <w:vertAlign w:val="superscript"/>
          </w:rPr>
          <w:t xml:space="preserve">143</w:t>
        </w:r>
      </w:hyperlink>
      <w:r>
        <w:t xml:space="preserve"> </w:t>
      </w:r>
      <w:r>
        <w:t xml:space="preserve">and Rayyan is a web-based screening application.</w:t>
      </w:r>
      <w:hyperlink w:anchor="ref-ouzzani2016">
        <w:r>
          <w:rPr>
            <w:rStyle w:val="Hyperlink"/>
            <w:vertAlign w:val="superscript"/>
          </w:rPr>
          <w:t xml:space="preserve">144</w:t>
        </w:r>
      </w:hyperlink>
      <w:r>
        <w:t xml:space="preserve"> </w:t>
      </w:r>
      <w:r>
        <w:t xml:space="preserve">Title and abstract screening to remove obviously irrelevant records was performed,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by a second reviewer. Additionally, any records I identified as being difficult to assess against the inclusion criteria were also screened by the second reviewer.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145</w:t>
        </w:r>
      </w:hyperlink>
    </w:p>
    <w:p>
      <w:pPr>
        <w:pStyle w:val="BodyText"/>
      </w:pPr>
      <w:r>
        <w:t xml:space="preserve"> </w:t>
      </w:r>
    </w:p>
    <w:bookmarkEnd w:id="89"/>
    <w:bookmarkStart w:id="90"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146</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146</w:t>
        </w:r>
      </w:hyperlink>
      <w:r>
        <w:t xml:space="preserve"> </w:t>
      </w:r>
      <w:r>
        <w:t xml:space="preserve">Given the small number of included studies in this review as a proportion of the total number screened, this is a useful characteristic.</w:t>
      </w:r>
    </w:p>
    <w:p>
      <w:pPr>
        <w:pStyle w:val="BodyText"/>
      </w:pPr>
      <w:r>
        <w:t xml:space="preserve">Interpretion of agreement coefficients is a widely debated topic, and while arbitrary cut-off values may mislead readers,</w:t>
      </w:r>
      <w:hyperlink w:anchor="ref-brennan1992">
        <w:r>
          <w:rPr>
            <w:rStyle w:val="Hyperlink"/>
            <w:vertAlign w:val="superscript"/>
          </w:rPr>
          <w:t xml:space="preserve">149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150</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demonstrates an issue with the screening process (defined as an AC1 of less than 0.9), it indicates the need for a larger proportion of records to be dual-screened.</w:t>
      </w:r>
    </w:p>
    <w:p>
      <w:pPr>
        <w:pStyle w:val="BodyText"/>
      </w:pPr>
      <w:r>
        <w:t xml:space="preserve"> </w:t>
      </w:r>
      <w:r>
        <w:t xml:space="preserve"> </w:t>
      </w:r>
    </w:p>
    <w:bookmarkEnd w:id="90"/>
    <w:bookmarkStart w:id="95" w:name="data-extraction"/>
    <w:p>
      <w:pPr>
        <w:pStyle w:val="Heading3"/>
      </w:pPr>
      <w:r>
        <w:t xml:space="preserve">Data extraction</w:t>
      </w:r>
    </w:p>
    <w:p>
      <w:pPr>
        <w:pStyle w:val="FirstParagraph"/>
      </w:pPr>
      <w:r>
        <w:t xml:space="preserve">Data extraction was performed using a piloted data extraction form. I extracted all data in the first instance, which was subsequently checked for accuracy by a second member of the review team. Extracted items included:</w:t>
      </w:r>
    </w:p>
    <w:p>
      <w:pPr>
        <w:numPr>
          <w:ilvl w:val="0"/>
          <w:numId w:val="1010"/>
        </w:numPr>
        <w:pStyle w:val="Compact"/>
      </w:pPr>
      <w:r>
        <w:t xml:space="preserve">Article metadata: year of publication, author, journal)</w:t>
      </w:r>
    </w:p>
    <w:p>
      <w:pPr>
        <w:numPr>
          <w:ilvl w:val="0"/>
          <w:numId w:val="1010"/>
        </w:numPr>
        <w:pStyle w:val="Compact"/>
      </w:pPr>
      <w:r>
        <w:t xml:space="preserve">Study characteristics: study location, data source, exposure, outcomes, diagnostic criteria used)</w:t>
      </w:r>
    </w:p>
    <w:p>
      <w:pPr>
        <w:numPr>
          <w:ilvl w:val="0"/>
          <w:numId w:val="1010"/>
        </w:numPr>
        <w:pStyle w:val="Compact"/>
      </w:pPr>
      <w:r>
        <w:t xml:space="preserve">Patient characteristics: age, sex, baseline cognition scores, baseline education scores</w:t>
      </w:r>
    </w:p>
    <w:p>
      <w:pPr>
        <w:numPr>
          <w:ilvl w:val="0"/>
          <w:numId w:val="1010"/>
        </w:numPr>
        <w:pStyle w:val="Compact"/>
      </w:pPr>
      <w:r>
        <w:t xml:space="preserve">Results: exposure, outcome, effect measure, effect estimate, error estimate, p-value).</w:t>
      </w:r>
    </w:p>
    <w:p>
      <w:pPr>
        <w:pStyle w:val="FirstParagraph"/>
      </w:pPr>
      <w:r>
        <w:t xml:space="preserve"> </w:t>
      </w:r>
    </w:p>
    <w:bookmarkStart w:id="91" w:name="grouping-multiple-reports-into-studies"/>
    <w:p>
      <w:pPr>
        <w:pStyle w:val="Heading4"/>
      </w:pPr>
      <w:r>
        <w:t xml:space="preserve">Grouping multiple reports into studies</w:t>
      </w:r>
    </w:p>
    <w:p>
      <w:pPr>
        <w:pStyle w:val="FirstParagraph"/>
      </w:pPr>
      <w:r>
        <w:t xml:space="preserve">As part of the data extraction process, multiple records resulting from a single analysis were included and grouped into single units, hereafter called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decision was taken due to the potential for the published version to offer some information that the preprint did not, and vice versa.</w:t>
      </w:r>
    </w:p>
    <w:p>
      <w:pPr>
        <w:pStyle w:val="BodyText"/>
      </w:pPr>
      <w:r>
        <w:t xml:space="preserve"> </w:t>
      </w:r>
    </w:p>
    <w:bookmarkEnd w:id="91"/>
    <w:bookmarkStart w:id="92" w:name="combining-across-groups"/>
    <w:p>
      <w:pPr>
        <w:pStyle w:val="Heading4"/>
      </w:pPr>
      <w:r>
        <w:t xml:space="preserve">Combining across groups</w:t>
      </w:r>
    </w:p>
    <w:p>
      <w:pPr>
        <w:pStyle w:val="FirstParagraph"/>
      </w:pPr>
      <w:r>
        <w:t xml:space="preserve">In line with best practice, where summary data were presented across two groups (e.g. age at baseline stratified by hypercholesterolemia status), the following approach was used to combine the groups:</w:t>
      </w:r>
      <w:hyperlink w:anchor="ref-higgins2019">
        <w:r>
          <w:rPr>
            <w:rStyle w:val="Hyperlink"/>
            <w:vertAlign w:val="superscript"/>
          </w:rPr>
          <w:t xml:space="preserve">151</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M</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where</w:t>
      </w:r>
      <w:r>
        <w:t xml:space="preserve"> </w:t>
      </w:r>
      <m:oMath>
        <m:sSub>
          <m:e>
            <m:r>
              <m:t>N</m:t>
            </m:r>
          </m:e>
          <m:sub>
            <m:r>
              <m:t>i</m:t>
            </m:r>
          </m:sub>
        </m:sSub>
      </m:oMath>
      <w:r>
        <w:t xml:space="preserve">,</w:t>
      </w:r>
      <w:r>
        <w:t xml:space="preserve"> </w:t>
      </w:r>
      <m:oMath>
        <m:sSub>
          <m:e>
            <m:r>
              <m:t>M</m:t>
            </m:r>
          </m:e>
          <m:sub>
            <m:r>
              <m:t>i</m:t>
            </m:r>
          </m:sub>
        </m:sSub>
      </m:oMath>
      <w:r>
        <w:t xml:space="preserve"> </w:t>
      </w:r>
      <w:r>
        <w:t xml:space="preserve">and</w:t>
      </w:r>
      <w:r>
        <w:t xml:space="preserve"> </w:t>
      </w:r>
      <m:oMath>
        <m:r>
          <m:t>S</m:t>
        </m:r>
        <m:sSub>
          <m:e>
            <m:r>
              <m:t>D</m:t>
            </m:r>
          </m:e>
          <m:sub>
            <m:r>
              <m:t>i</m:t>
            </m:r>
          </m:sub>
        </m:sSub>
      </m:oMath>
      <w:r>
        <w:t xml:space="preserve"> </w:t>
      </w:r>
      <w:r>
        <w:t xml:space="preserve">denote the number of participants, mean and standard deviation in the</w:t>
      </w:r>
      <w:r>
        <w:t xml:space="preserve"> </w:t>
      </w:r>
      <m:oMath>
        <m:r>
          <m:t>i</m:t>
        </m:r>
      </m:oMath>
      <w:r>
        <w:t xml:space="preserve">th subgroup. This approach was implemented in a systematic manner, with the raw group data being extracted and a cleaning script employed to combine the groups for analysis.</w:t>
      </w:r>
    </w:p>
    <w:p>
      <w:pPr>
        <w:pStyle w:val="BodyText"/>
      </w:pPr>
      <w:r>
        <w:t xml:space="preserve"> </w:t>
      </w:r>
    </w:p>
    <w:bookmarkEnd w:id="92"/>
    <w:bookmarkStart w:id="93"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w:t>
      </w:r>
      <w:hyperlink w:anchor="ref-rugge2011">
        <w:r>
          <w:rPr>
            <w:rStyle w:val="Hyperlink"/>
            <w:vertAlign w:val="superscript"/>
          </w:rPr>
          <w:t xml:space="preserve">152</w:t>
        </w:r>
      </w:hyperlink>
      <w:r>
        <w:t xml:space="preserve"> </w:t>
      </w:r>
      <w:r>
        <w:t xml:space="preserve">The choice of</w:t>
      </w:r>
      <w:r>
        <w:t xml:space="preserve"> </w:t>
      </w:r>
      <w:r>
        <w:rPr>
          <w:iCs/>
          <w:i/>
        </w:rPr>
        <w:t xml:space="preserve">mg/dL</w:t>
      </w:r>
      <w:r>
        <w:t xml:space="preserve"> </w:t>
      </w:r>
      <w:r>
        <w:t xml:space="preserve">was influenced by the widely-used categories of lipids levels on the</w:t>
      </w:r>
      <w:r>
        <w:t xml:space="preserve"> </w:t>
      </w:r>
      <w:r>
        <w:rPr>
          <w:iCs/>
          <w:i/>
        </w:rPr>
        <w:t xml:space="preserve">mg/dL</w:t>
      </w:r>
      <w:r>
        <w:t xml:space="preserve"> </w:t>
      </w:r>
      <w:r>
        <w:t xml:space="preserve">scale, as shown in Table</w:t>
      </w:r>
      <w:r>
        <w:t xml:space="preserve"> </w:t>
      </w:r>
      <w:r>
        <w:t xml:space="preserve">2</w:t>
      </w:r>
      <w:r>
        <w:t xml:space="preserve"> </w:t>
      </w:r>
      <w:r>
        <w:t xml:space="preserve">in Section</w:t>
      </w:r>
      <w:r>
        <w:t xml:space="preserve"> </w:t>
      </w:r>
      <w:r>
        <w:t xml:space="preserve">1.3.1</w:t>
      </w:r>
      <w:r>
        <w:t xml:space="preserve">.</w:t>
      </w:r>
    </w:p>
    <w:p>
      <w:pPr>
        <w:pStyle w:val="BodyText"/>
      </w:pPr>
      <w:r>
        <w:t xml:space="preserve"> </w:t>
      </w:r>
    </w:p>
    <w:bookmarkEnd w:id="93"/>
    <w:bookmarkStart w:id="94" w:name="contacting-authors"/>
    <w:p>
      <w:pPr>
        <w:pStyle w:val="Heading4"/>
      </w:pPr>
      <w:r>
        <w:t xml:space="preserve">Following up with authors</w:t>
      </w:r>
    </w:p>
    <w:p>
      <w:pPr>
        <w:pStyle w:val="FirstParagraph"/>
      </w:pPr>
      <w:r>
        <w:t xml:space="preserve">Where additional data, not included in the report of an analysis, were required either for data extraction or risk-of-bias assessment, the corresponding author of the study was contacted. This approach was taken due to the potentially large impact of additional information obtained through contact with study authors on the results of the review.</w:t>
      </w:r>
      <w:hyperlink w:anchor="ref-reynders2019">
        <w:r>
          <w:rPr>
            <w:rStyle w:val="Hyperlink"/>
            <w:vertAlign w:val="superscript"/>
          </w:rPr>
          <w:t xml:space="preserve">153</w:t>
        </w:r>
      </w:hyperlink>
    </w:p>
    <w:p>
      <w:pPr>
        <w:pStyle w:val="BodyText"/>
      </w:pPr>
      <w:r>
        <w:t xml:space="preserve"> </w:t>
      </w:r>
    </w:p>
    <w:bookmarkEnd w:id="94"/>
    <w:bookmarkEnd w:id="95"/>
    <w:bookmarkStart w:id="100" w:name="risk-of-bias"/>
    <w:p>
      <w:pPr>
        <w:pStyle w:val="Heading3"/>
      </w:pPr>
      <w:r>
        <w:t xml:space="preserve">Risk-of-bias assessment</w:t>
      </w:r>
    </w:p>
    <w:p>
      <w:pPr>
        <w:pStyle w:val="FirstParagraph"/>
      </w:pPr>
      <w:r>
        <w:t xml:space="preserve">A key aim of the review presented here is to identify different sources of evidence at risk of a diverse range of biases, and to contrast and compare findings across them (see Section</w:t>
      </w:r>
      <w:r>
        <w:t xml:space="preserve"> </w:t>
      </w:r>
      <w:r>
        <w:t xml:space="preserve">7.1</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154</w:t>
        </w:r>
      </w:hyperlink>
      <w:r>
        <w:rPr>
          <w:vertAlign w:val="superscript"/>
        </w:rPr>
        <w:t xml:space="preserve">,</w:t>
      </w:r>
      <w:hyperlink w:anchor="ref-sterne2016">
        <w:r>
          <w:rPr>
            <w:rStyle w:val="Hyperlink"/>
            <w:vertAlign w:val="superscript"/>
          </w:rPr>
          <w:t xml:space="preserve">155</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156</w:t>
        </w:r>
      </w:hyperlink>
      <w:r>
        <w:rPr>
          <w:vertAlign w:val="superscript"/>
        </w:rPr>
        <w:t xml:space="preserve">,</w:t>
      </w:r>
      <w:hyperlink w:anchor="ref-juni2001">
        <w:r>
          <w:rPr>
            <w:rStyle w:val="Hyperlink"/>
            <w:vertAlign w:val="superscript"/>
          </w:rPr>
          <w:t xml:space="preserve">157</w:t>
        </w:r>
      </w:hyperlink>
    </w:p>
    <w:p>
      <w:pPr>
        <w:pStyle w:val="BodyText"/>
      </w:pPr>
      <w:r>
        <w:t xml:space="preserve">This move was prompted by an unclear definition of methodological quality which could include facets such as unclear reporting, in addition to challenges in the comparison of results from different tools.</w:t>
      </w:r>
      <w:r>
        <w:t xml:space="preserve"> </w:t>
      </w:r>
      <w:r>
        <w:t xml:space="preserve"> </w:t>
      </w:r>
      <w:r>
        <w:t xml:space="preserve">As part of this shift, the focus moved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6" w:name="randomised-controlled-trials-1"/>
    <w:p>
      <w:pPr>
        <w:pStyle w:val="Heading4"/>
      </w:pPr>
      <w:r>
        <w:t xml:space="preserve">Randomised controlled trials</w:t>
      </w:r>
    </w:p>
    <w:p>
      <w:pPr>
        <w:pStyle w:val="FirstParagraph"/>
      </w:pPr>
      <w:r>
        <w:t xml:space="preserve">Randomised controlled trials were assessed using the RoB 2 tool.</w:t>
      </w:r>
      <w:hyperlink w:anchor="ref-sterne2019">
        <w:r>
          <w:rPr>
            <w:rStyle w:val="Hyperlink"/>
            <w:vertAlign w:val="superscript"/>
          </w:rPr>
          <w:t xml:space="preserve">158</w:t>
        </w:r>
      </w:hyperlink>
      <w:r>
        <w:t xml:space="preserve"> </w:t>
      </w:r>
      <w:r>
        <w:t xml:space="preserve">The tool assesses the risk of bias across five domains:</w:t>
      </w:r>
    </w:p>
    <w:p>
      <w:pPr>
        <w:numPr>
          <w:ilvl w:val="0"/>
          <w:numId w:val="1011"/>
        </w:numPr>
        <w:pStyle w:val="Compact"/>
      </w:pPr>
      <w:r>
        <w:t xml:space="preserve">bias arising from the randomization process,</w:t>
      </w:r>
    </w:p>
    <w:p>
      <w:pPr>
        <w:numPr>
          <w:ilvl w:val="0"/>
          <w:numId w:val="1011"/>
        </w:numPr>
        <w:pStyle w:val="Compact"/>
      </w:pPr>
      <w:r>
        <w:t xml:space="preserve">bias due to deviations from intended intervention,</w:t>
      </w:r>
    </w:p>
    <w:p>
      <w:pPr>
        <w:numPr>
          <w:ilvl w:val="0"/>
          <w:numId w:val="1011"/>
        </w:numPr>
        <w:pStyle w:val="Compact"/>
      </w:pPr>
      <w:r>
        <w:t xml:space="preserve">bias due to missing outcome data,</w:t>
      </w:r>
    </w:p>
    <w:p>
      <w:pPr>
        <w:numPr>
          <w:ilvl w:val="0"/>
          <w:numId w:val="1011"/>
        </w:numPr>
        <w:pStyle w:val="Compact"/>
      </w:pPr>
      <w:r>
        <w:t xml:space="preserve">bias in measurement of the outcome,</w:t>
      </w:r>
    </w:p>
    <w:p>
      <w:pPr>
        <w:numPr>
          <w:ilvl w:val="0"/>
          <w:numId w:val="1011"/>
        </w:numPr>
        <w:pStyle w:val="Compact"/>
      </w:pPr>
      <w:r>
        <w:t xml:space="preserve">bias in selection of the reported result.</w:t>
      </w:r>
    </w:p>
    <w:p>
      <w:pPr>
        <w:pStyle w:val="FirstParagraph"/>
      </w:pPr>
      <w:r>
        <w:t xml:space="preserve">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6"/>
    <w:bookmarkStart w:id="97"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155</w:t>
        </w:r>
      </w:hyperlink>
      <w:r>
        <w:t xml:space="preserve"> </w:t>
      </w:r>
      <w:r>
        <w:t xml:space="preserve">This tool assess the risk of bias across seven domains:</w:t>
      </w:r>
    </w:p>
    <w:p>
      <w:pPr>
        <w:numPr>
          <w:ilvl w:val="0"/>
          <w:numId w:val="1012"/>
        </w:numPr>
        <w:pStyle w:val="Compact"/>
      </w:pPr>
      <w:r>
        <w:t xml:space="preserve">bias due to confounding,</w:t>
      </w:r>
    </w:p>
    <w:p>
      <w:pPr>
        <w:numPr>
          <w:ilvl w:val="0"/>
          <w:numId w:val="1012"/>
        </w:numPr>
        <w:pStyle w:val="Compact"/>
      </w:pPr>
      <w:r>
        <w:t xml:space="preserve">bias due to selection of participants,</w:t>
      </w:r>
    </w:p>
    <w:p>
      <w:pPr>
        <w:numPr>
          <w:ilvl w:val="0"/>
          <w:numId w:val="1012"/>
        </w:numPr>
        <w:pStyle w:val="Compact"/>
      </w:pPr>
      <w:r>
        <w:t xml:space="preserve">bias in classification of interventions,</w:t>
      </w:r>
    </w:p>
    <w:p>
      <w:pPr>
        <w:numPr>
          <w:ilvl w:val="0"/>
          <w:numId w:val="1012"/>
        </w:numPr>
        <w:pStyle w:val="Compact"/>
      </w:pPr>
      <w:r>
        <w:t xml:space="preserve">bias due to deviations from intended interventions,</w:t>
      </w:r>
    </w:p>
    <w:p>
      <w:pPr>
        <w:numPr>
          <w:ilvl w:val="0"/>
          <w:numId w:val="1012"/>
        </w:numPr>
        <w:pStyle w:val="Compact"/>
      </w:pPr>
      <w:r>
        <w:t xml:space="preserve">bias due to missing data,</w:t>
      </w:r>
    </w:p>
    <w:p>
      <w:pPr>
        <w:numPr>
          <w:ilvl w:val="0"/>
          <w:numId w:val="1012"/>
        </w:numPr>
        <w:pStyle w:val="Compact"/>
      </w:pPr>
      <w:r>
        <w:t xml:space="preserve">bias in measurement of outcomes, and</w:t>
      </w:r>
    </w:p>
    <w:p>
      <w:pPr>
        <w:numPr>
          <w:ilvl w:val="0"/>
          <w:numId w:val="1012"/>
        </w:numPr>
        <w:pStyle w:val="Compact"/>
      </w:pPr>
      <w:r>
        <w:t xml:space="preserve">bias in selection of the reported result.</w:t>
      </w:r>
    </w:p>
    <w:p>
      <w:pPr>
        <w:pStyle w:val="FirstParagraph"/>
      </w:pPr>
      <w:r>
        <w:t xml:space="preserve">Similar to RoB 2, it has a number of signaling questions which inform the domain-level judgement, with acceptable judgements including</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serious</w:t>
      </w:r>
      <w:r>
        <w:t xml:space="preserve">”</w:t>
      </w:r>
      <w:r>
        <w:t xml:space="preserve"> </w:t>
      </w:r>
      <w:r>
        <w:t xml:space="preserve">and</w:t>
      </w:r>
      <w:r>
        <w:t xml:space="preserve"> </w:t>
      </w:r>
      <w:r>
        <w:t xml:space="preserve">“</w:t>
      </w:r>
      <w:r>
        <w:t xml:space="preserve">critical</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that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159</w:t>
        </w:r>
      </w:hyperlink>
      <w:r>
        <w:t xml:space="preserve"> </w:t>
      </w:r>
      <w:r>
        <w:t xml:space="preserve">it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160</w:t>
        </w:r>
      </w:hyperlink>
      <w:r>
        <w:t xml:space="preserve"> </w:t>
      </w:r>
      <w:r>
        <w:t xml:space="preserve">The version had no signaling questions and so judgements, using the same four levels of risk of bias as ROBINS-I, were made at the domain level. The motivation for using this tool above other established tools such as the Newcastle-Ottowa scale (NOS)</w:t>
      </w:r>
      <w:hyperlink w:anchor="ref-wells2000">
        <w:r>
          <w:rPr>
            <w:rStyle w:val="Hyperlink"/>
            <w:vertAlign w:val="superscript"/>
          </w:rPr>
          <w:t xml:space="preserve">161</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97"/>
    <w:bookmarkStart w:id="98"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randomization studies was informed by the approach used in a previous systematic review of Mendelian randomisation,</w:t>
      </w:r>
      <w:hyperlink w:anchor="ref-mamluk2020">
        <w:r>
          <w:rPr>
            <w:rStyle w:val="Hyperlink"/>
            <w:vertAlign w:val="superscript"/>
          </w:rPr>
          <w:t xml:space="preserve">162</w:t>
        </w:r>
      </w:hyperlink>
      <w:r>
        <w:t xml:space="preserve"> </w:t>
      </w:r>
      <w:r>
        <w:t xml:space="preserve">as identified by a review of risk-of-bias assessments in systematic reviews of Mendelian randomisation studies.</w:t>
      </w:r>
      <w:hyperlink w:anchor="ref-spiga2021">
        <w:r>
          <w:rPr>
            <w:rStyle w:val="Hyperlink"/>
            <w:vertAlign w:val="superscript"/>
          </w:rPr>
          <w:t xml:space="preserve">163</w:t>
        </w:r>
      </w:hyperlink>
      <w:r>
        <w:t xml:space="preserve"> </w:t>
      </w:r>
      <w:r>
        <w:t xml:space="preserve">Advanced results from this review were obtained from contact with the review authors. A copy of this tool is available in Appendix</w:t>
      </w:r>
      <w:r>
        <w:t xml:space="preserve"> </w:t>
      </w:r>
      <w:r>
        <w:t xml:space="preserve">10.3.6</w:t>
      </w:r>
      <w:r>
        <w:t xml:space="preserve">, but in summary, results were assessed for bias arising from weak instruments, genetic and other confounding, pleiotropy and population stratification. Acceptable judgements for each of the five domains in the tool were</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98"/>
    <w:bookmarkStart w:id="99"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as distinct from the selective reporting of a single result from multiple planned analyses. The assessment was performed using the forthcoming RoB-ME (Risk of Bias due to Missing Evidence in a synthesis) tool.</w:t>
      </w:r>
      <w:hyperlink w:anchor="ref-zotero-15123">
        <w:r>
          <w:rPr>
            <w:rStyle w:val="Hyperlink"/>
            <w:vertAlign w:val="superscript"/>
          </w:rPr>
          <w:t xml:space="preserve">164</w:t>
        </w:r>
      </w:hyperlink>
      <w:r>
        <w:t xml:space="preserve"> </w:t>
      </w:r>
      <w:r>
        <w:t xml:space="preserve"> </w:t>
      </w:r>
      <w:r>
        <w:t xml:space="preserve">The tool is in development stages, and as part of this review, I piloted the tool and provided feedback to the developers.</w:t>
      </w:r>
    </w:p>
    <w:p>
      <w:pPr>
        <w:pStyle w:val="BodyText"/>
      </w:pPr>
      <w:r>
        <w:t xml:space="preserve">This additional appraisal marks a departure from the registered protocol, as there was initially no intention to try to examine the risk of bias due to missing evidence. This is largely because the tool did not exist when the protocol was registered.</w:t>
      </w:r>
    </w:p>
    <w:p>
      <w:pPr>
        <w:pStyle w:val="BodyText"/>
      </w:pPr>
      <w:r>
        <w:t xml:space="preserve"> </w:t>
      </w:r>
    </w:p>
    <w:bookmarkEnd w:id="99"/>
    <w:bookmarkEnd w:id="100"/>
    <w:bookmarkStart w:id="107" w:name="analysis-methods"/>
    <w:p>
      <w:pPr>
        <w:pStyle w:val="Heading3"/>
      </w:pPr>
      <w:r>
        <w:t xml:space="preserve">Analysis methods</w:t>
      </w:r>
    </w:p>
    <w:p>
      <w:pPr>
        <w:pStyle w:val="FirstParagraph"/>
      </w:pPr>
      <w:r>
        <w:t xml:space="preserve">An initial qualitative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 </w:t>
      </w:r>
      <w:r>
        <w:t xml:space="preserve"> </w:t>
      </w:r>
    </w:p>
    <w:bookmarkStart w:id="101" w:name="sys-rev-analysis-overview"/>
    <w:p>
      <w:pPr>
        <w:pStyle w:val="Heading4"/>
      </w:pPr>
      <w:r>
        <w:t xml:space="preserve">Analysis overview</w:t>
      </w:r>
    </w:p>
    <w:p>
      <w:pPr>
        <w:pStyle w:val="FirstParagraph"/>
      </w:pPr>
      <w:r>
        <w:t xml:space="preserve">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
      </w:r>
      <w:r>
        <w:t xml:space="preserve"> </w:t>
      </w:r>
      <w:r>
        <w:t xml:space="preserve">8</w:t>
      </w:r>
      <w:r>
        <w:t xml:space="preserve">. Similarly, analyses are presented separately for each dementia outcome of interest (all-cause dementia, Alzheimer’s disease, vascular dementia).</w:t>
      </w:r>
    </w:p>
    <w:p>
      <w:pPr>
        <w:pStyle w:val="BodyText"/>
      </w:pPr>
      <w:r>
        <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
      </w:r>
      <w:hyperlink w:anchor="ref-mckenzie2019">
        <w:r>
          <w:rPr>
            <w:rStyle w:val="Hyperlink"/>
            <w:vertAlign w:val="superscript"/>
          </w:rPr>
          <w:t xml:space="preserve">165</w:t>
        </w:r>
      </w:hyperlink>
      <w:r>
        <w:t xml:space="preserve"> </w:t>
      </w:r>
      <w:r>
        <w:t xml:space="preserve">However if the outcome is rare, as is the case for dementia outcomes, the estimated odds, risk and hazard ratios will approximate each other.</w:t>
      </w:r>
      <w:hyperlink w:anchor="ref-vanderweele2020">
        <w:r>
          <w:rPr>
            <w:rStyle w:val="Hyperlink"/>
            <w:vertAlign w:val="superscript"/>
          </w:rPr>
          <w:t xml:space="preserve">166</w:t>
        </w:r>
      </w:hyperlink>
      <w:r>
        <w:t xml:space="preserve"> </w:t>
      </w:r>
      <w:r>
        <w:t xml:space="preserve">As such, I did not stratify the analyses by reported effect measure.</w:t>
      </w:r>
    </w:p>
    <w:p>
      <w:pPr>
        <w:pStyle w:val="BodyText"/>
      </w:pPr>
      <w:r>
        <w:t xml:space="preserve"> </w:t>
      </w:r>
    </w:p>
    <w:bookmarkEnd w:id="101"/>
    <w:bookmarkStart w:id="102" w:name="random-effects-meta-analysis"/>
    <w:p>
      <w:pPr>
        <w:pStyle w:val="Heading4"/>
      </w:pPr>
      <w:r>
        <w:t xml:space="preserve">Random-effects meta-analysis</w:t>
      </w:r>
    </w:p>
    <w:p>
      <w:pPr>
        <w:pStyle w:val="FirstParagraph"/>
      </w:pPr>
      <w:r>
        <w:t xml:space="preserve">I used a random-effects model in all meta-analyses.</w:t>
      </w:r>
      <w:hyperlink w:anchor="ref-hedges1998">
        <w:r>
          <w:rPr>
            <w:rStyle w:val="Hyperlink"/>
            <w:vertAlign w:val="superscript"/>
          </w:rPr>
          <w:t xml:space="preserve">167</w:t>
        </w:r>
      </w:hyperlink>
      <w:r>
        <w:rPr>
          <w:vertAlign w:val="superscript"/>
        </w:rPr>
        <w:t xml:space="preserve">,</w:t>
      </w:r>
      <w:hyperlink w:anchor="ref-dersimonian1986">
        <w:r>
          <w:rPr>
            <w:rStyle w:val="Hyperlink"/>
            <w:vertAlign w:val="superscript"/>
          </w:rPr>
          <w:t xml:space="preserve">168</w:t>
        </w:r>
      </w:hyperlink>
      <w:r>
        <w:t xml:space="preserve"> </w:t>
      </w:r>
      <w:r>
        <w:t xml:space="preserve">Random-effects meta-analysis does not assume one true underlying effect, but rather allows for a distribution of true effects with variance</w:t>
      </w:r>
      <w:r>
        <w:t xml:space="preserve"> </w:t>
      </w:r>
      <m:oMath>
        <m:sSup>
          <m:e>
            <m:r>
              <m:t>τ</m:t>
            </m:r>
          </m:e>
          <m:sup>
            <m:r>
              <m:t>2</m:t>
            </m:r>
          </m:sup>
        </m:sSup>
      </m:oMath>
      <w:r>
        <w:t xml:space="preserve">. The result in the</w:t>
      </w:r>
      <w:r>
        <w:t xml:space="preserve"> </w:t>
      </w:r>
      <m:oMath>
        <m:r>
          <m:t>i</m:t>
        </m:r>
      </m:oMath>
      <w:r>
        <w:t xml:space="preserve">th study is denoted as</w:t>
      </w:r>
      <w:r>
        <w:t xml:space="preserve"> </w:t>
      </w:r>
      <m:oMath>
        <m:sSub>
          <m:e>
            <m:r>
              <m:t>y</m:t>
            </m:r>
          </m:e>
          <m:sub>
            <m:r>
              <m:t>i</m:t>
            </m:r>
          </m:sub>
        </m:sSub>
      </m:oMath>
      <w:r>
        <w:t xml:space="preserve">. The weight assigned to this result is then given as the inverse of the variance of that result (</w:t>
      </w:r>
      <m:oMath>
        <m:sSub>
          <m:e>
            <m:r>
              <m:t>v</m:t>
            </m:r>
          </m:e>
          <m:sub>
            <m:r>
              <m:t>i</m:t>
            </m:r>
          </m:sub>
        </m:sSub>
      </m:oMath>
      <w:r>
        <w:t xml:space="preserve">) plus the estimate of between-result variance (</w:t>
      </w:r>
      <m:oMath>
        <m:sSup>
          <m:e>
            <m:r>
              <m:t>τ</m:t>
            </m:r>
          </m:e>
          <m:sup>
            <m:r>
              <m:t>2</m:t>
            </m:r>
          </m:sup>
        </m:sSup>
      </m:oMath>
      <w:r>
        <w:t xml:space="preserve">):</w:t>
      </w:r>
    </w:p>
    <w:p>
      <w:pPr>
        <w:pStyle w:val="BodyText"/>
      </w:pPr>
      <m:oMathPara>
        <m:oMathParaPr>
          <m:jc m:val="center"/>
        </m:oMathParaP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r>
            <m:t>  </m:t>
          </m:r>
          <m:r>
            <m:rPr>
              <m:sty m:val="p"/>
            </m:rPr>
            <m:t>(</m:t>
          </m:r>
          <m:r>
            <m:t>6</m:t>
          </m:r>
          <m:r>
            <m:rPr>
              <m:sty m:val="p"/>
            </m:rPr>
            <m:t>)</m:t>
          </m:r>
        </m:oMath>
      </m:oMathPara>
    </w:p>
    <w:p>
      <w:pPr>
        <w:pStyle w:val="FirstParagraph"/>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7</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8</m:t>
          </m:r>
          <m:r>
            <m:rPr>
              <m:sty m:val="p"/>
            </m:rPr>
            <m:t>)</m:t>
          </m:r>
        </m:oMath>
      </m:oMathPara>
    </w:p>
    <w:p>
      <w:pPr>
        <w:pStyle w:val="FirstParagraph"/>
      </w:pPr>
      <w:r>
        <w:t xml:space="preserve"> </w:t>
      </w:r>
    </w:p>
    <w:p>
      <w:pPr>
        <w:pStyle w:val="BodyText"/>
      </w:pPr>
      <w:r>
        <w:t xml:space="preserve">Results included in each meta-analysis were stratified into subgroups on the basis of the overall risk of bias judgement,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
      </w:r>
      <w:r>
        <w:t xml:space="preserve"> </w:t>
      </w:r>
      <w:r>
        <w:t xml:space="preserve">3.2.9.5</w:t>
      </w:r>
      <w:r>
        <w:t xml:space="preserve">).</w:t>
      </w:r>
      <w:hyperlink w:anchor="ref-deeks2019">
        <w:r>
          <w:rPr>
            <w:rStyle w:val="Hyperlink"/>
            <w:vertAlign w:val="superscript"/>
          </w:rPr>
          <w:t xml:space="preserve">169</w:t>
        </w:r>
      </w:hyperlink>
      <w:r>
        <w:t xml:space="preserve"> </w:t>
      </w:r>
      <w:r>
        <w:t xml:space="preserve">All models were implemented using the</w:t>
      </w:r>
      <w:r>
        <w:t xml:space="preserve"> </w:t>
      </w:r>
      <w:r>
        <w:rPr>
          <w:rStyle w:val="VerbatimChar"/>
        </w:rPr>
        <w:t xml:space="preserve">metafor</w:t>
      </w:r>
      <w:r>
        <w:t xml:space="preserve"> </w:t>
      </w:r>
      <w:r>
        <w:t xml:space="preserve">R package.</w:t>
      </w:r>
      <w:hyperlink w:anchor="ref-R-metafor">
        <w:r>
          <w:rPr>
            <w:rStyle w:val="Hyperlink"/>
            <w:vertAlign w:val="superscript"/>
          </w:rPr>
          <w:t xml:space="preserve">170</w:t>
        </w:r>
      </w:hyperlink>
    </w:p>
    <w:p>
      <w:pPr>
        <w:pStyle w:val="BodyText"/>
      </w:pPr>
      <w:r>
        <w:t xml:space="preserve"> </w:t>
      </w:r>
    </w:p>
    <w:bookmarkEnd w:id="102"/>
    <w:bookmarkStart w:id="103"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 This marks a departure from the published protocol, as I had not expected the number of studies reporting dementia risk across lipid sub-categories to be sufficient for a dose response analysis.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I took a two-stage dose-response meta-analysis approach, where study-specific trends are estimated before being pooled across studies.</w:t>
      </w:r>
      <w:hyperlink w:anchor="ref-greenland1992">
        <w:r>
          <w:rPr>
            <w:rStyle w:val="Hyperlink"/>
            <w:vertAlign w:val="superscript"/>
          </w:rPr>
          <w:t xml:space="preserve">171</w:t>
        </w:r>
      </w:hyperlink>
      <w:r>
        <w:t xml:space="preserve"> </w:t>
      </w:r>
      <w:r>
        <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
      </w:r>
      <w:r>
        <w:t xml:space="preserve"> </w:t>
      </w:r>
      <w:r>
        <w:t xml:space="preserve">“</w:t>
      </w:r>
      <w:r>
        <w:t xml:space="preserve">normal</w:t>
      </w:r>
      <w:r>
        <w:t xml:space="preserve">”</w:t>
      </w:r>
      <w:r>
        <w:t xml:space="preserve"> </w:t>
      </w:r>
      <w:r>
        <w:t xml:space="preserve">reference dose.</w:t>
      </w:r>
      <w:hyperlink w:anchor="ref-durrleman1989">
        <w:r>
          <w:rPr>
            <w:rStyle w:val="Hyperlink"/>
            <w:vertAlign w:val="superscript"/>
          </w:rPr>
          <w:t xml:space="preserve">172</w:t>
        </w:r>
      </w:hyperlink>
      <w:r>
        <w:rPr>
          <w:vertAlign w:val="superscript"/>
        </w:rPr>
        <w:t xml:space="preserve">,</w:t>
      </w:r>
      <w:hyperlink w:anchor="ref-liu2009">
        <w:r>
          <w:rPr>
            <w:rStyle w:val="Hyperlink"/>
            <w:vertAlign w:val="superscript"/>
          </w:rPr>
          <w:t xml:space="preserve">173</w:t>
        </w:r>
      </w:hyperlink>
      <w:r>
        <w:t xml:space="preserve"> </w:t>
      </w:r>
      <w:r>
        <w:t xml:space="preserve">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Restricted cubic spline models use</w:t>
      </w:r>
      <w:r>
        <w:t xml:space="preserve"> </w:t>
      </w:r>
      <w:r>
        <w:t xml:space="preserve">“</w:t>
      </w:r>
      <w:r>
        <w:t xml:space="preserve">knots</w:t>
      </w:r>
      <w:r>
        <w:t xml:space="preserve">”</w:t>
      </w:r>
      <w:r>
        <w:t xml:space="preserve"> </w:t>
      </w:r>
      <w:r>
        <w:t xml:space="preserve">to separate the data into subsets or</w:t>
      </w:r>
      <w:r>
        <w:t xml:space="preserve"> </w:t>
      </w:r>
      <w:r>
        <w:t xml:space="preserve">“</w:t>
      </w:r>
      <w:r>
        <w:t xml:space="preserve">windows</w:t>
      </w:r>
      <w:r>
        <w:t xml:space="preserve">”</w:t>
      </w:r>
      <w:r>
        <w:t xml:space="preserve">, in which the trend is modelled. Further restrictions are then imposed, in that the curves in each window must join up</w:t>
      </w:r>
      <w:r>
        <w:t xml:space="preserve"> </w:t>
      </w:r>
      <w:r>
        <w:t xml:space="preserve">“</w:t>
      </w:r>
      <w:r>
        <w:t xml:space="preserve">smoothly</w:t>
      </w:r>
      <w:r>
        <w:t xml:space="preserve">”</w:t>
      </w:r>
      <w:r>
        <w:t xml:space="preserve"> </w:t>
      </w:r>
      <w:r>
        <w:t xml:space="preserve">at the knot location, and that the trend is assumed to be linear before the first knot and after the last knot.</w:t>
      </w:r>
      <w:hyperlink w:anchor="ref-gauthier2020">
        <w:r>
          <w:rPr>
            <w:rStyle w:val="Hyperlink"/>
            <w:vertAlign w:val="superscript"/>
          </w:rPr>
          <w:t xml:space="preserve">174</w:t>
        </w:r>
      </w:hyperlink>
      <w:r>
        <w:t xml:space="preserve"> </w:t>
      </w:r>
      <w:r>
        <w:t xml:space="preserve">The locations of the knots in the model were identified using fixed percentiles (5th, 50th, 95th) of the exposure data.</w:t>
      </w:r>
      <w:hyperlink w:anchor="ref-durrleman1989">
        <w:r>
          <w:rPr>
            <w:rStyle w:val="Hyperlink"/>
            <w:vertAlign w:val="superscript"/>
          </w:rPr>
          <w:t xml:space="preserve">172</w:t>
        </w:r>
      </w:hyperlink>
      <w:r>
        <w:t xml:space="preserve"> </w:t>
      </w:r>
      <w:r>
        <w:t xml:space="preserve">Once the within-study trends had been estimated, they were combined in a multivariate random-effects meta-analysis using the restricted maximum likelihood (REML) method.</w:t>
      </w:r>
      <w:hyperlink w:anchor="ref-liu2009">
        <w:r>
          <w:rPr>
            <w:rStyle w:val="Hyperlink"/>
            <w:vertAlign w:val="superscript"/>
          </w:rPr>
          <w:t xml:space="preserve">173</w:t>
        </w:r>
      </w:hyperlink>
      <w:r>
        <w:rPr>
          <w:vertAlign w:val="superscript"/>
        </w:rPr>
        <w:t xml:space="preserve">,</w:t>
      </w:r>
      <w:hyperlink w:anchor="ref-white2009">
        <w:r>
          <w:rPr>
            <w:rStyle w:val="Hyperlink"/>
            <w:vertAlign w:val="superscript"/>
          </w:rPr>
          <w:t xml:space="preserve">175</w:t>
        </w:r>
      </w:hyperlink>
      <w:r>
        <w:rPr>
          <w:vertAlign w:val="superscript"/>
        </w:rPr>
        <w:t xml:space="preserve">,</w:t>
      </w:r>
      <w:hyperlink w:anchor="ref-gasparrini2012">
        <w:r>
          <w:rPr>
            <w:rStyle w:val="Hyperlink"/>
            <w:vertAlign w:val="superscript"/>
          </w:rPr>
          <w:t xml:space="preserve">176</w:t>
        </w:r>
      </w:hyperlink>
      <w:r>
        <w:t xml:space="preserve"> </w:t>
      </w:r>
      <w:r>
        <w:t xml:space="preserve">All dose-response analyses were implemented using the</w:t>
      </w:r>
      <w:r>
        <w:t xml:space="preserve"> </w:t>
      </w:r>
      <w:r>
        <w:rPr>
          <w:rStyle w:val="VerbatimChar"/>
        </w:rPr>
        <w:t xml:space="preserve">dosresmeta</w:t>
      </w:r>
      <w:r>
        <w:t xml:space="preserve"> </w:t>
      </w:r>
      <w:r>
        <w:t xml:space="preserve">R package.</w:t>
      </w:r>
      <w:hyperlink w:anchor="ref-crippa2016">
        <w:r>
          <w:rPr>
            <w:rStyle w:val="Hyperlink"/>
            <w:vertAlign w:val="superscript"/>
          </w:rPr>
          <w:t xml:space="preserve">177</w:t>
        </w:r>
      </w:hyperlink>
    </w:p>
    <w:p>
      <w:pPr>
        <w:pStyle w:val="BodyText"/>
      </w:pPr>
      <w:r>
        <w:t xml:space="preserve"> </w:t>
      </w:r>
      <w:r>
        <w:t xml:space="preserve"> </w:t>
      </w:r>
    </w:p>
    <w:bookmarkEnd w:id="103"/>
    <w:bookmarkStart w:id="104"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results were assessed for heterogeneity across these covariates.</w:t>
      </w:r>
      <w:hyperlink w:anchor="ref-deeks2019">
        <w:r>
          <w:rPr>
            <w:rStyle w:val="Hyperlink"/>
            <w:vertAlign w:val="superscript"/>
          </w:rPr>
          <w:t xml:space="preserve">169</w:t>
        </w:r>
      </w:hyperlink>
    </w:p>
    <w:p>
      <w:pPr>
        <w:pStyle w:val="BodyText"/>
      </w:pPr>
      <w:r>
        <w:t xml:space="preserve">Finally, I investigated the potential for small study effects, which may be caused by publication bias, both visually using funnel plots and formally using Egger’s regression test.</w:t>
      </w:r>
      <w:hyperlink w:anchor="ref-sterne2011">
        <w:r>
          <w:rPr>
            <w:rStyle w:val="Hyperlink"/>
            <w:vertAlign w:val="superscript"/>
          </w:rPr>
          <w:t xml:space="preserve">178</w:t>
        </w:r>
      </w:hyperlink>
    </w:p>
    <w:p>
      <w:pPr>
        <w:pStyle w:val="BodyText"/>
      </w:pPr>
      <w:r>
        <w:t xml:space="preserve"> </w:t>
      </w:r>
      <w:r>
        <w:t xml:space="preserve"> </w:t>
      </w:r>
    </w:p>
    <w:bookmarkEnd w:id="104"/>
    <w:bookmarkStart w:id="105"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179</w:t>
        </w:r>
      </w:hyperlink>
      <w:r>
        <w:t xml:space="preserve"> </w:t>
      </w:r>
      <w:r>
        <w:t xml:space="preserve">As part of the initial descriptive synthesis, the location of each individual study contributing to the evidence base was visualised on a world map.</w:t>
      </w:r>
    </w:p>
    <w:p>
      <w:pPr>
        <w:pStyle w:val="BodyText"/>
      </w:pPr>
      <w:r>
        <w:t xml:space="preserve">One of the limitations of current risk-of-bias assessment practice in systematic reviews is that they are often divorced from the results to which they refer, and are infrequently incorporated into the analysis.</w:t>
      </w:r>
      <w:hyperlink w:anchor="ref-marusic2020">
        <w:r>
          <w:rPr>
            <w:rStyle w:val="Hyperlink"/>
            <w:vertAlign w:val="superscript"/>
          </w:rPr>
          <w:t xml:space="preserve">180</w:t>
        </w:r>
      </w:hyperlink>
      <w:r>
        <w:rPr>
          <w:vertAlign w:val="superscript"/>
        </w:rPr>
        <w:t xml:space="preserve">,</w:t>
      </w:r>
      <w:hyperlink w:anchor="ref-katikireddi2015">
        <w:r>
          <w:rPr>
            <w:rStyle w:val="Hyperlink"/>
            <w:vertAlign w:val="superscript"/>
          </w:rPr>
          <w:t xml:space="preserve">181</w:t>
        </w:r>
      </w:hyperlink>
      <w:r>
        <w:t xml:space="preserve"> </w:t>
      </w:r>
      <w:r>
        <w:t xml:space="preserve">In response to this criticism, I developed a new visualisation tool which was designed to allow for the production of</w:t>
      </w:r>
      <w:r>
        <w:t xml:space="preserve"> </w:t>
      </w:r>
      <w:r>
        <w:t xml:space="preserve">“</w:t>
      </w:r>
      <w:r>
        <w:t xml:space="preserve">paired</w:t>
      </w:r>
      <w:r>
        <w:t xml:space="preserve">”</w:t>
      </w:r>
      <w:r>
        <w:t xml:space="preserve"> </w:t>
      </w:r>
      <w:r>
        <w:t xml:space="preserve">forest plots - a risk-of-bias assessment is presented alongside it’s corresponding numerical result - as recommended by the ROB2 publication.</w:t>
      </w:r>
      <w:hyperlink w:anchor="ref-sterne2019">
        <w:r>
          <w:rPr>
            <w:rStyle w:val="Hyperlink"/>
            <w:vertAlign w:val="superscript"/>
          </w:rPr>
          <w:t xml:space="preserve">158</w:t>
        </w:r>
      </w:hyperlink>
      <w:r>
        <w:t xml:space="preserve"> </w:t>
      </w:r>
      <w:r>
        <w:t xml:space="preserve">In addition, the risk of bias due to missing evidence in each synthesis is shown beside the overall summary diamond. This tool was developed as an adjunct to this thesis to aid in creating standardised risk-of-bias figures.</w:t>
      </w:r>
      <w:hyperlink w:anchor="ref-mcguinness2020robvisPaper">
        <w:r>
          <w:rPr>
            <w:rStyle w:val="Hyperlink"/>
            <w:vertAlign w:val="superscript"/>
          </w:rPr>
          <w:t xml:space="preserve">182</w:t>
        </w:r>
      </w:hyperlink>
      <w:r>
        <w:t xml:space="preserve"> </w:t>
      </w:r>
      <w:r>
        <w:t xml:space="preserve">A summary of this tool is contained in Appendix</w:t>
      </w:r>
      <w:r>
        <w:t xml:space="preserve"> </w:t>
      </w:r>
      <w:r>
        <w:t xml:space="preserve">11.2</w:t>
      </w:r>
      <w:r>
        <w:t xml:space="preserve">, and all forest plots presented in this Chapter were created using this tool. Unless otherwise stated in the figure caption, only a single effect measure (hazard ratio/odds ratio/etc) is represented in the forest plot.</w:t>
      </w:r>
    </w:p>
    <w:p>
      <w:pPr>
        <w:pStyle w:val="BodyText"/>
      </w:pPr>
      <w:r>
        <w:t xml:space="preserve"> </w:t>
      </w:r>
      <w:r>
        <w:t xml:space="preserve"> </w:t>
      </w:r>
    </w:p>
    <w:bookmarkEnd w:id="105"/>
    <w:bookmarkStart w:id="106"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1.5.1</w:t>
      </w:r>
      <w:r>
        <w:t xml:space="preserve">). As an adjunct analysis to this review, meta-analyses including a preprint result were re-analysed using a fixed effect model. The weight assigned to the preprinted result was extracted and used to assess the additional evidential value provided by the preprint. In addition, in meta-analysis including at least one preprinted result, I assessed the impact of including the preprinted results on the summary estimate using a leave-one-out approach.</w:t>
      </w:r>
    </w:p>
    <w:p>
      <w:pPr>
        <w:pStyle w:val="BodyText"/>
      </w:pPr>
      <w:r>
        <w:t xml:space="preserve">Additionally, I performed a follow-up analysis, allowing for a a two-year lag, to investigate whether identified preprints had been subsequently published (in which case preprints provided a snapshot into the future, and a systematic review update would capture the published version of the preprint) or not (in which case preprints provide a distinct evidence source to conventional bibliographic databases).</w:t>
      </w:r>
    </w:p>
    <w:p>
      <w:pPr>
        <w:pStyle w:val="BodyText"/>
      </w:pPr>
      <w:r>
        <w:t xml:space="preserve"> </w:t>
      </w:r>
      <w:r>
        <w:t xml:space="preserve"> </w:t>
      </w:r>
    </w:p>
    <w:bookmarkEnd w:id="106"/>
    <w:bookmarkEnd w:id="107"/>
    <w:bookmarkEnd w:id="108"/>
    <w:bookmarkStart w:id="109" w:name="summary-2"/>
    <w:p>
      <w:pPr>
        <w:pStyle w:val="Heading2"/>
      </w:pPr>
      <w:r>
        <w:t xml:space="preserve">Summary</w:t>
      </w:r>
    </w:p>
    <w:p>
      <w:pPr>
        <w:numPr>
          <w:ilvl w:val="0"/>
          <w:numId w:val="1013"/>
        </w:numPr>
      </w:pPr>
      <w:r>
        <w:t xml:space="preserve">In this chapter, I have presented the methods underpinning a comprehensive systematic review of the existing literature on the association of dementia incidence with blood lipids and lipid-regulating agents.</w:t>
      </w:r>
    </w:p>
    <w:p>
      <w:pPr>
        <w:numPr>
          <w:ilvl w:val="0"/>
          <w:numId w:val="1013"/>
        </w:numPr>
      </w:pPr>
      <w:r>
        <w:t xml:space="preserve">I have detailed how this review will find, extract, critically assess and synthesize the results of existing studies. Additionally, I have highlighted how this review will examine the impact of including preprinted results, as enabled by the research tool presented in the previous chapter.</w:t>
      </w:r>
    </w:p>
    <w:p>
      <w:pPr>
        <w:numPr>
          <w:ilvl w:val="0"/>
          <w:numId w:val="1013"/>
        </w:numPr>
      </w:pPr>
      <w:r>
        <w:t xml:space="preserve">In the following chapter, I present the results of this review, and detail how the identified evidence is used throughout the remainder of the thesis.</w:t>
      </w:r>
    </w:p>
    <w:bookmarkEnd w:id="109"/>
    <w:bookmarkEnd w:id="110"/>
    <w:bookmarkStart w:id="163" w:name="sys-rev-results-heading"/>
    <w:p>
      <w:pPr>
        <w:pStyle w:val="Heading1"/>
      </w:pPr>
      <w:r>
        <w:t xml:space="preserve">Systematic review of existing evidence on the association between blood lipids and dementia outcomes: Results</w:t>
      </w:r>
    </w:p>
    <w:p>
      <w:pPr>
        <w:pStyle w:val="FirstParagraph"/>
      </w:pPr>
      <w:r>
        <w:t xml:space="preserve"> </w:t>
      </w:r>
    </w:p>
    <w:p>
      <w:pPr>
        <w:pStyle w:val="BodyText"/>
      </w:pPr>
    </w:p>
    <w:bookmarkStart w:id="111" w:name="lay-summary-3"/>
    <w:p>
      <w:pPr>
        <w:pStyle w:val="Heading2"/>
      </w:pPr>
      <w:r>
        <w:t xml:space="preserve">Lay summary</w:t>
      </w:r>
    </w:p>
    <w:p>
      <w:pPr>
        <w:pStyle w:val="FirstParagraph"/>
      </w:pPr>
      <w:r>
        <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it examined the relationship between treatments that change blood lipid levels, such as statins, and dementia outcomes</w:t>
      </w:r>
    </w:p>
    <w:p>
      <w:pPr>
        <w:pStyle w:val="BodyText"/>
      </w:pPr>
      <w:r>
        <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
      </w:r>
    </w:p>
    <w:bookmarkEnd w:id="111"/>
    <w:bookmarkStart w:id="112" w:name="introduction-1"/>
    <w:p>
      <w:pPr>
        <w:pStyle w:val="Heading2"/>
      </w:pPr>
      <w:r>
        <w:t xml:space="preserve">Introduction</w:t>
      </w:r>
    </w:p>
    <w:p>
      <w:pPr>
        <w:pStyle w:val="FirstParagraph"/>
      </w:pPr>
      <w:r>
        <w:t xml:space="preserve">Following the methods outlined in the previous chapter, here I present the results of the comprehensive systematic review. The use of the evidence identified by the review in future chapters is discussed. Finally, I make recommendations for future methodological work around the inclusion of preprints and Mendelian randomisation studies in evidence synthesis exercises.</w:t>
      </w:r>
    </w:p>
    <w:p>
      <w:pPr>
        <w:pStyle w:val="BodyText"/>
      </w:pPr>
      <w:r>
        <w:t xml:space="preserve"> </w:t>
      </w:r>
    </w:p>
    <w:bookmarkEnd w:id="112"/>
    <w:bookmarkStart w:id="119" w:name="search-results"/>
    <w:p>
      <w:pPr>
        <w:pStyle w:val="Heading2"/>
      </w:pPr>
      <w:r>
        <w:t xml:space="preserve">Search results</w:t>
      </w:r>
    </w:p>
    <w:bookmarkStart w:id="113"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As expected, many of those excluded by the filters were commentaries/educational articles, or described basic science studies.</w:t>
      </w:r>
      <w:r>
        <w:t xml:space="preserve"> </w:t>
      </w:r>
    </w:p>
    <w:p>
      <w:pPr>
        <w:pStyle w:val="BodyText"/>
      </w:pPr>
      <w:r>
        <w:t xml:space="preserve"> </w:t>
      </w:r>
      <w:r>
        <w:t xml:space="preserve"> </w:t>
      </w:r>
    </w:p>
    <w:bookmarkEnd w:id="113"/>
    <w:bookmarkStart w:id="115"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w:t>
      </w:r>
      <w:r>
        <w:t xml:space="preserve">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previously (presented in grey on the right of the diagram).</w:t>
      </w:r>
    </w:p>
    <w:p>
      <w:pPr>
        <w:pStyle w:val="BodyText"/>
      </w:pPr>
      <w:r>
        <w:t xml:space="preserve">Common reasons for exclusion at the full text-stage included studies reporting on ineligible exposures (N = 70 ; most commonly an ineligible lipid fraction) or outcomes (N = 67; e.g. change in cognitive scores), or usin an ineligible study design (N = 56).</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4"/>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5"/>
    <w:bookmarkStart w:id="116" w:name="validation-of-screening"/>
    <w:p>
      <w:pPr>
        <w:pStyle w:val="Heading3"/>
      </w:pPr>
      <w:r>
        <w:t xml:space="preserve">Validation of screening</w:t>
      </w:r>
    </w:p>
    <w:p>
      <w:pPr>
        <w:pStyle w:val="FirstParagraph"/>
      </w:pPr>
      <w:r>
        <w:t xml:space="preserve">For the assessment of the intra-/inter-rater reliability, the estimated values of Gwet’s</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183</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 =26,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of eligible lipids fractions.</w:t>
      </w:r>
    </w:p>
    <w:p>
      <w:pPr>
        <w:pStyle w:val="BodyText"/>
      </w:pPr>
      <w:r>
        <w:t xml:space="preserve"> </w:t>
      </w:r>
      <w:r>
        <w:t xml:space="preserve"> </w:t>
      </w:r>
    </w:p>
    <w:bookmarkEnd w:id="116"/>
    <w:bookmarkStart w:id="118"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this review.</w:t>
      </w:r>
      <w:hyperlink w:anchor="ref-kivipelto2005">
        <w:r>
          <w:rPr>
            <w:rStyle w:val="Hyperlink"/>
            <w:vertAlign w:val="superscript"/>
          </w:rPr>
          <w:t xml:space="preserve">51</w:t>
        </w:r>
      </w:hyperlink>
      <w:r>
        <w:rPr>
          <w:vertAlign w:val="superscript"/>
        </w:rPr>
        <w:t xml:space="preserve">–</w:t>
      </w:r>
      <w:hyperlink w:anchor="ref-reitz2004">
        <w:r>
          <w:rPr>
            <w:rStyle w:val="Hyperlink"/>
            <w:vertAlign w:val="superscript"/>
          </w:rPr>
          <w:t xml:space="preserve">60</w:t>
        </w:r>
      </w:hyperlink>
      <w:r>
        <w:rPr>
          <w:vertAlign w:val="superscript"/>
        </w:rPr>
        <w:t xml:space="preserve">,</w:t>
      </w:r>
      <w:hyperlink w:anchor="X49f9892f062f4edfe92b37e5c1639cb4f6c013f">
        <w:r>
          <w:rPr>
            <w:rStyle w:val="Hyperlink"/>
            <w:vertAlign w:val="superscript"/>
          </w:rPr>
          <w:t xml:space="preserve">65</w:t>
        </w:r>
      </w:hyperlink>
      <w:r>
        <w:rPr>
          <w:vertAlign w:val="superscript"/>
        </w:rPr>
        <w:t xml:space="preserve">,</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benn2017">
        <w:r>
          <w:rPr>
            <w:rStyle w:val="Hyperlink"/>
            <w:vertAlign w:val="superscript"/>
          </w:rPr>
          <w:t xml:space="preserve">72</w:t>
        </w:r>
      </w:hyperlink>
      <w:r>
        <w:rPr>
          <w:vertAlign w:val="superscript"/>
        </w:rPr>
        <w:t xml:space="preserve">,</w:t>
      </w:r>
      <w:hyperlink w:anchor="ref-ridker2008">
        <w:r>
          <w:rPr>
            <w:rStyle w:val="Hyperlink"/>
            <w:vertAlign w:val="superscript"/>
          </w:rPr>
          <w:t xml:space="preserve">184</w:t>
        </w:r>
      </w:hyperlink>
      <w:r>
        <w:rPr>
          <w:vertAlign w:val="superscript"/>
        </w:rPr>
        <w:t xml:space="preserve">–</w:t>
      </w:r>
      <w:hyperlink w:anchor="ref-zhu2018">
        <w:r>
          <w:rPr>
            <w:rStyle w:val="Hyperlink"/>
            <w:vertAlign w:val="superscript"/>
          </w:rPr>
          <w:t xml:space="preserve">250</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only two included randomised controlled trials (the Heart Protection Study/British Heart Foundation trial</w:t>
      </w:r>
      <w:hyperlink w:anchor="X49f9892f062f4edfe92b37e5c1639cb4f6c013f">
        <w:r>
          <w:rPr>
            <w:rStyle w:val="Hyperlink"/>
            <w:vertAlign w:val="superscript"/>
          </w:rPr>
          <w:t xml:space="preserve">65</w:t>
        </w:r>
      </w:hyperlink>
      <w:r>
        <w:t xml:space="preserve"> </w:t>
      </w:r>
      <w:r>
        <w:t xml:space="preserve">and the JUPITER trial</w:t>
      </w:r>
      <w:hyperlink w:anchor="ref-ridker2008">
        <w:r>
          <w:rPr>
            <w:rStyle w:val="Hyperlink"/>
            <w:vertAlign w:val="superscript"/>
          </w:rPr>
          <w:t xml:space="preserve">184</w:t>
        </w:r>
      </w:hyperlink>
      <w:r>
        <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4.3.2</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so2017">
        <w:r>
          <w:rPr>
            <w:rStyle w:val="Hyperlink"/>
            <w:vertAlign w:val="superscript"/>
          </w:rPr>
          <w:t xml:space="preserve">249</w:t>
        </w:r>
      </w:hyperlink>
      <w:r>
        <w:rPr>
          <w:vertAlign w:val="superscript"/>
        </w:rPr>
        <w:t xml:space="preserve">,</w:t>
      </w:r>
      <w:hyperlink w:anchor="ref-andrews2019">
        <w:r>
          <w:rPr>
            <w:rStyle w:val="Hyperlink"/>
            <w:vertAlign w:val="superscript"/>
          </w:rPr>
          <w:t xml:space="preserve">251</w:t>
        </w:r>
      </w:hyperlink>
      <w:r>
        <w:rPr>
          <w:vertAlign w:val="superscript"/>
        </w:rPr>
        <w:t xml:space="preserve">,</w:t>
      </w:r>
      <w:hyperlink w:anchor="ref-zhu2017">
        <w:r>
          <w:rPr>
            <w:rStyle w:val="Hyperlink"/>
            <w:vertAlign w:val="superscript"/>
          </w:rPr>
          <w:t xml:space="preserve">252</w:t>
        </w:r>
      </w:hyperlink>
      <w:r>
        <w:t xml:space="preserve"> </w:t>
      </w:r>
      <w:r>
        <w:t xml:space="preserve">one of which had subsequently been published and was captured by the primary literature search.</w:t>
      </w:r>
      <w:hyperlink w:anchor="ref-zhu2018">
        <w:r>
          <w:rPr>
            <w:rStyle w:val="Hyperlink"/>
            <w:vertAlign w:val="superscript"/>
          </w:rPr>
          <w:t xml:space="preserve">250</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04d7825a-a4a2-40d3-969a-2e8c6385206c" w:name="tab:studyCharacteristics-table"/>
      <w:r>
        <w:t xml:space="preserve">Characteristics of included studies, stratified by study design. Note that three studies reported on multiple analytical designs within a single study report (Beydoun 2011,[@beydoun2011] Reitz 2010,[@reitz2010] and Benn 2017[@benn2017]), and these have been duplicated across the relevant sub-sections. Preprinted studies are denoted using an asterik.</w:t>
      </w:r>
      <w:bookmarkEnd w:id="04d7825a-a4a2-40d3-969a-2e8c6385206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2002[@heartprotectionstudycollaborativegroup2002]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2009[@ridker2008]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2012[@ancelin2012]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2008[@arvanitakis2008]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2012[@bettermann2012]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2015[@chao2015]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2014[@chen2014]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2015[@chitnis2015]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2014[@chou2014]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2015[@chuang2015]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2008[@cramer2008]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2016[@gnjidic2016]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2009[@haag2009]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2015[@hendrie2015]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2010[@hippisley-cox2010]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2000[@jick2000]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2004[@li2010]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2010[@li2004]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2013[@liao2013]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2019[@liu2019]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2018[@pan2018]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2011[@parikh2011]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2005[@rea2005]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2019[@redelmeier2019]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2009[@smeeth2009]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2010[@solomon2007]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2008[@sparks2008]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2007[@szwast2007]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2015[@yang2015]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2004[@zamrini2004]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2005[@zandi2005]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2013[@ancelin2013]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2014[@batty2014]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2017[@bruce2017]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2007[@chiang2007]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2011[@dodge2011]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2010[@forti2010]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2017[@gottesman2017]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2012[@gustafson2012]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2006[@hayden2006]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2011[@kimm2011]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2001[@kivipelto2001]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2005[@kivipelto2005]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2015[@kuo2015]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2005[@li2005]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2005[@mainous2005]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2005[@mielke2010]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2010[@mielke2005]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2012[@mielke2011]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2007[@muller2007]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2013[@noale2013]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1998[@notkola1998]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2009[@peters2009]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2009[@raffaitin2009]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2017[@rantanen2017]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2010[@reitz2004]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2011[@ronnemaa2011]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2017[@schilling2017]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2007[@solomon2010]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2009[@solomon2009]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2013[@strand2013]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2017[@su2017]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2019[@svensson2019]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2003[@tan2003]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2016[@tynkkynen2016]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2018[@tynkkynen2018]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2012[@wang2012]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2005[@whitmer2005]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2009[@yamada2009]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1995[@yoshitake1995]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1992[@zimetbaum1992]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2019[@andrews2019; @andrews2021]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2017[@burgess2017]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2017[@larsson2017]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2013[@mukherjee2013]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2015[@ostergaard2015]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2017[@so2017]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2018[@zhu2018; @zhu2020] *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7"/>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3.2.8.4</w:t>
      </w:r>
      <w:r>
        <w:t xml:space="preserve">).</w:t>
      </w:r>
    </w:p>
    <w:p>
      <w:pPr>
        <w:pStyle w:val="BodyText"/>
      </w:pPr>
      <w:r>
        <w:t xml:space="preserve"> </w:t>
      </w:r>
    </w:p>
    <w:bookmarkEnd w:id="118"/>
    <w:bookmarkEnd w:id="119"/>
    <w:bookmarkStart w:id="144" w:name="primary-analyses"/>
    <w:p>
      <w:pPr>
        <w:pStyle w:val="Heading2"/>
      </w:pPr>
      <w:r>
        <w:t xml:space="preserve">Primary analyses</w:t>
      </w:r>
    </w:p>
    <w:p>
      <w:pPr>
        <w:pStyle w:val="FirstParagraph"/>
      </w:pPr>
      <w:r>
        <w:t xml:space="preserve">In the following sections, analyses are grouped first by outcome (all-cause dementia, Alzheimer’s disease and vascular dementia) and then are further stratified by exposure category.</w:t>
      </w:r>
    </w:p>
    <w:p>
      <w:pPr>
        <w:pStyle w:val="BodyText"/>
      </w:pPr>
      <w:r>
        <w:t xml:space="preserve"> </w:t>
      </w:r>
    </w:p>
    <w:bookmarkStart w:id="128" w:name="sys-rev-res-Dementia"/>
    <w:p>
      <w:pPr>
        <w:pStyle w:val="Heading3"/>
      </w:pPr>
      <w:r>
        <w:t xml:space="preserve">All-cause dementia</w:t>
      </w:r>
    </w:p>
    <w:bookmarkStart w:id="122" w:name="statins"/>
    <w:p>
      <w:pPr>
        <w:pStyle w:val="Heading4"/>
      </w:pPr>
      <w:r>
        <w:t xml:space="preserve">Statins</w:t>
      </w:r>
    </w:p>
    <w:p>
      <w:pPr>
        <w:pStyle w:val="FirstParagraph"/>
      </w:pPr>
      <w:r>
        <w:t xml:space="preserve">The two randomised controlled trials provided weak evidence (OR: 1.07, 95%CI: 0.70-1.66) of an effect on statin use on all-cause dementia risk (Figure</w:t>
      </w:r>
      <w:r>
        <w:t xml:space="preserve"> </w:t>
      </w:r>
      <w:r>
        <w:t xml:space="preserve">6</w:t>
      </w:r>
      <w:r>
        <w:t xml:space="preserve">).</w:t>
      </w:r>
    </w:p>
    <w:p>
      <w:pPr>
        <w:pStyle w:val="BodyText"/>
      </w:pPr>
      <w:r>
        <w:t xml:space="preserve">(ref:statinsRCT-cap) Random-effects meta-analysis of randomised controlled trials examining statin statins on all-cause dementia. D1-D5 and O refer to the five risk-of-bias domains and single overall judgement in the RoB2 tool, while the risk of bias due to missing evidence is shown beside the overall summary diamond in each forest plot presented above.</w:t>
      </w:r>
    </w:p>
    <w:p>
      <w:pPr>
        <w:pStyle w:val="CaptionedFigure"/>
      </w:pPr>
      <w:r>
        <w:drawing>
          <wp:inline>
            <wp:extent cx="5943600" cy="1867988"/>
            <wp:effectExtent b="0" l="0" r="0" t="0"/>
            <wp:docPr descr="Figure 6: (ref:statinsRCT-cap)"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0"/>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(ref:statinsRCT-cap)</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0.69-0.87,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1"/>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1.3.2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2"/>
    <w:bookmarkStart w:id="124" w:name="fibrates"/>
    <w:p>
      <w:pPr>
        <w:pStyle w:val="Heading4"/>
      </w:pPr>
      <w:r>
        <w:t xml:space="preserve">Fibrates</w:t>
      </w:r>
    </w:p>
    <w:p>
      <w:pPr>
        <w:pStyle w:val="FirstParagraph"/>
      </w:pPr>
      <w:r>
        <w:t xml:space="preserve">Two studies examined the effect of fibrate use on all-cause dementia and found weak evidence for an effect (HR: 0.89,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3"/>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4"/>
    <w:bookmarkStart w:id="127"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0.98-1.25,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5"/>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0.97, 95%CI: 0.88-1.07), LDL-c (N = 2; HR: 0.97, 95%CI: 0.86-1.08), HDL-c (N = 4; HR: 1.05, 95%CI: 0.96-1.14) and triglycerides (N = 3; HR: 0.90, 95%CI: 0.74-1.09).</w:t>
      </w:r>
    </w:p>
    <w:p>
      <w:pPr>
        <w:pStyle w:val="BodyText"/>
      </w:pPr>
      <w:r>
        <w:drawing>
          <wp:inline>
            <wp:extent cx="5943600" cy="8915400"/>
            <wp:effectExtent b="0" l="0" r="0" t="0"/>
            <wp:docPr descr="(#fig:lipidFractionsDementia)Random-effects meta-analysis of four lipid fractions (total cholesterol, HDL, LDL, and triglycerides) on all-cause dementia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6"/>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7"/>
    <w:bookmarkEnd w:id="128"/>
    <w:bookmarkStart w:id="136" w:name="sys-rev-res-AD"/>
    <w:p>
      <w:pPr>
        <w:pStyle w:val="Heading3"/>
      </w:pPr>
      <w:r>
        <w:t xml:space="preserve">Alzheimer’s disease</w:t>
      </w:r>
    </w:p>
    <w:bookmarkStart w:id="131"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0.69-0.99;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9"/>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lipid-lowering specifically as a result of HMGCR inhibition, mediated by SNPs in the gene (rs172338484 and rs12916).</w:t>
      </w:r>
      <w:hyperlink w:anchor="ref-benn2017">
        <w:r>
          <w:rPr>
            <w:rStyle w:val="Hyperlink"/>
            <w:vertAlign w:val="superscript"/>
          </w:rPr>
          <w:t xml:space="preserve">72</w:t>
        </w:r>
      </w:hyperlink>
      <w:r>
        <w:rPr>
          <w:vertAlign w:val="superscript"/>
        </w:rPr>
        <w:t xml:space="preserve">,</w:t>
      </w:r>
      <w:hyperlink w:anchor="ref-so2017">
        <w:r>
          <w:rPr>
            <w:rStyle w:val="Hyperlink"/>
            <w:vertAlign w:val="superscript"/>
          </w:rPr>
          <w:t xml:space="preserve">249</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0"/>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1"/>
    <w:bookmarkStart w:id="135" w:name="lipids-1"/>
    <w:p>
      <w:pPr>
        <w:pStyle w:val="Heading4"/>
      </w:pPr>
      <w:r>
        <w:t xml:space="preserve">Lipids</w:t>
      </w:r>
    </w:p>
    <w:p>
      <w:pPr>
        <w:pStyle w:val="FirstParagraph"/>
      </w:pPr>
      <w:r>
        <w:t xml:space="preserve">Nine studies reported on the association of hypercholesterolemia with Alzheimer’s disease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2"/>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1.00, 95%CI: 0.94-1.06), LDL-c (N = 3; HR: 1.06, 95%CI: 0.98-1.16), HDL-c (N = 4; HR: 0.99, 95%CI: 0.91-1.07) or triglycerides (N = 3; HR: 1.00, 95%CI: 0.84-1.18).</w:t>
      </w:r>
    </w:p>
    <w:p>
      <w:pPr>
        <w:pStyle w:val="BodyText"/>
      </w:pPr>
      <w:r>
        <w:drawing>
          <wp:inline>
            <wp:extent cx="5943600" cy="8915400"/>
            <wp:effectExtent b="0" l="0" r="0" t="0"/>
            <wp:docPr descr="(#fig:lipidFractionsAD) Random-effects meta-analysis of four lipid fractions (total cholesterol, HDL, LDL, and triglycerides) on Alzheimer’s disease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3"/>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took a two-sample approach, making use of summary statistics from the GLGC and IGAP consortia. Due to this overlap, which would result in a falsely precise estimate caused by multiple counting of the same participants, no meta-analysis of these studies was performed. However, across each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5"/>
    <w:bookmarkEnd w:id="136"/>
    <w:bookmarkStart w:id="142" w:name="sys-rev-res-VaD"/>
    <w:p>
      <w:pPr>
        <w:pStyle w:val="Heading3"/>
      </w:pPr>
      <w:r>
        <w:t xml:space="preserve">Vascular dementia</w:t>
      </w:r>
    </w:p>
    <w:bookmarkStart w:id="138" w:name="statins-2"/>
    <w:p>
      <w:pPr>
        <w:pStyle w:val="Heading4"/>
      </w:pPr>
      <w:r>
        <w:t xml:space="preserve">Statins</w:t>
      </w:r>
    </w:p>
    <w:p>
      <w:pPr>
        <w:pStyle w:val="FirstParagraph"/>
      </w:pPr>
      <w:r>
        <w:t xml:space="preserve">As noted in Section</w:t>
      </w:r>
      <w:r>
        <w:t xml:space="preserve"> </w:t>
      </w:r>
      <w:r>
        <w:t xml:space="preserve">4.2.4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weak evidence for an effect (N = 3; HR: 0.99, 95%CI: 0.79-1.25;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some evidence for an effect (RR: 0.44, 95%CI: 0.21-0.91).</w:t>
      </w:r>
    </w:p>
    <w:p>
      <w:pPr>
        <w:pStyle w:val="BodyText"/>
      </w:pPr>
      <w:r>
        <w:t xml:space="preserve"> </w:t>
      </w:r>
    </w:p>
    <w:bookmarkEnd w:id="138"/>
    <w:bookmarkStart w:id="141"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9"/>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weak evidence for an effect (N = 2; HR: 1.05, 95%CI: 0.79-1.41). A single study provided evidence on the other three fractions,</w:t>
      </w:r>
      <w:hyperlink w:anchor="ref-yoshitake1995">
        <w:r>
          <w:rPr>
            <w:rStyle w:val="Hyperlink"/>
            <w:vertAlign w:val="superscript"/>
          </w:rPr>
          <w:t xml:space="preserve">244</w:t>
        </w:r>
      </w:hyperlink>
      <w:r>
        <w:t xml:space="preserve"> </w:t>
      </w:r>
      <w:r>
        <w:t xml:space="preserve">and similar found minimal evidence of an effect LDL-c (HR: 1.12, 95%CI: 0.83-1.51), HDL-c (HR: 0.83, 95%CI: 0.60-1.14) or triglycerides (HR: 1.00, 95%CI: 0.75-1.34).</w:t>
      </w:r>
    </w:p>
    <w:p>
      <w:pPr>
        <w:pStyle w:val="BodyText"/>
      </w:pPr>
      <w:r>
        <w:drawing>
          <wp:inline>
            <wp:extent cx="5943600" cy="2377440"/>
            <wp:effectExtent b="0" l="0" r="0" t="0"/>
            <wp:docPr descr="Figure 16: Random-effects meta-analysis of four lipid fractions (total cholesterol, HDL, LDL, and triglycerides) on Alzheimer’s disease risk, standardised per 1-SD increase in the lipid fraction. Note that Tynkkyen et al241 reported results from multiple cohorts within a single study and the results for each cohort are presented separately here."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40"/>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no Mendelian randomisation analyses examining the effect of genetically determined lipid levels on vascular dementia risk were identified.</w:t>
      </w:r>
    </w:p>
    <w:p>
      <w:pPr>
        <w:pStyle w:val="BodyText"/>
      </w:pPr>
      <w:r>
        <w:t xml:space="preserve"> </w:t>
      </w:r>
    </w:p>
    <w:bookmarkEnd w:id="141"/>
    <w:bookmarkEnd w:id="142"/>
    <w:bookmarkStart w:id="143" w:name="risk-of-bias-res"/>
    <w:p>
      <w:pPr>
        <w:pStyle w:val="Heading3"/>
      </w:pPr>
      <w:r>
        <w:t xml:space="preserve">Risk of bias</w:t>
      </w:r>
    </w:p>
    <w:p>
      <w:pPr>
        <w:pStyle w:val="FirstParagraph"/>
      </w:pPr>
      <w:r>
        <w:t xml:space="preserve">As shown in the forest plots in the above sections, the risk-of-bias assessments are presented alongside their corresponding numerical result. A more detailed discussion of the sources and directions of bias in each result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68</w:t>
        </w:r>
      </w:hyperlink>
    </w:p>
    <w:p>
      <w:pPr>
        <w:pStyle w:val="BodyText"/>
      </w:pPr>
      <w:r>
        <w:t xml:space="preserve">Following best practice, any result judged to be at critical risk of bias should be excluded from any quantitative analyses.</w:t>
      </w:r>
      <w:hyperlink w:anchor="ref-sterne2016">
        <w:r>
          <w:rPr>
            <w:rStyle w:val="Hyperlink"/>
            <w:vertAlign w:val="superscript"/>
          </w:rPr>
          <w:t xml:space="preserve">155</w:t>
        </w:r>
      </w:hyperlink>
      <w:r>
        <w:t xml:space="preserve"> </w:t>
      </w:r>
      <w:r>
        <w:t xml:space="preserve">Three observational studies were excluded on this basis, predominantly due to a lack of adjustment for any potentially important confounders (i.e. the study reported unadjusted estimates).</w:t>
      </w:r>
      <w:hyperlink w:anchor="ref-mainous2005">
        <w:r>
          <w:rPr>
            <w:rStyle w:val="Hyperlink"/>
            <w:vertAlign w:val="superscript"/>
          </w:rPr>
          <w:t xml:space="preserve">56</w:t>
        </w:r>
      </w:hyperlink>
      <w:r>
        <w:rPr>
          <w:vertAlign w:val="superscript"/>
        </w:rPr>
        <w:t xml:space="preserve">,</w:t>
      </w:r>
      <w:hyperlink w:anchor="ref-kuo2015">
        <w:r>
          <w:rPr>
            <w:rStyle w:val="Hyperlink"/>
            <w:vertAlign w:val="superscript"/>
          </w:rPr>
          <w:t xml:space="preserve">227</w:t>
        </w:r>
      </w:hyperlink>
      <w:r>
        <w:rPr>
          <w:vertAlign w:val="superscript"/>
        </w:rPr>
        <w:t xml:space="preserve">,</w:t>
      </w:r>
      <w:hyperlink w:anchor="ref-notkola1998">
        <w:r>
          <w:rPr>
            <w:rStyle w:val="Hyperlink"/>
            <w:vertAlign w:val="superscript"/>
          </w:rPr>
          <w:t xml:space="preserve">231</w:t>
        </w:r>
      </w:hyperlink>
    </w:p>
    <w:p>
      <w:pPr>
        <w:pStyle w:val="BodyText"/>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3"/>
    <w:bookmarkEnd w:id="144"/>
    <w:bookmarkStart w:id="149" w:name="additional-analyses-1"/>
    <w:p>
      <w:pPr>
        <w:pStyle w:val="Heading2"/>
      </w:pPr>
      <w:r>
        <w:t xml:space="preserve">Additional analyses</w:t>
      </w:r>
    </w:p>
    <w:bookmarkStart w:id="146" w:name="dose-response-results"/>
    <w:p>
      <w:pPr>
        <w:pStyle w:val="Heading3"/>
      </w:pPr>
      <w:r>
        <w:t xml:space="preserve">Dose response meta-analysis of lipid levels</w:t>
      </w:r>
    </w:p>
    <w:p>
      <w:pPr>
        <w:pStyle w:val="FirstParagraph"/>
      </w:pPr>
      <w:r>
        <w:t xml:space="preserve">There were 13 studies initially considered eligible for the dose-response meta-analysis, as they appear to provide data on risk of dementia outcomes across several categories of lipid exposure. However, following data extraction, five were excluded as they did not reported the relevant information needed (most commonly, the cut-off measures for each category).</w:t>
      </w:r>
    </w:p>
    <w:p>
      <w:pPr>
        <w:pStyle w:val="BodyText"/>
      </w:pPr>
      <w:r>
        <w:t xml:space="preserve">Across the remaining eight studies, a sufficient number of results (n</w:t>
      </w:r>
      <w:r>
        <w:t xml:space="preserve"> </w:t>
      </w:r>
      <m:oMath>
        <m:r>
          <m:rPr>
            <m:sty m:val="p"/>
          </m:rPr>
          <m:t>≥</m:t>
        </m:r>
      </m:oMath>
      <w:r>
        <w:t xml:space="preserve"> </w:t>
      </w:r>
      <w:r>
        <w:t xml:space="preserve">3) were identified only for the total cholesterol-Alzheimer’s, LDL-Alzheimer’s, and total cholesterol-dementia strata. This analysis provided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6"/>
    <w:bookmarkStart w:id="147" w:name="heterogeneity-and-publication-bias"/>
    <w:p>
      <w:pPr>
        <w:pStyle w:val="Heading3"/>
      </w:pPr>
      <w:r>
        <w:t xml:space="preserve">Heterogeneity and publication bias</w:t>
      </w:r>
    </w:p>
    <w:p>
      <w:pPr>
        <w:pStyle w:val="FirstParagraph"/>
      </w:pPr>
      <w:r>
        <w:t xml:space="preserve">Investigation of potential sources of heterogeneity was complicated by two factors. In the first instance, a minority of meta-analysis (4 out of 18, 22%) included more than 10 results, the recommended minimum required for meta-regression. Secondly, poor reporting of study characteristics of interest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 </w:t>
      </w:r>
    </w:p>
    <w:bookmarkEnd w:id="147"/>
    <w:bookmarkStart w:id="148" w:name="sys-rev-including-preprints-res"/>
    <w:p>
      <w:pPr>
        <w:pStyle w:val="Heading3"/>
      </w:pPr>
      <w:r>
        <w:t xml:space="preserve">Added evidential value of including preprints</w:t>
      </w:r>
    </w:p>
    <w:p>
      <w:pPr>
        <w:pStyle w:val="FirstParagraph"/>
      </w:pPr>
      <w:r>
        <w:t xml:space="preserve">As show in the PRISMA flow diagram (Figure</w:t>
      </w:r>
      <w:r>
        <w:t xml:space="preserve"> </w:t>
      </w:r>
      <w:r>
        <w:t xml:space="preserve">4</w:t>
      </w:r>
      <w:r>
        <w:t xml:space="preserve">), the number of hits returned by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249</w:t>
        </w:r>
      </w:hyperlink>
      <w:r>
        <w:rPr>
          <w:vertAlign w:val="superscript"/>
        </w:rPr>
        <w:t xml:space="preserve">,</w:t>
      </w:r>
      <w:hyperlink w:anchor="ref-andrews2019">
        <w:r>
          <w:rPr>
            <w:rStyle w:val="Hyperlink"/>
            <w:vertAlign w:val="superscript"/>
          </w:rPr>
          <w:t xml:space="preserve">251</w:t>
        </w:r>
      </w:hyperlink>
    </w:p>
    <w:p>
      <w:pPr>
        <w:pStyle w:val="BodyText"/>
      </w:pPr>
      <w:r>
        <w:t xml:space="preserve">One preprint (So</w:t>
      </w:r>
      <w:r>
        <w:t xml:space="preserve"> </w:t>
      </w:r>
      <w:r>
        <w:rPr>
          <w:iCs/>
          <w:i/>
        </w:rPr>
        <w:t xml:space="preserve">et al</w:t>
      </w:r>
      <w:hyperlink w:anchor="ref-so2017">
        <w:r>
          <w:rPr>
            <w:rStyle w:val="Hyperlink"/>
            <w:vertAlign w:val="superscript"/>
          </w:rPr>
          <w:t xml:space="preserve">249</w:t>
        </w:r>
      </w:hyperlink>
      <w:r>
        <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
      </w:r>
      <w:r>
        <w:t xml:space="preserve"> </w:t>
      </w:r>
      <w:r>
        <w:t xml:space="preserve">11</w:t>
      </w:r>
      <w:r>
        <w:t xml:space="preserve">). To assess the evidence added to the meta-analysis through inclusion of the preprint, the data was re-analysed using a fixed-effect model. Examination of the weight assigned to each result in the analysis illustrates that a large proportion (78%) of the weight is given to the preprinted result. However, the inclusion of the preprinted study did not have a substantial impact on the result of the meta-analysis (RR: 0.76, 95%CI: 0.51-1.14) compared with that reported by the single published study (RR: 0.59, 95%CI: 0.25-1.39), other than a slight increase in precision.</w:t>
      </w:r>
    </w:p>
    <w:p>
      <w:pPr>
        <w:pStyle w:val="BodyText"/>
      </w:pPr>
      <w:r>
        <w:t xml:space="preserve">The other two preprints identified</w:t>
      </w:r>
      <w:hyperlink w:anchor="ref-andrews2019">
        <w:r>
          <w:rPr>
            <w:rStyle w:val="Hyperlink"/>
            <w:vertAlign w:val="superscript"/>
          </w:rPr>
          <w:t xml:space="preserve">251</w:t>
        </w:r>
      </w:hyperlink>
      <w:r>
        <w:rPr>
          <w:vertAlign w:val="superscript"/>
        </w:rPr>
        <w:t xml:space="preserve">,</w:t>
      </w:r>
      <w:hyperlink w:anchor="ref-zhu2017">
        <w:r>
          <w:rPr>
            <w:rStyle w:val="Hyperlink"/>
            <w:vertAlign w:val="superscript"/>
          </w:rPr>
          <w:t xml:space="preserve">252</w:t>
        </w:r>
      </w:hyperlink>
      <w:r>
        <w:t xml:space="preserve"> </w:t>
      </w:r>
      <w:r>
        <w:t xml:space="preserve">reported on the effect of LDL-c on Alzheimer’s disease using data from GLCC and IGAP consortia. As illustrated in Figure</w:t>
      </w:r>
      <w:r>
        <w:t xml:space="preserve"> </w:t>
      </w:r>
      <w:r>
        <w:t xml:space="preserve">13</w:t>
      </w:r>
      <w:r>
        <w:t xml:space="preserve">, these consortia were previously analysed in several published reports, and so these preprints did not add to new information to the evidence base.</w:t>
      </w:r>
    </w:p>
    <w:p>
      <w:pPr>
        <w:pStyle w:val="BodyText"/>
      </w:pPr>
      <w:r>
        <w:t xml:space="preserve">Investigation of the publication status of the two preprints reporting studies not also identified by the main search found that, allowing for a two-year lag, only one had been subsequently published.</w:t>
      </w:r>
      <w:hyperlink w:anchor="ref-andrews2021">
        <w:r>
          <w:rPr>
            <w:rStyle w:val="Hyperlink"/>
            <w:vertAlign w:val="superscript"/>
          </w:rPr>
          <w:t xml:space="preserve">246</w:t>
        </w:r>
      </w:hyperlink>
      <w:r>
        <w:rPr>
          <w:vertAlign w:val="superscript"/>
        </w:rPr>
        <w:t xml:space="preserve">,</w:t>
      </w:r>
      <w:hyperlink w:anchor="ref-andrews2019">
        <w:r>
          <w:rPr>
            <w:rStyle w:val="Hyperlink"/>
            <w:vertAlign w:val="superscript"/>
          </w:rPr>
          <w:t xml:space="preserve">251</w:t>
        </w:r>
      </w:hyperlink>
    </w:p>
    <w:p>
      <w:pPr>
        <w:pStyle w:val="BodyText"/>
      </w:pPr>
      <w:r>
        <w:t xml:space="preserve"> </w:t>
      </w:r>
      <w:r>
        <w:t xml:space="preserve"> </w:t>
      </w:r>
    </w:p>
    <w:bookmarkEnd w:id="148"/>
    <w:bookmarkEnd w:id="149"/>
    <w:bookmarkStart w:id="161" w:name="discussion-1"/>
    <w:p>
      <w:pPr>
        <w:pStyle w:val="Heading2"/>
      </w:pPr>
      <w:r>
        <w:t xml:space="preserve">Discussion</w:t>
      </w:r>
    </w:p>
    <w:p>
      <w:pPr>
        <w:pStyle w:val="FirstParagraph"/>
      </w:pPr>
      <w:r>
        <w:t xml:space="preserve">This review presented a summary of the available evidence on the association between lipids, and treatments that modify lipids such as statins, and the subsequent risk of dementia. This discussion seeks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51" w:name="summary-of-findings"/>
    <w:p>
      <w:pPr>
        <w:pStyle w:val="Heading3"/>
      </w:pPr>
      <w:r>
        <w:t xml:space="preserve">Summary of findings</w:t>
      </w:r>
    </w:p>
    <w:p>
      <w:pPr>
        <w:pStyle w:val="FirstParagraph"/>
      </w:pPr>
      <w:r>
        <w:t xml:space="preserve">There was some indication of a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
      </w:r>
    </w:p>
    <w:p>
      <w:pPr>
        <w:pStyle w:val="BodyText"/>
      </w:pPr>
      <w:r>
        <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latent period of the condition makes trials logistically difficult and financial expensive. Similarly, Mendelian randomisation is a comparatively new study design, and studies employing it in relation to dementia outcomes only appear in the evidence base in recent years, as illustrated in Figure</w:t>
      </w:r>
      <w:r>
        <w:t xml:space="preserve"> </w:t>
      </w:r>
      <w:r>
        <w:t xml:space="preserve">18</w:t>
      </w:r>
      <w:r>
        <w:t xml:space="preserve">. This recent increase is likely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for any dementia outcome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50"/>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central finding of this review is the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83</w:t>
        </w:r>
      </w:hyperlink>
      <w:r>
        <w:t xml:space="preserve"> </w:t>
      </w:r>
      <w:r>
        <w:t xml:space="preserve">though there was weak evidence of a small-study effects for this outcome (of which publication bias is one potential cause).</w:t>
      </w:r>
      <w:hyperlink w:anchor="ref-sterne2011">
        <w:r>
          <w:rPr>
            <w:rStyle w:val="Hyperlink"/>
            <w:vertAlign w:val="superscript"/>
          </w:rPr>
          <w:t xml:space="preserve">178</w:t>
        </w:r>
      </w:hyperlink>
      <w:r>
        <w:t xml:space="preserve"> </w:t>
      </w:r>
      <w:r>
        <w:t xml:space="preserve">Similarly, only one Mendelian randomisation study examined this outcome, likely due to the absence (until recently) of vascular dementia GWAS which precludes a two-sample approach.</w:t>
      </w:r>
    </w:p>
    <w:p>
      <w:pPr>
        <w:pStyle w:val="BodyText"/>
      </w:pPr>
      <w:r>
        <w:t xml:space="preserve">Of note, this review did not include the commonly cited PROSPER RCT, which examined the effect of pravastatin on cardiovascular disease risk and reported on cognitive outcomes as one of several secondary outcomes.</w:t>
      </w:r>
      <w:hyperlink w:anchor="ref-shepherd2002">
        <w:r>
          <w:rPr>
            <w:rStyle w:val="Hyperlink"/>
            <w:vertAlign w:val="superscript"/>
          </w:rPr>
          <w:t xml:space="preserve">253</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63</w:t>
        </w:r>
      </w:hyperlink>
      <w:r>
        <w:t xml:space="preserve"> </w:t>
      </w:r>
      <w:r>
        <w:t xml:space="preserve">the trial reported solely on the change in a range of cognitive measures (MMSE, Stroop test, Picture-Word Learning test and others) over follow-up. Though a useful indicator of general cognitive decline, it is not equivalent to a dementia diagnosis using recognised criteria, as cognitive tests should feed into a broader diagnostic pathway (see Section</w:t>
      </w:r>
      <w:r>
        <w:t xml:space="preserve"> </w:t>
      </w:r>
      <w:r>
        <w:t xml:space="preserve">1.2.2</w:t>
      </w:r>
      <w:r>
        <w:t xml:space="preserve">). As such, this trial did not meet the inclusion criteria for this review.</w:t>
      </w:r>
    </w:p>
    <w:p>
      <w:pPr>
        <w:pStyle w:val="BodyText"/>
      </w:pPr>
      <w:r>
        <w:t xml:space="preserve">Risk of bias across the individual results was generally high. The causes and expected impact of these biases on the results are discussed in more detail in Chapter</w:t>
      </w:r>
      <w:r>
        <w:t xml:space="preserve"> </w:t>
      </w:r>
      <w:r>
        <w:t xml:space="preserve">7</w:t>
      </w:r>
      <w:r>
        <w:t xml:space="preserve">. Of particular interest to this chapter, however, was the high risk of bias due to missing evidence observed for observational studies of lipid levels. In many cases, estimates are known to be missing not at random from meta-analyses due to preferential reporting of significant results, leading to high risk of bias due to missing evidence. These missing estimates were most commonly identified via analysis of conference abstract/final publication pairs.</w:t>
      </w:r>
      <w:hyperlink w:anchor="ref-yamada2009">
        <w:r>
          <w:rPr>
            <w:rStyle w:val="Hyperlink"/>
            <w:vertAlign w:val="superscript"/>
          </w:rPr>
          <w:t xml:space="preserve">243</w:t>
        </w:r>
      </w:hyperlink>
      <w:r>
        <w:rPr>
          <w:vertAlign w:val="superscript"/>
        </w:rPr>
        <w:t xml:space="preserve">,</w:t>
      </w:r>
      <w:hyperlink w:anchor="ref-yamada2009conf">
        <w:r>
          <w:rPr>
            <w:rStyle w:val="Hyperlink"/>
            <w:vertAlign w:val="superscript"/>
          </w:rPr>
          <w:t xml:space="preserve">254</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hyperlink w:anchor="ref-ancelin2013">
        <w:r>
          <w:rPr>
            <w:rStyle w:val="Hyperlink"/>
            <w:vertAlign w:val="superscript"/>
          </w:rPr>
          <w:t xml:space="preserve">216</w:t>
        </w:r>
      </w:hyperlink>
      <w:r>
        <w:t xml:space="preserve">). However, as all identified missing results are likely to be non-significant, they would not be expected to have a substantial impact on their respective meta-analysis (which provided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several studies which made use of data from the Taiwan health insurance database.</w:t>
      </w:r>
    </w:p>
    <w:p>
      <w:pPr>
        <w:pStyle w:val="BodyText"/>
      </w:pPr>
      <w:r>
        <w:t xml:space="preserve"> </w:t>
      </w:r>
    </w:p>
    <w:bookmarkEnd w:id="151"/>
    <w:bookmarkStart w:id="152"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255</w:t>
        </w:r>
      </w:hyperlink>
      <w:r>
        <w:rPr>
          <w:vertAlign w:val="superscript"/>
        </w:rPr>
        <w:t xml:space="preserve">–</w:t>
      </w:r>
      <w:hyperlink w:anchor="ref-kuzma2018risk">
        <w:r>
          <w:rPr>
            <w:rStyle w:val="Hyperlink"/>
            <w:vertAlign w:val="superscript"/>
          </w:rPr>
          <w:t xml:space="preserve">260</w:t>
        </w:r>
      </w:hyperlink>
      <w:r>
        <w:t xml:space="preserve"> </w:t>
      </w:r>
      <w:r>
        <w:t xml:space="preserve">However, to my knowledge, this review is the first to use established domain based assessments tools (for example, the RoB 2 tool for randomized controlled trials)</w:t>
      </w:r>
      <w:hyperlink w:anchor="ref-sterne2019">
        <w:r>
          <w:rPr>
            <w:rStyle w:val="Hyperlink"/>
            <w:vertAlign w:val="superscript"/>
          </w:rPr>
          <w:t xml:space="preserve">158</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255</w:t>
        </w:r>
      </w:hyperlink>
      <w:r>
        <w:rPr>
          <w:vertAlign w:val="superscript"/>
        </w:rPr>
        <w:t xml:space="preserve">,</w:t>
      </w:r>
      <w:hyperlink w:anchor="ref-power2015">
        <w:r>
          <w:rPr>
            <w:rStyle w:val="Hyperlink"/>
            <w:vertAlign w:val="superscript"/>
          </w:rPr>
          <w:t xml:space="preserve">261</w:t>
        </w:r>
      </w:hyperlink>
      <w:r>
        <w:t xml:space="preserve"> </w:t>
      </w:r>
      <w:r>
        <w:t xml:space="preserve">or used a non-domain-based assessment tool (e.g. the Newcastle-Ottowa Scale).</w:t>
      </w:r>
      <w:hyperlink w:anchor="ref-poly2020">
        <w:r>
          <w:rPr>
            <w:rStyle w:val="Hyperlink"/>
            <w:vertAlign w:val="superscript"/>
          </w:rPr>
          <w:t xml:space="preserve">258</w:t>
        </w:r>
      </w:hyperlink>
    </w:p>
    <w:p>
      <w:pPr>
        <w:pStyle w:val="BodyText"/>
      </w:pPr>
      <w:r>
        <w:t xml:space="preserve">I identified one previous review of Mendelian randomisation studies examining risk factors for Alzheimer’s disease. However, this review was conducted prior to the majority of Mendelian randomisation studies included in this review being published and extracted results including SNPs in the</w:t>
      </w:r>
      <w:r>
        <w:t xml:space="preserve"> </w:t>
      </w:r>
      <w:r>
        <w:rPr>
          <w:iCs/>
          <w:i/>
        </w:rPr>
        <w:t xml:space="preserve">ApoE4</w:t>
      </w:r>
      <w:r>
        <w:t xml:space="preserve"> </w:t>
      </w:r>
      <w:r>
        <w:t xml:space="preserve">genetic region (see the following section for a discussion of the bias this introduces).</w:t>
      </w:r>
    </w:p>
    <w:p>
      <w:pPr>
        <w:pStyle w:val="BodyText"/>
      </w:pPr>
      <w:r>
        <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
      </w:r>
      <w:hyperlink w:anchor="ref-aromataris2015">
        <w:r>
          <w:rPr>
            <w:rStyle w:val="Hyperlink"/>
            <w:vertAlign w:val="superscript"/>
          </w:rPr>
          <w:t xml:space="preserve">262</w:t>
        </w:r>
      </w:hyperlink>
      <w:r>
        <w:rPr>
          <w:vertAlign w:val="superscript"/>
        </w:rPr>
        <w:t xml:space="preserve">,</w:t>
      </w:r>
      <w:hyperlink w:anchor="ref-smith2011">
        <w:r>
          <w:rPr>
            <w:rStyle w:val="Hyperlink"/>
            <w:vertAlign w:val="superscript"/>
          </w:rPr>
          <w:t xml:space="preserve">263</w:t>
        </w:r>
      </w:hyperlink>
      <w:r>
        <w:t xml:space="preserve"> </w:t>
      </w:r>
      <w:r>
        <w:t xml:space="preserve">could have been employed. This study design uses other systematic reviews rather than primary studies as the unit of analysis, and would have enabled more efficient identification of relevant primary studies to which the methods which sets this review apart could have been applied.</w:t>
      </w:r>
    </w:p>
    <w:p>
      <w:pPr>
        <w:pStyle w:val="BodyText"/>
      </w:pPr>
      <w:r>
        <w:t xml:space="preserve"> </w:t>
      </w:r>
    </w:p>
    <w:bookmarkEnd w:id="152"/>
    <w:bookmarkStart w:id="154" w:name="rev-discussion-MR"/>
    <w:p>
      <w:pPr>
        <w:pStyle w:val="Heading3"/>
      </w:pPr>
      <w:r>
        <w:t xml:space="preserve">Inclusion of Mendelian randomisation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three core assumptions detailed in Figure</w:t>
      </w:r>
      <w:r>
        <w:t xml:space="preserve"> </w:t>
      </w:r>
      <w:r>
        <w:t xml:space="preserve">19</w:t>
      </w:r>
      <w:r>
        <w:t xml:space="preserve"> </w:t>
      </w:r>
      <w:r>
        <w:t xml:space="preserve">are valid. These assumptions are namely that: i) the genetic variant associates with the risk factor of interest (relevance assumption); ii) the variant-exposure association has no unmeasured confounders (independence assumption); and the variants affect the outcome only through their effect on the risk factor of interest (exclusion restriction assumption).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3"/>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
      </w:r>
    </w:p>
    <w:p>
      <w:pPr>
        <w:pStyle w:val="BodyText"/>
      </w:pPr>
      <w:r>
        <w:t xml:space="preserve">Additionally, there is currently no widely used risk-of-bias assessment tool for Mendelian randomisation studies. While a recent commentary provided a checklist for interpreting Mendelian randomisation studies, this guide includes reporting items in their quality checklist.</w:t>
      </w:r>
      <w:hyperlink w:anchor="ref-davies2018">
        <w:r>
          <w:rPr>
            <w:rStyle w:val="Hyperlink"/>
            <w:vertAlign w:val="superscript"/>
          </w:rPr>
          <w:t xml:space="preserve">68</w:t>
        </w:r>
      </w:hyperlink>
      <w:r>
        <w:t xml:space="preserve"> </w:t>
      </w:r>
      <w:r>
        <w:t xml:space="preserve">Reporting quality is an important consideration for Mendelian randomisation studies, as reflected by the recent release of a STROBE MR reporting guidelines,</w:t>
      </w:r>
      <w:hyperlink w:anchor="ref-skrivankova2021">
        <w:r>
          <w:rPr>
            <w:rStyle w:val="Hyperlink"/>
            <w:vertAlign w:val="superscript"/>
          </w:rPr>
          <w:t xml:space="preserve">264</w:t>
        </w:r>
      </w:hyperlink>
      <w:r>
        <w:t xml:space="preserve"> </w:t>
      </w:r>
      <w:r>
        <w:t xml:space="preserve">but is a separate consideration to bias, as discussed in Section</w:t>
      </w:r>
      <w:r>
        <w:t xml:space="preserve"> </w:t>
      </w:r>
      <w:r>
        <w:t xml:space="preserve">3.2.8</w:t>
      </w:r>
      <w:r>
        <w:t xml:space="preserve">. Similarly, a previous review of Mendelian randomisation studies used the Q-Genie tool which was designed to assess the quality of GWAS included in a meta-analysis.</w:t>
      </w:r>
      <w:hyperlink w:anchor="ref-sohani2015">
        <w:r>
          <w:rPr>
            <w:rStyle w:val="Hyperlink"/>
            <w:vertAlign w:val="superscript"/>
          </w:rPr>
          <w:t xml:space="preserve">265</w:t>
        </w:r>
      </w:hyperlink>
      <w:r>
        <w:t xml:space="preserve"> </w:t>
      </w:r>
      <w:r>
        <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
      </w:r>
      <w:hyperlink w:anchor="ref-spiga2021">
        <w:r>
          <w:rPr>
            <w:rStyle w:val="Hyperlink"/>
            <w:vertAlign w:val="superscript"/>
          </w:rPr>
          <w:t xml:space="preserve">163</w:t>
        </w:r>
      </w:hyperlink>
    </w:p>
    <w:p>
      <w:pPr>
        <w:pStyle w:val="BodyText"/>
      </w:pPr>
      <w:r>
        <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and other measures, I identified at least one relevant Mendelian randomisation study that had not been captured by the search strategy.</w:t>
      </w:r>
      <w:hyperlink w:anchor="ref-larsson2017">
        <w:r>
          <w:rPr>
            <w:rStyle w:val="Hyperlink"/>
            <w:vertAlign w:val="superscript"/>
          </w:rPr>
          <w:t xml:space="preserve">69</w:t>
        </w:r>
      </w:hyperlink>
      <w:r>
        <w:t xml:space="preserve"> </w:t>
      </w:r>
      <w:r>
        <w:t xml:space="preserve">This study examined lipid fractions as one of many risk factors for Alzheimer’s disease, though the search would not have been expected to find it given the absence of any lipid-related keywords in the title or abstract. Studies examining multiple risk factors such as this can introduce bias into a systematic review, as it is commonly only those risk factors with statistically significant result that are reported in the abstract and so are captured by a systematic search. These studies are described as</w:t>
      </w:r>
      <w:r>
        <w:t xml:space="preserve"> </w:t>
      </w:r>
      <w:r>
        <w:t xml:space="preserve">“</w:t>
      </w:r>
      <w:r>
        <w:t xml:space="preserve">unknown unknown’s</w:t>
      </w:r>
      <w:r>
        <w:t xml:space="preserve">”</w:t>
      </w:r>
      <w:r>
        <w:t xml:space="preserve"> </w:t>
      </w:r>
      <w:r>
        <w:t xml:space="preserve">in the context of the RoB-ME tool, and are considered to be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266</w:t>
        </w:r>
      </w:hyperlink>
      <w:r>
        <w:rPr>
          <w:vertAlign w:val="superscript"/>
        </w:rPr>
        <w:t xml:space="preserve">,</w:t>
      </w:r>
      <w:hyperlink w:anchor="ref-wagner2020">
        <w:r>
          <w:rPr>
            <w:rStyle w:val="Hyperlink"/>
            <w:vertAlign w:val="superscript"/>
          </w:rPr>
          <w:t xml:space="preserve">267</w:t>
        </w:r>
      </w:hyperlink>
      <w:r>
        <w:t xml:space="preserve"> </w:t>
      </w:r>
      <w:r>
        <w:t xml:space="preserve">Alternatively, in better-resourced reviews, a broader search (e.g. </w:t>
      </w:r>
      <w:r>
        <w:t xml:space="preserve">“</w:t>
      </w:r>
      <w:r>
        <w:t xml:space="preserve">risk factor</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w:t>
      </w:r>
    </w:p>
    <w:p>
      <w:pPr>
        <w:pStyle w:val="BodyText"/>
      </w:pPr>
      <w:r>
        <w:t xml:space="preserve">One item of particular interest is the attenuation of any effects identified by Mendelian randomisation studies following the adjustment for/exclusion of genetic variation in the</w:t>
      </w:r>
      <w:r>
        <w:t xml:space="preserve"> </w:t>
      </w:r>
      <w:r>
        <w:rPr>
          <w:iCs/>
          <w:i/>
        </w:rPr>
        <w:t xml:space="preserve">ApoE4</w:t>
      </w:r>
      <w:r>
        <w:t xml:space="preserve"> </w:t>
      </w:r>
      <w:r>
        <w:t xml:space="preserve">gene region. As discussed in the introduction (see Section</w:t>
      </w:r>
      <w:r>
        <w:t xml:space="preserve"> </w:t>
      </w:r>
      <w:r>
        <w:t xml:space="preserve">1.4.1</w:t>
      </w:r>
      <w:r>
        <w:t xml:space="preserve">), an increasing number of</w:t>
      </w:r>
      <w:r>
        <w:t xml:space="preserve"> </w:t>
      </w:r>
      <w:r>
        <w:rPr>
          <w:iCs/>
          <w:i/>
        </w:rPr>
        <w:t xml:space="preserve">ApoE4</w:t>
      </w:r>
      <w:r>
        <w:t xml:space="preserve"> </w:t>
      </w:r>
      <w:r>
        <w:t xml:space="preserve">alleles is a major independent risk factor for Alzheimer’s disease and so violates the exclusion restriction criteria of Mendelian randomisation studies (Figure</w:t>
      </w:r>
      <w:r>
        <w:t xml:space="preserve"> </w:t>
      </w:r>
      <w:r>
        <w:t xml:space="preserve">19</w:t>
      </w:r>
      <w:r>
        <w:t xml:space="preserve">). In all cases, excluding variants in the</w:t>
      </w:r>
      <w:r>
        <w:t xml:space="preserve"> </w:t>
      </w:r>
      <w:r>
        <w:rPr>
          <w:iCs/>
          <w:i/>
        </w:rPr>
        <w:t xml:space="preserve">ApoE</w:t>
      </w:r>
      <w:r>
        <w:t xml:space="preserve"> </w:t>
      </w:r>
      <w:r>
        <w:t xml:space="preserve">region attenuates the observed effect to the null. A clear example of this is Benn</w:t>
      </w:r>
      <w:r>
        <w:t xml:space="preserve"> </w:t>
      </w:r>
      <w:r>
        <w:rPr>
          <w:iCs/>
          <w:i/>
        </w:rPr>
        <w:t xml:space="preserve">et al</w:t>
      </w:r>
      <w:r>
        <w:t xml:space="preserve"> </w:t>
      </w:r>
      <w:r>
        <w:t xml:space="preserve">(2017), where</w:t>
      </w:r>
      <w:r>
        <w:t xml:space="preserve"> </w:t>
      </w:r>
      <w:r>
        <w:rPr>
          <w:iCs/>
          <w:i/>
        </w:rPr>
        <w:t xml:space="preserve">ApoE</w:t>
      </w:r>
      <w:r>
        <w:t xml:space="preserve"> </w:t>
      </w:r>
      <w:r>
        <w:t xml:space="preserve">variants were not sufficient identified and excluded, leading the published paper to report a protective effect of LDL-c on Alzheimer’s (RR: 0.83, 95%CI: 0.75-0.92).</w:t>
      </w:r>
      <w:hyperlink w:anchor="ref-benn2017">
        <w:r>
          <w:rPr>
            <w:rStyle w:val="Hyperlink"/>
            <w:vertAlign w:val="superscript"/>
          </w:rPr>
          <w:t xml:space="preserve">72</w:t>
        </w:r>
      </w:hyperlink>
      <w:r>
        <w:t xml:space="preserve"> </w:t>
      </w:r>
      <w:r>
        <w:t xml:space="preserve">Following several rapid responses, the data was re-analysed to exclude a larger area around</w:t>
      </w:r>
      <w:r>
        <w:t xml:space="preserve"> </w:t>
      </w:r>
      <w:r>
        <w:rPr>
          <w:iCs/>
          <w:i/>
        </w:rPr>
        <w:t xml:space="preserve">ApoE</w:t>
      </w:r>
      <w:r>
        <w:t xml:space="preserve"> </w:t>
      </w:r>
      <w:r>
        <w:t xml:space="preserve">which attenuated the finding to the null.</w:t>
      </w:r>
      <w:hyperlink w:anchor="ref-benn2017comment">
        <w:r>
          <w:rPr>
            <w:rStyle w:val="Hyperlink"/>
            <w:vertAlign w:val="superscript"/>
          </w:rPr>
          <w:t xml:space="preserve">268</w:t>
        </w:r>
      </w:hyperlink>
    </w:p>
    <w:p>
      <w:pPr>
        <w:pStyle w:val="BodyText"/>
      </w:pPr>
      <w:r>
        <w:t xml:space="preserve"> </w:t>
      </w:r>
    </w:p>
    <w:bookmarkEnd w:id="154"/>
    <w:bookmarkStart w:id="156" w:name="inclusion-of-preprints"/>
    <w:p>
      <w:pPr>
        <w:pStyle w:val="Heading3"/>
      </w:pPr>
      <w:r>
        <w:t xml:space="preserve">Inclusion of preprints</w:t>
      </w:r>
    </w:p>
    <w:p>
      <w:pPr>
        <w:pStyle w:val="FirstParagraph"/>
      </w:pPr>
      <w:r>
        <w:t xml:space="preserve">As highlighted in Section</w:t>
      </w:r>
      <w:r>
        <w:t xml:space="preserve"> </w:t>
      </w:r>
      <w:r>
        <w:t xml:space="preserve">1.5.1</w:t>
      </w:r>
      <w:r>
        <w:t xml:space="preserve">, this review explicitly sought to synthesize evidence across different publication statuses (preprinted vs. published). Using the tool described in Chapter</w:t>
      </w:r>
      <w:r>
        <w:t xml:space="preserve"> </w:t>
      </w:r>
      <w:r>
        <w:t xml:space="preserve">2.1</w:t>
      </w:r>
      <w:r>
        <w:t xml:space="preserve">, two preprint servers related to health and biomedical sciences were searched as part of this review. The small number of studies returned by the preprint searches (or the absence of any relevant hits in the medRxiv database - see Figure</w:t>
      </w:r>
      <w:r>
        <w:t xml:space="preserve"> </w:t>
      </w:r>
      <w:r>
        <w:t xml:space="preserve">4</w:t>
      </w:r>
      <w:r>
        <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
      </w:r>
      <w:r>
        <w:t xml:space="preserve"> </w:t>
      </w:r>
      <w:r>
        <w:t xml:space="preserve">20</w:t>
      </w:r>
      <w:r>
        <w:t xml:space="preserve">).</w:t>
      </w:r>
    </w:p>
    <w:p>
      <w:pPr>
        <w:pStyle w:val="BodyText"/>
      </w:pPr>
      <w:r>
        <w:t xml:space="preserve"> </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5"/>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
      </w:r>
      <w:r>
        <w:t xml:space="preserve"> </w:t>
      </w:r>
      <w:r>
        <w:t xml:space="preserve">4.4.3</w:t>
      </w:r>
      <w:r>
        <w:t xml:space="preserve"> </w:t>
      </w:r>
      <w:r>
        <w:t xml:space="preserve">and indicated that results available only via preprinted reports can contribute additional evidence to a meta-analysis. However, the scale of this contribution is questionable. Preprinted evidence was incorporated into only single meta-analysis in this review, and inclusion of the preprinted result did not substantially impact the summary effect estimate.</w:t>
      </w:r>
    </w:p>
    <w:p>
      <w:pPr>
        <w:pStyle w:val="BodyText"/>
      </w:pPr>
      <w:r>
        <w:t xml:space="preserve">Of the three identified preprints, two were subsequently published as of September 2021. This fits well with the analysis presented in Chapter</w:t>
      </w:r>
      <w:r>
        <w:t xml:space="preserve"> </w:t>
      </w:r>
      <w:r>
        <w:t xml:space="preserve">2</w:t>
      </w:r>
      <w:r>
        <w:t xml:space="preserve"> </w:t>
      </w:r>
      <w:r>
        <w:t xml:space="preserve">that, allowing for a two-year lag, approximately two-thirds of preprints are published. It also illustrates the dual advantages of preprinted reports to evidence syntheses. Firstly, preprints provide an advance snapshot of the literature, capturing articles that will eventually be published but were not available at the time of the main search. For example one eligible preprint in this review was initially posted on bioRxiv in July 2019</w:t>
      </w:r>
      <w:hyperlink w:anchor="ref-andrews2019">
        <w:r>
          <w:rPr>
            <w:rStyle w:val="Hyperlink"/>
            <w:vertAlign w:val="superscript"/>
          </w:rPr>
          <w:t xml:space="preserve">251</w:t>
        </w:r>
      </w:hyperlink>
      <w:r>
        <w:t xml:space="preserve"> </w:t>
      </w:r>
      <w:r>
        <w:t xml:space="preserve">and was subsequently published in 2021 following peer-review.</w:t>
      </w:r>
      <w:hyperlink w:anchor="ref-andrews2021">
        <w:r>
          <w:rPr>
            <w:rStyle w:val="Hyperlink"/>
            <w:vertAlign w:val="superscript"/>
          </w:rPr>
          <w:t xml:space="preserve">246</w:t>
        </w:r>
      </w:hyperlink>
      <w:r>
        <w:t xml:space="preserve"> </w:t>
      </w:r>
      <w:r>
        <w:t xml:space="preserve">Secondly, inclusion of preprints allows for results that may never be formally published to be included in an evidence synthesis exercise, as is the case with a second preprint included in this review.</w:t>
      </w:r>
      <w:hyperlink w:anchor="ref-so2017">
        <w:r>
          <w:rPr>
            <w:rStyle w:val="Hyperlink"/>
            <w:vertAlign w:val="superscript"/>
          </w:rPr>
          <w:t xml:space="preserve">249</w:t>
        </w:r>
      </w:hyperlink>
      <w:r>
        <w:t xml:space="preserve"> </w:t>
      </w:r>
      <w:r>
        <w:t xml:space="preserve">Both of these aspects illustrate that inclusion of preprints is a necessity if the aim is to find all relevant literature on a topic at the time of searching.</w:t>
      </w:r>
    </w:p>
    <w:p>
      <w:pPr>
        <w:pStyle w:val="BodyText"/>
      </w:pPr>
      <w:r>
        <w:t xml:space="preserve">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82</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p>
    <w:bookmarkEnd w:id="156"/>
    <w:bookmarkStart w:id="157" w:name="sys-rev-open-data"/>
    <w:p>
      <w:pPr>
        <w:pStyle w:val="Heading3"/>
      </w:pPr>
      <w:r>
        <w:t xml:space="preserve">Open data sharing</w:t>
      </w:r>
    </w:p>
    <w:p>
      <w:pPr>
        <w:pStyle w:val="FirstParagraph"/>
      </w:pPr>
      <w:r>
        <w:t xml:space="preserve">As discussed in Section</w:t>
      </w:r>
      <w:r>
        <w:t xml:space="preserve"> </w:t>
      </w:r>
      <w:r>
        <w:t xml:space="preserve">4.4.1</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269</w:t>
        </w:r>
      </w:hyperlink>
      <w:r>
        <w:t xml:space="preserve"> </w:t>
      </w:r>
      <w:r>
        <w:t xml:space="preserve">and is not too costly to systematic reviewers,</w:t>
      </w:r>
      <w:hyperlink w:anchor="ref-cooper2019">
        <w:r>
          <w:rPr>
            <w:rStyle w:val="Hyperlink"/>
            <w:vertAlign w:val="superscript"/>
          </w:rPr>
          <w:t xml:space="preserve">270</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271</w:t>
        </w:r>
      </w:hyperlink>
      <w:r>
        <w:t xml:space="preserve"> </w:t>
      </w:r>
      <w:r>
        <w:t xml:space="preserve">A copy of this publication is available in Appendix</w:t>
      </w:r>
      <w:r>
        <w:t xml:space="preserve"> </w:t>
      </w:r>
      <w:r>
        <w:t xml:space="preserve">11.3</w:t>
      </w:r>
      <w:r>
        <w:t xml:space="preserve">. In an attempt to apply my own guidance, I have invested a substantial amount of time and effort into making the data obtained by this review openly available to other researchers, via a GitHub repository.</w:t>
      </w:r>
    </w:p>
    <w:p>
      <w:pPr>
        <w:pStyle w:val="BodyText"/>
      </w:pPr>
      <w:r>
        <w:t xml:space="preserve"> </w:t>
      </w:r>
    </w:p>
    <w:bookmarkEnd w:id="157"/>
    <w:bookmarkStart w:id="160" w:name="strengths-and-limitations"/>
    <w:p>
      <w:pPr>
        <w:pStyle w:val="Heading3"/>
      </w:pPr>
      <w:r>
        <w:t xml:space="preserve">Strengths and limitations</w:t>
      </w:r>
    </w:p>
    <w:bookmarkStart w:id="158" w:name="strengths"/>
    <w:p>
      <w:pPr>
        <w:pStyle w:val="Heading4"/>
      </w:pPr>
      <w:r>
        <w:t xml:space="preserve">Strengths</w:t>
      </w:r>
    </w:p>
    <w:p>
      <w:pPr>
        <w:pStyle w:val="FirstParagraph"/>
      </w:pPr>
      <w:r>
        <w:t xml:space="preserve">I believe there are several aspects where this review is distinct from those already available in the published literature. While several reviews of this research topic exist,</w:t>
      </w:r>
      <w:hyperlink w:anchor="ref-chu2018">
        <w:r>
          <w:rPr>
            <w:rStyle w:val="Hyperlink"/>
            <w:vertAlign w:val="superscript"/>
          </w:rPr>
          <w:t xml:space="preserve">255</w:t>
        </w:r>
      </w:hyperlink>
      <w:r>
        <w:rPr>
          <w:vertAlign w:val="superscript"/>
        </w:rPr>
        <w:t xml:space="preserve">–</w:t>
      </w:r>
      <w:hyperlink w:anchor="ref-poly2020">
        <w:r>
          <w:rPr>
            <w:rStyle w:val="Hyperlink"/>
            <w:vertAlign w:val="superscript"/>
          </w:rPr>
          <w:t xml:space="preserve">258</w:t>
        </w:r>
      </w:hyperlink>
      <w:r>
        <w:t xml:space="preserve"> </w:t>
      </w:r>
      <w:r>
        <w:t xml:space="preserve">the overlap between the list of studies included in each is not complete. As part of this review, I have not only performed a original search of primary literature databases, but have also screened the reference lists of comparable reviews to ensure no relevant study has been omitted.</w:t>
      </w:r>
    </w:p>
    <w:p>
      <w:pPr>
        <w:pStyle w:val="BodyText"/>
      </w:pPr>
      <w:r>
        <w:t xml:space="preserve">Secondly, this review employed a structured approach to risk-of-bias assessment using a domain-based tool. This represents an important strength of this review, as the detailed risk of bias assessments are used in inform the quantitative triangulation analysis presented in Chapter</w:t>
      </w:r>
      <w:r>
        <w:t xml:space="preserve"> </w:t>
      </w:r>
      <w:r>
        <w:t xml:space="preserve">??</w:t>
      </w:r>
      <w:r>
        <w:t xml:space="preserve">.</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8"/>
    <w:bookmarkStart w:id="159"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272</w:t>
        </w:r>
      </w:hyperlink>
      <w:r>
        <w:rPr>
          <w:vertAlign w:val="superscript"/>
        </w:rPr>
        <w:t xml:space="preserve">–</w:t>
      </w:r>
      <w:hyperlink w:anchor="ref-wilkinson2018">
        <w:r>
          <w:rPr>
            <w:rStyle w:val="Hyperlink"/>
            <w:vertAlign w:val="superscript"/>
          </w:rPr>
          <w:t xml:space="preserve">274</w:t>
        </w:r>
      </w:hyperlink>
      <w:r>
        <w:t xml:space="preserve"> </w:t>
      </w:r>
      <w:r>
        <w:t xml:space="preserve">Relatedly, several studies which made use of electronic health record database did not report the specific code lists used, potentially introducing substantial heterogeneity into the analysis. An empirical example of the effect of differing EHR code list is presented as part of the analysis in Chapter</w:t>
      </w:r>
      <w:r>
        <w:t xml:space="preserve"> </w:t>
      </w:r>
      <w:r>
        <w:t xml:space="preserve">5</w:t>
      </w:r>
      <w:r>
        <w:t xml:space="preserve"> </w:t>
      </w:r>
      <w:r>
        <w:t xml:space="preserve">(see Section</w:t>
      </w:r>
      <w:r>
        <w:t xml:space="preserve"> </w:t>
      </w:r>
      <w:r>
        <w:t xml:space="preserve">??</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not a major concern.</w:t>
      </w:r>
    </w:p>
    <w:p>
      <w:pPr>
        <w:pStyle w:val="BodyText"/>
      </w:pPr>
      <w:r>
        <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275</w:t>
        </w:r>
      </w:hyperlink>
    </w:p>
    <w:p>
      <w:pPr>
        <w:pStyle w:val="BodyText"/>
      </w:pPr>
      <w:r>
        <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 @Ref(rev-discussion-MR) above for a fuller discussion of this issue with respect to Mendelian randomisation studies). Unfortunately, this is probably a common limitation across all systematic reviews, based on the way in which increased search sensitivity must be balanced with a manageable workload.</w:t>
      </w:r>
    </w:p>
    <w:p>
      <w:pPr>
        <w:pStyle w:val="BodyText"/>
      </w:pPr>
      <w:r>
        <w:t xml:space="preserve"> </w:t>
      </w:r>
    </w:p>
    <w:bookmarkEnd w:id="159"/>
    <w:bookmarkEnd w:id="160"/>
    <w:bookmarkEnd w:id="161"/>
    <w:bookmarkStart w:id="162" w:name="summary-3"/>
    <w:p>
      <w:pPr>
        <w:pStyle w:val="Heading2"/>
      </w:pPr>
      <w:r>
        <w:t xml:space="preserve">Summary</w:t>
      </w:r>
    </w:p>
    <w:p>
      <w:pPr>
        <w:numPr>
          <w:ilvl w:val="0"/>
          <w:numId w:val="1014"/>
        </w:numPr>
      </w:pPr>
      <w:r>
        <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
      </w:r>
      <w:r>
        <w:t xml:space="preserve"> </w:t>
      </w:r>
      <w:r>
        <w:t xml:space="preserve">2</w:t>
      </w:r>
      <w:r>
        <w:t xml:space="preserve">.</w:t>
      </w:r>
    </w:p>
    <w:p>
      <w:pPr>
        <w:numPr>
          <w:ilvl w:val="0"/>
          <w:numId w:val="1014"/>
        </w:numPr>
      </w:pPr>
      <w:r>
        <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
      </w:r>
    </w:p>
    <w:p>
      <w:pPr>
        <w:numPr>
          <w:ilvl w:val="0"/>
          <w:numId w:val="1014"/>
        </w:numPr>
      </w:pPr>
      <w:r>
        <w:t xml:space="preserve">The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and provided evidence on an under-studied outcome (vascular dementia); while in Chapter</w:t>
      </w:r>
      <w:r>
        <w:t xml:space="preserve"> </w:t>
      </w:r>
      <w:r>
        <w:t xml:space="preserve">6</w:t>
      </w:r>
      <w:r>
        <w:t xml:space="preserve">, prospective cohorts identified by the review were contacted in an attempt to obtain individual participant data; finally, the results identified here are used as a key source of evidence for the triangulation exercise presented in Chapter</w:t>
      </w:r>
      <w:r>
        <w:t xml:space="preserve"> </w:t>
      </w:r>
      <w:r>
        <w:t xml:space="preserve">8</w:t>
      </w:r>
      <w:r>
        <w:t xml:space="preserve">.</w:t>
      </w:r>
    </w:p>
    <w:p>
      <w:r>
        <w:br w:type="page"/>
      </w:r>
    </w:p>
    <w:bookmarkEnd w:id="162"/>
    <w:bookmarkEnd w:id="163"/>
    <w:bookmarkStart w:id="221" w:name="cprd-analysis-heading"/>
    <w:p>
      <w:pPr>
        <w:pStyle w:val="Heading1"/>
      </w:pPr>
      <w:r>
        <w:t xml:space="preserve">Primary analysis of lipid-regulating agents and dementia outcomes</w:t>
      </w:r>
    </w:p>
    <w:p>
      <w:pPr>
        <w:pStyle w:val="FirstParagraph"/>
      </w:pPr>
      <w:r>
        <w:t xml:space="preserve"> </w:t>
      </w:r>
    </w:p>
    <w:p>
      <w:pPr>
        <w:pStyle w:val="BodyText"/>
      </w:pPr>
    </w:p>
    <w:bookmarkStart w:id="164" w:name="lay-summary-4"/>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via routine care. This is particularly important when studying diseases such as dementia, which may begin to develop in patients long before symptoms are seen.</w:t>
      </w:r>
    </w:p>
    <w:p>
      <w:pPr>
        <w:pStyle w:val="BodyText"/>
      </w:pPr>
      <w:r>
        <w:t xml:space="preserve"> </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 </w:t>
      </w:r>
    </w:p>
    <w:p>
      <w:pPr>
        <w:pStyle w:val="BodyText"/>
      </w:pPr>
      <w:r>
        <w:t xml:space="preserve">Little evidence for an effect of lipid-regulating agents effect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
      </w:r>
    </w:p>
    <w:p>
      <w:pPr>
        <w:pStyle w:val="BodyText"/>
      </w:pPr>
      <w:r>
        <w:t xml:space="preserve"> </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bookmarkEnd w:id="164"/>
    <w:p>
      <w:pPr>
        <w:pStyle w:val="BodyText"/>
      </w:pPr>
      <w:r>
        <w:t xml:space="preserve"> </w:t>
      </w:r>
    </w:p>
    <w:bookmarkStart w:id="165" w:name="introduction-2"/>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two important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through use of a Cox proportional hazards analysis, incorporating a time-varying treatment indicator.</w:t>
      </w:r>
      <w:hyperlink w:anchor="ref-suissa2008">
        <w:r>
          <w:rPr>
            <w:rStyle w:val="Hyperlink"/>
            <w:vertAlign w:val="superscript"/>
          </w:rPr>
          <w:t xml:space="preserve">276</w:t>
        </w:r>
      </w:hyperlink>
      <w:r>
        <w:t xml:space="preserve"> </w:t>
      </w:r>
      <w:r>
        <w:t xml:space="preserve">By employing this approach, the analysis provides an evidence source at risk of a distinct bias.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preprinted manuscript, a copy of which is available in Appendix</w:t>
      </w:r>
      <w:r>
        <w:t xml:space="preserve"> </w:t>
      </w:r>
      <w:r>
        <w:t xml:space="preserve">11.3</w:t>
      </w:r>
      <w:r>
        <w:t xml:space="preserve">.</w:t>
      </w:r>
    </w:p>
    <w:p>
      <w:pPr>
        <w:pStyle w:val="BodyText"/>
      </w:pPr>
      <w:r>
        <w:t xml:space="preserve"> </w:t>
      </w:r>
    </w:p>
    <w:bookmarkEnd w:id="165"/>
    <w:bookmarkStart w:id="186" w:name="methods-1"/>
    <w:p>
      <w:pPr>
        <w:pStyle w:val="Heading2"/>
      </w:pPr>
      <w:r>
        <w:t xml:space="preserve">Methods</w:t>
      </w:r>
    </w:p>
    <w:bookmarkStart w:id="166"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277</w:t>
        </w:r>
      </w:hyperlink>
      <w:r>
        <w:t xml:space="preserve"> </w:t>
      </w:r>
      <w:r>
        <w:t xml:space="preserve">and amendments to this are recorded in Appendix</w:t>
      </w:r>
      <w:r>
        <w:t xml:space="preserve"> </w:t>
      </w:r>
      <w:r>
        <w:t xml:space="preserve">10.5.1</w:t>
      </w:r>
      <w:r>
        <w:t xml:space="preserve">.</w:t>
      </w:r>
      <w:hyperlink w:anchor="ref-vonelm2008">
        <w:r>
          <w:rPr>
            <w:rStyle w:val="Hyperlink"/>
            <w:vertAlign w:val="superscript"/>
          </w:rPr>
          <w:t xml:space="preserve">278</w:t>
        </w:r>
      </w:hyperlink>
    </w:p>
    <w:p>
      <w:pPr>
        <w:pStyle w:val="BodyText"/>
      </w:pPr>
      <w:r>
        <w:t xml:space="preserve"> </w:t>
      </w:r>
    </w:p>
    <w:bookmarkEnd w:id="166"/>
    <w:bookmarkStart w:id="167"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279</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280</w:t>
        </w:r>
      </w:hyperlink>
      <w:r>
        <w:rPr>
          <w:vertAlign w:val="superscript"/>
        </w:rPr>
        <w:t xml:space="preserve">,</w:t>
      </w:r>
      <w:hyperlink w:anchor="ref-wood2001revitalizing">
        <w:r>
          <w:rPr>
            <w:rStyle w:val="Hyperlink"/>
            <w:vertAlign w:val="superscript"/>
          </w:rPr>
          <w:t xml:space="preserve">281</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279</w:t>
        </w:r>
      </w:hyperlink>
      <w:r>
        <w:rPr>
          <w:vertAlign w:val="superscript"/>
        </w:rPr>
        <w:t xml:space="preserve">,</w:t>
      </w:r>
      <w:hyperlink w:anchor="ref-mathur2014">
        <w:r>
          <w:rPr>
            <w:rStyle w:val="Hyperlink"/>
            <w:vertAlign w:val="superscript"/>
          </w:rPr>
          <w:t xml:space="preserve">282</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283</w:t>
        </w:r>
      </w:hyperlink>
      <w:r>
        <w:t xml:space="preserve"> </w:t>
      </w:r>
      <w:r>
        <w:t xml:space="preserve">All clinical events, including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a53b97a8-b2ce-4eed-ac0f-b879973e5ba8"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a53b97a8-b2ce-4eed-ac0f-b879973e5ba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5.4.4</w:t>
      </w:r>
      <w:r>
        <w:t xml:space="preserve">).</w:t>
      </w:r>
    </w:p>
    <w:p>
      <w:pPr>
        <w:pStyle w:val="BodyText"/>
      </w:pPr>
      <w:r>
        <w:t xml:space="preserve"> </w:t>
      </w:r>
    </w:p>
    <w:bookmarkEnd w:id="167"/>
    <w:bookmarkStart w:id="168"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(as defined by the CPRD). Records pre-dating the 1995 cut-off were included in the original CPRD extract obtained for this analysis. However, these older records were excluded from the analysis as data quality and reliability are thought to be higher after this date.</w:t>
      </w:r>
      <w:hyperlink w:anchor="ref-wolf2019">
        <w:r>
          <w:rPr>
            <w:rStyle w:val="Hyperlink"/>
            <w:vertAlign w:val="superscript"/>
          </w:rPr>
          <w:t xml:space="preserve">284</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w:t>
      </w:r>
    </w:p>
    <w:p>
      <w:pPr>
        <w:numPr>
          <w:ilvl w:val="0"/>
          <w:numId w:val="1015"/>
        </w:numPr>
        <w:pStyle w:val="Compact"/>
      </w:pPr>
      <w:r>
        <w:t xml:space="preserve">a Read code for a diagnosis of hypercholesterolemia or related condition;</w:t>
      </w:r>
    </w:p>
    <w:p>
      <w:pPr>
        <w:numPr>
          <w:ilvl w:val="0"/>
          <w:numId w:val="1015"/>
        </w:numPr>
        <w:pStyle w:val="Compact"/>
      </w:pPr>
      <w:r>
        <w:t xml:space="preserve">a Read code for prescription of a lipid-regulating agent (such as statins);</w:t>
      </w:r>
    </w:p>
    <w:p>
      <w:pPr>
        <w:numPr>
          <w:ilvl w:val="0"/>
          <w:numId w:val="1015"/>
        </w:numPr>
        <w:pStyle w:val="Compact"/>
      </w:pPr>
      <w:r>
        <w:t xml:space="preserve">a total cholesterol test result of &gt;4 mmol/L;</w:t>
      </w:r>
    </w:p>
    <w:p>
      <w:pPr>
        <w:numPr>
          <w:ilvl w:val="0"/>
          <w:numId w:val="1015"/>
        </w:numPr>
        <w:pStyle w:val="Compact"/>
      </w:pPr>
      <w:r>
        <w:t xml:space="preserve">an LDL-c test result of &gt;2 mmol/L.</w:t>
      </w:r>
    </w:p>
    <w:p>
      <w:pPr>
        <w:pStyle w:val="FirstParagraph"/>
      </w:pP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w:t>
      </w:r>
    </w:p>
    <w:p>
      <w:pPr>
        <w:numPr>
          <w:ilvl w:val="0"/>
          <w:numId w:val="1016"/>
        </w:numPr>
        <w:pStyle w:val="Compact"/>
      </w:pPr>
      <w:r>
        <w:t xml:space="preserve">an outcome of interest;</w:t>
      </w:r>
    </w:p>
    <w:p>
      <w:pPr>
        <w:numPr>
          <w:ilvl w:val="0"/>
          <w:numId w:val="1016"/>
        </w:numPr>
        <w:pStyle w:val="Compact"/>
      </w:pPr>
      <w:r>
        <w:t xml:space="preserve">death;</w:t>
      </w:r>
    </w:p>
    <w:p>
      <w:pPr>
        <w:numPr>
          <w:ilvl w:val="0"/>
          <w:numId w:val="1016"/>
        </w:numPr>
        <w:pStyle w:val="Compact"/>
      </w:pPr>
      <w:r>
        <w:t xml:space="preserve">end of follow-up (29 February 2016);</w:t>
      </w:r>
    </w:p>
    <w:p>
      <w:pPr>
        <w:numPr>
          <w:ilvl w:val="0"/>
          <w:numId w:val="1016"/>
        </w:numPr>
        <w:pStyle w:val="Compact"/>
      </w:pPr>
      <w:r>
        <w:t xml:space="preserve">last registration date with their GP practice;</w:t>
      </w:r>
    </w:p>
    <w:p>
      <w:pPr>
        <w:numPr>
          <w:ilvl w:val="0"/>
          <w:numId w:val="1016"/>
        </w:numPr>
        <w:pStyle w:val="Compact"/>
      </w:pPr>
      <w:r>
        <w:t xml:space="preserve">the last CPRD collection date for their practice.</w:t>
      </w:r>
    </w:p>
    <w:p>
      <w:pPr>
        <w:pStyle w:val="FirstParagraph"/>
      </w:pPr>
      <w:r>
        <w:t xml:space="preserve">Participants were ineligible for our cohort if they were less than 40 years of age (as these patients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8"/>
    <w:bookmarkStart w:id="169" w:name="exposures"/>
    <w:p>
      <w:pPr>
        <w:pStyle w:val="Heading3"/>
      </w:pPr>
      <w:r>
        <w:t xml:space="preserve">Exposures</w:t>
      </w:r>
    </w:p>
    <w:p>
      <w:pPr>
        <w:pStyle w:val="FirstParagraph"/>
      </w:pPr>
      <w:r>
        <w:t xml:space="preserve">I considered seven lipid-regulating drug classes based on groupings in the British National Formulary (BNF),</w:t>
      </w:r>
      <w:hyperlink w:anchor="ref-wishart2017">
        <w:r>
          <w:rPr>
            <w:rStyle w:val="Hyperlink"/>
            <w:vertAlign w:val="superscript"/>
          </w:rPr>
          <w:t xml:space="preserve">285</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7"/>
        </w:numPr>
        <w:pStyle w:val="Compact"/>
      </w:pPr>
      <w:r>
        <w:rPr>
          <w:bCs/>
          <w:b/>
        </w:rPr>
        <w:t xml:space="preserve">stopped</w:t>
      </w:r>
      <w:r>
        <w:t xml:space="preserve">: defined as the last prescription of the primary class being followed by at least six months of observation;</w:t>
      </w:r>
    </w:p>
    <w:p>
      <w:pPr>
        <w:numPr>
          <w:ilvl w:val="0"/>
          <w:numId w:val="1017"/>
        </w:numPr>
        <w:pStyle w:val="Compact"/>
      </w:pPr>
      <w:r>
        <w:rPr>
          <w:bCs/>
          <w:b/>
        </w:rPr>
        <w:t xml:space="preserve">added</w:t>
      </w:r>
      <w:r>
        <w:t xml:space="preserve">: defined as a second drug class being prescribed before the last prescription of the initial class; and</w:t>
      </w:r>
    </w:p>
    <w:p>
      <w:pPr>
        <w:numPr>
          <w:ilvl w:val="0"/>
          <w:numId w:val="1017"/>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9"/>
    <w:bookmarkStart w:id="171" w:name="cprd-outcomes"/>
    <w:p>
      <w:pPr>
        <w:pStyle w:val="Heading3"/>
      </w:pPr>
      <w:r>
        <w:t xml:space="preserve">Outcomes</w:t>
      </w:r>
    </w:p>
    <w:p>
      <w:pPr>
        <w:pStyle w:val="FirstParagraph"/>
      </w:pPr>
      <w:r>
        <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70"/>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1"/>
    <w:bookmarkStart w:id="172" w:name="covariates"/>
    <w:p>
      <w:pPr>
        <w:pStyle w:val="Heading3"/>
      </w:pPr>
      <w:r>
        <w:t xml:space="preserve">Covariates</w:t>
      </w:r>
    </w:p>
    <w:p>
      <w:pPr>
        <w:pStyle w:val="FirstParagraph"/>
      </w:pPr>
      <w:r>
        <w:t xml:space="preserve">A range of additional variables were included in the analysis. These were intended to address the different distributions of potential confounding factors between those who were prescribed a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2069592a-205c-4b08-ad12-eff59d97de45" w:name="tab:covariateDef-table"/>
      <w:r>
        <w:t xml:space="preserve">Definition of covariates adjusted for in the full-adjusted model. The code lists used to define the majority of these covariates were originally created for use in a previously published analysis.[@walker2020] while others were built on or adapted from previous published work,[@khan2010; @taylor2016; @wright2017].</w:t>
      </w:r>
      <w:bookmarkEnd w:id="2069592a-205c-4b08-ad12-eff59d97de4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
      </w:r>
      <w:r>
        <w:t xml:space="preserve"> </w:t>
      </w:r>
      <w:r>
        <w:t xml:space="preserve">5.2.10</w:t>
      </w:r>
      <w:r>
        <w:t xml:space="preserve">). Socioeconomic status was proxied using the Index of Multiple Deprivation (IMD) 2010. The IMD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was categorised as current, former, or never use.</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286</w:t>
        </w:r>
      </w:hyperlink>
      <w:r>
        <w:t xml:space="preserve"> </w:t>
      </w:r>
      <w:r>
        <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attempt to adjust for the general health of patients included in the analysis.</w:t>
      </w:r>
    </w:p>
    <w:p>
      <w:pPr>
        <w:pStyle w:val="BodyText"/>
      </w:pPr>
      <w:r>
        <w:t xml:space="preserve">code lists for all covariates can be found in the archived data repository accompanying this analysis (see Section</w:t>
      </w:r>
      <w:r>
        <w:t xml:space="preserve"> </w:t>
      </w:r>
      <w:r>
        <w:t xml:space="preserve">5.4.4</w:t>
      </w:r>
      <w:r>
        <w:t xml:space="preserve">).</w:t>
      </w:r>
    </w:p>
    <w:p>
      <w:pPr>
        <w:pStyle w:val="BodyText"/>
      </w:pPr>
      <w:r>
        <w:t xml:space="preserve"> </w:t>
      </w:r>
    </w:p>
    <w:bookmarkEnd w:id="172"/>
    <w:bookmarkStart w:id="173" w:name="missing-data"/>
    <w:p>
      <w:pPr>
        <w:pStyle w:val="Heading3"/>
      </w:pPr>
      <w:r>
        <w:t xml:space="preserve">Missing data</w:t>
      </w:r>
    </w:p>
    <w:p>
      <w:pPr>
        <w:pStyle w:val="FirstParagraph"/>
      </w:pPr>
      <w:r>
        <w:t xml:space="preserve">Missing data are a recognised problem in electronic health records databases.</w:t>
      </w:r>
      <w:hyperlink w:anchor="ref-wells2013strategies">
        <w:r>
          <w:rPr>
            <w:rStyle w:val="Hyperlink"/>
            <w:vertAlign w:val="superscript"/>
          </w:rPr>
          <w:t xml:space="preserve">287</w:t>
        </w:r>
      </w:hyperlink>
      <w:r>
        <w:t xml:space="preserve"> </w:t>
      </w:r>
      <w:r>
        <w:t xml:space="preserve">These databases are created from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288</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
        <w:r>
          <w:rPr>
            <w:rStyle w:val="Hyperlink"/>
            <w:vertAlign w:val="superscript"/>
          </w:rPr>
          <w:t xml:space="preserve">289</w:t>
        </w:r>
      </w:hyperlink>
      <w:r>
        <w:t xml:space="preserve"> </w:t>
      </w:r>
      <w:r>
        <w:t xml:space="preserve">Using the MICE (Multiple Imputation by Chained Equations) command in STATA16, 20 imputed datasets were created.</w:t>
      </w:r>
    </w:p>
    <w:p>
      <w:pPr>
        <w:pStyle w:val="BodyText"/>
      </w:pPr>
      <w:r>
        <w:t xml:space="preserve">Missing data were only considered problematic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287</w:t>
        </w:r>
      </w:hyperlink>
    </w:p>
    <w:p>
      <w:pPr>
        <w:pStyle w:val="BodyText"/>
      </w:pPr>
      <w:r>
        <w:t xml:space="preserve"> </w:t>
      </w:r>
      <w:r>
        <w:t xml:space="preserve"> </w:t>
      </w:r>
    </w:p>
    <w:bookmarkEnd w:id="173"/>
    <w:bookmarkStart w:id="174"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9</m:t>
          </m:r>
          <m:r>
            <m:rPr>
              <m:sty m:val="p"/>
            </m:rPr>
            <m:t>)</m:t>
          </m:r>
        </m:oMath>
      </m:oMathPara>
    </w:p>
    <w:p>
      <w:pPr>
        <w:pStyle w:val="FirstParagraph"/>
      </w:pPr>
      <w:r>
        <w:t xml:space="preserve">where:</w:t>
      </w:r>
    </w:p>
    <w:p>
      <w:pPr>
        <w:numPr>
          <w:ilvl w:val="0"/>
          <w:numId w:val="1018"/>
        </w:numPr>
        <w:pStyle w:val="Compact"/>
      </w:pPr>
      <m:oMath>
        <m:r>
          <m:t>t</m:t>
        </m:r>
      </m:oMath>
      <w:r>
        <w:t xml:space="preserve"> </w:t>
      </w:r>
      <w:r>
        <w:t xml:space="preserve">is the survival time;</w:t>
      </w:r>
    </w:p>
    <w:p>
      <w:pPr>
        <w:numPr>
          <w:ilvl w:val="0"/>
          <w:numId w:val="1018"/>
        </w:numPr>
        <w:pStyle w:val="Compact"/>
      </w:pPr>
      <m:oMath>
        <m:r>
          <m:t>h</m:t>
        </m:r>
        <m:r>
          <m:rPr>
            <m:sty m:val="p"/>
          </m:rPr>
          <m:t>(</m:t>
        </m:r>
        <m:r>
          <m:t>t</m:t>
        </m:r>
        <m:r>
          <m:rPr>
            <m:sty m:val="p"/>
          </m:rPr>
          <m:t>)</m:t>
        </m:r>
      </m:oMath>
      <w:r>
        <w:t xml:space="preserve"> </w:t>
      </w:r>
      <w:r>
        <w:t xml:space="preserve">is the hazard function; and</w:t>
      </w:r>
    </w:p>
    <w:p>
      <w:pPr>
        <w:numPr>
          <w:ilvl w:val="0"/>
          <w:numId w:val="1018"/>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8"/>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4"/>
    <w:bookmarkStart w:id="176" w:name="cprd-immortal-time-bias"/>
    <w:p>
      <w:pPr>
        <w:pStyle w:val="Heading3"/>
      </w:pPr>
      <w:r>
        <w:t xml:space="preserve">Immortal time bias and time-varying treatment indicators</w:t>
      </w:r>
    </w:p>
    <w:p>
      <w:pPr>
        <w:pStyle w:val="FirstParagraph"/>
      </w:pPr>
      <w:r>
        <w:t xml:space="preserve">Immortal time bias describes two distinct but related types of bias, considered here in relation to statin use. The first presentation, the selection bias aspect (Panel A, Figure</w:t>
      </w:r>
      <w:r>
        <w:t xml:space="preserve"> </w:t>
      </w:r>
      <w:r>
        <w:t xml:space="preserve">22</w:t>
      </w:r>
      <w:r>
        <w:t xml:space="preserve">), occurs when time prior to statin initiation is excluded leading to the statin and control groups being followed up from different time points.</w:t>
      </w:r>
      <w:hyperlink w:anchor="ref-levesque2010">
        <w:r>
          <w:rPr>
            <w:rStyle w:val="Hyperlink"/>
            <w:vertAlign w:val="superscript"/>
          </w:rPr>
          <w:t xml:space="preserve">290</w:t>
        </w:r>
      </w:hyperlink>
      <w:r>
        <w:t xml:space="preserve"> </w:t>
      </w:r>
      <w:r>
        <w:t xml:space="preserve">Following the example displayed in the figure, the unexposed group are followed from the date of an index event (e.g. diagnosis of hypercholesterolemia), while the statin group is followed from date of a statin initiation. In this scenario, the time between the index event and statin initiation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statin initiation,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e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5"/>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(Panel B).</w:t>
      </w:r>
    </w:p>
    <w:p>
      <w:pPr>
        <w:pStyle w:val="BodyText"/>
      </w:pPr>
      <w:r>
        <w:t xml:space="preserve"> </w:t>
      </w:r>
    </w:p>
    <w:p>
      <w:pPr>
        <w:pStyle w:val="BodyText"/>
      </w:pPr>
      <w:r>
        <w:t xml:space="preserve">This second presentation appears to be common in the existing literature on the relationship of statins and dementia,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290</w:t>
        </w:r>
      </w:hyperlink>
      <w:r>
        <w:t xml:space="preserve"> </w:t>
      </w:r>
      <w:r>
        <w:t xml:space="preserve">Under this approach, all patients are followed from a common index date, defined as earliest of: (a) date of raised cholesterol test results; (b) hypercholesterolemia diagnosis; or (c) LRA prescription. Patients start in the unexposed group and contribute time-at-risk until they are prescribed a lipid-regulating agent, at which point they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6"/>
    <w:bookmarkStart w:id="177"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291</w:t>
        </w:r>
      </w:hyperlink>
      <w:r>
        <w:rPr>
          <w:vertAlign w:val="superscript"/>
        </w:rPr>
        <w:t xml:space="preserve">–</w:t>
      </w:r>
      <w:hyperlink w:anchor="ref-pencina2007">
        <w:r>
          <w:rPr>
            <w:rStyle w:val="Hyperlink"/>
            <w:vertAlign w:val="superscript"/>
          </w:rPr>
          <w:t xml:space="preserve">293</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7"/>
    <w:bookmarkStart w:id="185"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78"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
        <w:r>
          <w:rPr>
            <w:rStyle w:val="Hyperlink"/>
            <w:vertAlign w:val="superscript"/>
          </w:rPr>
          <w:t xml:space="preserve">294</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295</w:t>
        </w:r>
      </w:hyperlink>
      <w:r>
        <w:t xml:space="preserve"> </w:t>
      </w:r>
      <w:r>
        <w:t xml:space="preserve">I performed and compared the results of both methods, to investigate the impact of multiple imputation on the results.</w:t>
      </w:r>
    </w:p>
    <w:p>
      <w:pPr>
        <w:pStyle w:val="BodyText"/>
      </w:pPr>
      <w:r>
        <w:t xml:space="preserve"> </w:t>
      </w:r>
    </w:p>
    <w:bookmarkEnd w:id="178"/>
    <w:bookmarkStart w:id="180"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5.2.5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296</w:t>
        </w:r>
      </w:hyperlink>
      <w:r>
        <w:t xml:space="preserve"> </w:t>
      </w:r>
      <w:r>
        <w:t xml:space="preserve">and these outcomes are usually classed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9"/>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297</w:t>
        </w:r>
      </w:hyperlink>
      <w:r>
        <w:t xml:space="preserve"> </w:t>
      </w:r>
      <w:r>
        <w:t xml:space="preserve">systematic reviews of the adverse events of statin use</w:t>
      </w:r>
      <w:hyperlink w:anchor="ref-collins2016">
        <w:r>
          <w:rPr>
            <w:rStyle w:val="Hyperlink"/>
            <w:vertAlign w:val="superscript"/>
          </w:rPr>
          <w:t xml:space="preserve">36</w:t>
        </w:r>
      </w:hyperlink>
      <w:r>
        <w:t xml:space="preserve"> </w:t>
      </w:r>
      <w:r>
        <w:t xml:space="preserve">and N-of-1 trials explicitly exploring the association of statin use with muscle pain</w:t>
      </w:r>
      <w:hyperlink w:anchor="ref-herrett2021">
        <w:r>
          <w:rPr>
            <w:rStyle w:val="Hyperlink"/>
            <w:vertAlign w:val="superscript"/>
          </w:rPr>
          <w:t xml:space="preserve">298</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
        <w:r>
          <w:rPr>
            <w:rStyle w:val="Hyperlink"/>
            <w:vertAlign w:val="superscript"/>
          </w:rPr>
          <w:t xml:space="preserve">36</w:t>
        </w:r>
      </w:hyperlink>
      <w:r>
        <w:t xml:space="preserve"> </w:t>
      </w:r>
      <w:r>
        <w:t xml:space="preserve">while there is growing evidence for an increased risk of Type 2 diabetes with statin use.</w:t>
      </w:r>
      <w:hyperlink w:anchor="ref-collins2016">
        <w:r>
          <w:rPr>
            <w:rStyle w:val="Hyperlink"/>
            <w:vertAlign w:val="superscript"/>
          </w:rPr>
          <w:t xml:space="preserve">36</w:t>
        </w:r>
      </w:hyperlink>
      <w:r>
        <w:rPr>
          <w:vertAlign w:val="superscript"/>
        </w:rPr>
        <w:t xml:space="preserve">,</w:t>
      </w:r>
      <w:hyperlink w:anchor="ref-macedo2014">
        <w:r>
          <w:rPr>
            <w:rStyle w:val="Hyperlink"/>
            <w:vertAlign w:val="superscript"/>
          </w:rPr>
          <w:t xml:space="preserve">299</w:t>
        </w:r>
      </w:hyperlink>
      <w:r>
        <w:rPr>
          <w:vertAlign w:val="superscript"/>
        </w:rPr>
        <w:t xml:space="preserve">,</w:t>
      </w:r>
      <w:hyperlink w:anchor="ref-smit2020">
        <w:r>
          <w:rPr>
            <w:rStyle w:val="Hyperlink"/>
            <w:vertAlign w:val="superscript"/>
          </w:rPr>
          <w:t xml:space="preserve">300</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80"/>
    <w:bookmarkStart w:id="181"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1"/>
    <w:bookmarkStart w:id="182"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301</w:t>
        </w:r>
      </w:hyperlink>
    </w:p>
    <w:p>
      <w:pPr>
        <w:pStyle w:val="BodyText"/>
      </w:pPr>
      <w:r>
        <w:t xml:space="preserve"> </w:t>
      </w:r>
    </w:p>
    <w:bookmarkEnd w:id="182"/>
    <w:bookmarkStart w:id="183" w:name="statin-properties"/>
    <w:p>
      <w:pPr>
        <w:pStyle w:val="Heading4"/>
      </w:pPr>
      <w:r>
        <w:t xml:space="preserve">Statin properties</w:t>
      </w:r>
    </w:p>
    <w:p>
      <w:pPr>
        <w:pStyle w:val="FirstParagraph"/>
      </w:pPr>
      <w:r>
        <w:t xml:space="preserve">As detailed in the introduction, the properties of statins may be important due to the ability of lipophilic statins to cross the blood brain barrier (see Section</w:t>
      </w:r>
      <w:r>
        <w:t xml:space="preserve"> </w:t>
      </w:r>
      <w:r>
        <w:t xml:space="preserve">1.3.2</w:t>
      </w:r>
      <w:r>
        <w:t xml:space="preserve">).</w:t>
      </w:r>
      <w:hyperlink w:anchor="ref-sierra2011">
        <w:r>
          <w:rPr>
            <w:rStyle w:val="Hyperlink"/>
            <w:vertAlign w:val="superscript"/>
          </w:rPr>
          <w:t xml:space="preserve">39</w:t>
        </w:r>
      </w:hyperlink>
      <w:r>
        <w:t xml:space="preserve"> </w:t>
      </w:r>
      <w:r>
        <w:t xml:space="preserve">As such, I expected that any effects of statins on dementia outcomes would be stronger in the lipophilic as compared to the hydrophilic statin subgroup. 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3"/>
    <w:bookmarkStart w:id="184" w:name="Xdef37d208aaf217ad669f20108f5f02d6e4575c"/>
    <w:p>
      <w:pPr>
        <w:pStyle w:val="Heading4"/>
      </w:pPr>
      <w:r>
        <w:t xml:space="preserve">Impact of using different code lists for defining dementia outcomes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209</w:t>
        </w:r>
      </w:hyperlink>
      <w:r>
        <w:t xml:space="preserve"> </w:t>
      </w:r>
      <w:r>
        <w:t xml:space="preserve">The intended purpose of this analysis was to assess the robustness of my results to the choice of code list.</w:t>
      </w:r>
    </w:p>
    <w:p>
      <w:pPr>
        <w:pStyle w:val="BodyText"/>
      </w:pPr>
      <w:r>
        <w:t xml:space="preserve">This published analysis used a propensity matching approach to estimate the association of statins with a range of outcomes in The Health Improvement Network (THIN) database, an alternative source of English electronic health records which has substantial overlap with the CPRD.</w:t>
      </w:r>
      <w:hyperlink w:anchor="ref-carbonari2015">
        <w:r>
          <w:rPr>
            <w:rStyle w:val="Hyperlink"/>
            <w:vertAlign w:val="superscript"/>
          </w:rPr>
          <w:t xml:space="preserve">302</w:t>
        </w:r>
      </w:hyperlink>
      <w:r>
        <w:t xml:space="preserve"> </w:t>
      </w:r>
      <w:r>
        <w:t xml:space="preserve">The code lists used in this analysis were obtained through correspondence with the authors of that study, and are available for inspection (see Section</w:t>
      </w:r>
      <w:r>
        <w:t xml:space="preserve"> </w:t>
      </w:r>
      <w:r>
        <w:t xml:space="preserve">5.4.4</w:t>
      </w:r>
      <w:r>
        <w:t xml:space="preserve">).</w:t>
      </w:r>
    </w:p>
    <w:p>
      <w:pPr>
        <w:pStyle w:val="BodyText"/>
      </w:pPr>
      <w:r>
        <w:t xml:space="preserve"> </w:t>
      </w:r>
    </w:p>
    <w:bookmarkEnd w:id="184"/>
    <w:bookmarkEnd w:id="185"/>
    <w:bookmarkEnd w:id="186"/>
    <w:bookmarkStart w:id="209" w:name="results"/>
    <w:p>
      <w:pPr>
        <w:pStyle w:val="Heading2"/>
      </w:pPr>
      <w:r>
        <w:t xml:space="preserve">Results</w:t>
      </w:r>
    </w:p>
    <w:bookmarkStart w:id="188"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7"/>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(IQR):48-67years ) and participants were followed up for a median of 5.9 years (IQR:2.7-9.7years ).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27c29564-c206-424f-9163-e4e121baab18" w:name="tab:followUp-table"/>
      <w:r>
        <w:t xml:space="preserve">Summary of number of events, years at risk and crude rates per 100,000 participant-years-at-risk stratified by dementia outcome and drug class of interest.</w:t>
      </w:r>
      <w:bookmarkEnd w:id="27c29564-c206-424f-9163-e4e121baab1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b69e535b-41ee-4bd6-8b3a-d4c4eb04c7c3" w:name="tab:cprdCharacteristics-table"/>
      <w:r>
        <w:t xml:space="preserve">Patient characteristics by drug class. Summary statistics are presented as "% (N)" unless otherwise specified in the variable name.</w:t>
      </w:r>
      <w:bookmarkEnd w:id="b69e535b-41ee-4bd6-8b3a-d4c4eb04c7c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5325883f-fdde-44bb-9659-6f693ab6aac1" w:name="tab:cprdSSA-table"/>
      <w:r>
        <w:t xml:space="preserve">Participants who stopped, switched or added treatments by initial treatment type.</w:t>
      </w:r>
      <w:bookmarkEnd w:id="5325883f-fdde-44bb-9659-6f693ab6aac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88"/>
    <w:bookmarkStart w:id="189"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9"/>
    <w:bookmarkStart w:id="194"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90"/>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bookmarkStart w:id="191" w:name="alzheimers-disease"/>
    <w:p>
      <w:pPr>
        <w:pStyle w:val="Heading4"/>
      </w:pPr>
      <w:r>
        <w:t xml:space="preserve">Alzheimer’s disease</w:t>
      </w:r>
    </w:p>
    <w:p>
      <w:pPr>
        <w:pStyle w:val="FirstParagraph"/>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bookmarkEnd w:id="191"/>
    <w:bookmarkStart w:id="192" w:name="non-alzheimers-disease-dementias"/>
    <w:p>
      <w:pPr>
        <w:pStyle w:val="Heading4"/>
      </w:pPr>
      <w:r>
        <w:t xml:space="preserve">Non-Alzheimer’s disease dementias</w:t>
      </w:r>
    </w:p>
    <w:p>
      <w:pPr>
        <w:pStyle w:val="FirstParagraph"/>
      </w:pPr>
      <w:r>
        <w:t xml:space="preserve">In contrast to the findings for Alzheimer’s disease outcomes, an association between lipid-regulating agents and an increased risk of a subsequent diagnosis of vascular dementia (HR:1.81, 95%CI:1.73-1.89) or other dementias (HR:1.19, 95%CI:1.15-1.24) was observed.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bookmarkEnd w:id="192"/>
    <w:bookmarkStart w:id="193" w:name="all-cause-dementia"/>
    <w:p>
      <w:pPr>
        <w:pStyle w:val="Heading4"/>
      </w:pPr>
      <w:r>
        <w:t xml:space="preserve">All-cause dementia</w:t>
      </w:r>
    </w:p>
    <w:p>
      <w:pPr>
        <w:pStyle w:val="FirstParagraph"/>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3"/>
    <w:bookmarkEnd w:id="194"/>
    <w:bookmarkStart w:id="208"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6"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288</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6"/>
    <w:bookmarkStart w:id="198"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7"/>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8"/>
    <w:bookmarkStart w:id="200"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Note that the x-axis cutoffs (.5,2) are different compared to other plots (0.3,3) to enable greater comparison between the different model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9"/>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200"/>
    <w:bookmarkStart w:id="202"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201"/>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probable AD diagnoses in the cohort over time, I performed a</w:t>
      </w:r>
      <w:r>
        <w:t xml:space="preserve"> </w:t>
      </w:r>
      <w:r>
        <w:rPr>
          <w:iCs/>
          <w:i/>
        </w:rPr>
        <w:t xml:space="preserve">post-hoc</w:t>
      </w:r>
      <w:r>
        <w:t xml:space="preserve"> </w:t>
      </w:r>
      <w:r>
        <w:t xml:space="preserve">investigation of the frequency of each dementia outcome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b9ab6f86-91ef-41ec-a8c0-aec40229c56e" w:name="tab:diagnosisType-table"/>
      <w:r>
        <w:t xml:space="preserve">Frequency of diagnoses by grouped year of cohort entry</w:t>
      </w:r>
      <w:bookmarkEnd w:id="b9ab6f86-91ef-41ec-a8c0-aec40229c5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202"/>
    <w:bookmarkStart w:id="204" w:name="sensitivity-cohorts-pregnancy"/>
    <w:p>
      <w:pPr>
        <w:pStyle w:val="Heading4"/>
      </w:pPr>
      <w:r>
        <w:t xml:space="preserve">Sensitivity cohorts: Pregnancy</w:t>
      </w:r>
    </w:p>
    <w:p>
      <w:pPr>
        <w:pStyle w:val="FirstParagraph"/>
      </w:pPr>
      <w:r>
        <w:t xml:space="preserve">In the second sensitivity cohort, removing patients who may have been pregnant (coded as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203"/>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4"/>
    <w:bookmarkStart w:id="206"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an increasing tendency to favour hydrophilic statins in recent years with the proportion of lipophilic statins prescribed falling from 18.2% in 1996-2000 to &lt;1% in 2011-2016.</w:t>
      </w:r>
    </w:p>
    <w:p>
      <w:pPr>
        <w:pStyle w:val="BodyText"/>
      </w:pPr>
      <w:r>
        <w:t xml:space="preserve"> </w:t>
      </w:r>
    </w:p>
    <w:p>
      <w:pPr>
        <w:pStyle w:val="TableCaption"/>
      </w:pPr>
      <w:r>
        <w:t xml:space="preserve">Table 16:</w:t>
      </w:r>
      <w:r>
        <w:t xml:space="preserve"> </w:t>
      </w:r>
      <w:bookmarkStart w:id="3a4092e7-98fd-4211-8a0b-d8bf703aa844" w:name="tab:statinTypeTable-table"/>
      <w:r>
        <w:t xml:space="preserve">Summary of statin properties (lipophilicity vs hydrophilicity) by grouped year of prescription.</w:t>
      </w:r>
      <w:bookmarkEnd w:id="3a4092e7-98fd-4211-8a0b-d8bf703aa84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6"/>
    <w:bookmarkStart w:id="207" w:name="X3edd5cb951d32f3e683a3ee6ecce4e28d0a7da1"/>
    <w:p>
      <w:pPr>
        <w:pStyle w:val="Heading4"/>
      </w:pPr>
      <w:r>
        <w:t xml:space="preserve">Impact of dementia code lists {#comparing-code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 While direct mapping to the outcomes used in this analysis was not possible, the most comparable are probable Alzheimer’s disease (HR:0.98, 95%CI:0.94-1.01) and other dementia (HR:1.19, 95%CI:1.15-1.24).</w:t>
      </w:r>
    </w:p>
    <w:p>
      <w:pPr>
        <w:pStyle w:val="BodyText"/>
      </w:pPr>
      <w:r>
        <w:t xml:space="preserve"> </w:t>
      </w:r>
    </w:p>
    <w:bookmarkEnd w:id="207"/>
    <w:bookmarkEnd w:id="208"/>
    <w:bookmarkEnd w:id="209"/>
    <w:bookmarkStart w:id="220" w:name="discussion-2"/>
    <w:p>
      <w:pPr>
        <w:pStyle w:val="Heading2"/>
      </w:pPr>
      <w:r>
        <w:t xml:space="preserve">Discussion</w:t>
      </w:r>
    </w:p>
    <w:bookmarkStart w:id="210"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diagnosises. The estimate observed in each case was driven by the effects observed statin subgroup, as a substantial majority of participants prescribed an LRA were presribed a statin. For the other drug classes, no association was found with any outcome, with two exceptions.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10"/>
    <w:bookmarkStart w:id="216"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a detailed comparison with other published literature will not be provided here,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Start w:id="212" w:name="cprd-confounding-by-ind"/>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sources of bias in epidemiological analyses,</w:t>
      </w:r>
      <w:hyperlink w:anchor="ref-salas1999">
        <w:r>
          <w:rPr>
            <w:rStyle w:val="Hyperlink"/>
            <w:vertAlign w:val="superscript"/>
          </w:rPr>
          <w:t xml:space="preserve">303</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304</w:t>
        </w:r>
      </w:hyperlink>
      <w:r>
        <w:t xml:space="preserve"> </w:t>
      </w:r>
      <w:r>
        <w:t xml:space="preserve">In the context of this analysis, this means a confounding variable (or, more likely, variables) both prompts prescription of statins and also represents a risk factor for the development of the vascular dementia. A similar confounding structure likely exists for ezetimibe, another hypercholesterolemia treatment, providing an explanation for the association of vascular/other dementia but not Alzheimer’s disease with this drug.</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11"/>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
      </w:r>
      <w:hyperlink w:anchor="ref-boruzs2016">
        <w:r>
          <w:rPr>
            <w:rStyle w:val="Hyperlink"/>
            <w:vertAlign w:val="superscript"/>
          </w:rPr>
          <w:t xml:space="preserve">305</w:t>
        </w:r>
      </w:hyperlink>
      <w:r>
        <w:rPr>
          <w:vertAlign w:val="superscript"/>
        </w:rPr>
        <w:t xml:space="preserve">,</w:t>
      </w:r>
      <w:hyperlink w:anchor="ref-ikeda2019">
        <w:r>
          <w:rPr>
            <w:rStyle w:val="Hyperlink"/>
            <w:vertAlign w:val="superscript"/>
          </w:rPr>
          <w:t xml:space="preserve">306</w:t>
        </w:r>
      </w:hyperlink>
    </w:p>
    <w:p>
      <w:pPr>
        <w:pStyle w:val="BodyText"/>
      </w:pPr>
      <w:r>
        <w:t xml:space="preserve">In line with this, an increasingly harmful effect is observed when moving from the probable and possible Alzheimer’s disease outcomes to the other dementia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
        <w:r>
          <w:rPr>
            <w:rStyle w:val="Hyperlink"/>
            <w:vertAlign w:val="superscript"/>
          </w:rPr>
          <w:t xml:space="preserve">307</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308</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this finding reflects publication bias if previous research encountered similar methodological issues to this analysis, and these results did not make it into the evidence base as unexpected or assumedly incorrect results are less likely to be submitted or accepted for publication.</w:t>
      </w:r>
    </w:p>
    <w:p>
      <w:pPr>
        <w:pStyle w:val="BodyText"/>
      </w:pPr>
      <w:r>
        <w:t xml:space="preserve"> </w:t>
      </w:r>
    </w:p>
    <w:bookmarkEnd w:id="212"/>
    <w:bookmarkStart w:id="213"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309</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310</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hydrophilic.</w:t>
      </w:r>
    </w:p>
    <w:p>
      <w:pPr>
        <w:pStyle w:val="BodyText"/>
      </w:pPr>
      <w:r>
        <w:t xml:space="preserve"> </w:t>
      </w:r>
    </w:p>
    <w:bookmarkEnd w:id="213"/>
    <w:bookmarkStart w:id="215"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209</w:t>
        </w:r>
      </w:hyperlink>
      <w:r>
        <w:t xml:space="preserve"> </w:t>
      </w:r>
      <w:r>
        <w:t xml:space="preserve">Using these lists in my analytical set-up, I found a harmful association of statin use with both outcomes.</w:t>
      </w:r>
    </w:p>
    <w:p>
      <w:pPr>
        <w:pStyle w:val="BodyText"/>
      </w:pPr>
      <w:r>
        <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209</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4"/>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5"/>
    <w:bookmarkEnd w:id="216"/>
    <w:bookmarkStart w:id="217" w:name="cprd-limitations"/>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 and used negative and positive controls to assess the potential for residual confounding.</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
        <w:r>
          <w:rPr>
            <w:rStyle w:val="Hyperlink"/>
            <w:vertAlign w:val="superscript"/>
          </w:rPr>
          <w:t xml:space="preserve">311</w:t>
        </w:r>
      </w:hyperlink>
      <w:r>
        <w:t xml:space="preserve"> </w:t>
      </w:r>
      <w:r>
        <w:t xml:space="preserve">As an illustrative example, those with memory complaints may be more likely to be classified as vascular dementia than Alzheimer’s disease if their medical records contain prescriptions for lipid-regulating agents. Further, there is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273</w:t>
        </w:r>
      </w:hyperlink>
      <w:r>
        <w:rPr>
          <w:vertAlign w:val="superscript"/>
        </w:rPr>
        <w:t xml:space="preserve">,</w:t>
      </w:r>
      <w:hyperlink w:anchor="ref-wilkinson2018">
        <w:r>
          <w:rPr>
            <w:rStyle w:val="Hyperlink"/>
            <w:vertAlign w:val="superscript"/>
          </w:rPr>
          <w:t xml:space="preserve">274</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This problem is illustrated by the discrepancy between the results when using the code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The number of</w:t>
      </w:r>
      <w:r>
        <w:t xml:space="preserve"> </w:t>
      </w:r>
      <w:r>
        <w:rPr>
          <w:iCs/>
          <w:i/>
        </w:rPr>
        <w:t xml:space="preserve">ApoE</w:t>
      </w:r>
      <w:r>
        <w:t xml:space="preserve"> </w:t>
      </w:r>
      <m:oMath>
        <m:r>
          <m:t>ϵ</m:t>
        </m:r>
        <m:r>
          <m:t>4</m:t>
        </m:r>
      </m:oMath>
      <w:r>
        <w:t xml:space="preserve"> </w:t>
      </w:r>
      <w:r>
        <w:t xml:space="preserve">alleles represents the strongest genetic risk factor for Alzheimer’s disease, but also substantially increases LDL cholesterol levels,</w:t>
      </w:r>
      <w:hyperlink w:anchor="ref-bennet2007">
        <w:r>
          <w:rPr>
            <w:rStyle w:val="Hyperlink"/>
            <w:vertAlign w:val="superscript"/>
          </w:rPr>
          <w:t xml:space="preserve">312</w:t>
        </w:r>
      </w:hyperlink>
      <w:r>
        <w:t xml:space="preserve"> </w:t>
      </w:r>
      <w:r>
        <w:t xml:space="preserve">potentially prompting treatment with a statin or other lipid regulating agent. I was unable to control for</w:t>
      </w:r>
      <w:r>
        <w:t xml:space="preserve"> </w:t>
      </w:r>
      <w:r>
        <w:rPr>
          <w:iCs/>
          <w:i/>
        </w:rPr>
        <w:t xml:space="preserve">ApoE</w:t>
      </w:r>
      <w:r>
        <w:t xml:space="preserve"> </w:t>
      </w:r>
      <w:r>
        <w:t xml:space="preserve">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7"/>
    <w:bookmarkStart w:id="218"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
        <w:r>
          <w:rPr>
            <w:rStyle w:val="Hyperlink"/>
            <w:vertAlign w:val="superscript"/>
          </w:rPr>
          <w:t xml:space="preserve">133</w:t>
        </w:r>
      </w:hyperlink>
    </w:p>
    <w:p>
      <w:pPr>
        <w:pStyle w:val="BodyText"/>
      </w:pPr>
      <w:r>
        <w:t xml:space="preserve">In light of this and my own experiences in attempting to extract information for papers assessing preventative treatments, as documented in Section</w:t>
      </w:r>
      <w:r>
        <w:t xml:space="preserve"> </w:t>
      </w:r>
      <w:r>
        <w:t xml:space="preserve">4.5.5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8"/>
    <w:bookmarkStart w:id="219" w:name="summary-4"/>
    <w:p>
      <w:pPr>
        <w:pStyle w:val="Heading3"/>
      </w:pPr>
      <w:r>
        <w:t xml:space="preserve">Summary</w:t>
      </w:r>
    </w:p>
    <w:p>
      <w:pPr>
        <w:numPr>
          <w:ilvl w:val="0"/>
          <w:numId w:val="1019"/>
        </w:numPr>
      </w:pPr>
      <w:r>
        <w:t xml:space="preserve">In this chapter, I produced new evidence on the association of lipid-regulating agents with incidence of all-cause dementia, Alzheimer’s disease, vascular dementia, and other dementia.</w:t>
      </w:r>
    </w:p>
    <w:p>
      <w:pPr>
        <w:numPr>
          <w:ilvl w:val="0"/>
          <w:numId w:val="1019"/>
        </w:numPr>
      </w:pPr>
      <w:r>
        <w:t xml:space="preserve">I found little evidence for an effect of lipid-regulating agents on probable or possible Alzheimer’s disease. However, lipid-regulating agent use was associated with an increased risk of all-cause, vascular and other dementias. In all cases, the estimated associations for the any LRA analysis were largely due to those those observed in the large statin subgroup.</w:t>
      </w:r>
    </w:p>
    <w:p>
      <w:pPr>
        <w:numPr>
          <w:ilvl w:val="0"/>
          <w:numId w:val="1019"/>
        </w:numPr>
      </w:pPr>
      <w:r>
        <w:t xml:space="preserve">I attempted to account for important sources of bias through use of time-varying treatment indicator, though the control outcomes included in the analysis provided evidence for only partially controlled confounding by indication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
      </w:r>
    </w:p>
    <w:p>
      <w:pPr>
        <w:numPr>
          <w:ilvl w:val="0"/>
          <w:numId w:val="1019"/>
        </w:numPr>
      </w:pPr>
      <w:r>
        <w:t xml:space="preserve">Findings from this analysis are used as an additional source of evidence in the triangulation exercise presented in Chapter</w:t>
      </w:r>
      <w:r>
        <w:t xml:space="preserve"> </w:t>
      </w:r>
      <w:r>
        <w:t xml:space="preserve">8</w:t>
      </w:r>
      <w:r>
        <w:t xml:space="preserve">.</w:t>
      </w:r>
    </w:p>
    <w:bookmarkEnd w:id="219"/>
    <w:bookmarkEnd w:id="220"/>
    <w:bookmarkEnd w:id="221"/>
    <w:bookmarkStart w:id="267" w:name="ipd-heading"/>
    <w:p>
      <w:pPr>
        <w:pStyle w:val="Heading1"/>
      </w:pPr>
      <w:r>
        <w:t xml:space="preserve">Individual participant data meta-analysis of blood lipid levels and dementia outcomes</w:t>
      </w:r>
    </w:p>
    <w:p>
      <w:pPr>
        <w:pStyle w:val="FirstParagraph"/>
      </w:pPr>
      <w:r>
        <w:t xml:space="preserve"> </w:t>
      </w:r>
    </w:p>
    <w:p>
      <w:pPr>
        <w:pStyle w:val="BodyText"/>
      </w:pPr>
    </w:p>
    <w:bookmarkStart w:id="222" w:name="lay-summary-5"/>
    <w:p>
      <w:pPr>
        <w:pStyle w:val="Heading2"/>
      </w:pPr>
      <w:r>
        <w:t xml:space="preserve">Lay Summary</w:t>
      </w:r>
    </w:p>
    <w:p>
      <w:pPr>
        <w:pStyle w:val="FirstParagraph"/>
      </w:pPr>
      <w:r>
        <w:t xml:space="preserve">Individual participant data (IPD) meta-analyses are a special type of meta-analysis where those undertaking the study contact the authors of relevant studies to request access to the raw data on each participant. This is different to the meta-analyses presented in the previous chapter, which used published summary results.</w:t>
      </w:r>
    </w:p>
    <w:p>
      <w:pPr>
        <w:pStyle w:val="BodyText"/>
      </w:pPr>
      <w:r>
        <w:t xml:space="preserve"> </w:t>
      </w:r>
    </w:p>
    <w:p>
      <w:pPr>
        <w:pStyle w:val="BodyText"/>
      </w:pPr>
      <w:r>
        <w:t xml:space="preserve">To examine the relationship between lipid levels and dementia risk, I applied for access to 37 unique data sources containing information on these variables. However, only a small proportion of these data sources (n = 3, 8.1%) provided the requested access.</w:t>
      </w:r>
    </w:p>
    <w:p>
      <w:pPr>
        <w:pStyle w:val="BodyText"/>
      </w:pPr>
      <w:r>
        <w:t xml:space="preserve"> </w:t>
      </w:r>
    </w:p>
    <w:p>
      <w:pPr>
        <w:pStyle w:val="BodyText"/>
      </w:pPr>
      <w:r>
        <w:t xml:space="preserve">The resulting analysis of these data sources did not suggest a relationship between any blood lipid and any dementia outcome. The sole exception was an increased risk of vascular dementia in those with higher triglyceride levels. In addition, the participants age and sex did not appear to influence the relationship of lipid fractions and dementia outcomes.</w:t>
      </w:r>
    </w:p>
    <w:p>
      <w:pPr>
        <w:pStyle w:val="BodyText"/>
      </w:pPr>
      <w:r>
        <w:t xml:space="preserve"> </w:t>
      </w:r>
    </w:p>
    <w:p>
      <w:pPr>
        <w:pStyle w:val="BodyText"/>
      </w:pPr>
      <w:r>
        <w:t xml:space="preserve">The reasons for the low response rate to requests for data are explored. Finally, I suggest future studies to investigate how data access rates could be improved.</w:t>
      </w:r>
    </w:p>
    <w:bookmarkEnd w:id="222"/>
    <w:p>
      <w:pPr>
        <w:pStyle w:val="BodyText"/>
      </w:pPr>
      <w:r>
        <w:t xml:space="preserve"> </w:t>
      </w:r>
    </w:p>
    <w:bookmarkStart w:id="223" w:name="introduction-3"/>
    <w:p>
      <w:pPr>
        <w:pStyle w:val="Heading2"/>
      </w:pPr>
      <w:r>
        <w:t xml:space="preserve">Introduction</w:t>
      </w:r>
    </w:p>
    <w:p>
      <w:pPr>
        <w:pStyle w:val="FirstParagraph"/>
      </w:pPr>
      <w:r>
        <w:t xml:space="preserve">Individual participant data (IPD) meta-analyses are considered to be the gold standard form of evidence synthesis, allowing for the application of a common selection model and analytical approach across all identified cohorts.</w:t>
      </w:r>
      <w:hyperlink w:anchor="ref-riley2010">
        <w:r>
          <w:rPr>
            <w:rStyle w:val="Hyperlink"/>
            <w:vertAlign w:val="superscript"/>
          </w:rPr>
          <w:t xml:space="preserve">90</w:t>
        </w:r>
      </w:hyperlink>
      <w:r>
        <w:t xml:space="preserve"> </w:t>
      </w:r>
      <w:r>
        <w:t xml:space="preserve">They are particularly useful when investigating the impact of participant-level characteristics, something that is not possible with aggregate data unless the results are stratified by the characteristic of interest.</w:t>
      </w:r>
      <w:hyperlink w:anchor="ref-riley2010">
        <w:r>
          <w:rPr>
            <w:rStyle w:val="Hyperlink"/>
            <w:vertAlign w:val="superscript"/>
          </w:rPr>
          <w:t xml:space="preserve">90</w:t>
        </w:r>
      </w:hyperlink>
      <w:r>
        <w:rPr>
          <w:vertAlign w:val="superscript"/>
        </w:rPr>
        <w:t xml:space="preserve">,</w:t>
      </w:r>
      <w:hyperlink w:anchor="ref-thompson2005">
        <w:r>
          <w:rPr>
            <w:rStyle w:val="Hyperlink"/>
            <w:vertAlign w:val="superscript"/>
          </w:rPr>
          <w:t xml:space="preserve">313</w:t>
        </w:r>
      </w:hyperlink>
      <w:r>
        <w:t xml:space="preserve"> </w:t>
      </w:r>
      <w:r>
        <w:t xml:space="preserve">Knowledge of which groups a treatment will benefit most (or harm least) is a core aim of the move towards personalised medicine.</w:t>
      </w:r>
      <w:hyperlink w:anchor="ref-riley2020">
        <w:r>
          <w:rPr>
            <w:rStyle w:val="Hyperlink"/>
            <w:vertAlign w:val="superscript"/>
          </w:rPr>
          <w:t xml:space="preserve">96</w:t>
        </w:r>
      </w:hyperlink>
      <w:r>
        <w:rPr>
          <w:vertAlign w:val="superscript"/>
        </w:rPr>
        <w:t xml:space="preserve">,</w:t>
      </w:r>
      <w:hyperlink w:anchor="ref-hingorani2013">
        <w:r>
          <w:rPr>
            <w:rStyle w:val="Hyperlink"/>
            <w:vertAlign w:val="superscript"/>
          </w:rPr>
          <w:t xml:space="preserve">314</w:t>
        </w:r>
      </w:hyperlink>
      <w:r>
        <w:t xml:space="preserve"> </w:t>
      </w:r>
      <w:r>
        <w:t xml:space="preserve">IPD analysis also offer a mechanism by which previously unanalysed datasets can be incorporated into an analysis, thus expanding the evidence base for a particular research question.</w:t>
      </w:r>
    </w:p>
    <w:p>
      <w:pPr>
        <w:pStyle w:val="BodyText"/>
      </w:pPr>
      <w:r>
        <w:t xml:space="preserve">Previous work has suggested a difference in the effect of lipids on dementia risk based on participant age and sex,</w:t>
      </w:r>
      <w:hyperlink w:anchor="ref-mielke2010">
        <w:r>
          <w:rPr>
            <w:rStyle w:val="Hyperlink"/>
            <w:vertAlign w:val="superscript"/>
          </w:rPr>
          <w:t xml:space="preserve">57</w:t>
        </w:r>
      </w:hyperlink>
      <w:r>
        <w:rPr>
          <w:vertAlign w:val="superscript"/>
        </w:rPr>
        <w:t xml:space="preserve">,</w:t>
      </w:r>
      <w:hyperlink w:anchor="ref-ancelin2013">
        <w:r>
          <w:rPr>
            <w:rStyle w:val="Hyperlink"/>
            <w:vertAlign w:val="superscript"/>
          </w:rPr>
          <w:t xml:space="preserve">216</w:t>
        </w:r>
      </w:hyperlink>
      <w:r>
        <w:t xml:space="preserve"> </w:t>
      </w:r>
      <w:r>
        <w:t xml:space="preserve">though the systematic review presented in Chapter</w:t>
      </w:r>
      <w:r>
        <w:t xml:space="preserve"> </w:t>
      </w:r>
      <w:r>
        <w:t xml:space="preserve">??</w:t>
      </w:r>
      <w:r>
        <w:t xml:space="preserve"> </w:t>
      </w:r>
      <w:r>
        <w:t xml:space="preserve">did not identify strong evidence for an effect of sex or age at lipid measurement on the relationship between lipids and dementia. However, the number of included studies in the lipid fraction meta-analyses was small, due to both the relatively small number of studies reporting on the lipids exposure and the poor reporting of summary statistics of participant characteristics in those that did. Additionally, best practice guidance recommends against basing the decision to perform an IPD meta-analysis on the between-study heterogeneity in a summary data meta-analysis, as similar distributions of participant covariates across studies may mask a true effect.</w:t>
      </w:r>
      <w:hyperlink w:anchor="ref-riley2020">
        <w:r>
          <w:rPr>
            <w:rStyle w:val="Hyperlink"/>
            <w:vertAlign w:val="superscript"/>
          </w:rPr>
          <w:t xml:space="preserve">96</w:t>
        </w:r>
      </w:hyperlink>
    </w:p>
    <w:p>
      <w:pPr>
        <w:pStyle w:val="BodyText"/>
      </w:pPr>
      <w:r>
        <w:t xml:space="preserve">As such, the aims of this analysis are two fold: firstly, to perform an IPD meta-analysis across identified cohorts to examine the impact of participant age-at-measurement and sex on the effect of lipids on dementia risk; and secondly, to expand the evidence base for the effect of lipids on dementia outcomes by obtaining estimates from previously unanalysed cohorts available via the Dementia Platform UK, a large consortia of dementia cohorts.</w:t>
      </w:r>
    </w:p>
    <w:p>
      <w:pPr>
        <w:pStyle w:val="BodyText"/>
      </w:pPr>
      <w:r>
        <w:t xml:space="preserve"> </w:t>
      </w:r>
    </w:p>
    <w:bookmarkEnd w:id="223"/>
    <w:bookmarkStart w:id="236" w:name="methods-2"/>
    <w:p>
      <w:pPr>
        <w:pStyle w:val="Heading2"/>
      </w:pPr>
      <w:r>
        <w:t xml:space="preserve">Methods</w:t>
      </w:r>
    </w:p>
    <w:bookmarkStart w:id="226" w:name="eligibility-criteria-1"/>
    <w:p>
      <w:pPr>
        <w:pStyle w:val="Heading3"/>
      </w:pPr>
      <w:r>
        <w:t xml:space="preserve">Eligibility criteria</w:t>
      </w:r>
    </w:p>
    <w:bookmarkStart w:id="224" w:name="study-design"/>
    <w:p>
      <w:pPr>
        <w:pStyle w:val="Heading4"/>
      </w:pPr>
      <w:r>
        <w:t xml:space="preserve">Study design</w:t>
      </w:r>
    </w:p>
    <w:p>
      <w:pPr>
        <w:pStyle w:val="FirstParagraph"/>
      </w:pPr>
      <w:r>
        <w:t xml:space="preserve">Eligible data sources for this analysis were prospective cohort studies. Data sources which were cross-sectional, either by design or due to the available data (e.g. a study conducted across multiple waves, but only data from a single wave could be accessed) were excluded. Similarly, studies making use of population-level electronic health records, which often require an extensive project proposals in order to gain access to the data, were ineligible due to the time and cost involved in applying. No restrictions were put on the number of participants or the length of follow-up, though participants must be free of dementia (or assumed to be free, based on age at entry) at baseline.</w:t>
      </w:r>
    </w:p>
    <w:p>
      <w:pPr>
        <w:pStyle w:val="BodyText"/>
      </w:pPr>
      <w:r>
        <w:t xml:space="preserve"> </w:t>
      </w:r>
    </w:p>
    <w:bookmarkEnd w:id="224"/>
    <w:bookmarkStart w:id="225" w:name="exposuresoutcome-definition"/>
    <w:p>
      <w:pPr>
        <w:pStyle w:val="Heading4"/>
      </w:pPr>
      <w:r>
        <w:t xml:space="preserve">Exposures/outcome definition</w:t>
      </w:r>
    </w:p>
    <w:p>
      <w:pPr>
        <w:pStyle w:val="FirstParagraph"/>
      </w:pPr>
      <w:r>
        <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in a continuous format (i.e. studies with binary</w:t>
      </w:r>
      <w:r>
        <w:t xml:space="preserve"> </w:t>
      </w:r>
      <w:r>
        <w:t xml:space="preserve">“</w:t>
      </w:r>
      <w:r>
        <w:t xml:space="preserve">hypercholesteromemia</w:t>
      </w:r>
      <w:r>
        <w:t xml:space="preserve">”</w:t>
      </w:r>
      <w:r>
        <w:t xml:space="preserve"> </w:t>
      </w:r>
      <w:r>
        <w:t xml:space="preserve">would be excluded).</w:t>
      </w:r>
    </w:p>
    <w:p>
      <w:pPr>
        <w:pStyle w:val="BodyText"/>
      </w:pPr>
      <w:r>
        <w:t xml:space="preserve">In line with the analyses presented in other chapters, eligible cohorts were those containing data on at least one outcome of interest, namely: all-cause dementia, Alzheimer’s disease, or vascular dementia.</w:t>
      </w:r>
    </w:p>
    <w:p>
      <w:pPr>
        <w:pStyle w:val="BodyText"/>
      </w:pPr>
      <w:r>
        <w:t xml:space="preserve"> </w:t>
      </w:r>
    </w:p>
    <w:bookmarkEnd w:id="225"/>
    <w:bookmarkEnd w:id="226"/>
    <w:bookmarkStart w:id="229" w:name="applying-for-data-access"/>
    <w:p>
      <w:pPr>
        <w:pStyle w:val="Heading3"/>
      </w:pPr>
      <w:r>
        <w:t xml:space="preserve">Applying for data access</w:t>
      </w:r>
    </w:p>
    <w:p>
      <w:pPr>
        <w:pStyle w:val="FirstParagraph"/>
      </w:pPr>
      <w:r>
        <w:t xml:space="preserve">Potentially eligible data sources as defined above were identified via two mechanisms, each with a distinct focus. For both approaches, the number of cohorts responding to the request for data access, and where applicable, the reasons given for a refusal were recorded.</w:t>
      </w:r>
    </w:p>
    <w:p>
      <w:pPr>
        <w:pStyle w:val="BodyText"/>
      </w:pPr>
      <w:r>
        <w:t xml:space="preserve"> </w:t>
      </w:r>
    </w:p>
    <w:bookmarkStart w:id="227" w:name="X176827fbba443f1c48534ef68f66ac0ee55d400"/>
    <w:p>
      <w:pPr>
        <w:pStyle w:val="Heading4"/>
      </w:pPr>
      <w:r>
        <w:t xml:space="preserve">Cohorts identified by the systematic review</w:t>
      </w:r>
    </w:p>
    <w:p>
      <w:pPr>
        <w:pStyle w:val="FirstParagraph"/>
      </w:pPr>
      <w:r>
        <w:t xml:space="preserve">The first approach focused on previously analysed observational prospective cohort studies examining the effect of blood lipid levels on dementia outcomes, as identified by the systematic review presented in Chapter</w:t>
      </w:r>
      <w:r>
        <w:t xml:space="preserve"> </w:t>
      </w:r>
      <w:r>
        <w:t xml:space="preserve">??</w:t>
      </w:r>
      <w:r>
        <w:t xml:space="preserve"> </w:t>
      </w:r>
      <w:r>
        <w:t xml:space="preserve">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10.6.1</w:t>
      </w:r>
      <w:r>
        <w:t xml:space="preserve"> </w:t>
      </w:r>
      <w:r>
        <w:t xml:space="preserve">for a copy of the text and documentation sent to potential collaborators) in Autumn 2020. If this approach did not elicit a response within two months, the last author was contacted, on the basis that the first/corresponding author may have been a more junior member of the research group who had moved to a different institution.</w:t>
      </w:r>
    </w:p>
    <w:p>
      <w:pPr>
        <w:pStyle w:val="BodyText"/>
      </w:pPr>
      <w:r>
        <w:t xml:space="preserve"> </w:t>
      </w:r>
    </w:p>
    <w:bookmarkEnd w:id="227"/>
    <w:bookmarkStart w:id="228" w:name="Xeb6bb5ed6e7e28b978decd5cde24f067ff76a35"/>
    <w:p>
      <w:pPr>
        <w:pStyle w:val="Heading4"/>
      </w:pPr>
      <w:r>
        <w:t xml:space="preserve">Cohorts contained in Dementia Platform UK</w:t>
      </w:r>
    </w:p>
    <w:p>
      <w:pPr>
        <w:pStyle w:val="FirstParagraph"/>
      </w:pPr>
      <w:r>
        <w:t xml:space="preserve">The second approach focused on incorporating relevant, previously-unanalysed data into the analysis, thus providing additional evidence on the relationship between blood lipids and dementia risk. 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106</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17 cohorts was made via the common-access procedure.</w:t>
      </w:r>
    </w:p>
    <w:p>
      <w:pPr>
        <w:pStyle w:val="BodyText"/>
      </w:pPr>
      <w:r>
        <w:t xml:space="preserve"> </w:t>
      </w:r>
    </w:p>
    <w:bookmarkEnd w:id="228"/>
    <w:bookmarkEnd w:id="229"/>
    <w:bookmarkStart w:id="235" w:name="primary-analysis-1"/>
    <w:p>
      <w:pPr>
        <w:pStyle w:val="Heading3"/>
      </w:pPr>
      <w:r>
        <w:t xml:space="preserve">Primary analysis</w:t>
      </w:r>
    </w:p>
    <w:bookmarkStart w:id="230" w:name="data-cleaning-and-harmonisation"/>
    <w:p>
      <w:pPr>
        <w:pStyle w:val="Heading4"/>
      </w:pPr>
      <w:r>
        <w:t xml:space="preserve">Data cleaning and harmonisation</w:t>
      </w:r>
    </w:p>
    <w:p>
      <w:pPr>
        <w:pStyle w:val="FirstParagraph"/>
      </w:pPr>
      <w:r>
        <w:t xml:space="preserve">Where data on one of these exposures (TC, LDL-c, HDL-c, TG) was missing, it was inferred from the other three fractions (where available) using the Friedwald formula (Equation (1)). Lipids levels were retained as continuous variables rather than dichotomising into a binary hypercholesterolemia exposure, given the additional statistical power this adds to the meta-analysis.</w:t>
      </w:r>
      <w:hyperlink w:anchor="ref-riley2020">
        <w:r>
          <w:rPr>
            <w:rStyle w:val="Hyperlink"/>
            <w:vertAlign w:val="superscript"/>
          </w:rPr>
          <w:t xml:space="preserve">96</w:t>
        </w:r>
      </w:hyperlink>
      <w:r>
        <w:rPr>
          <w:vertAlign w:val="superscript"/>
        </w:rPr>
        <w:t xml:space="preserve">,</w:t>
      </w:r>
      <w:hyperlink w:anchor="ref-ensor2018">
        <w:r>
          <w:rPr>
            <w:rStyle w:val="Hyperlink"/>
            <w:vertAlign w:val="superscript"/>
          </w:rPr>
          <w:t xml:space="preserve">315</w:t>
        </w:r>
      </w:hyperlink>
      <w:r>
        <w:t xml:space="preserve"> </w:t>
      </w:r>
      <w:r>
        <w:t xml:space="preserve">Where lipid measurements were reported in</w:t>
      </w:r>
      <w:r>
        <w:t xml:space="preserve"> </w:t>
      </w:r>
      <w:r>
        <w:rPr>
          <w:iCs/>
          <w:i/>
        </w:rPr>
        <w:t xml:space="preserve">mg/dL</w:t>
      </w:r>
      <w:r>
        <w:t xml:space="preserve">, these were converted to</w:t>
      </w:r>
      <w:r>
        <w:t xml:space="preserve"> </w:t>
      </w:r>
      <w:r>
        <w:rPr>
          <w:iCs/>
          <w:i/>
        </w:rPr>
        <w:t xml:space="preserve">mmol/L</w:t>
      </w:r>
      <w:r>
        <w:t xml:space="preserve">.</w:t>
      </w:r>
    </w:p>
    <w:p>
      <w:pPr>
        <w:pStyle w:val="BodyText"/>
      </w:pPr>
      <w:r>
        <w:t xml:space="preserve">Across all cohorts, data cleaning was performed in a similar manner, standardizing to commonly named variables so that a single model could be applied using functional programming.</w:t>
      </w:r>
      <w:hyperlink w:anchor="ref-wickham2016func">
        <w:r>
          <w:rPr>
            <w:rStyle w:val="Hyperlink"/>
            <w:vertAlign w:val="superscript"/>
          </w:rPr>
          <w:t xml:space="preserve">316</w:t>
        </w:r>
      </w:hyperlink>
      <w:r>
        <w:t xml:space="preserve"> </w:t>
      </w:r>
      <w:r>
        <w:t xml:space="preserve">The advantage of this approach is that it reduces the likelihood of errors in model mis-specification if changes are required in variables names from cohort to cohort. Following data cleaning, summary statistics for each data source were calculated and compared with publicly available statistics to ensure no errors were introduced in the data cleaning process, in line with best practice.</w:t>
      </w:r>
      <w:hyperlink w:anchor="ref-levis2021">
        <w:r>
          <w:rPr>
            <w:rStyle w:val="Hyperlink"/>
            <w:vertAlign w:val="superscript"/>
          </w:rPr>
          <w:t xml:space="preserve">317</w:t>
        </w:r>
      </w:hyperlink>
    </w:p>
    <w:p>
      <w:pPr>
        <w:pStyle w:val="BodyText"/>
      </w:pPr>
      <w:r>
        <w:t xml:space="preserve"> </w:t>
      </w:r>
    </w:p>
    <w:bookmarkEnd w:id="230"/>
    <w:bookmarkStart w:id="231" w:name="covariate-definition"/>
    <w:p>
      <w:pPr>
        <w:pStyle w:val="Heading4"/>
      </w:pPr>
      <w:r>
        <w:t xml:space="preserve">Covariate definition</w:t>
      </w:r>
    </w:p>
    <w:p>
      <w:pPr>
        <w:pStyle w:val="FirstParagraph"/>
      </w:pPr>
      <w:r>
        <w:t xml:space="preserve">A range of additional variables were included in the analysis, intended to address the potential for confounding. With an awareness that discrepancies in available covariates is a common issue in IPD studies, I defined an idealised set of covariate domains to be age, sex, education, BMI,</w:t>
      </w:r>
      <w:r>
        <w:t xml:space="preserve"> </w:t>
      </w:r>
      <w:r>
        <w:rPr>
          <w:iCs/>
          <w:i/>
        </w:rPr>
        <w:t xml:space="preserve">ApoE4</w:t>
      </w:r>
      <w:r>
        <w:t xml:space="preserve"> </w:t>
      </w:r>
      <w:r>
        <w:t xml:space="preserve">status, smoking/alcohol status, ethnicity, and prevalent cardiovascular disease. This set covers key risk factors for dementia/Alzheimer’s disease in addition to general cardiovascular risk factors. Details on how these variables were coded, given the available data, are presented in Section</w:t>
      </w:r>
      <w:r>
        <w:t xml:space="preserve"> </w:t>
      </w:r>
      <w:r>
        <w:t xml:space="preserve">6.3.3</w:t>
      </w:r>
      <w:r>
        <w:t xml:space="preserve">.</w:t>
      </w:r>
    </w:p>
    <w:p>
      <w:pPr>
        <w:pStyle w:val="BodyText"/>
      </w:pPr>
      <w:r>
        <w:t xml:space="preserve"> </w:t>
      </w:r>
    </w:p>
    <w:bookmarkEnd w:id="231"/>
    <w:bookmarkStart w:id="232" w:name="missing-data-2"/>
    <w:p>
      <w:pPr>
        <w:pStyle w:val="Heading4"/>
      </w:pPr>
      <w:r>
        <w:t xml:space="preserve">Missing data</w:t>
      </w:r>
    </w:p>
    <w:p>
      <w:pPr>
        <w:pStyle w:val="FirstParagraph"/>
      </w:pPr>
      <w:r>
        <w:t xml:space="preserve">Missing data in this analysis was classified as either relating to missing values (a cohort collected data on a variable of interest, but some values are missing) or missing variables (a cohort did not collect data on a variable of interest). Variables with missing values were identified, and 20 imputed datasets were created.</w:t>
      </w:r>
      <w:hyperlink w:anchor="ref-sterne2009">
        <w:r>
          <w:rPr>
            <w:rStyle w:val="Hyperlink"/>
            <w:vertAlign w:val="superscript"/>
          </w:rPr>
          <w:t xml:space="preserve">288</w:t>
        </w:r>
      </w:hyperlink>
      <w:r>
        <w:t xml:space="preserve"> </w:t>
      </w:r>
      <w:r>
        <w:t xml:space="preserve">Imputation was performed using the MICE (Multiple Imputation by Chained Equations) using the</w:t>
      </w:r>
      <w:r>
        <w:t xml:space="preserve"> </w:t>
      </w:r>
      <w:r>
        <w:rPr>
          <w:rStyle w:val="VerbatimChar"/>
        </w:rPr>
        <w:t xml:space="preserve">mice</w:t>
      </w:r>
      <w:r>
        <w:t xml:space="preserve"> </w:t>
      </w:r>
      <w:r>
        <w:t xml:space="preserve">package in R.</w:t>
      </w:r>
    </w:p>
    <w:p>
      <w:pPr>
        <w:pStyle w:val="BodyText"/>
      </w:pPr>
      <w:r>
        <w:t xml:space="preserve">Missing variables were originally intended to be addressed using a previously described method.</w:t>
      </w:r>
      <w:hyperlink w:anchor="ref-fibrinogenstudiescollaboration2009">
        <w:r>
          <w:rPr>
            <w:rStyle w:val="Hyperlink"/>
            <w:vertAlign w:val="superscript"/>
          </w:rPr>
          <w:t xml:space="preserve">318</w:t>
        </w:r>
      </w:hyperlink>
      <w:r>
        <w:t xml:space="preserve"> </w:t>
      </w:r>
      <w:r>
        <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
      </w:r>
      <w:hyperlink w:anchor="ref-fibrinogenstudiescollaboration2009">
        <w:r>
          <w:rPr>
            <w:rStyle w:val="Hyperlink"/>
            <w:vertAlign w:val="superscript"/>
          </w:rPr>
          <w:t xml:space="preserve">318</w:t>
        </w:r>
      </w:hyperlink>
      <w:r>
        <w:t xml:space="preserve"> </w:t>
      </w:r>
      <w:r>
        <w:t xml:space="preserve">In the primary analysis, all cohorts were analysed adjusted for the set of common covariates across cohorts (Model 1: age, sex, smoking, alcohol, presence of morbidities). As a sensitivity analysis, cohorts with the full complement of covariates (Whitehall II and EPIC) were analysed using a maximally-adjusted model (Model 2: Model 1, further adjusted for education and BMI). Results between the common-set-adjusted (Model 1) and maximally-adjusted (Model 2) models were then compared.</w:t>
      </w:r>
    </w:p>
    <w:p>
      <w:pPr>
        <w:pStyle w:val="BodyText"/>
      </w:pPr>
      <w:r>
        <w:t xml:space="preserve"> </w:t>
      </w:r>
    </w:p>
    <w:bookmarkEnd w:id="232"/>
    <w:bookmarkStart w:id="233" w:name="ipd-analysis"/>
    <w:p>
      <w:pPr>
        <w:pStyle w:val="Heading4"/>
      </w:pPr>
      <w:r>
        <w:t xml:space="preserve">IPD analysis</w:t>
      </w:r>
    </w:p>
    <w:p>
      <w:pPr>
        <w:pStyle w:val="FirstParagraph"/>
      </w:pPr>
      <w:r>
        <w:t xml:space="preserve">In this analysis, a two-stage IPD analysis was planned. Under a two-stage approach, estimates for the effect of each lipid fraction on incident dementia were first calculated for each data source. More specifically, a logistic regression model adjusted for relevant covariates as detailed in the above section was used to quantify the effect of a 1</w:t>
      </w:r>
      <w:r>
        <w:t xml:space="preserve"> </w:t>
      </w:r>
      <w:r>
        <w:rPr>
          <w:iCs/>
          <w:i/>
        </w:rPr>
        <w:t xml:space="preserve">mmol/L</w:t>
      </w:r>
      <w:r>
        <w:t xml:space="preserve"> </w:t>
      </w:r>
      <w:r>
        <w:t xml:space="preserve">increase in each lipid fraction on each dementia outcome. Results were expressed as odds ratios (OR).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w:t>
      </w:r>
    </w:p>
    <w:p>
      <w:pPr>
        <w:pStyle w:val="BodyText"/>
      </w:pPr>
      <w:r>
        <w:t xml:space="preserve">A two-stage IPD approach was employed for a number of reasons. Firstly, and most importantly, a two-stage approach allows for siloed data, enabling researchers who are unwilling/unable to provide their data to analyse themselves following a specified analysis plan.</w:t>
      </w:r>
      <w:hyperlink w:anchor="ref-riley2010">
        <w:r>
          <w:rPr>
            <w:rStyle w:val="Hyperlink"/>
            <w:vertAlign w:val="superscript"/>
          </w:rPr>
          <w:t xml:space="preserve">90</w:t>
        </w:r>
      </w:hyperlink>
      <w:r>
        <w:t xml:space="preserve"> </w:t>
      </w:r>
      <w:r>
        <w:t xml:space="preserve">Secondly, it allows for the production of forest plots of within-cohort estimates, something which is useful for the triangulation exercise in Chapter</w:t>
      </w:r>
      <w:r>
        <w:t xml:space="preserve"> </w:t>
      </w:r>
      <w:r>
        <w:t xml:space="preserve">7</w:t>
      </w:r>
      <w:r>
        <w:t xml:space="preserve">. Finally, a two-stage approach is simpler to model, as it uses standard well-documented summary effect estimate meta-analysis techniques, and automatically accounts for methodological issues such as clustering within cohorts</w:t>
      </w:r>
      <w:hyperlink w:anchor="ref-abo-zaid2013">
        <w:r>
          <w:rPr>
            <w:rStyle w:val="Hyperlink"/>
            <w:vertAlign w:val="superscript"/>
          </w:rPr>
          <w:t xml:space="preserve">319</w:t>
        </w:r>
      </w:hyperlink>
      <w:r>
        <w:t xml:space="preserve"> </w:t>
      </w:r>
      <w:r>
        <w:t xml:space="preserve">and the potential for ecological bias.</w:t>
      </w:r>
      <w:hyperlink w:anchor="ref-burke2017">
        <w:r>
          <w:rPr>
            <w:rStyle w:val="Hyperlink"/>
            <w:vertAlign w:val="superscript"/>
          </w:rPr>
          <w:t xml:space="preserve">320</w:t>
        </w:r>
      </w:hyperlink>
    </w:p>
    <w:p>
      <w:pPr>
        <w:pStyle w:val="BodyText"/>
      </w:pPr>
      <w:r>
        <w:t xml:space="preserve"> </w:t>
      </w:r>
    </w:p>
    <w:bookmarkEnd w:id="233"/>
    <w:bookmarkStart w:id="234" w:name="X47e819eb8e885e3ea2965a1d81bb7b42ecdf60d"/>
    <w:p>
      <w:pPr>
        <w:pStyle w:val="Heading4"/>
      </w:pPr>
      <w:r>
        <w:t xml:space="preserve">Investigating the effect of participant-level covariates</w:t>
      </w:r>
    </w:p>
    <w:p>
      <w:pPr>
        <w:pStyle w:val="FirstParagraph"/>
      </w:pPr>
      <w:r>
        <w:t xml:space="preserve">In order to investigate the interaction of participant-level characteristics (age and sex) with lipid levels, interaction terms for lipid-covariate terms were extracted and synthesised using a fixed effects meta-analysis.</w:t>
      </w:r>
      <w:hyperlink w:anchor="ref-fisher2017">
        <w:r>
          <w:rPr>
            <w:rStyle w:val="Hyperlink"/>
            <w:vertAlign w:val="superscript"/>
          </w:rPr>
          <w:t xml:space="preserve">321</w:t>
        </w:r>
      </w:hyperlink>
      <w:r>
        <w:t xml:space="preserve"> </w:t>
      </w:r>
      <w:r>
        <w:t xml:space="preserve">To avoid ecological bias, where the between-study association does not reflect the within-study associations, cohorts where there was no within-study variation in the covariate of interest were excluded from the interaction analysis for that covariate.</w:t>
      </w:r>
      <w:hyperlink w:anchor="ref-burke2017">
        <w:r>
          <w:rPr>
            <w:rStyle w:val="Hyperlink"/>
            <w:vertAlign w:val="superscript"/>
          </w:rPr>
          <w:t xml:space="preserve">320</w:t>
        </w:r>
      </w:hyperlink>
      <w:r>
        <w:t xml:space="preserve"> </w:t>
      </w:r>
      <w:r>
        <w:t xml:space="preserve">As an example, it is impossible to estimate the impact of sex on the lipid~dementia relationship in a study which contains only female participants. All interaction analysis were performed using the common-set-adjusted model (Model 1).</w:t>
      </w:r>
    </w:p>
    <w:p>
      <w:pPr>
        <w:pStyle w:val="BodyText"/>
      </w:pPr>
      <w:r>
        <w:t xml:space="preserve"> </w:t>
      </w:r>
    </w:p>
    <w:bookmarkEnd w:id="234"/>
    <w:bookmarkEnd w:id="235"/>
    <w:bookmarkEnd w:id="236"/>
    <w:bookmarkStart w:id="254" w:name="results-1"/>
    <w:p>
      <w:pPr>
        <w:pStyle w:val="Heading2"/>
      </w:pPr>
      <w:r>
        <w:t xml:space="preserve">Results</w:t>
      </w:r>
    </w:p>
    <w:bookmarkStart w:id="238" w:name="data-access"/>
    <w:p>
      <w:pPr>
        <w:pStyle w:val="Heading3"/>
      </w:pPr>
      <w:r>
        <w:t xml:space="preserve">Data access</w:t>
      </w:r>
    </w:p>
    <w:p>
      <w:pPr>
        <w:pStyle w:val="FirstParagraph"/>
      </w:pPr>
      <w:r>
        <w:t xml:space="preserve">Of the 37 studies to which I applied for data access, only three (8.1%) were included in the final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where available, stratified by application approach.</w:t>
      </w:r>
    </w:p>
    <w:p>
      <w:pPr>
        <w:pStyle w:val="BodyText"/>
      </w:pPr>
      <w:r>
        <w:t xml:space="preserve">In summary, the requests for data from cohorts identified by the systematic review were characterised by a very low response rate (N = 5, 25%). For the minority who did respond, common reasons given by authors for not sharing the data included that they: no longer worked with the same group and did not know if the data was available or how to obtain it; no longer had access to the data; or were currently performing,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However, even using this streamlined approach, a positive response was obtained for approximately half (N=9, 53%) of the approached cohorts.</w:t>
      </w:r>
    </w:p>
    <w:p>
      <w:pPr>
        <w:pStyle w:val="BodyText"/>
      </w:pPr>
      <w:r>
        <w:t xml:space="preserve"> </w:t>
      </w:r>
    </w:p>
    <w:p>
      <w:pPr>
        <w:pStyle w:val="BodyText"/>
      </w:pPr>
      <w:r>
        <w:drawing>
          <wp:inline>
            <wp:extent cx="5943600" cy="4330337"/>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7"/>
                    <a:stretch>
                      <a:fillRect/>
                    </a:stretch>
                  </pic:blipFill>
                  <pic:spPr bwMode="auto">
                    <a:xfrm>
                      <a:off x="0" y="0"/>
                      <a:ext cx="5943600" cy="4330337"/>
                    </a:xfrm>
                    <a:prstGeom prst="rect">
                      <a:avLst/>
                    </a:prstGeom>
                    <a:noFill/>
                    <a:ln w="9525">
                      <a:noFill/>
                      <a:headEnd/>
                      <a:tailEnd/>
                    </a:ln>
                  </pic:spPr>
                </pic:pic>
              </a:graphicData>
            </a:graphic>
          </wp:inline>
        </w:drawing>
      </w:r>
      <w:r>
        <w:t xml:space="preserve"> </w:t>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(1), indicating that the DPUK is a useful source of unanalysed data with respect to this question. A single cohort (Whitehall II) was identified by the systematic review and was also present in the DPUK.</w:t>
      </w:r>
    </w:p>
    <w:p>
      <w:pPr>
        <w:pStyle w:val="BodyText"/>
      </w:pPr>
      <w:r>
        <w:t xml:space="preserve">Nine cohorts (8 DPUK only, 1 Systematic review + DPUK) responded positively to requests for data access. However, on inspection of data provided, six of these cohorts were excluded and the reason for exlcusion in each case is summarised in Table</w:t>
      </w:r>
      <w:r>
        <w:t xml:space="preserve"> </w:t>
      </w:r>
      <w:r>
        <w:t xml:space="preserve">17</w:t>
      </w:r>
      <w:r>
        <w:t xml:space="preserve">. In summary, two cohorts contained were memory-complaint cohorts, containing participants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
      </w:r>
      <w:r>
        <w:t xml:space="preserve"> </w:t>
      </w:r>
    </w:p>
    <w:p>
      <w:pPr>
        <w:pStyle w:val="BodyText"/>
      </w:pPr>
      <w:r>
        <w:t xml:space="preserve"> </w:t>
      </w:r>
    </w:p>
    <w:p>
      <w:pPr>
        <w:pStyle w:val="TableCaption"/>
      </w:pPr>
      <w:r>
        <w:t xml:space="preserve">Table 17:</w:t>
      </w:r>
      <w:r>
        <w:t xml:space="preserve"> </w:t>
      </w:r>
      <w:bookmarkStart w:id="834dcc7f-72e1-4eb3-bb27-6ce16006d93d" w:name="tab:dataExcluded-table"/>
      <w:r>
        <w:t xml:space="preserve">Exclusion reasons for cohorts providing data</w:t>
      </w:r>
      <w:bookmarkEnd w:id="834dcc7f-72e1-4eb3-bb27-6ce16006d93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ELSA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 exposure reported as a binary variable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Generation Scotland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MEMENTO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HTT gene carriers (i.e. premanifest Huntington's Disease)</w:t>
            </w:r>
          </w:p>
        </w:tc>
      </w:tr>
    </w:tbl>
    <w:p>
      <w:pPr>
        <w:pStyle w:val="BodyText"/>
      </w:pPr>
      <w:r>
        <w:t xml:space="preserve"> </w:t>
      </w:r>
    </w:p>
    <w:bookmarkEnd w:id="238"/>
    <w:bookmarkStart w:id="242" w:name="included-data-sources"/>
    <w:p>
      <w:pPr>
        <w:pStyle w:val="Heading3"/>
      </w:pPr>
      <w:r>
        <w:t xml:space="preserve">Included data sources</w:t>
      </w:r>
    </w:p>
    <w:p>
      <w:pPr>
        <w:pStyle w:val="FirstParagraph"/>
      </w:pPr>
      <w:r>
        <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
      </w:r>
      <w:r>
        <w:t xml:space="preserve"> </w:t>
      </w:r>
      <w:r>
        <w:t xml:space="preserve">34</w:t>
      </w:r>
      <w:r>
        <w:t xml:space="preserve">), which as implied by the name, has a narrow geographical focus.</w:t>
      </w:r>
      <w:hyperlink w:anchor="ref-bauermeister2020">
        <w:r>
          <w:rPr>
            <w:rStyle w:val="Hyperlink"/>
            <w:vertAlign w:val="superscript"/>
          </w:rPr>
          <w:t xml:space="preserve">106</w:t>
        </w:r>
      </w:hyperlink>
    </w:p>
    <w:p>
      <w:pPr>
        <w:pStyle w:val="BodyText"/>
      </w:pPr>
      <w:r>
        <w:t xml:space="preserve"> </w:t>
      </w:r>
    </w:p>
    <w:bookmarkStart w:id="239" w:name="caerphilly-prospective-study"/>
    <w:p>
      <w:pPr>
        <w:pStyle w:val="Heading4"/>
      </w:pPr>
      <w:r>
        <w:t xml:space="preserve">Caerphilly Prospective Study</w:t>
      </w:r>
    </w:p>
    <w:p>
      <w:pPr>
        <w:pStyle w:val="FirstParagraph"/>
      </w:pPr>
      <w:r>
        <w:t xml:space="preserve">The Caerphilly Prospective Study (CaPS) is a longitudinal study of men in South Wales, UK.</w:t>
      </w:r>
      <w:hyperlink w:anchor="ref-zotero-15398">
        <w:r>
          <w:rPr>
            <w:rStyle w:val="Hyperlink"/>
            <w:vertAlign w:val="superscript"/>
          </w:rPr>
          <w:t xml:space="preserve">322</w:t>
        </w:r>
      </w:hyperlink>
      <w:r>
        <w:rPr>
          <w:vertAlign w:val="superscript"/>
        </w:rPr>
        <w:t xml:space="preserve">,</w:t>
      </w:r>
      <w:hyperlink w:anchor="ref-elwood2013">
        <w:r>
          <w:rPr>
            <w:rStyle w:val="Hyperlink"/>
            <w:vertAlign w:val="superscript"/>
          </w:rPr>
          <w:t xml:space="preserve">323</w:t>
        </w:r>
      </w:hyperlink>
      <w:r>
        <w:t xml:space="preserve"> </w:t>
      </w:r>
      <w:r>
        <w:t xml:space="preserve">Blood lipids (TC, LDL-c, HDL-c and TG) were measured at baseline in 1979-1983, and from Phase III (1989-1993) onwards, a battery of cognitive tests were introduced. The cohort contains data on dementia outcomes sub-classified as vascular and non-vascular dementia. Data was available for all covariates of interest except for education, BMI and</w:t>
      </w:r>
      <w:r>
        <w:t xml:space="preserve"> </w:t>
      </w:r>
      <w:r>
        <w:rPr>
          <w:iCs/>
          <w:i/>
        </w:rPr>
        <w:t xml:space="preserve">ApoE4</w:t>
      </w:r>
      <w:r>
        <w:t xml:space="preserve"> </w:t>
      </w:r>
      <w:r>
        <w:t xml:space="preserve">status.</w:t>
      </w:r>
    </w:p>
    <w:p>
      <w:pPr>
        <w:pStyle w:val="BodyText"/>
      </w:pPr>
      <w:r>
        <w:t xml:space="preserve"> </w:t>
      </w:r>
    </w:p>
    <w:bookmarkEnd w:id="239"/>
    <w:bookmarkStart w:id="240" w:name="epic-norfolk"/>
    <w:p>
      <w:pPr>
        <w:pStyle w:val="Heading4"/>
      </w:pPr>
      <w:r>
        <w:t xml:space="preserve">Epic Norfolk</w:t>
      </w:r>
    </w:p>
    <w:p>
      <w:pPr>
        <w:pStyle w:val="FirstParagraph"/>
      </w:pPr>
      <w:r>
        <w:t xml:space="preserve">The European Prospective Investigation of Cancer (EPIC) - Norfolk is a population-based cohort, containing men and women recruited from 35 general practices in Norfolk between 1993 and 1998.</w:t>
      </w:r>
      <w:hyperlink w:anchor="ref-riboli1997">
        <w:r>
          <w:rPr>
            <w:rStyle w:val="Hyperlink"/>
            <w:vertAlign w:val="superscript"/>
          </w:rPr>
          <w:t xml:space="preserve">324</w:t>
        </w:r>
      </w:hyperlink>
      <w:r>
        <w:rPr>
          <w:vertAlign w:val="superscript"/>
        </w:rPr>
        <w:t xml:space="preserve">,</w:t>
      </w:r>
      <w:hyperlink w:anchor="ref-riboli2002">
        <w:r>
          <w:rPr>
            <w:rStyle w:val="Hyperlink"/>
            <w:vertAlign w:val="superscript"/>
          </w:rPr>
          <w:t xml:space="preserve">325</w:t>
        </w:r>
      </w:hyperlink>
      <w:r>
        <w:t xml:space="preserve"> </w:t>
      </w:r>
      <w:r>
        <w:t xml:space="preserve">The added evidential value of the EPIC cohort is small, given the the fact that the data obtained contains only 8 dementia events. The cohort contains no information on dementia subtype, while all covariates of interest bar</w:t>
      </w:r>
      <w:r>
        <w:t xml:space="preserve"> </w:t>
      </w:r>
      <w:r>
        <w:rPr>
          <w:iCs/>
          <w:i/>
        </w:rPr>
        <w:t xml:space="preserve">ApoE4</w:t>
      </w:r>
      <w:r>
        <w:t xml:space="preserve"> </w:t>
      </w:r>
      <w:r>
        <w:t xml:space="preserve">were available.</w:t>
      </w:r>
    </w:p>
    <w:p>
      <w:pPr>
        <w:pStyle w:val="BodyText"/>
      </w:pPr>
      <w:r>
        <w:t xml:space="preserve"> </w:t>
      </w:r>
    </w:p>
    <w:bookmarkEnd w:id="240"/>
    <w:bookmarkStart w:id="241" w:name="whitehall-ii"/>
    <w:p>
      <w:pPr>
        <w:pStyle w:val="Heading4"/>
      </w:pPr>
      <w:r>
        <w:t xml:space="preserve">Whitehall II</w:t>
      </w:r>
    </w:p>
    <w:p>
      <w:pPr>
        <w:pStyle w:val="FirstParagraph"/>
      </w:pPr>
      <w:r>
        <w:t xml:space="preserve">The Whitehall II study is a prospective cohort study of men and women recruited between 1985 and 1989 from the civil service in London.</w:t>
      </w:r>
      <w:hyperlink w:anchor="ref-marmot2005">
        <w:r>
          <w:rPr>
            <w:rStyle w:val="Hyperlink"/>
            <w:vertAlign w:val="superscript"/>
          </w:rPr>
          <w:t xml:space="preserve">326</w:t>
        </w:r>
      </w:hyperlink>
      <w:r>
        <w:t xml:space="preserve"> </w:t>
      </w:r>
      <w:r>
        <w:t xml:space="preserve">The cohort is linked with the Hospital Episode Statistics (HES) database, a database containing details of participant events at NHS hospitals in England, which was used to define covariates at baseline and dementia outcomes.</w:t>
      </w:r>
      <w:hyperlink w:anchor="ref-zotero-15403">
        <w:r>
          <w:rPr>
            <w:rStyle w:val="Hyperlink"/>
            <w:vertAlign w:val="superscript"/>
          </w:rPr>
          <w:t xml:space="preserve">327</w:t>
        </w:r>
      </w:hyperlink>
      <w:r>
        <w:t xml:space="preserve"> </w:t>
      </w:r>
      <w:r>
        <w:t xml:space="preserve">Information was available on dementia type, which was classified as all-cause dementia, Alzheimer’s disease or vascular dementia. This data source contained details on all covariates of interest except for</w:t>
      </w:r>
      <w:r>
        <w:t xml:space="preserve"> </w:t>
      </w:r>
      <w:r>
        <w:rPr>
          <w:iCs/>
          <w:i/>
        </w:rPr>
        <w:t xml:space="preserve">ApoE4</w:t>
      </w:r>
      <w:r>
        <w:t xml:space="preserve"> </w:t>
      </w:r>
      <w:r>
        <w:t xml:space="preserve">status.</w:t>
      </w:r>
    </w:p>
    <w:p>
      <w:pPr>
        <w:pStyle w:val="BodyText"/>
      </w:pPr>
      <w:r>
        <w:t xml:space="preserve">Of note, the Whitehall II cohort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241</w:t>
        </w:r>
      </w:hyperlink>
      <w:r>
        <w:t xml:space="preserve"> </w:t>
      </w:r>
      <w:r>
        <w:t xml:space="preserve">meaning that a comparison between the published result and the analysis reported here was was possible.</w:t>
      </w:r>
    </w:p>
    <w:p>
      <w:pPr>
        <w:pStyle w:val="BodyText"/>
      </w:pPr>
      <w:r>
        <w:t xml:space="preserve"> </w:t>
      </w:r>
    </w:p>
    <w:bookmarkEnd w:id="241"/>
    <w:bookmarkEnd w:id="242"/>
    <w:bookmarkStart w:id="243" w:name="ipd-covar-definition"/>
    <w:p>
      <w:pPr>
        <w:pStyle w:val="Heading3"/>
      </w:pPr>
      <w:r>
        <w:t xml:space="preserve">Covariate definition &amp; missing data</w:t>
      </w:r>
    </w:p>
    <w:p>
      <w:pPr>
        <w:pStyle w:val="FirstParagraph"/>
      </w:pPr>
      <w:r>
        <w:t xml:space="preserve">Based on available data across cohorts, smoking was classified as never/ever/current, while alcohol consumption was classified as never/ever. Education was categorised into 4 levels (None,O-levels,A-levels,Degree). BMI was treated as a continuous variable while presence of vascular co-morbidities was treated as dichotomous.</w:t>
      </w:r>
    </w:p>
    <w:p>
      <w:pPr>
        <w:pStyle w:val="BodyText"/>
      </w:pPr>
      <w:r>
        <w:t xml:space="preserve">A key consideration in the definition of covariates across cohorts was the classification of age. The Whitehall II study, the largest cohort to which I had access, only shared age data in five-year age band (e.g. 40-44, 45-49, etc.). To ensure comparability across the cohorts, I created identical categories in the CaPS and EPIC data. This grouped age variable was then used in all subsequent analyses.</w:t>
      </w:r>
    </w:p>
    <w:p>
      <w:pPr>
        <w:pStyle w:val="BodyText"/>
      </w:pPr>
      <w:r>
        <w:t xml:space="preserve">Missing values in collected variables was common across the cohorts. A matrix of covariates, and whether they were not available or contained missing values for each included cohort, can be seen Appendix</w:t>
      </w:r>
      <w:r>
        <w:t xml:space="preserve"> </w:t>
      </w:r>
      <w:r>
        <w:t xml:space="preserve">??</w:t>
      </w:r>
      <w:r>
        <w:t xml:space="preserve">. The Whitehall II and EPIC cohorts contained data on all but one covariates of interest, while three missing covariates were identified in the CaPS cohort, namely education, BMI and ethnicity. No included cohort provided information on the</w:t>
      </w:r>
      <w:r>
        <w:t xml:space="preserve"> </w:t>
      </w:r>
      <w:r>
        <w:rPr>
          <w:iCs/>
          <w:i/>
        </w:rPr>
        <w:t xml:space="preserve">ApoE4</w:t>
      </w:r>
      <w:r>
        <w:t xml:space="preserve"> </w:t>
      </w:r>
      <w:r>
        <w:t xml:space="preserve">status of participants, and so this variable could not be adjusted for in the analysis.</w:t>
      </w:r>
    </w:p>
    <w:p>
      <w:pPr>
        <w:pStyle w:val="BodyText"/>
      </w:pPr>
      <w:r>
        <w:t xml:space="preserve"> </w:t>
      </w:r>
    </w:p>
    <w:bookmarkEnd w:id="243"/>
    <w:bookmarkStart w:id="253" w:name="analytical-results"/>
    <w:p>
      <w:pPr>
        <w:pStyle w:val="Heading3"/>
      </w:pPr>
      <w:r>
        <w:t xml:space="preserve">Analytical results</w:t>
      </w:r>
    </w:p>
    <w:bookmarkStart w:id="244" w:name="descriptive-statistics"/>
    <w:p>
      <w:pPr>
        <w:pStyle w:val="Heading4"/>
      </w:pPr>
      <w:r>
        <w:t xml:space="preserve">Descriptive statistics</w:t>
      </w:r>
    </w:p>
    <w:p>
      <w:pPr>
        <w:pStyle w:val="FirstParagraph"/>
      </w:pPr>
      <w:r>
        <w:t xml:space="preserve">Across the three cohorts, 11,835 participants were included in this analysis (Whitehall II = 8208, EPIC = 1115, CaPS = 2512). All cohorts contained data on the four exposure variables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
      </w:r>
      <w:r>
        <w:t xml:space="preserve"> </w:t>
      </w:r>
      <w:r>
        <w:t xml:space="preserve">??</w:t>
      </w:r>
      <w:r>
        <w:t xml:space="preserve">. Cumulatively, there were 542 cases of all-cause dementia, with 114 further classified as vascular dementia. Summary statistics for each cohort are provided in Table</w:t>
      </w:r>
      <w:r>
        <w:t xml:space="preserve"> </w:t>
      </w:r>
      <w:r>
        <w:t xml:space="preserve">??</w:t>
      </w:r>
      <w:r>
        <w:t xml:space="preserve">.</w:t>
      </w:r>
    </w:p>
    <w:p>
      <w:pPr>
        <w:pStyle w:val="BodyText"/>
      </w:pPr>
      <w:r>
        <w:t xml:space="preserve"> </w:t>
      </w:r>
    </w:p>
    <w:p>
      <w:pPr>
        <w:pStyle w:val="TableCaption"/>
      </w:pPr>
      <w:r>
        <w:t xml:space="preserve">Table 18:</w:t>
      </w:r>
      <w:r>
        <w:t xml:space="preserve"> </w:t>
      </w:r>
      <w:bookmarkStart w:id="d439841a-76cc-4fdd-95cb-0e4579137dae" w:name="tab:covariateSummary-table"/>
      <w:r>
        <w:t xml:space="preserve">Summary of characteristics for cohorts included in the IPD  analysis</w:t>
      </w:r>
      <w:bookmarkEnd w:id="d439841a-76cc-4fdd-95cb-0e4579137da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group,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5679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495 (44)%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 (100)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25.3 (3.75)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(3.58)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Education &gt;18 yrs,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2576 (31.4)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Smoke ever,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 (32)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490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 (83.9)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6612 (80.6)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2235 (89)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Ethnicity (white),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6.49 (1.16)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LDL-c,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 (0.96)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(1.12)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HDL-c,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 (0.41)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TG,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 (1.14)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 (1.21)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 (0.7)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 (9.8)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Alzheimer's,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 N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(0.5)</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(3.1)</w:t>
            </w:r>
          </w:p>
        </w:tc>
      </w:tr>
    </w:tbl>
    <w:p>
      <w:pPr>
        <w:pStyle w:val="BodyText"/>
      </w:pPr>
      <w:r>
        <w:t xml:space="preserve"> </w:t>
      </w:r>
    </w:p>
    <w:bookmarkEnd w:id="244"/>
    <w:bookmarkStart w:id="248" w:name="main-effects"/>
    <w:p>
      <w:pPr>
        <w:pStyle w:val="Heading4"/>
      </w:pPr>
      <w:r>
        <w:t xml:space="preserve">Main effects</w:t>
      </w:r>
    </w:p>
    <w:p>
      <w:pPr>
        <w:pStyle w:val="FirstParagraph"/>
      </w:pPr>
      <w:r>
        <w:t xml:space="preserve">The results from the main effect analysis across the varying lipid fractions on each dementia, considered can be seen in Figures</w:t>
      </w:r>
      <w:r>
        <w:t xml:space="preserve"> </w:t>
      </w:r>
      <w:r>
        <w:t xml:space="preserve">35</w:t>
      </w:r>
      <w:r>
        <w:t xml:space="preserve"> </w:t>
      </w:r>
      <w:r>
        <w:t xml:space="preserve">&amp;</w:t>
      </w:r>
      <w:r>
        <w:t xml:space="preserve"> </w:t>
      </w:r>
      <w:r>
        <w:t xml:space="preserve">36</w:t>
      </w:r>
      <w:r>
        <w:t xml:space="preserve">, respectively. There was very weak evidence for an association of any lipid level with either all-cause or vascular dementia, with the exception of a harmful association between raised triglycerides and vascular dementia (OR: 1.41, 95%CI: 1.24-1.60).</w:t>
      </w:r>
    </w:p>
    <w:p>
      <w:pPr>
        <w:pStyle w:val="BodyText"/>
      </w:pPr>
      <w:r>
        <w:drawing>
          <wp:inline>
            <wp:extent cx="5943600" cy="4457700"/>
            <wp:effectExtent b="0" l="0" r="0" t="0"/>
            <wp:docPr descr="Figure 35: IPD meta-analysis (model 1) of all-cause dementia outcomes, stratified by lipid fraction" title="" id="1" name="Picture"/>
            <a:graphic>
              <a:graphicData uri="http://schemas.openxmlformats.org/drawingml/2006/picture">
                <pic:pic>
                  <pic:nvPicPr>
                    <pic:cNvPr descr="figures/ipd/main_Dementia.png" id="0" name="Picture"/>
                    <pic:cNvPicPr>
                      <a:picLocks noChangeArrowheads="1" noChangeAspect="1"/>
                    </pic:cNvPicPr>
                  </pic:nvPicPr>
                  <pic:blipFill>
                    <a:blip r:embed="rId245"/>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6: IPD meta-analysis (model 1) of vascular dementia outcomes, stratified by lipid fraction. Note that the vascular dementia outcome was only available in the CaPS and Whitehall II cohorts." title="" id="1" name="Picture"/>
            <a:graphic>
              <a:graphicData uri="http://schemas.openxmlformats.org/drawingml/2006/picture">
                <pic:pic>
                  <pic:nvPicPr>
                    <pic:cNvPr descr="figures/ipd/main_vasdem.png" id="0" name="Picture"/>
                    <pic:cNvPicPr>
                      <a:picLocks noChangeArrowheads="1" noChangeAspect="1"/>
                    </pic:cNvPicPr>
                  </pic:nvPicPr>
                  <pic:blipFill>
                    <a:blip r:embed="rId246"/>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Estimates from the common-set-adjusted model (Model 1: adjusted for age, sex, smoking, alcohol, presence of vascular comorbidites) were comparable to the fully-adjusted model (Model 2: Model 1 further adjusted for education and BMI) for the effect of lipids on all-cause dementia in cohorts reporting all covariates of interest (Figure</w:t>
      </w:r>
      <w:r>
        <w:t xml:space="preserve"> </w:t>
      </w:r>
      <w:r>
        <w:t xml:space="preserve">37</w:t>
      </w:r>
      <w:r>
        <w:t xml:space="preserve">).</w:t>
      </w:r>
    </w:p>
    <w:p>
      <w:pPr>
        <w:pStyle w:val="BodyText"/>
      </w:pPr>
      <w:r>
        <w:drawing>
          <wp:inline>
            <wp:extent cx="5943600" cy="5200650"/>
            <wp:effectExtent b="0" l="0" r="0" t="0"/>
            <wp:docPr descr="Figure 37: Comparison of results from the common-set-adjusted (Model 1) and fully-adjusted (Model 2) analyses." title="" id="1" name="Picture"/>
            <a:graphic>
              <a:graphicData uri="http://schemas.openxmlformats.org/drawingml/2006/picture">
                <pic:pic>
                  <pic:nvPicPr>
                    <pic:cNvPr descr="figures/ipd/main_model_comparison.png" id="0" name="Picture"/>
                    <pic:cNvPicPr>
                      <a:picLocks noChangeArrowheads="1" noChangeAspect="1"/>
                    </pic:cNvPicPr>
                  </pic:nvPicPr>
                  <pic:blipFill>
                    <a:blip r:embed="rId247"/>
                    <a:stretch>
                      <a:fillRect/>
                    </a:stretch>
                  </pic:blipFill>
                  <pic:spPr bwMode="auto">
                    <a:xfrm>
                      <a:off x="0" y="0"/>
                      <a:ext cx="5943600" cy="5200650"/>
                    </a:xfrm>
                    <a:prstGeom prst="rect">
                      <a:avLst/>
                    </a:prstGeom>
                    <a:noFill/>
                    <a:ln w="9525">
                      <a:noFill/>
                      <a:headEnd/>
                      <a:tailEnd/>
                    </a:ln>
                  </pic:spPr>
                </pic:pic>
              </a:graphicData>
            </a:graphic>
          </wp:inline>
        </w:drawing>
      </w:r>
      <w:r>
        <w:t xml:space="preserve"> </w:t>
      </w:r>
    </w:p>
    <w:p>
      <w:pPr>
        <w:pStyle w:val="BodyText"/>
      </w:pPr>
      <w:r>
        <w:t xml:space="preserve"> </w:t>
      </w:r>
    </w:p>
    <w:bookmarkEnd w:id="248"/>
    <w:bookmarkStart w:id="252" w:name="interaction-effects"/>
    <w:p>
      <w:pPr>
        <w:pStyle w:val="Heading4"/>
      </w:pPr>
      <w:r>
        <w:t xml:space="preserve">Interaction effects</w:t>
      </w:r>
    </w:p>
    <w:p>
      <w:pPr>
        <w:pStyle w:val="FirstParagraph"/>
      </w:pPr>
      <w:r>
        <w:t xml:space="preserve">Given minimal effect of further adjustment for education and BMI on the effect estimates, the results from the interaction analysis presented here were obtained using the common-set-adjusted model. Further, while the maximally-adjusted model (Model 2) could have been employed in the analysis of the effect of sex, as the CaPS cohort contains only men and had to be excluded from this analysis, employing the same underlying model helped to ensure comparability between the age and sex interaction estimates.</w:t>
      </w:r>
    </w:p>
    <w:p>
      <w:pPr>
        <w:pStyle w:val="BodyText"/>
      </w:pPr>
      <w:r>
        <w:t xml:space="preserve">For all-cause dementia, there was no evidence of an interaction of lipid levels with either age group or sex (Figures</w:t>
      </w:r>
      <w:r>
        <w:t xml:space="preserve"> </w:t>
      </w:r>
      <w:r>
        <w:t xml:space="preserve">38</w:t>
      </w:r>
      <w:r>
        <w:t xml:space="preserve"> </w:t>
      </w:r>
      <w:r>
        <w:t xml:space="preserve">&amp;</w:t>
      </w:r>
      <w:r>
        <w:t xml:space="preserve"> </w:t>
      </w:r>
      <w:r>
        <w:t xml:space="preserve">39</w:t>
      </w:r>
      <w:r>
        <w:t xml:space="preserve">). Note that for the sex interaction analysis, the CaPS cohort was excluded as it contains only a single sex and therefore provides no information on exposure-sex interaction.</w:t>
      </w:r>
    </w:p>
    <w:p>
      <w:pPr>
        <w:pStyle w:val="BodyText"/>
      </w:pPr>
      <w:r>
        <w:drawing>
          <wp:inline>
            <wp:extent cx="5943600" cy="4457700"/>
            <wp:effectExtent b="0" l="0" r="0" t="0"/>
            <wp:docPr descr="Figure 38: Meta-analysis of interaction terms representing the effect of a one-step increase in age group on the lipid/all-cause dementia association" title="" id="1" name="Picture"/>
            <a:graphic>
              <a:graphicData uri="http://schemas.openxmlformats.org/drawingml/2006/picture">
                <pic:pic>
                  <pic:nvPicPr>
                    <pic:cNvPr descr="figures/ipd/interaction_age_dementia.png" id="0" name="Picture"/>
                    <pic:cNvPicPr>
                      <a:picLocks noChangeArrowheads="1" noChangeAspect="1"/>
                    </pic:cNvPicPr>
                  </pic:nvPicPr>
                  <pic:blipFill>
                    <a:blip r:embed="rId2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9: Meta-analysis of interaction terms representing the effect of male gender on the lipid/all-cause dementia association" title="" id="1" name="Picture"/>
            <a:graphic>
              <a:graphicData uri="http://schemas.openxmlformats.org/drawingml/2006/picture">
                <pic:pic>
                  <pic:nvPicPr>
                    <pic:cNvPr descr="figures/ipd/interaction_sex_dementia.png" id="0" name="Picture"/>
                    <pic:cNvPicPr>
                      <a:picLocks noChangeArrowheads="1" noChangeAspect="1"/>
                    </pic:cNvPicPr>
                  </pic:nvPicPr>
                  <pic:blipFill>
                    <a:blip r:embed="rId2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For the consideration of vascular dementia, I was only able to explore the effect of age, as only the CaPS and Whitehall cohorts contained details on vascular dementia as an outcome. As discussed above, the CaPS data contained a single sex excluding it from a exposure-sex analysis, leaving Whitehall II as the sole eligible study.</w:t>
      </w:r>
    </w:p>
    <w:p>
      <w:pPr>
        <w:pStyle w:val="BodyText"/>
      </w:pPr>
      <w:r>
        <w:drawing>
          <wp:inline>
            <wp:extent cx="5943600" cy="4457700"/>
            <wp:effectExtent b="0" l="0" r="0" t="0"/>
            <wp:docPr descr="Figure 40: Meta-analysis of interaction terms representing the effect of a one-step increase in age group on the lipid/vascular dementia association" title="" id="1" name="Picture"/>
            <a:graphic>
              <a:graphicData uri="http://schemas.openxmlformats.org/drawingml/2006/picture">
                <pic:pic>
                  <pic:nvPicPr>
                    <pic:cNvPr descr="figures/ipd/interaction_age_vasdem.png" id="0" name="Picture"/>
                    <pic:cNvPicPr>
                      <a:picLocks noChangeArrowheads="1" noChangeAspect="1"/>
                    </pic:cNvPicPr>
                  </pic:nvPicPr>
                  <pic:blipFill>
                    <a:blip r:embed="rId251"/>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 </w:t>
      </w:r>
    </w:p>
    <w:bookmarkEnd w:id="252"/>
    <w:bookmarkEnd w:id="253"/>
    <w:bookmarkEnd w:id="254"/>
    <w:bookmarkStart w:id="265" w:name="discussion-3"/>
    <w:p>
      <w:pPr>
        <w:pStyle w:val="Heading2"/>
      </w:pPr>
      <w:r>
        <w:t xml:space="preserve">Discussion</w:t>
      </w:r>
    </w:p>
    <w:bookmarkStart w:id="255" w:name="summary-of-findings-2"/>
    <w:p>
      <w:pPr>
        <w:pStyle w:val="Heading3"/>
      </w:pPr>
      <w:r>
        <w:t xml:space="preserve">Summary of findings</w:t>
      </w:r>
    </w:p>
    <w:p>
      <w:pPr>
        <w:pStyle w:val="FirstParagraph"/>
      </w:pPr>
      <w:r>
        <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very weak evidence for an interaction of the effect of lipids levels on dementia outcomes with participants’ age, grouped into 5 year bands, or sex.</w:t>
      </w:r>
    </w:p>
    <w:p>
      <w:pPr>
        <w:pStyle w:val="BodyText"/>
      </w:pPr>
      <w:r>
        <w:t xml:space="preserve">A detailed comparison of the findings presented above with the existing evidence base identified by the systematic review (Chapter</w:t>
      </w:r>
      <w:r>
        <w:t xml:space="preserve"> </w:t>
      </w:r>
      <w:r>
        <w:t xml:space="preserve">??</w:t>
      </w:r>
      <w:r>
        <w:t xml:space="preserve">), is presented as part of the triangulation exercise in Chapter</w:t>
      </w:r>
      <w:r>
        <w:t xml:space="preserve"> </w:t>
      </w:r>
      <w:r>
        <w:t xml:space="preserve">7</w:t>
      </w:r>
      <w:r>
        <w:t xml:space="preserve">. As such, this discussion will not provide a detailed comparison of the results of this analysis with other published literature, except to compare between this analysis and previously published results using the same data source.</w:t>
      </w:r>
    </w:p>
    <w:p>
      <w:pPr>
        <w:pStyle w:val="BodyText"/>
      </w:pPr>
      <w:r>
        <w:t xml:space="preserve"> </w:t>
      </w:r>
    </w:p>
    <w:bookmarkEnd w:id="255"/>
    <w:bookmarkStart w:id="261" w:name="limitations-1"/>
    <w:p>
      <w:pPr>
        <w:pStyle w:val="Heading3"/>
      </w:pPr>
      <w:r>
        <w:t xml:space="preserve">Limitations</w:t>
      </w:r>
    </w:p>
    <w:bookmarkStart w:id="256" w:name="low-response-rate-to-request-for-data"/>
    <w:p>
      <w:pPr>
        <w:pStyle w:val="Heading4"/>
      </w:pPr>
      <w:r>
        <w:t xml:space="preserve">Low response rate to request for data</w:t>
      </w:r>
    </w:p>
    <w:p>
      <w:pPr>
        <w:pStyle w:val="FirstParagraph"/>
      </w:pPr>
      <w:r>
        <w:t xml:space="preserve">The obvious key limitation of this analysis is the very low response rate to requests for data access, which may bias the results if there are systematic differences in the association of lipids with dementia outcomes between cohorts that share data and those that do not.</w:t>
      </w:r>
      <w:hyperlink w:anchor="ref-ahmed2012">
        <w:r>
          <w:rPr>
            <w:rStyle w:val="Hyperlink"/>
            <w:vertAlign w:val="superscript"/>
          </w:rPr>
          <w:t xml:space="preserve">328</w:t>
        </w:r>
      </w:hyperlink>
      <w:r>
        <w:t xml:space="preserve"> </w:t>
      </w:r>
      <w:r>
        <w:t xml:space="preserve">Whether or not to press ahead with an IPD analysis in the absence of all (or even most) data is a personal decision, and some previous analyses have highlighted where they decided not to pursue an IPD analysis.</w:t>
      </w:r>
      <w:hyperlink w:anchor="ref-jaspers2014">
        <w:r>
          <w:rPr>
            <w:rStyle w:val="Hyperlink"/>
            <w:vertAlign w:val="superscript"/>
          </w:rPr>
          <w:t xml:space="preserve">329</w:t>
        </w:r>
      </w:hyperlink>
      <w:r>
        <w:t xml:space="preserve"> </w:t>
      </w:r>
      <w:r>
        <w:t xml:space="preserve">For the purposes of this thesis, the decision was made to conduct the IPD analysis, as it provided training in application of the methods in addition to providing additional evidence sources that could be incorporated into the triangulation exercise detailed in Chapter</w:t>
      </w:r>
      <w:r>
        <w:t xml:space="preserve"> </w:t>
      </w:r>
      <w:r>
        <w:t xml:space="preserve">7</w:t>
      </w:r>
      <w:r>
        <w:t xml:space="preserve">.</w:t>
      </w:r>
    </w:p>
    <w:p>
      <w:pPr>
        <w:pStyle w:val="BodyText"/>
      </w:pPr>
      <w:r>
        <w:t xml:space="preserve">A low response rate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hyperlink w:anchor="ref-nevitt2017">
        <w:r>
          <w:rPr>
            <w:rStyle w:val="Hyperlink"/>
            <w:vertAlign w:val="superscript"/>
          </w:rPr>
          <w:t xml:space="preserve">99</w:t>
        </w:r>
      </w:hyperlink>
      <w:r>
        <w:t xml:space="preserve"> </w:t>
      </w:r>
      <w:r>
        <w:t xml:space="preserve">However, it is assumed that a ~10% response rate is at the lower end of the scale.</w:t>
      </w:r>
    </w:p>
    <w:p>
      <w:pPr>
        <w:pStyle w:val="BodyText"/>
      </w:pPr>
      <w:r>
        <w:t xml:space="preserve">There are likely several likely reasons for this low response rate to requests for data access. In general terms, there are a several well-documented barriers that prevent data from being made readily available, including concerns regarding participant privacy, fear of</w:t>
      </w:r>
      <w:r>
        <w:t xml:space="preserve"> </w:t>
      </w:r>
      <w:r>
        <w:t xml:space="preserve">“</w:t>
      </w:r>
      <w:r>
        <w:t xml:space="preserve">scooping</w:t>
      </w:r>
      <w:r>
        <w:t xml:space="preserve">”</w:t>
      </w:r>
      <w:r>
        <w:t xml:space="preserve"> </w:t>
      </w:r>
      <w:r>
        <w:t xml:space="preserve">or</w:t>
      </w:r>
      <w:r>
        <w:t xml:space="preserve"> </w:t>
      </w:r>
      <w:r>
        <w:t xml:space="preserve">“</w:t>
      </w:r>
      <w:r>
        <w:t xml:space="preserve">parasitic</w:t>
      </w:r>
      <w:r>
        <w:t xml:space="preserve">”</w:t>
      </w:r>
      <w:r>
        <w:t xml:space="preserve"> </w:t>
      </w:r>
      <w:r>
        <w:t xml:space="preserve">behaviour, and a lack of trust between primary and secondary researchers.</w:t>
      </w:r>
      <w:hyperlink w:anchor="ref-vanpanhuis2014">
        <w:r>
          <w:rPr>
            <w:rStyle w:val="Hyperlink"/>
            <w:vertAlign w:val="superscript"/>
          </w:rPr>
          <w:t xml:space="preserve">104</w:t>
        </w:r>
      </w:hyperlink>
      <w:r>
        <w:t xml:space="preserve"> </w:t>
      </w:r>
      <w:r>
        <w:t xml:space="preserve">More specific to this analysis, IPD meta-analysis including studies other than randomised controlled trials have less success in obtaining IPD from studies.</w:t>
      </w:r>
      <w:hyperlink w:anchor="ref-nevitt2017">
        <w:r>
          <w:rPr>
            <w:rStyle w:val="Hyperlink"/>
            <w:vertAlign w:val="superscript"/>
          </w:rPr>
          <w:t xml:space="preserve">99</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a positive response than a well-known senior academic might. The timing of the requests for data access, coinciding with a global pandemic, may also have affected the response rate as researchers prioritised COVID-related work.</w:t>
      </w:r>
    </w:p>
    <w:p>
      <w:pPr>
        <w:pStyle w:val="BodyText"/>
      </w:pPr>
      <w:r>
        <w:t xml:space="preserve">Finally, the method of contact used (email) has been shown to be less successful in eliciting responses from authors when compared with telephoning.</w:t>
      </w:r>
      <w:hyperlink w:anchor="ref-danko2019">
        <w:r>
          <w:rPr>
            <w:rStyle w:val="Hyperlink"/>
            <w:vertAlign w:val="superscript"/>
          </w:rPr>
          <w:t xml:space="preserve">330</w:t>
        </w:r>
      </w:hyperlink>
      <w:r>
        <w:t xml:space="preserve"> </w:t>
      </w:r>
      <w:r>
        <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w:t>
      </w:r>
    </w:p>
    <w:p>
      <w:pPr>
        <w:pStyle w:val="BodyText"/>
      </w:pPr>
      <w:r>
        <w:t xml:space="preserve">The obstacles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process would be aided by a clearer distinction between those cohorts that are</w:t>
      </w:r>
      <w:r>
        <w:t xml:space="preserve"> </w:t>
      </w:r>
      <w:r>
        <w:t xml:space="preserve">“</w:t>
      </w:r>
      <w:r>
        <w:t xml:space="preserve">DPUK native</w:t>
      </w:r>
      <w:r>
        <w:t xml:space="preserve">”</w:t>
      </w:r>
      <w:r>
        <w:t xml:space="preserve"> </w:t>
      </w:r>
      <w:r>
        <w:t xml:space="preserve">(i.e. where a copy of the data is already held on DPUK servers) versus externally hosted, as the response time for externally hosted cohorts is likely to be much longer.</w:t>
      </w:r>
    </w:p>
    <w:p>
      <w:pPr>
        <w:pStyle w:val="BodyText"/>
      </w:pPr>
      <w:r>
        <w:t xml:space="preserve"> </w:t>
      </w:r>
    </w:p>
    <w:bookmarkEnd w:id="256"/>
    <w:bookmarkStart w:id="257" w:name="uncontrolled-confounding"/>
    <w:p>
      <w:pPr>
        <w:pStyle w:val="Heading4"/>
      </w:pPr>
      <w:r>
        <w:t xml:space="preserve">Uncontrolled confounding</w:t>
      </w:r>
    </w:p>
    <w:p>
      <w:pPr>
        <w:pStyle w:val="FirstParagraph"/>
      </w:pPr>
      <w:r>
        <w:t xml:space="preserve">A key limitation of this analysis is the potential for uncontrolled confounding. Across all cohorts, adjustment for</w:t>
      </w:r>
      <w:r>
        <w:t xml:space="preserve"> </w:t>
      </w:r>
      <w:r>
        <w:rPr>
          <w:iCs/>
          <w:i/>
        </w:rPr>
        <w:t xml:space="preserve">ApoE4</w:t>
      </w:r>
      <w:r>
        <w:t xml:space="preserve"> </w:t>
      </w:r>
      <w:r>
        <w:t xml:space="preserve">was not possible as I did not have access to genetic data on participants.</w:t>
      </w:r>
      <w:r>
        <w:t xml:space="preserve"> </w:t>
      </w:r>
      <w:r>
        <w:rPr>
          <w:iCs/>
          <w:i/>
        </w:rPr>
        <w:t xml:space="preserve">ApoE4</w:t>
      </w:r>
      <w:r>
        <w:t xml:space="preserve"> </w:t>
      </w:r>
      <w:r>
        <w:t xml:space="preserve">is a strong risk factor for both increased LDL-c levels and Alzheimer’s disease,</w:t>
      </w:r>
      <w:hyperlink w:anchor="ref-bennet2007">
        <w:r>
          <w:rPr>
            <w:rStyle w:val="Hyperlink"/>
            <w:vertAlign w:val="superscript"/>
          </w:rPr>
          <w:t xml:space="preserve">312</w:t>
        </w:r>
      </w:hyperlink>
      <w:r>
        <w:rPr>
          <w:vertAlign w:val="superscript"/>
        </w:rPr>
        <w:t xml:space="preserve">,</w:t>
      </w:r>
      <w:hyperlink w:anchor="ref-safieh2019">
        <w:r>
          <w:rPr>
            <w:rStyle w:val="Hyperlink"/>
            <w:vertAlign w:val="superscript"/>
          </w:rPr>
          <w:t xml:space="preserve">331</w:t>
        </w:r>
      </w:hyperlink>
      <w:r>
        <w:t xml:space="preserve"> </w:t>
      </w:r>
      <w:r>
        <w:t xml:space="preserve">and failing to adjust for this factor means residual confounding in the LDL-c fraction results is likely.</w:t>
      </w:r>
    </w:p>
    <w:p>
      <w:pPr>
        <w:pStyle w:val="BodyText"/>
      </w:pPr>
      <w:r>
        <w:t xml:space="preserve">More generally, systematically missing variables meant that a trade-off between inclusion of cohort data and appropriate control for confounding was required, resulting in the potential for uncontrolled confounding due to education and BMI. However, sensitivity analysis comparing the commom-set-adjusted (Model 1) and fully-adjusted (Model 2) models in cohorts with a full complement of covariates indicated that further adjustment for BMI and education had minimal impact on the effect estimates.</w:t>
      </w:r>
    </w:p>
    <w:p>
      <w:pPr>
        <w:pStyle w:val="BodyText"/>
      </w:pPr>
      <w:r>
        <w:t xml:space="preserve"> </w:t>
      </w:r>
    </w:p>
    <w:bookmarkEnd w:id="257"/>
    <w:bookmarkStart w:id="260" w:name="comparison-with-previous-analysis"/>
    <w:p>
      <w:pPr>
        <w:pStyle w:val="Heading4"/>
      </w:pPr>
      <w:r>
        <w:t xml:space="preserve">Comparison with previous analysis</w:t>
      </w:r>
    </w:p>
    <w:p>
      <w:pPr>
        <w:pStyle w:val="FirstParagraph"/>
      </w:pPr>
      <w:r>
        <w:t xml:space="preserve">For the single cohort (Whitehall II), a previously published analysis was available. Tynkkynen</w:t>
      </w:r>
      <w:r>
        <w:t xml:space="preserve"> </w:t>
      </w:r>
      <w:r>
        <w:rPr>
          <w:iCs/>
          <w:i/>
        </w:rPr>
        <w:t xml:space="preserve">et al.</w:t>
      </w:r>
      <w:hyperlink w:anchor="ref-tynkkynen2018">
        <w:r>
          <w:rPr>
            <w:rStyle w:val="Hyperlink"/>
            <w:vertAlign w:val="superscript"/>
          </w:rPr>
          <w:t xml:space="preserve">241</w:t>
        </w:r>
      </w:hyperlink>
      <w:r>
        <w:t xml:space="preserve"> </w:t>
      </w:r>
      <w:r>
        <w:t xml:space="preserve">analysed the association of blood lipids and risk of all-cause dementia and Alzheimer’s disease across several cohorts, including the Whitehall II cohort.</w:t>
      </w:r>
    </w:p>
    <w:p>
      <w:pPr>
        <w:pStyle w:val="BodyText"/>
      </w:pPr>
      <w:r>
        <w:t xml:space="preserve">In an attempt to validate my approach, I compared the results from the maximally-adjusted model (Model 2) in this analysis with those reported by Tynkkynen</w:t>
      </w:r>
      <w:r>
        <w:t xml:space="preserve"> </w:t>
      </w:r>
      <w:r>
        <w:rPr>
          <w:iCs/>
          <w:i/>
        </w:rPr>
        <w:t xml:space="preserve">et al.</w:t>
      </w:r>
      <w:r>
        <w:t xml:space="preserve"> </w:t>
      </w:r>
      <w:r>
        <w:t xml:space="preserve">for both all-cause dementia and Alzheimer’s disease. The results were broadly comparable (Figures</w:t>
      </w:r>
      <w:r>
        <w:t xml:space="preserve"> </w:t>
      </w:r>
      <w:r>
        <w:t xml:space="preserve">41</w:t>
      </w:r>
      <w:r>
        <w:t xml:space="preserve"> </w:t>
      </w:r>
      <w:r>
        <w:t xml:space="preserve">and</w:t>
      </w:r>
      <w:r>
        <w:t xml:space="preserve"> </w:t>
      </w:r>
      <w:r>
        <w:t xml:space="preserve">42</w:t>
      </w:r>
      <w:r>
        <w:t xml:space="preserve">), with the exception of the association of triglycerides with all-cause dementia. Tynkkynen</w:t>
      </w:r>
      <w:r>
        <w:t xml:space="preserve"> </w:t>
      </w:r>
      <w:r>
        <w:rPr>
          <w:iCs/>
          <w:i/>
        </w:rPr>
        <w:t xml:space="preserve">et al.</w:t>
      </w:r>
      <w:hyperlink w:anchor="ref-tynkkynen2018">
        <w:r>
          <w:rPr>
            <w:rStyle w:val="Hyperlink"/>
            <w:vertAlign w:val="superscript"/>
          </w:rPr>
          <w:t xml:space="preserve">241</w:t>
        </w:r>
      </w:hyperlink>
      <w:r>
        <w:t xml:space="preserve"> </w:t>
      </w:r>
      <w:r>
        <w:t xml:space="preserve">found a protective effect of triglycerides on this outcome (HR: 0.69, 95%CI: 0.56-0.85) while this analysis found evidence for a harmful effect (OR: 1.26, 95%CI: 1.12-1.41).</w:t>
      </w:r>
    </w:p>
    <w:p>
      <w:pPr>
        <w:pStyle w:val="BodyText"/>
      </w:pPr>
      <w:r>
        <w:t xml:space="preserve">(ref:whitehallComparisonDementia-cap) Comparison of results across the two analysis of the Whitehall II cohort for the all-cause dementia outcome.</w:t>
      </w:r>
    </w:p>
    <w:p>
      <w:pPr>
        <w:pStyle w:val="BodyText"/>
      </w:pPr>
      <w:r>
        <w:drawing>
          <wp:inline>
            <wp:extent cx="5943600" cy="5094514"/>
            <wp:effectExtent b="0" l="0" r="0" t="0"/>
            <wp:docPr descr="Figure 41: (ref:whitehallComparisonDementia-cap)" title="" id="1" name="Picture"/>
            <a:graphic>
              <a:graphicData uri="http://schemas.openxmlformats.org/drawingml/2006/picture">
                <pic:pic>
                  <pic:nvPicPr>
                    <pic:cNvPr descr="figures/ipd/whitehall_comparison_dementia.png" id="0" name="Picture"/>
                    <pic:cNvPicPr>
                      <a:picLocks noChangeArrowheads="1" noChangeAspect="1"/>
                    </pic:cNvPicPr>
                  </pic:nvPicPr>
                  <pic:blipFill>
                    <a:blip r:embed="rId258"/>
                    <a:stretch>
                      <a:fillRect/>
                    </a:stretch>
                  </pic:blipFill>
                  <pic:spPr bwMode="auto">
                    <a:xfrm>
                      <a:off x="0" y="0"/>
                      <a:ext cx="5943600" cy="5094514"/>
                    </a:xfrm>
                    <a:prstGeom prst="rect">
                      <a:avLst/>
                    </a:prstGeom>
                    <a:noFill/>
                    <a:ln w="9525">
                      <a:noFill/>
                      <a:headEnd/>
                      <a:tailEnd/>
                    </a:ln>
                  </pic:spPr>
                </pic:pic>
              </a:graphicData>
            </a:graphic>
          </wp:inline>
        </w:drawing>
      </w:r>
      <w:r>
        <w:t xml:space="preserve"> </w:t>
      </w:r>
    </w:p>
    <w:p>
      <w:pPr>
        <w:pStyle w:val="BodyText"/>
      </w:pPr>
      <w:r>
        <w:t xml:space="preserve">(ref:whitehallComparisonAd-cap) Comparison of results across the two analysis of the Whitehall II cohort for the Alzheimer’s disease outcome.</w:t>
      </w:r>
    </w:p>
    <w:p>
      <w:pPr>
        <w:pStyle w:val="BodyText"/>
      </w:pPr>
      <w:r>
        <w:drawing>
          <wp:inline>
            <wp:extent cx="5943600" cy="3391651"/>
            <wp:effectExtent b="0" l="0" r="0" t="0"/>
            <wp:docPr descr="Figure 42: (ref:whitehallComparisonAd-cap)" title="" id="1" name="Picture"/>
            <a:graphic>
              <a:graphicData uri="http://schemas.openxmlformats.org/drawingml/2006/picture">
                <pic:pic>
                  <pic:nvPicPr>
                    <pic:cNvPr descr="figures/hold.png" id="0" name="Picture"/>
                    <pic:cNvPicPr>
                      <a:picLocks noChangeArrowheads="1" noChangeAspect="1"/>
                    </pic:cNvPicPr>
                  </pic:nvPicPr>
                  <pic:blipFill>
                    <a:blip r:embed="rId259"/>
                    <a:stretch>
                      <a:fillRect/>
                    </a:stretch>
                  </pic:blipFill>
                  <pic:spPr bwMode="auto">
                    <a:xfrm>
                      <a:off x="0" y="0"/>
                      <a:ext cx="5943600" cy="3391651"/>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Investigation of this discrepancy indicated that it was likely to be due to the Whitehall snapshot that each analysis had access to, as comparison of summary statistics indicated that this analysis had substantially more dementia events (n=287 in this analysis vs. n=114 in Tynkkynen</w:t>
      </w:r>
      <w:r>
        <w:t xml:space="preserve"> </w:t>
      </w:r>
      <w:r>
        <w:rPr>
          <w:iCs/>
          <w:i/>
        </w:rPr>
        <w:t xml:space="preserve">et al.</w:t>
      </w:r>
      <w:r>
        <w:t xml:space="preserve">). The covariates adjusted for in each analysis were similar, though the previous analysis had access to genetic data, allowing it to adjust for</w:t>
      </w:r>
      <w:r>
        <w:t xml:space="preserve"> </w:t>
      </w:r>
      <w:r>
        <w:rPr>
          <w:iCs/>
          <w:i/>
        </w:rPr>
        <w:t xml:space="preserve">ApoE4</w:t>
      </w:r>
      <w:r>
        <w:t xml:space="preserve"> </w:t>
      </w:r>
      <w:r>
        <w:t xml:space="preserve">status. However, given that</w:t>
      </w:r>
      <w:r>
        <w:t xml:space="preserve"> </w:t>
      </w:r>
      <w:r>
        <w:rPr>
          <w:iCs/>
          <w:i/>
        </w:rPr>
        <w:t xml:space="preserve">ApoE4</w:t>
      </w:r>
      <w:r>
        <w:t xml:space="preserve"> </w:t>
      </w:r>
      <w:r>
        <w:t xml:space="preserve">is a risk factor for increased LDL-c rather than triglycerides,</w:t>
      </w:r>
      <w:hyperlink w:anchor="ref-bennet2007">
        <w:r>
          <w:rPr>
            <w:rStyle w:val="Hyperlink"/>
            <w:vertAlign w:val="superscript"/>
          </w:rPr>
          <w:t xml:space="preserve">312</w:t>
        </w:r>
      </w:hyperlink>
      <w:r>
        <w:t xml:space="preserve"> </w:t>
      </w:r>
      <w:r>
        <w:t xml:space="preserve">it seems unlikely that additional adjustment for this variable is responsible for the discrepancy in findings observed.</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a central strength of this analysis is the use of a systematic approach to identify and attempt to contact relevant cohorts. Further, it also enabled incorporation of two previously unanalysed datasets - the CaPS and EPIC Norfolk cohorts - thus providing additional evidence that is used in the triangulation exercise reported in Chapter</w:t>
      </w:r>
      <w:r>
        <w:t xml:space="preserve"> </w:t>
      </w:r>
      <w:r>
        <w:t xml:space="preserve">7</w:t>
      </w:r>
      <w:r>
        <w:t xml:space="preserve">.</w:t>
      </w:r>
    </w:p>
    <w:p>
      <w:pPr>
        <w:pStyle w:val="BodyText"/>
      </w:pPr>
      <w:r>
        <w:t xml:space="preserve">A further strength of this analysis was the ability to investigate the effect of participant characteristics (namely age and sex) on the association of blood lipids and dementia outcomes. To the best of my knowledge, no previous review has examined the interaction of these factors with the observed associations.</w:t>
      </w:r>
    </w:p>
    <w:p>
      <w:pPr>
        <w:pStyle w:val="BodyText"/>
      </w:pPr>
      <w:r>
        <w:t xml:space="preserve">Finally, this analysis provides new evidence on a previously unexplored outcome (vascular dementia), adding to the extremely small evidence base for this outcome identified by the systematic review presented in Chapters</w:t>
      </w:r>
      <w:r>
        <w:t xml:space="preserve"> </w:t>
      </w:r>
      <w:r>
        <w:t xml:space="preserve">??</w:t>
      </w:r>
      <w:r>
        <w:t xml:space="preserve"> </w:t>
      </w:r>
      <w:r>
        <w:t xml:space="preserve">&amp;</w:t>
      </w:r>
      <w:r>
        <w:t xml:space="preserve"> </w:t>
      </w:r>
      <w:r>
        <w:t xml:space="preserve">4</w:t>
      </w:r>
      <w:r>
        <w:t xml:space="preserve">. This is relevant even in the previously analysed WhiteHall II cohort, as the previous analysis by Tynkkynen</w:t>
      </w:r>
      <w:r>
        <w:t xml:space="preserve"> </w:t>
      </w:r>
      <w:r>
        <w:rPr>
          <w:iCs/>
          <w:i/>
        </w:rPr>
        <w:t xml:space="preserve">et al.</w:t>
      </w:r>
      <w:r>
        <w:t xml:space="preserve"> </w:t>
      </w:r>
      <w:r>
        <w:t xml:space="preserve">did not report on this outcome.</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317</w:t>
        </w:r>
      </w:hyperlink>
      <w:r>
        <w:t xml:space="preserve"> </w:t>
      </w:r>
      <w:r>
        <w:t xml:space="preserve">and in line with this, data cleaning for this analysis took substantially longer than expected. While the cohort response rate was substantially lower that expected, given the time and resource of data cleaning and harmonisation for just three cohorts, a situation in which all 37 cohorts responded positively would have been logistically challenging within the scope of a PhD.</w:t>
      </w:r>
    </w:p>
    <w:p>
      <w:pPr>
        <w:pStyle w:val="BodyText"/>
      </w:pPr>
      <w:r>
        <w:t xml:space="preserve"> </w:t>
      </w:r>
    </w:p>
    <w:bookmarkEnd w:id="263"/>
    <w:bookmarkStart w:id="264" w:name="future-work"/>
    <w:p>
      <w:pPr>
        <w:pStyle w:val="Heading3"/>
      </w:pPr>
      <w:r>
        <w:t xml:space="preserve">Future work</w:t>
      </w:r>
    </w:p>
    <w:p>
      <w:pPr>
        <w:pStyle w:val="FirstParagraph"/>
      </w:pPr>
      <w:r>
        <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
      </w:r>
    </w:p>
    <w:p>
      <w:pPr>
        <w:pStyle w:val="BodyText"/>
      </w:pPr>
      <w:r>
        <w:t xml:space="preserve">Additionally, the production of detailed guidance for handling cases where covariates are systematically missing. Much of the literature around IPD analysis is focused on the synthesis of RCTs,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
      </w:r>
    </w:p>
    <w:p>
      <w:pPr>
        <w:pStyle w:val="BodyText"/>
      </w:pPr>
      <w:r>
        <w:t xml:space="preserve">Finally, a movement towards increased use of unique persistent identification of researchers, through schemes such as the ORCID programme,</w:t>
      </w:r>
      <w:hyperlink w:anchor="ref-nature2009">
        <w:r>
          <w:rPr>
            <w:rStyle w:val="Hyperlink"/>
            <w:vertAlign w:val="superscript"/>
          </w:rPr>
          <w:t xml:space="preserve">332</w:t>
        </w:r>
      </w:hyperlink>
      <w:r>
        <w:t xml:space="preserve"> </w:t>
      </w:r>
      <w:r>
        <w:t xml:space="preserve">would help with contact issues. Researchers move institutions regularly as their contracts come to an end, and so the institutional contact details provided on publications are frequently out of date.</w:t>
      </w:r>
    </w:p>
    <w:p>
      <w:pPr>
        <w:pStyle w:val="BodyText"/>
      </w:pPr>
      <w:r>
        <w:t xml:space="preserve"> </w:t>
      </w:r>
    </w:p>
    <w:bookmarkEnd w:id="264"/>
    <w:bookmarkEnd w:id="265"/>
    <w:bookmarkStart w:id="266" w:name="summary-5"/>
    <w:p>
      <w:pPr>
        <w:pStyle w:val="Heading2"/>
      </w:pPr>
      <w:r>
        <w:t xml:space="preserve">Summary</w:t>
      </w:r>
    </w:p>
    <w:p>
      <w:pPr>
        <w:numPr>
          <w:ilvl w:val="0"/>
          <w:numId w:val="1020"/>
        </w:numPr>
      </w:pPr>
      <w:r>
        <w:t xml:space="preserve">In this chapter, I performed an IPD meta-analysis to investigate the effect of blood lipid levels on the risk of incident dementia. There was a very low response rate to requests for data access, resulting in the analysis of three relevant cohorts.</w:t>
      </w:r>
    </w:p>
    <w:p>
      <w:pPr>
        <w:numPr>
          <w:ilvl w:val="0"/>
          <w:numId w:val="1020"/>
        </w:numPr>
      </w:pPr>
      <w:r>
        <w:t xml:space="preserve">I found very weak evidence for an association of any lipid with either all-cause or vascular dementia, except for an increased risk of vascular dementia associated with raised triglycerides. Similarly, there was very weak evidence that the association of blood lipids and dementia outcomes varied by participant age or sex.</w:t>
      </w:r>
    </w:p>
    <w:p>
      <w:pPr>
        <w:numPr>
          <w:ilvl w:val="0"/>
          <w:numId w:val="1020"/>
        </w:numPr>
      </w:pPr>
      <w:r>
        <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formally investigate the impact of requestor characteristics on requests for data.</w:t>
      </w:r>
    </w:p>
    <w:p>
      <w:pPr>
        <w:numPr>
          <w:ilvl w:val="0"/>
          <w:numId w:val="1020"/>
        </w:numPr>
      </w:pPr>
      <w:r>
        <w:t xml:space="preserve">The new evidence produced by this analysis will be incorporated, along with evidence identified or produced in the previous chapters, into the triangulation analysis presented in the following chapter.</w:t>
      </w:r>
    </w:p>
    <w:bookmarkEnd w:id="266"/>
    <w:bookmarkEnd w:id="267"/>
    <w:bookmarkStart w:id="306" w:name="tri-heading"/>
    <w:p>
      <w:pPr>
        <w:pStyle w:val="Heading1"/>
      </w:pPr>
      <w:r>
        <w:t xml:space="preserve">Aetiological triangulation across new and existing evidence sources</w:t>
      </w:r>
    </w:p>
    <w:p>
      <w:pPr>
        <w:pStyle w:val="FirstParagraph"/>
      </w:pPr>
      <w:r>
        <w:t xml:space="preserve"> </w:t>
      </w:r>
    </w:p>
    <w:p>
      <w:pPr>
        <w:pStyle w:val="BodyText"/>
      </w:pPr>
    </w:p>
    <w:p>
      <w:r>
        <w:br w:type="page"/>
      </w:r>
    </w:p>
    <w:bookmarkStart w:id="268" w:name="lay-summary-6"/>
    <w:p>
      <w:pPr>
        <w:pStyle w:val="Heading2"/>
      </w:pPr>
      <w:r>
        <w:t xml:space="preserve">Lay summary</w:t>
      </w:r>
    </w:p>
    <w:p>
      <w:pPr>
        <w:pStyle w:val="FirstParagraph"/>
      </w:pPr>
      <w:r>
        <w:rPr>
          <w:bCs/>
          <w:b/>
        </w:rPr>
        <w:t xml:space="preserve">TBC</w:t>
      </w:r>
    </w:p>
    <w:bookmarkEnd w:id="268"/>
    <w:p>
      <w:pPr>
        <w:pStyle w:val="BodyText"/>
      </w:pPr>
      <w:r>
        <w:t xml:space="preserve"> </w:t>
      </w:r>
    </w:p>
    <w:bookmarkStart w:id="269"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333</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107</w:t>
        </w:r>
      </w:hyperlink>
    </w:p>
    <w:p>
      <w:pPr>
        <w:pStyle w:val="FirstParagraph"/>
      </w:pPr>
      <w:r>
        <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
      </w:r>
      <w:r>
        <w:t xml:space="preserve"> </w:t>
      </w:r>
      <w:r>
        <w:rPr>
          <w:iCs/>
          <w:i/>
        </w:rPr>
        <w:t xml:space="preserve">qualitative triangulation</w:t>
      </w:r>
      <w:r>
        <w:t xml:space="preserve"> </w:t>
      </w:r>
      <w:r>
        <w:t xml:space="preserve">- that is the identification and narrative comparison of diverse evidence sources with respect to their underlying bias structures.</w:t>
      </w:r>
      <w:hyperlink w:anchor="ref-lawlor2016">
        <w:r>
          <w:rPr>
            <w:rStyle w:val="Hyperlink"/>
            <w:vertAlign w:val="superscript"/>
          </w:rPr>
          <w:t xml:space="preserve">107</w:t>
        </w:r>
      </w:hyperlink>
    </w:p>
    <w:p>
      <w:pPr>
        <w:pStyle w:val="BodyText"/>
      </w:pPr>
      <w:r>
        <w:t xml:space="preserve">However, qualitative triangulation faces issues at scale. There is a need to include all evidence to avoid potential confirmation bias,</w:t>
      </w:r>
      <w:hyperlink w:anchor="ref-dubroff2018">
        <w:r>
          <w:rPr>
            <w:rStyle w:val="Hyperlink"/>
            <w:vertAlign w:val="superscript"/>
          </w:rPr>
          <w:t xml:space="preserve">334</w:t>
        </w:r>
      </w:hyperlink>
      <w:r>
        <w:t xml:space="preserve"> </w:t>
      </w:r>
      <w:r>
        <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
      </w:r>
      <w:hyperlink w:anchor="ref-lawlor2016">
        <w:r>
          <w:rPr>
            <w:rStyle w:val="Hyperlink"/>
            <w:vertAlign w:val="superscript"/>
          </w:rPr>
          <w:t xml:space="preserve">107</w:t>
        </w:r>
      </w:hyperlink>
      <w:r>
        <w:rPr>
          <w:vertAlign w:val="superscript"/>
        </w:rPr>
        <w:t xml:space="preserve">,</w:t>
      </w:r>
      <w:hyperlink w:anchor="ref-ference2014">
        <w:r>
          <w:rPr>
            <w:rStyle w:val="Hyperlink"/>
            <w:vertAlign w:val="superscript"/>
          </w:rPr>
          <w:t xml:space="preserve">335</w:t>
        </w:r>
      </w:hyperlink>
      <w:r>
        <w:t xml:space="preserve"> </w:t>
      </w:r>
      <w:r>
        <w:t xml:space="preserve">To overcome this limitation, some attempts have considered the output of a meta-analysis of similarly-designed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that is the differences between the question of interest and the question addressed by a study.</w:t>
      </w:r>
    </w:p>
    <w:p>
      <w:pPr>
        <w:pStyle w:val="BodyText"/>
      </w:pPr>
      <w:r>
        <w:t xml:space="preserve">Taken together, these limitations to qualitative triangulation detail a need for a more systematic way to integrate across multiple evidence sources as the number of individual results contributing to the exercise increases. One such approach is</w:t>
      </w:r>
      <w:r>
        <w:t xml:space="preserve"> </w:t>
      </w:r>
      <w:r>
        <w:rPr>
          <w:iCs/>
          <w:i/>
        </w:rPr>
        <w:t xml:space="preserve">quantitative triangulation</w:t>
      </w:r>
      <w:r>
        <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
      </w:r>
    </w:p>
    <w:p>
      <w:pPr>
        <w:pStyle w:val="BodyText"/>
      </w:pPr>
      <w:r>
        <w:t xml:space="preserve"> </w:t>
      </w:r>
    </w:p>
    <w:bookmarkEnd w:id="269"/>
    <w:bookmarkStart w:id="270" w:name="tri-data-sources"/>
    <w:p>
      <w:pPr>
        <w:pStyle w:val="Heading2"/>
      </w:pPr>
      <w:r>
        <w:t xml:space="preserve">Data sources</w:t>
      </w:r>
    </w:p>
    <w:p>
      <w:pPr>
        <w:pStyle w:val="FirstParagraph"/>
      </w:pPr>
      <w:r>
        <w:t xml:space="preserve">The triangulation exercises presented in this chapter draw on the research produced in each of the preceding chapters. More specifically, this chapter builds on the comprehensive systematic review of existing evidence presented in Chapters</w:t>
      </w:r>
      <w:r>
        <w:t xml:space="preserve"> </w:t>
      </w:r>
      <w:r>
        <w:t xml:space="preserve">3</w:t>
      </w:r>
      <w:r>
        <w:t xml:space="preserve"> </w:t>
      </w:r>
      <w:r>
        <w:t xml:space="preserve">&amp;</w:t>
      </w:r>
      <w:r>
        <w:t xml:space="preserve"> </w:t>
      </w:r>
      <w:r>
        <w:t xml:space="preserve">4</w:t>
      </w:r>
      <w:r>
        <w:t xml:space="preserve">. This evidence base is then supplemented by new evidence on the association of statin use with dementia outcomes in the CPRD (Chapter</w:t>
      </w:r>
      <w:r>
        <w:t xml:space="preserve"> </w:t>
      </w:r>
      <w:r>
        <w:t xml:space="preserve">5</w:t>
      </w:r>
      <w:r>
        <w:t xml:space="preserve">) and the association of lipids with dementia outcomes in previously unanalysed datasets accessed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question each data source has attempted to address, the exposures and outcomes considered in each case,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previously unanalysed prospective cohort studies?</w:t>
      </w:r>
      <w:r>
        <w:t xml:space="preserve"> </w:t>
      </w:r>
    </w:p>
    <w:p>
      <w:pPr>
        <w:pStyle w:val="BodyText"/>
      </w:pPr>
      <w:r>
        <w:t xml:space="preserve">Lipids (HDL-c, LDL-c, TC, TG)</w:t>
      </w:r>
    </w:p>
    <w:p>
      <w:pPr>
        <w:pStyle w:val="BodyText"/>
      </w:pPr>
      <w:r>
        <w:t xml:space="preserve">All-cause dementia</w:t>
      </w:r>
      <w:r>
        <w:t xml:space="preserve"> </w:t>
      </w:r>
      <w:r>
        <w:t xml:space="preserve">VaD</w:t>
      </w:r>
    </w:p>
    <w:p>
      <w:pPr>
        <w:pStyle w:val="BodyText"/>
      </w:pPr>
      <w:r>
        <w:t xml:space="preserve">Provides additional evidence from unanalysed datasets</w:t>
      </w:r>
      <w:r>
        <w:t xml:space="preserve"> </w:t>
      </w:r>
      <w:r>
        <w:t xml:space="preserve">Provides additional observational data on vascular dementia (under-represented in the literature)</w:t>
      </w:r>
    </w:p>
    <w:p>
      <w:pPr>
        <w:pStyle w:val="BodyText"/>
      </w:pPr>
      <w:r>
        <w:t xml:space="preserve">Additionally, both the qualitative and quantitative triangulation exercises used the the detailed risk-of-bias assessments performed and presented as part of the systematic review (Chapters</w:t>
      </w:r>
      <w:r>
        <w:t xml:space="preserve"> </w:t>
      </w:r>
      <w:r>
        <w:t xml:space="preserve">3</w:t>
      </w:r>
      <w:r>
        <w:t xml:space="preserve"> </w:t>
      </w:r>
      <w:r>
        <w:t xml:space="preserve">&amp;</w:t>
      </w:r>
      <w:r>
        <w:t xml:space="preserve"> </w:t>
      </w:r>
      <w:r>
        <w:t xml:space="preserve">4</w:t>
      </w:r>
      <w:r>
        <w:t xml:space="preserve">). Similarly, risk-of-bias assessments were performed for each new source of evidence presented in this thesis. The risk of bias tools used to assess each result are described in detail in Section</w:t>
      </w:r>
      <w:r>
        <w:t xml:space="preserve"> </w:t>
      </w:r>
      <w:r>
        <w:t xml:space="preserve">3.2.8</w:t>
      </w:r>
      <w:r>
        <w:t xml:space="preserve">, but in summary, RCTs were assessed using the RoB 2 tool;</w:t>
      </w:r>
      <w:hyperlink w:anchor="ref-sterne2019">
        <w:r>
          <w:rPr>
            <w:rStyle w:val="Hyperlink"/>
            <w:vertAlign w:val="superscript"/>
          </w:rPr>
          <w:t xml:space="preserve">158</w:t>
        </w:r>
      </w:hyperlink>
      <w:r>
        <w:t xml:space="preserve"> </w:t>
      </w:r>
      <w:r>
        <w:t xml:space="preserve">NRSI using the ROBINS-I tool;</w:t>
      </w:r>
      <w:hyperlink w:anchor="ref-sterne2016">
        <w:r>
          <w:rPr>
            <w:rStyle w:val="Hyperlink"/>
            <w:vertAlign w:val="superscript"/>
          </w:rPr>
          <w:t xml:space="preserve">155</w:t>
        </w:r>
      </w:hyperlink>
      <w:r>
        <w:t xml:space="preserve"> </w:t>
      </w:r>
      <w:r>
        <w:t xml:space="preserve">NRSE using an early adapted version of the ROBINS-E tool (see Section</w:t>
      </w:r>
      <w:r>
        <w:t xml:space="preserve"> </w:t>
      </w:r>
      <w:r>
        <w:t xml:space="preserve">3.2.8.2</w:t>
      </w:r>
      <w:r>
        <w:t xml:space="preserve">);</w:t>
      </w:r>
      <w:hyperlink w:anchor="ref-morganr2020">
        <w:r>
          <w:rPr>
            <w:rStyle w:val="Hyperlink"/>
            <w:vertAlign w:val="superscript"/>
          </w:rPr>
          <w:t xml:space="preserve">159</w:t>
        </w:r>
      </w:hyperlink>
      <w:r>
        <w:rPr>
          <w:vertAlign w:val="superscript"/>
        </w:rPr>
        <w:t xml:space="preserve">,</w:t>
      </w:r>
      <w:hyperlink w:anchor="ref-french2019">
        <w:r>
          <w:rPr>
            <w:rStyle w:val="Hyperlink"/>
            <w:vertAlign w:val="superscript"/>
          </w:rPr>
          <w:t xml:space="preserve">160</w:t>
        </w:r>
      </w:hyperlink>
      <w:r>
        <w:t xml:space="preserve"> </w:t>
      </w:r>
      <w:r>
        <w:t xml:space="preserve">and MR studies using the Mamluk et al. tool.</w:t>
      </w:r>
      <w:hyperlink w:anchor="ref-mamluk2020">
        <w:r>
          <w:rPr>
            <w:rStyle w:val="Hyperlink"/>
            <w:vertAlign w:val="superscript"/>
          </w:rPr>
          <w:t xml:space="preserve">162</w:t>
        </w:r>
      </w:hyperlink>
    </w:p>
    <w:p>
      <w:pPr>
        <w:pStyle w:val="BodyText"/>
      </w:pPr>
      <w:r>
        <w:t xml:space="preserve"> </w:t>
      </w:r>
    </w:p>
    <w:bookmarkEnd w:id="270"/>
    <w:bookmarkStart w:id="274" w:name="qual-tri"/>
    <w:p>
      <w:pPr>
        <w:pStyle w:val="Heading2"/>
      </w:pPr>
      <w:r>
        <w:t xml:space="preserve">Qualitative (narrative) triangulation</w:t>
      </w:r>
    </w:p>
    <w:p>
      <w:pPr>
        <w:pStyle w:val="FirstParagraph"/>
      </w:pPr>
      <w:r>
        <w:t xml:space="preserve">As part of a qualitative triangulation of the new and existing evidence identified by this thesis, all information sources were initially grouped by outcome, and the findings from each source were narratively compared and contrasted. Potential reasons for heterogeneity between study designs were examined with specific reference to the risk-of-bias in each.</w:t>
      </w:r>
    </w:p>
    <w:p>
      <w:pPr>
        <w:pStyle w:val="BodyText"/>
      </w:pPr>
      <w:r>
        <w:t xml:space="preserve"> </w:t>
      </w:r>
    </w:p>
    <w:bookmarkStart w:id="271" w:name="all-cause-dementia-1"/>
    <w:p>
      <w:pPr>
        <w:pStyle w:val="Heading4"/>
      </w:pPr>
      <w:r>
        <w:t xml:space="preserve">All-cause dementia</w:t>
      </w:r>
    </w:p>
    <w:p>
      <w:pPr>
        <w:pStyle w:val="FirstParagraph"/>
      </w:pPr>
      <w:r>
        <w:t xml:space="preserve">Analysis of lipid levels across both the systematic review (Chapter</w:t>
      </w:r>
      <w:r>
        <w:t xml:space="preserve"> </w:t>
      </w:r>
      <w:r>
        <w:t xml:space="preserve">??</w:t>
      </w:r>
      <w:r>
        <w:t xml:space="preserve">) and the IPD analysis (Chapter</w:t>
      </w:r>
      <w:r>
        <w:t xml:space="preserve"> </w:t>
      </w:r>
      <w:r>
        <w:t xml:space="preserve">??</w:t>
      </w:r>
      <w:r>
        <w:t xml:space="preserve">) both found extremely weak evidence for an association of any lipid fraction with all-cause dementia (TC HR: 0.97, 95%CI: 0.88-1.07; LDL-c HR: 0.97, 95%CI: 0.86-1.08; HDL-c HR: 1.05, 95%CI: 0.96-1.14; triglycerides HR: 0.90, 95%CI: 0.74-1.09). Similarly, meta-analysis of studies identified by the review which examined a binary hypercholesterolemia provided weak evidence for an association of this risk factor with Alzheimer’s disease (HR: 1.11, 95%CI: 0.98-1.25). Finally, a meta-analysis of RCTs of statin use (OR: 1.07, 95%CI: 0.70-1.66) and of MR analyses of genetic instruments that mimic statin use (RR: 0.90, 95%CI: 0.29-2.81) both found weak evidence of an association, providing indirect evidence on the effect of lipid lowering on this outcome.</w:t>
      </w:r>
    </w:p>
    <w:p>
      <w:pPr>
        <w:pStyle w:val="BodyText"/>
      </w:pPr>
      <w:r>
        <w:t xml:space="preserve">In contrast, the meta-analysis of NRSI of statin use found a slight protective effect (HR: 0.77, 95%CI: 0.69-0.87), though many of the studies in this analysis were found to be at risk of immortal time bias, which would be expected to favour the intervention. Finally, analysis of the association of statin use with all-cause dementia in the CPRD (Chapter</w:t>
      </w:r>
      <w:r>
        <w:t xml:space="preserve"> </w:t>
      </w:r>
      <w:r>
        <w:t xml:space="preserve">5</w:t>
      </w:r>
      <w:r>
        <w:t xml:space="preserve">) found evidence of a harmful association (HR:1.16, 95%CI:1.14-1.19), though this is likely to be driven by the substantial confounding by indication identified in the vascular dementia subgroup.</w:t>
      </w:r>
    </w:p>
    <w:p>
      <w:pPr>
        <w:pStyle w:val="BodyText"/>
      </w:pPr>
      <w:r>
        <w:t xml:space="preserve">For fibrates, an alternative lipid-regulating agent, there was some evidence of an increased risk of all-cause dementia in the CPRD (HR:1.28, 95%CI:1.08-1.52), though this did not replicate in the meta-analysis of previous studies examining the association of fibrates and all-cause dementia (HR: 0.89, 95%CI: 0.75-1.07).</w:t>
      </w:r>
    </w:p>
    <w:p>
      <w:pPr>
        <w:pStyle w:val="BodyText"/>
      </w:pPr>
      <w:r>
        <w:t xml:space="preserve"> </w:t>
      </w:r>
    </w:p>
    <w:bookmarkEnd w:id="271"/>
    <w:bookmarkStart w:id="272" w:name="alzheimers-disease-1"/>
    <w:p>
      <w:pPr>
        <w:pStyle w:val="Heading4"/>
      </w:pPr>
      <w:r>
        <w:t xml:space="preserve">Alzheimer’s disease</w:t>
      </w:r>
    </w:p>
    <w:p>
      <w:pPr>
        <w:pStyle w:val="FirstParagraph"/>
      </w:pPr>
      <w:r>
        <w:t xml:space="preserve">Meta-analysis of lipid levels in the systematic review found extremely weak evidence for an association of any lipid fraction with Alzheimer’s disease (TC HR: 1.00, 95%CI: 0.94-1.06; LDL-c HR: 1.06, 95%CI: 0.98-1.16; HDL-c HR: 0.99, 95%CI: 0.91-1.07; triglycerides HR: 1.00, 95%CI: 0.84-1.18). Similarly, meta-analysis of studies examining a binary hypercholesterolemia provided weak evidence for an association of this risk factor with Alzheimer’s disease (HR: 0.99, 95%CI: 0.78-1.25). A meta-analysis of MR analyses of genetic instruments that mimic statin use found weak evidence for an association of lipid lowering with Alzheimer’s disease (RR: 0.76, 95%CI: 0.51-1.14).</w:t>
      </w:r>
    </w:p>
    <w:p>
      <w:pPr>
        <w:pStyle w:val="BodyText"/>
      </w:pPr>
      <w:r>
        <w:t xml:space="preserve">In contrast, the meta-analysis of NRSI of statin use found a slight protective effect on this outcome (HR: 0.83, 95%CI: 0.69-0.99), though similar to the all-cause dementia outcome, many of the studies in this analysis were found to be at risk of immortal time bias. However, the CPRD analysis, which attempted to account for this potential bias through the use of time-varying treatment indicator, found weak evidence for an effect (HR:0.98, 95%CI:0.94-1.01). This validity of this finding was limited by the potential for differential misclassification on the basis of the exposure in the CPRD analysis.</w:t>
      </w:r>
    </w:p>
    <w:p>
      <w:pPr>
        <w:pStyle w:val="BodyText"/>
      </w:pPr>
      <w:r>
        <w:t xml:space="preserve">Finally, the IPD analysis provided no additional information on the Alzheimer’s disease outcome, as a previously published analysis examined the association of lipid levels with this outcome in the Whitehall II cohort. The published analysis was included in the meta-analysis of NRSE, the results of which are presented above.</w:t>
      </w:r>
    </w:p>
    <w:p>
      <w:pPr>
        <w:pStyle w:val="BodyText"/>
      </w:pPr>
      <w:r>
        <w:t xml:space="preserve"> </w:t>
      </w:r>
    </w:p>
    <w:bookmarkEnd w:id="272"/>
    <w:bookmarkStart w:id="273" w:name="vascular-dementia"/>
    <w:p>
      <w:pPr>
        <w:pStyle w:val="Heading4"/>
      </w:pPr>
      <w:r>
        <w:t xml:space="preserve">Vascular dementia</w:t>
      </w:r>
    </w:p>
    <w:p>
      <w:pPr>
        <w:pStyle w:val="FirstParagraph"/>
      </w:pPr>
      <w:r>
        <w:t xml:space="preserve">There was a general absence of existing evidence on vascular dementia outcomes. Meta-analysis of published results was only possible for the total cholesterol lipid fraction (HR: 1.05, 95%CI: 0.79-1.41). A meta-analysis of studies examining hypercholesterolemia also found weak evidence for an association with vascular dementia (HR: 1.20, 95%CI: 1.00-1.44). Similarly, a meta-analysis of statin use found weak evidence for an effect on this outcome (HR: 0.99, 95%CI: 0.79-1.25). The CPRD analysis found evidence for a harmful association of statin use (HR:1.81, 95%CI:1.73-1.9), though this finding is likely to be the result of severe confounding by indication related to vascular factors, as identified through the use of control outcomes.</w:t>
      </w:r>
    </w:p>
    <w:p>
      <w:pPr>
        <w:pStyle w:val="BodyText"/>
      </w:pPr>
      <w:r>
        <w:t xml:space="preserve">The IPD analysis provided supporting evidence for the absence of an effect of any fraction on vascular dementia, with the sole exception of triglycerides. Raised triglycerides were associated with an increased incidence of vascular dementia across two previously unanalysed cohorts (OR: 1.41, 95%CI: 1.24-1.60), though there is the potential for uncontrolled confounding due to the limited information on covariates available. With respect to evidence on treatments for hypertriglyceridemia, examination of fibrates in the CPRD provided weak evidence of an association with vascular dementia (HR:1.29, 95%CI:0.83-2.02).</w:t>
      </w:r>
    </w:p>
    <w:p>
      <w:pPr>
        <w:pStyle w:val="BodyText"/>
      </w:pPr>
      <w:r>
        <w:t xml:space="preserve"> </w:t>
      </w:r>
    </w:p>
    <w:bookmarkEnd w:id="273"/>
    <w:bookmarkEnd w:id="274"/>
    <w:bookmarkStart w:id="294" w:name="quantitative-triangulation"/>
    <w:p>
      <w:pPr>
        <w:pStyle w:val="Heading2"/>
      </w:pPr>
      <w:r>
        <w:t xml:space="preserve">Quantitative triangulation</w:t>
      </w:r>
    </w:p>
    <w:p>
      <w:pPr>
        <w:pStyle w:val="FirstParagraph"/>
      </w:pPr>
      <w:r>
        <w:t xml:space="preserve">The qualitative comparison presented above identified no consistent effect of any lipid fraction on any dementia outcome across the evidence sources presented in this thesis. However, it is clear that this qualitative approach faces difficulties in interpretation when the number of individual results available is large, as discussed in the introduction to this chapter. This is true even when using summary estimates from meta-analyses of primary studies, which sacrifice valuable information on the biases inherent to each individual result.</w:t>
      </w:r>
    </w:p>
    <w:p>
      <w:pPr>
        <w:pStyle w:val="BodyText"/>
      </w:pPr>
      <w:r>
        <w:t xml:space="preserve">In the following section, I propose and apply a novel quantitative triangulation framework to address these limitations. This approach incorporates recent advancements in the way that bias in results is assessed (namely the move to domain-based assessment tools)</w:t>
      </w:r>
      <w:hyperlink w:anchor="ref-sterne2019">
        <w:r>
          <w:rPr>
            <w:rStyle w:val="Hyperlink"/>
            <w:vertAlign w:val="superscript"/>
          </w:rPr>
          <w:t xml:space="preserve">158</w:t>
        </w:r>
      </w:hyperlink>
      <w:r>
        <w:t xml:space="preserve"> </w:t>
      </w:r>
      <w:r>
        <w:t xml:space="preserve">and existing methods for bias-/indirectness-adjusted meta-analysis</w:t>
      </w:r>
      <w:hyperlink w:anchor="ref-turner2009">
        <w:r>
          <w:rPr>
            <w:rStyle w:val="Hyperlink"/>
            <w:vertAlign w:val="superscript"/>
          </w:rPr>
          <w:t xml:space="preserve">336</w:t>
        </w:r>
      </w:hyperlink>
      <w:r>
        <w:t xml:space="preserve"> </w:t>
      </w:r>
      <w:r>
        <w:t xml:space="preserve">to integrate the numerical results of the multiple approaches. The absence of any clear signals across the evidence base, as detailed in the previous section, does not make for particularly interesting case studies but I will nonetheless use the identified evidence to illustrate the novel methodological approach.</w:t>
      </w:r>
    </w:p>
    <w:p>
      <w:pPr>
        <w:pStyle w:val="BodyText"/>
      </w:pPr>
      <w:r>
        <w:t xml:space="preserve"> </w:t>
      </w:r>
    </w:p>
    <w:bookmarkStart w:id="284" w:name="methods-3"/>
    <w:p>
      <w:pPr>
        <w:pStyle w:val="Heading3"/>
      </w:pPr>
      <w:r>
        <w:t xml:space="preserve">Methods</w:t>
      </w:r>
    </w:p>
    <w:p>
      <w:pPr>
        <w:pStyle w:val="FirstParagraph"/>
      </w:pPr>
      <w:r>
        <w:t xml:space="preserve">The proposed framework involves several steps, described in detail in the following sections. In summary, these steps are:</w:t>
      </w:r>
    </w:p>
    <w:p>
      <w:pPr>
        <w:numPr>
          <w:ilvl w:val="0"/>
          <w:numId w:val="1021"/>
        </w:numPr>
        <w:pStyle w:val="Compact"/>
      </w:pPr>
      <w:r>
        <w:t xml:space="preserve">Define the causal question of interest</w:t>
      </w:r>
    </w:p>
    <w:p>
      <w:pPr>
        <w:numPr>
          <w:ilvl w:val="0"/>
          <w:numId w:val="1021"/>
        </w:numPr>
        <w:pStyle w:val="Compact"/>
      </w:pPr>
      <w:r>
        <w:t xml:space="preserve">Identify of relevant evidence sources and standardise effect directions</w:t>
      </w:r>
    </w:p>
    <w:p>
      <w:pPr>
        <w:numPr>
          <w:ilvl w:val="0"/>
          <w:numId w:val="1021"/>
        </w:numPr>
        <w:pStyle w:val="Compact"/>
      </w:pPr>
      <w:r>
        <w:t xml:space="preserve">Specify idealised version of each study</w:t>
      </w:r>
    </w:p>
    <w:p>
      <w:pPr>
        <w:numPr>
          <w:ilvl w:val="0"/>
          <w:numId w:val="1021"/>
        </w:numPr>
        <w:pStyle w:val="Compact"/>
      </w:pPr>
      <w:r>
        <w:t xml:space="preserve">Assess the extent and direction of bias/indirectness in each result</w:t>
      </w:r>
    </w:p>
    <w:p>
      <w:pPr>
        <w:numPr>
          <w:ilvl w:val="0"/>
          <w:numId w:val="1021"/>
        </w:numPr>
        <w:pStyle w:val="Compact"/>
      </w:pPr>
      <w:r>
        <w:t xml:space="preserve">Define modifying terms for bias and indirectness in each result</w:t>
      </w:r>
    </w:p>
    <w:p>
      <w:pPr>
        <w:numPr>
          <w:ilvl w:val="0"/>
          <w:numId w:val="1021"/>
        </w:numPr>
        <w:pStyle w:val="Compact"/>
      </w:pPr>
      <w:r>
        <w:t xml:space="preserve">Calculate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is described in detail for a single result. Following this, the framework is applied to two case studies, as defined below.</w:t>
      </w:r>
    </w:p>
    <w:p>
      <w:pPr>
        <w:pStyle w:val="BodyText"/>
      </w:pPr>
      <w:r>
        <w:t xml:space="preserve"> </w:t>
      </w:r>
    </w:p>
    <w:bookmarkStart w:id="275" w:name="Xbf1cd1ab4deda7fa53d92992e4b9113c65dbf8e"/>
    <w:p>
      <w:pPr>
        <w:pStyle w:val="Heading4"/>
      </w:pPr>
      <w:r>
        <w:t xml:space="preserve">Definition of the causal questions of interest (case-studies)</w:t>
      </w:r>
    </w:p>
    <w:p>
      <w:pPr>
        <w:pStyle w:val="FirstParagraph"/>
      </w:pPr>
      <w:r>
        <w:t xml:space="preserve">Using the ROBINS-E framework,</w:t>
      </w:r>
      <w:hyperlink w:anchor="ref-morganr2020">
        <w:r>
          <w:rPr>
            <w:rStyle w:val="Hyperlink"/>
            <w:vertAlign w:val="superscript"/>
          </w:rPr>
          <w:t xml:space="preserve">159</w:t>
        </w:r>
      </w:hyperlink>
      <w:r>
        <w:t xml:space="preserve"> </w:t>
      </w:r>
      <w:r>
        <w:t xml:space="preserve">I defined the parameters of my causal questions of interest:</w:t>
      </w:r>
    </w:p>
    <w:p>
      <w:pPr>
        <w:pStyle w:val="BodyText"/>
      </w:pPr>
      <w:r>
        <w:rPr>
          <w:iCs/>
          <w:i/>
        </w:rPr>
        <w:t xml:space="preserve">Case study #1: Effect of mid-life LDL-c on Alzheimer’s disease</w:t>
      </w:r>
    </w:p>
    <w:p>
      <w:pPr>
        <w:numPr>
          <w:ilvl w:val="0"/>
          <w:numId w:val="1022"/>
        </w:numPr>
        <w:pStyle w:val="Compact"/>
      </w:pPr>
      <w:r>
        <w:rPr>
          <w:iCs/>
          <w:i/>
        </w:rPr>
        <w:t xml:space="preserve">Population of interest</w:t>
      </w:r>
      <w:r>
        <w:t xml:space="preserve">: General population</w:t>
      </w:r>
    </w:p>
    <w:p>
      <w:pPr>
        <w:numPr>
          <w:ilvl w:val="0"/>
          <w:numId w:val="1022"/>
        </w:numPr>
        <w:pStyle w:val="Compact"/>
      </w:pPr>
      <w:r>
        <w:rPr>
          <w:iCs/>
          <w:i/>
        </w:rPr>
        <w:t xml:space="preserve">Exposure of interest</w:t>
      </w:r>
      <w:r>
        <w:t xml:space="preserve">: Low density lipoprotein cholesterol</w:t>
      </w:r>
    </w:p>
    <w:p>
      <w:pPr>
        <w:numPr>
          <w:ilvl w:val="0"/>
          <w:numId w:val="1022"/>
        </w:numPr>
        <w:pStyle w:val="Compact"/>
      </w:pPr>
      <w:r>
        <w:rPr>
          <w:iCs/>
          <w:i/>
        </w:rPr>
        <w:t xml:space="preserve">Exposure window of interest</w:t>
      </w:r>
      <w:r>
        <w:t xml:space="preserve">: Mid-life (45-60)</w:t>
      </w:r>
    </w:p>
    <w:p>
      <w:pPr>
        <w:numPr>
          <w:ilvl w:val="0"/>
          <w:numId w:val="1022"/>
        </w:numPr>
        <w:pStyle w:val="Compact"/>
      </w:pPr>
      <w:r>
        <w:rPr>
          <w:iCs/>
          <w:i/>
        </w:rPr>
        <w:t xml:space="preserve">Summary measure of exposure over time</w:t>
      </w:r>
      <w:r>
        <w:t xml:space="preserve">: Average exposure</w:t>
      </w:r>
    </w:p>
    <w:p>
      <w:pPr>
        <w:numPr>
          <w:ilvl w:val="0"/>
          <w:numId w:val="1022"/>
        </w:numPr>
        <w:pStyle w:val="Compact"/>
      </w:pPr>
      <w:r>
        <w:rPr>
          <w:iCs/>
          <w:i/>
        </w:rPr>
        <w:t xml:space="preserve">Outcome of interest:</w:t>
      </w:r>
      <w:r>
        <w:t xml:space="preserve"> </w:t>
      </w:r>
      <w:r>
        <w:t xml:space="preserve">Alzheimer’s disease</w:t>
      </w:r>
    </w:p>
    <w:p>
      <w:pPr>
        <w:pStyle w:val="FirstParagraph"/>
      </w:pPr>
      <w:r>
        <w:rPr>
          <w:iCs/>
          <w:i/>
        </w:rPr>
        <w:t xml:space="preserve">Case study #2: Effect of mid-life triglycerides on vascular dementia</w:t>
      </w:r>
    </w:p>
    <w:p>
      <w:pPr>
        <w:numPr>
          <w:ilvl w:val="0"/>
          <w:numId w:val="1023"/>
        </w:numPr>
        <w:pStyle w:val="Compact"/>
      </w:pPr>
      <w:r>
        <w:rPr>
          <w:iCs/>
          <w:i/>
        </w:rPr>
        <w:t xml:space="preserve">Population of interest</w:t>
      </w:r>
      <w:r>
        <w:t xml:space="preserve">: General population</w:t>
      </w:r>
    </w:p>
    <w:p>
      <w:pPr>
        <w:numPr>
          <w:ilvl w:val="0"/>
          <w:numId w:val="1023"/>
        </w:numPr>
        <w:pStyle w:val="Compact"/>
      </w:pPr>
      <w:r>
        <w:rPr>
          <w:iCs/>
          <w:i/>
        </w:rPr>
        <w:t xml:space="preserve">Exposure of interest</w:t>
      </w:r>
      <w:r>
        <w:t xml:space="preserve">: Triglycerides</w:t>
      </w:r>
    </w:p>
    <w:p>
      <w:pPr>
        <w:numPr>
          <w:ilvl w:val="0"/>
          <w:numId w:val="1023"/>
        </w:numPr>
        <w:pStyle w:val="Compact"/>
      </w:pPr>
      <w:r>
        <w:rPr>
          <w:iCs/>
          <w:i/>
        </w:rPr>
        <w:t xml:space="preserve">Exposure window of interest</w:t>
      </w:r>
      <w:r>
        <w:t xml:space="preserve">: Mid-life (45-60)</w:t>
      </w:r>
    </w:p>
    <w:p>
      <w:pPr>
        <w:numPr>
          <w:ilvl w:val="0"/>
          <w:numId w:val="1023"/>
        </w:numPr>
        <w:pStyle w:val="Compact"/>
      </w:pPr>
      <w:r>
        <w:rPr>
          <w:iCs/>
          <w:i/>
        </w:rPr>
        <w:t xml:space="preserve">Summary measure of exposure over time</w:t>
      </w:r>
      <w:r>
        <w:t xml:space="preserve">: Average exposure</w:t>
      </w:r>
    </w:p>
    <w:p>
      <w:pPr>
        <w:numPr>
          <w:ilvl w:val="0"/>
          <w:numId w:val="1023"/>
        </w:numPr>
        <w:pStyle w:val="Compact"/>
      </w:pPr>
      <w:r>
        <w:rPr>
          <w:iCs/>
          <w:i/>
        </w:rPr>
        <w:t xml:space="preserve">Outcome of interest:</w:t>
      </w:r>
      <w:r>
        <w:t xml:space="preserve"> </w:t>
      </w:r>
      <w:r>
        <w:t xml:space="preserve">Vascular dementia</w:t>
      </w:r>
    </w:p>
    <w:p>
      <w:pPr>
        <w:pStyle w:val="FirstParagraph"/>
      </w:pPr>
      <w:r>
        <w:t xml:space="preserve"> </w:t>
      </w:r>
    </w:p>
    <w:p>
      <w:pPr>
        <w:pStyle w:val="BodyText"/>
      </w:pPr>
      <w:r>
        <w:t xml:space="preserve">These causal questions were chosen for several reasons. Firstly, work presented in previous chapters had identified some evidence for an association in these exposure/outcome pairs. Secondly, given the long prodomal period between the onset of physiological changes in the brain and presentation of dementia symptoms, it seems likely that conditions during the mid-life period are particularly important. Finally, examining the causal impact of a lipid faction on a specific outcome (e.g. Alzheimer’s disease), rather than a composite outcome (e.g. all-cause dementia), focuses on an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
      </w:r>
      <w:r>
        <w:t xml:space="preserve"> </w:t>
      </w:r>
      <w:r>
        <w:t xml:space="preserve">5.4.2.1</w:t>
      </w:r>
      <w:r>
        <w:t xml:space="preserve">), and use of an composite all-cause outcome in the triangulation framework may mask this.</w:t>
      </w:r>
    </w:p>
    <w:p>
      <w:pPr>
        <w:pStyle w:val="BodyText"/>
      </w:pPr>
      <w:r>
        <w:t xml:space="preserve"> </w:t>
      </w:r>
    </w:p>
    <w:bookmarkEnd w:id="275"/>
    <w:bookmarkStart w:id="276" w:name="identify-relevant-results"/>
    <w:p>
      <w:pPr>
        <w:pStyle w:val="Heading4"/>
      </w:pPr>
      <w:r>
        <w:t xml:space="preserve">Identify relevant results</w:t>
      </w:r>
    </w:p>
    <w:p>
      <w:pPr>
        <w:pStyle w:val="FirstParagraph"/>
      </w:pPr>
      <w:r>
        <w:t xml:space="preserve">Once the causal question of interest had been defined, relevant individual results were obtained from the data sources described in Section</w:t>
      </w:r>
      <w:r>
        <w:t xml:space="preserve"> </w:t>
      </w:r>
      <w:r>
        <w:t xml:space="preserve">7.2</w:t>
      </w:r>
      <w:r>
        <w:t xml:space="preserve">. In a broad sense, this meant extracting results that examined the relationship between the exposure/outcome pair, either directly (e.g. non-randomised studies of LDL-c levels) or indirectly (e.g. non-randomised studies of statins, or Mendelian randomisation studies using genetic instruments for LDL-c levels).</w:t>
      </w:r>
    </w:p>
    <w:p>
      <w:pPr>
        <w:pStyle w:val="BodyText"/>
      </w:pPr>
      <w:r>
        <w:t xml:space="preserve">Once the set of relevant results were identified, effects were standardised to refer to the risk resulting from a</w:t>
      </w:r>
      <w:r>
        <w:t xml:space="preserve"> </w:t>
      </w:r>
      <w:r>
        <w:t xml:space="preserve">“</w:t>
      </w:r>
      <w:r>
        <w:t xml:space="preserve">reduction</w:t>
      </w:r>
      <w:r>
        <w:t xml:space="preserve">”</w:t>
      </w:r>
      <w:r>
        <w:t xml:space="preserve"> </w:t>
      </w:r>
      <w:r>
        <w:t xml:space="preserve">in the lipid fraction. For both non-randomised studies and Mendelian randomisation analysis of lipid levels, the association is usually reported per 1-SD increase in the lipid fraction. In this case, the effect estimates were inverted to ensure consistency across study designs.</w:t>
      </w:r>
    </w:p>
    <w:p>
      <w:pPr>
        <w:pStyle w:val="BodyText"/>
      </w:pPr>
      <w:r>
        <w:t xml:space="preserve"> </w:t>
      </w:r>
    </w:p>
    <w:bookmarkEnd w:id="276"/>
    <w:bookmarkStart w:id="277" w:name="specify-idealised-version-of-each-study"/>
    <w:p>
      <w:pPr>
        <w:pStyle w:val="Heading4"/>
      </w:pPr>
      <w:r>
        <w:t xml:space="preserve">Specify idealised version of each study</w:t>
      </w:r>
    </w:p>
    <w:p>
      <w:pPr>
        <w:pStyle w:val="FirstParagraph"/>
      </w:pPr>
      <w:r>
        <w:t xml:space="preserve">Once the set of relevant results have been identified, an idealised study for each is described</w:t>
      </w:r>
      <w:r>
        <w:t xml:space="preserve"> </w:t>
      </w:r>
      <w:r>
        <w:t xml:space="preserve">An idealised study can be viewed as a replicate of the study producing the result of interest but with all sources of bias removed. The risk of bias is then assessed against this idealised study, while the causal question addressed by each idealised study is compared with the target causal question to define the indirectness of each result.</w:t>
      </w:r>
    </w:p>
    <w:p>
      <w:pPr>
        <w:pStyle w:val="BodyText"/>
      </w:pPr>
      <w:r>
        <w:t xml:space="preserve">Note that all of the risk-of-bias tools used to assess non-randomised studies required specification of an idealised version of the study, against which bias was assessed. If using a risk-of-bias assessment tool that does not require this step, the idealised version of the study should be defined in advance of risk-of-bias assessment.</w:t>
      </w:r>
    </w:p>
    <w:p>
      <w:pPr>
        <w:pStyle w:val="BodyText"/>
      </w:pPr>
      <w:r>
        <w:t xml:space="preserve"> </w:t>
      </w:r>
    </w:p>
    <w:bookmarkEnd w:id="277"/>
    <w:bookmarkStart w:id="279" w:name="X9a324d01978004b306d2eef148ccb0b15bb4bcc"/>
    <w:p>
      <w:pPr>
        <w:pStyle w:val="Heading4"/>
      </w:pPr>
      <w:r>
        <w:t xml:space="preserve">Assess risk and direction of bias in each result</w:t>
      </w:r>
    </w:p>
    <w:p>
      <w:pPr>
        <w:pStyle w:val="FirstParagraph"/>
      </w:pPr>
      <w:r>
        <w:t xml:space="preserve">The assessment of bias in each result is discussed in Section</w:t>
      </w:r>
      <w:r>
        <w:t xml:space="preserve"> </w:t>
      </w:r>
      <w:r>
        <w:t xml:space="preserve">7.2</w:t>
      </w:r>
      <w:r>
        <w:t xml:space="preserve"> </w:t>
      </w:r>
      <w:r>
        <w:t xml:space="preserve">above.For the sake of consistency and ease of computing, I mapped the different acceptable risk-of-bias judgements in each tool to a harmonised set:</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and</w:t>
      </w:r>
      <w:r>
        <w:t xml:space="preserve"> </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155</w:t>
        </w:r>
      </w:hyperlink>
    </w:p>
    <w:p>
      <w:pPr>
        <w:pStyle w:val="BodyText"/>
      </w:pPr>
      <w:r>
        <w:t xml:space="preserve"> </w:t>
      </w:r>
    </w:p>
    <w:p>
      <w:pPr>
        <w:pStyle w:val="TableCaption"/>
      </w:pPr>
      <w:r>
        <w:t xml:space="preserve">Table 20:</w:t>
      </w:r>
      <w:r>
        <w:t xml:space="preserve"> </w:t>
      </w:r>
      <w:bookmarkStart w:id="dae1382b-1b95-462c-b5fc-9fbda561c660" w:name="tab:robLevelsMapping-table"/>
      <w:r>
        <w:t xml:space="preserve">Mapping of the different acceptable levels of bias across the assessment tools to a harmonised set. Note that no mapping for "Critical" risk of bias was performed, as best practice reccommends that studies at critical risk of bias are excluded from quantitative syntheses.</w:t>
      </w:r>
      <w:bookmarkEnd w:id="dae1382b-1b95-462c-b5fc-9fbda561c66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as defined by the three levels detailed above, I attempted to record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24"/>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24"/>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24"/>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as either additive or proportional. Proportional biases are dependent on the magnitude of the effect, while additive biases are not.</w:t>
      </w:r>
      <w:hyperlink w:anchor="ref-turner2009">
        <w:r>
          <w:rPr>
            <w:rStyle w:val="Hyperlink"/>
            <w:vertAlign w:val="superscript"/>
          </w:rPr>
          <w:t xml:space="preserve">336</w:t>
        </w:r>
      </w:hyperlink>
    </w:p>
    <w:p>
      <w:pPr>
        <w:pStyle w:val="BodyText"/>
      </w:pPr>
      <w:r>
        <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
      </w:r>
      <w:r>
        <w:t xml:space="preserve"> </w:t>
      </w:r>
      <w:r>
        <w:t xml:space="preserve">43</w:t>
      </w:r>
      <w:r>
        <w:t xml:space="preserve">).</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
      </w:r>
      <w:r>
        <w:t xml:space="preserve"> </w:t>
      </w:r>
      <w:r>
        <w:t xml:space="preserve">43</w:t>
      </w:r>
      <w:r>
        <w:t xml:space="preserve">.</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 bias</w:t>
      </w:r>
      <w:r>
        <w:t xml:space="preserve"> </w:t>
      </w:r>
      <w:r>
        <w:t xml:space="preserve">“</w:t>
      </w:r>
      <w:r>
        <w:t xml:space="preserve">favouring the comparator</w:t>
      </w:r>
      <w:r>
        <w:t xml:space="preserve">”</w:t>
      </w:r>
      <w:r>
        <w:t xml:space="preserve"> </w:t>
      </w:r>
      <w:r>
        <w:t xml:space="preserve">will always pull the effect estimate to the right, and can induce a change from a protective to harmful effect. In contrast, the position of the effect estimate is accounted for when determining the absolute direction of proportional biases, defined as towards or away from the null.</w:t>
      </w:r>
    </w:p>
    <w:p>
      <w:pPr>
        <w:pStyle w:val="BodyText"/>
      </w:pPr>
      <w:r>
        <w:drawing>
          <wp:inline>
            <wp:extent cx="5943600" cy="2971800"/>
            <wp:effectExtent b="0" l="0" r="0" t="0"/>
            <wp:docPr descr="Figure 43: (ref:exampleDirection-cap)" title="" id="1" name="Picture"/>
            <a:graphic>
              <a:graphicData uri="http://schemas.openxmlformats.org/drawingml/2006/picture">
                <pic:pic>
                  <pic:nvPicPr>
                    <pic:cNvPr descr="figures/tri/exampleDirection.png" id="0" name="Picture"/>
                    <pic:cNvPicPr>
                      <a:picLocks noChangeArrowheads="1" noChangeAspect="1"/>
                    </pic:cNvPicPr>
                  </pic:nvPicPr>
                  <pic:blipFill>
                    <a:blip r:embed="rId27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The predicted direction and type of bias were not recorded for domains at</w:t>
      </w:r>
      <w:r>
        <w:t xml:space="preserve"> </w:t>
      </w:r>
      <w:r>
        <w:t xml:space="preserve">“</w:t>
      </w:r>
      <w:r>
        <w:t xml:space="preserve">Low</w:t>
      </w:r>
      <w:r>
        <w:t xml:space="preserve">”</w:t>
      </w:r>
      <w:r>
        <w:t xml:space="preserve"> </w:t>
      </w:r>
      <w:r>
        <w:t xml:space="preserve">risk of bias. Finally,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and</w:t>
      </w:r>
      <w:r>
        <w:t xml:space="preserve"> </w:t>
      </w:r>
      <w:r>
        <w:t xml:space="preserve">“</w:t>
      </w:r>
      <w:r>
        <w:t xml:space="preserve">Unpredictable</w:t>
      </w:r>
      <w:r>
        <w:t xml:space="preserve">”</w:t>
      </w:r>
      <w:r>
        <w:t xml:space="preserve"> </w:t>
      </w:r>
      <w:r>
        <w:t xml:space="preserve">options are available, meaning that bias in this domain will always be considered additive.</w:t>
      </w:r>
    </w:p>
    <w:p>
      <w:pPr>
        <w:pStyle w:val="BodyText"/>
      </w:pPr>
      <w:r>
        <w:t xml:space="preserve"> </w:t>
      </w:r>
    </w:p>
    <w:bookmarkEnd w:id="279"/>
    <w:bookmarkStart w:id="280" w:name="X1195b314c396a2a953d38d090671ff29095f74d"/>
    <w:p>
      <w:pPr>
        <w:pStyle w:val="Heading4"/>
      </w:pPr>
      <w:r>
        <w:t xml:space="preserve">Visualisation of extent and direction of bias</w:t>
      </w:r>
    </w:p>
    <w:p>
      <w:pPr>
        <w:pStyle w:val="FirstParagraph"/>
      </w:pPr>
      <w:r>
        <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
      </w:r>
      <w:r>
        <w:t xml:space="preserve"> </w:t>
      </w:r>
      <w:r>
        <w:t xml:space="preserve">??</w:t>
      </w:r>
      <w:r>
        <w:t xml:space="preserve">, these</w:t>
      </w:r>
      <w:r>
        <w:t xml:space="preserve"> </w:t>
      </w:r>
      <w:r>
        <w:t xml:space="preserve">“</w:t>
      </w:r>
      <w:r>
        <w:t xml:space="preserve">bias direction</w:t>
      </w:r>
      <w:r>
        <w:t xml:space="preserve">”</w:t>
      </w:r>
      <w:r>
        <w:t xml:space="preserve"> </w:t>
      </w:r>
      <w:r>
        <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 Illustrations of these are provided in the Section</w:t>
      </w:r>
      <w:r>
        <w:t xml:space="preserve"> </w:t>
      </w:r>
      <w:r>
        <w:t xml:space="preserve">7.4.2</w:t>
      </w:r>
      <w:r>
        <w:t xml:space="preserve">.</w:t>
      </w:r>
    </w:p>
    <w:p>
      <w:pPr>
        <w:pStyle w:val="BodyText"/>
      </w:pPr>
      <w:r>
        <w:t xml:space="preserve"> </w:t>
      </w:r>
    </w:p>
    <w:bookmarkEnd w:id="280"/>
    <w:bookmarkStart w:id="281"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10</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given a negative sign, and if it is expected to pull the effect to the right, it is given a positive sign.</w:t>
      </w:r>
    </w:p>
    <w:p>
      <w:pPr>
        <w:pStyle w:val="BodyText"/>
      </w:pPr>
      <w:r>
        <w:t xml:space="preserve">One key feature of the domain-based risk-of-bias tools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extent of bias were identical across all values of</w:t>
      </w:r>
      <w:r>
        <w:t xml:space="preserve"> </w:t>
      </w:r>
      <m:oMath>
        <m:r>
          <m:t>j</m:t>
        </m:r>
      </m:oMath>
      <w:r>
        <w:t xml:space="preserve">, that is, were identical for all domains in the risk-of-bias assessment tool. To illustrate for additive biases: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previously-reported expert bias elicitation exercise.</w:t>
      </w:r>
      <w:hyperlink w:anchor="ref-turner2009">
        <w:r>
          <w:rPr>
            <w:rStyle w:val="Hyperlink"/>
            <w:vertAlign w:val="superscript"/>
          </w:rPr>
          <w:t xml:space="preserve">336</w:t>
        </w:r>
      </w:hyperlink>
      <w:r>
        <w:t xml:space="preserve"> </w:t>
      </w:r>
      <w:r>
        <w:t xml:space="preserve">Using open data from that study, I calculated the mean values for the mean and variance of the adjustment distributions across all biases considered by that exercise (see Appendix @ref(?) for more details on how these were calculated). For the purposes of this illustrative analysis and to highlight the generalised nature of the code used to perform the analysis (see Section</w:t>
      </w:r>
      <w:r>
        <w:t xml:space="preserve"> </w:t>
      </w:r>
      <w:r>
        <w:t xml:space="preserve">7.5.5</w:t>
      </w:r>
      <w:r>
        <w:t xml:space="preserve">), I used the calculated values to inform two scenarios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w:t>
      </w:r>
      <w:r>
        <w:t xml:space="preserve"> </w:t>
      </w:r>
      <w:r>
        <w:t xml:space="preserve">“</w:t>
      </w:r>
      <w:r>
        <w:t xml:space="preserve">High</w:t>
      </w:r>
      <w:r>
        <w:t xml:space="preserve">”</w:t>
      </w:r>
      <w:r>
        <w:t xml:space="preserve"> </w:t>
      </w:r>
      <w:r>
        <w:t xml:space="preserve">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judgement distribution was defined to be greater than that of the</w:t>
      </w:r>
      <w:r>
        <w:t xml:space="preserve"> </w:t>
      </w:r>
      <w:r>
        <w:t xml:space="preserve">“</w:t>
      </w:r>
      <w:r>
        <w:t xml:space="preserve">Moderate</w:t>
      </w:r>
      <w:r>
        <w:t xml:space="preserve">”</w:t>
      </w:r>
      <w:r>
        <w:t xml:space="preserve"> </w:t>
      </w:r>
      <w:r>
        <w:t xml:space="preserve">judgement.</w:t>
      </w:r>
    </w:p>
    <w:p>
      <w:pPr>
        <w:pStyle w:val="BodyText"/>
      </w:pPr>
      <w:r>
        <w:t xml:space="preserve"> </w:t>
      </w:r>
    </w:p>
    <w:p>
      <w:pPr>
        <w:pStyle w:val="TableCaption"/>
      </w:pPr>
      <w:r>
        <w:t xml:space="preserve">Table 21:</w:t>
      </w:r>
      <w:r>
        <w:t xml:space="preserve"> </w:t>
      </w:r>
      <w:bookmarkStart w:id="f396e243-d316-4c9e-8b7a-cf84677a34d0" w:name="tab:priorsAdd-table"/>
      <w:r>
        <w:t xml:space="preserve">Prior distributions for extent and type of bias under two scenarios, on the log scale. Note that the distributions for proportional biases were kept consistent across the two scenarios.</w:t>
      </w:r>
      <w:bookmarkEnd w:id="f396e243-d316-4c9e-8b7a-cf84677a34d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N(.24,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.032)</w:t>
            </w:r>
          </w:p>
        </w:tc>
      </w:tr>
    </w:tbl>
    <w:p>
      <w:pPr>
        <w:pStyle w:val="BodyText"/>
      </w:pPr>
      <w:r>
        <w:t xml:space="preserve"> </w:t>
      </w:r>
    </w:p>
    <w:p>
      <w:pPr>
        <w:pStyle w:val="BodyText"/>
      </w:pPr>
    </w:p>
    <w:p>
      <w:pPr>
        <w:pStyle w:val="BodyText"/>
      </w:pPr>
      <w:r>
        <w:t xml:space="preserve">Where the direction of bias in a domain was unpredictable for a given result, the mean of the prior distribution for that domain was set to 0 but the appropriate variance for the recorded extent of bias was retained (e.g. for an unpredictable</w:t>
      </w:r>
      <w:r>
        <w:t xml:space="preserve"> </w:t>
      </w:r>
      <w:r>
        <w:t xml:space="preserve">“</w:t>
      </w:r>
      <w:r>
        <w:t xml:space="preserve">High</w:t>
      </w:r>
      <w:r>
        <w:t xml:space="preserve">”</w:t>
      </w:r>
      <w:r>
        <w:t xml:space="preserve"> </w:t>
      </w:r>
      <w:r>
        <w:t xml:space="preserve">additive bias, the distribution would be</w:t>
      </w:r>
      <w:r>
        <w:t xml:space="preserve"> </w:t>
      </w:r>
      <m:oMath>
        <m:r>
          <m:t>N</m:t>
        </m:r>
        <m:r>
          <m:rPr>
            <m:sty m:val="p"/>
          </m:rPr>
          <m:t>(</m:t>
        </m:r>
        <m:r>
          <m:t>0</m:t>
        </m:r>
        <m:r>
          <m:rPr>
            <m:sty m:val="p"/>
          </m:rPr>
          <m:t>,</m:t>
        </m:r>
        <m:r>
          <m:t>0.1</m:t>
        </m:r>
        <m:r>
          <m:rPr>
            <m:sty m:val="p"/>
          </m:rPr>
          <m:t>)</m:t>
        </m:r>
      </m:oMath>
      <w:r>
        <w:t xml:space="preserve"> </w:t>
      </w:r>
      <w:r>
        <w:t xml:space="preserve">under Scenario 1). In other words, adjusting for bias in a domain with an unpredictable direction of bias has no impact on the position of the effect estimate but does increase the uncertainty around it.</w:t>
      </w:r>
    </w:p>
    <w:p>
      <w:pPr>
        <w:pStyle w:val="BodyText"/>
      </w:pPr>
      <w:r>
        <w:t xml:space="preserve"> </w:t>
      </w:r>
    </w:p>
    <w:bookmarkEnd w:id="281"/>
    <w:bookmarkStart w:id="282" w:name="Xbf1550ddd0d57d8a98914b9d60eabe3c52603e3"/>
    <w:p>
      <w:pPr>
        <w:pStyle w:val="Heading4"/>
      </w:pPr>
      <w:r>
        <w:t xml:space="preserve">Assessing and assigning prior values to indirectness</w:t>
      </w:r>
    </w:p>
    <w:p>
      <w:pPr>
        <w:pStyle w:val="FirstParagraph"/>
      </w:pPr>
      <w:r>
        <w:t xml:space="preserve">The indirectness of a result (also termed external bias, external validity, relevance,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w:t>
      </w:r>
    </w:p>
    <w:p>
      <w:pPr>
        <w:pStyle w:val="BodyText"/>
      </w:pPr>
      <w:r>
        <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
      </w:r>
      <w:hyperlink w:anchor="ref-guyatt2011">
        <w:r>
          <w:rPr>
            <w:rStyle w:val="Hyperlink"/>
            <w:vertAlign w:val="superscript"/>
          </w:rPr>
          <w:t xml:space="preserve">337</w:t>
        </w:r>
      </w:hyperlink>
      <w:r>
        <w:t xml:space="preserve"> </w:t>
      </w:r>
      <w:r>
        <w:t xml:space="preserve">population, intervention/exposure, and outcome. I again used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 in each domain. All indirectness was defined</w:t>
      </w:r>
      <w:r>
        <w:t xml:space="preserve"> </w:t>
      </w:r>
      <w:r>
        <w:rPr>
          <w:iCs/>
          <w:i/>
        </w:rPr>
        <w:t xml:space="preserve">a priori</w:t>
      </w:r>
      <w:r>
        <w:t xml:space="preserve"> </w:t>
      </w:r>
      <w:r>
        <w:t xml:space="preserve">as being proportional in nature (i.e. depending on the magnitude of the effect), in line with previous work on this topic.</w:t>
      </w:r>
      <w:hyperlink w:anchor="ref-turner2009">
        <w:r>
          <w:rPr>
            <w:rStyle w:val="Hyperlink"/>
            <w:vertAlign w:val="superscript"/>
          </w:rPr>
          <w:t xml:space="preserve">336</w:t>
        </w:r>
      </w:hyperlink>
      <w:r>
        <w:rPr>
          <w:vertAlign w:val="superscript"/>
        </w:rPr>
        <w:t xml:space="preserve">,</w:t>
      </w:r>
      <w:hyperlink w:anchor="ref-thompson2011">
        <w:r>
          <w:rPr>
            <w:rStyle w:val="Hyperlink"/>
            <w:vertAlign w:val="superscript"/>
          </w:rPr>
          <w:t xml:space="preserve">338</w:t>
        </w:r>
      </w:hyperlink>
      <w:r>
        <w:t xml:space="preserve"> </w:t>
      </w:r>
      <w:r>
        <w:t xml:space="preserve">As above, data from the previous elicitation exercise were used to inform reasonable prior distributions for each level of indirectness (Table</w:t>
      </w:r>
      <w:r>
        <w:t xml:space="preserve"> </w:t>
      </w:r>
      <w:r>
        <w:t xml:space="preserve">22</w:t>
      </w:r>
      <w:r>
        <w:t xml:space="preserve">).</w:t>
      </w:r>
    </w:p>
    <w:p>
      <w:pPr>
        <w:pStyle w:val="BodyText"/>
      </w:pPr>
      <w:r>
        <w:t xml:space="preserve"> </w:t>
      </w:r>
    </w:p>
    <w:p>
      <w:pPr>
        <w:pStyle w:val="TableCaption"/>
      </w:pPr>
      <w:r>
        <w:t xml:space="preserve">Table 22:</w:t>
      </w:r>
      <w:r>
        <w:t xml:space="preserve"> </w:t>
      </w:r>
      <w:bookmarkStart w:id="73a8ec4e-bf55-4987-bc88-e952c6b572ac" w:name="tab:priorsIndirect-table"/>
      <w:r>
        <w:t xml:space="preserve">Prior distributions for extent and type of bias under two scenarios, on the log scale. Note that the distributions for proportional biases were kept consistent across the two scenarios.</w:t>
      </w:r>
      <w:bookmarkEnd w:id="73a8ec4e-bf55-4987-bc88-e952c6b572a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N(.12, .032)</w:t>
            </w:r>
          </w:p>
        </w:tc>
      </w:tr>
    </w:tbl>
    <w:p>
      <w:pPr>
        <w:pStyle w:val="BodyText"/>
      </w:pPr>
      <w:r>
        <w:t xml:space="preserve"> </w:t>
      </w:r>
    </w:p>
    <w:p>
      <w:pPr>
        <w:pStyle w:val="BodyText"/>
      </w:pPr>
      <w:r>
        <w:t xml:space="preserve">As an illustrative example, consider the first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adjusted and down-weighted due to reduced relevance to the causal question.</w:t>
      </w:r>
    </w:p>
    <w:p>
      <w:pPr>
        <w:pStyle w:val="BodyText"/>
      </w:pPr>
      <w:r>
        <w:t xml:space="preserve"> </w:t>
      </w:r>
    </w:p>
    <w:bookmarkEnd w:id="282"/>
    <w:bookmarkStart w:id="283" w:name="combine-in-a-bias-adjusted-meta-analysis"/>
    <w:p>
      <w:pPr>
        <w:pStyle w:val="Heading4"/>
      </w:pPr>
      <w:r>
        <w:t xml:space="preserve">Combine in a bias-adjusted meta-analysis</w:t>
      </w:r>
    </w:p>
    <w:p>
      <w:pPr>
        <w:pStyle w:val="FirstParagraph"/>
      </w:pPr>
      <w:r>
        <w:t xml:space="preserve">Using the the method reported in Turner</w:t>
      </w:r>
      <w:r>
        <w:t xml:space="preserve"> </w:t>
      </w:r>
      <w:r>
        <w:rPr>
          <w:iCs/>
          <w:i/>
        </w:rPr>
        <w:t xml:space="preserve">et al.</w:t>
      </w:r>
      <w:r>
        <w:t xml:space="preserve">,</w:t>
      </w:r>
      <w:hyperlink w:anchor="ref-turner2009">
        <w:r>
          <w:rPr>
            <w:rStyle w:val="Hyperlink"/>
            <w:vertAlign w:val="superscript"/>
          </w:rPr>
          <w:t xml:space="preserve">336</w:t>
        </w:r>
      </w:hyperlink>
      <w:r>
        <w:t xml:space="preserve"> </w:t>
      </w:r>
      <w:r>
        <w:t xml:space="preserve">total additive and proportional bias and indirectness were calculated and used to define an adjusted estimate for each result included in the synthesis.</w:t>
      </w:r>
    </w:p>
    <w:p>
      <w:pPr>
        <w:pStyle w:val="BodyText"/>
      </w:pP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11</m:t>
          </m:r>
          <m:r>
            <m:rPr>
              <m:sty m:val="p"/>
            </m:rPr>
            <m:t>)</m:t>
          </m:r>
        </m:oMath>
      </m:oMathPara>
    </w:p>
    <w:p>
      <w:pPr>
        <w:pStyle w:val="FirstParagraph"/>
      </w:pPr>
      <w:r>
        <w:t xml:space="preserve">where</w:t>
      </w:r>
      <w:r>
        <w:t xml:space="preserve"> </w:t>
      </w:r>
      <m:oMath>
        <m:sSubSup>
          <m:e>
            <m:r>
              <m:t>μ</m:t>
            </m:r>
          </m:e>
          <m:sub>
            <m:r>
              <m:t>i</m:t>
            </m:r>
            <m:r>
              <m:t>δ</m:t>
            </m:r>
          </m:sub>
          <m:sup>
            <m:r>
              <m:rPr>
                <m:sty m:val="p"/>
              </m:rPr>
              <m:t>B</m:t>
            </m:r>
          </m:sup>
        </m:sSubSup>
      </m:oMath>
      <w:r>
        <w:t xml:space="preserve"> </w:t>
      </w:r>
      <w:r>
        <w:t xml:space="preserve">and</w:t>
      </w:r>
      <w:r>
        <w:t xml:space="preserve"> </w:t>
      </w:r>
      <m:oMath>
        <m:sSubSup>
          <m:e>
            <m:r>
              <m:t>μ</m:t>
            </m:r>
          </m:e>
          <m:sub>
            <m:r>
              <m:t>i</m:t>
            </m:r>
            <m:r>
              <m:t>β</m:t>
            </m:r>
          </m:sub>
          <m:sup>
            <m:r>
              <m:rPr>
                <m:sty m:val="p"/>
              </m:rPr>
              <m:t>B</m:t>
            </m:r>
          </m:sup>
        </m:sSubSup>
      </m:oMath>
      <w:r>
        <w:t xml:space="preserve"> </w:t>
      </w:r>
      <w:r>
        <w:t xml:space="preserve">refer to the total additive and proportional bias, and</w:t>
      </w:r>
      <w:r>
        <w:t xml:space="preserve"> </w:t>
      </w:r>
      <m:oMath>
        <m:sSubSup>
          <m:e>
            <m:r>
              <m:t>μ</m:t>
            </m:r>
          </m:e>
          <m:sub>
            <m:r>
              <m:t>i</m:t>
            </m:r>
            <m:r>
              <m:t>δ</m:t>
            </m:r>
          </m:sub>
          <m:sup>
            <m:r>
              <m:rPr>
                <m:sty m:val="p"/>
              </m:rPr>
              <m:t>I</m:t>
            </m:r>
            <m:r>
              <m:rPr>
                <m:sty m:val="p"/>
              </m:rPr>
              <m:t>n</m:t>
            </m:r>
          </m:sup>
        </m:sSubSup>
      </m:oMath>
      <w:r>
        <w:t xml:space="preserve"> </w:t>
      </w:r>
      <w:r>
        <w:t xml:space="preserve">and</w:t>
      </w:r>
      <w:r>
        <w:t xml:space="preserve"> </w:t>
      </w:r>
      <m:oMath>
        <m:sSubSup>
          <m:e>
            <m:r>
              <m:t>μ</m:t>
            </m:r>
          </m:e>
          <m:sub>
            <m:r>
              <m:t>i</m:t>
            </m:r>
            <m:r>
              <m:t>β</m:t>
            </m:r>
          </m:sub>
          <m:sup>
            <m:r>
              <m:rPr>
                <m:sty m:val="p"/>
              </m:rPr>
              <m:t>I</m:t>
            </m:r>
            <m:r>
              <m:rPr>
                <m:sty m:val="p"/>
              </m:rPr>
              <m:t>n</m:t>
            </m:r>
          </m:sup>
        </m:sSubSup>
      </m:oMath>
      <w:r>
        <w:t xml:space="preserve"> </w:t>
      </w:r>
      <w:r>
        <w:t xml:space="preserve">refer to the total additive and proportional indirectness. Note that in this exercise, the total additive indirectness</w:t>
      </w:r>
      <w:r>
        <w:t xml:space="preserve"> </w:t>
      </w:r>
      <m:oMath>
        <m:sSubSup>
          <m:e>
            <m:r>
              <m:t>μ</m:t>
            </m:r>
          </m:e>
          <m:sub>
            <m:r>
              <m:t>i</m:t>
            </m:r>
            <m:r>
              <m:t>β</m:t>
            </m:r>
          </m:sub>
          <m:sup>
            <m:r>
              <m:rPr>
                <m:sty m:val="p"/>
              </m:rPr>
              <m:t>I</m:t>
            </m:r>
            <m:r>
              <m:rPr>
                <m:sty m:val="p"/>
              </m:rPr>
              <m:t>n</m:t>
            </m:r>
          </m:sup>
        </m:sSubSup>
        <m:r>
          <m:rPr>
            <m:sty m:val="p"/>
          </m:rPr>
          <m:t>=</m:t>
        </m:r>
        <m:r>
          <m:t>1</m:t>
        </m:r>
      </m:oMath>
      <w:r>
        <w:t xml:space="preserve">, as all indirectness was defined</w:t>
      </w:r>
      <w:r>
        <w:t xml:space="preserve"> </w:t>
      </w:r>
      <w:r>
        <w:rPr>
          <w:iCs/>
          <w:i/>
        </w:rPr>
        <w:t xml:space="preserve">a priori</w:t>
      </w:r>
      <w:r>
        <w:t xml:space="preserve"> </w:t>
      </w:r>
      <w:r>
        <w:t xml:space="preserve">as being proportional.</w:t>
      </w:r>
    </w:p>
    <w:p>
      <w:pPr>
        <w:pStyle w:val="BodyText"/>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12</m:t>
          </m:r>
          <m:r>
            <m:rPr>
              <m:sty m:val="p"/>
            </m:rPr>
            <m:t>)</m:t>
          </m:r>
        </m:oMath>
      </m:oMathPara>
    </w:p>
    <w:p>
      <w:pPr>
        <w:pStyle w:val="FirstParagraph"/>
      </w:pPr>
      <w:r>
        <w:t xml:space="preserve">Once each individual result had been adjusted using this approach, I performed a random effects meta-analysis using the unadjusted and adjusted results. I also compared the adjusted results under the two scenarios of additive bias defined. results. I extracted the overall effect estimates, along with measures of heterogeneity in each case (</w:t>
      </w:r>
      <m:oMath>
        <m:sSup>
          <m:e>
            <m:r>
              <m:t>τ</m:t>
            </m:r>
          </m:e>
          <m:sup>
            <m:r>
              <m:t>2</m:t>
            </m:r>
          </m:sup>
        </m:sSup>
      </m:oMath>
      <w:r>
        <w:t xml:space="preserve">,</w:t>
      </w:r>
      <w:r>
        <w:t xml:space="preserve"> </w:t>
      </w:r>
      <m:oMath>
        <m:sSup>
          <m:e>
            <m:r>
              <m:t>I</m:t>
            </m:r>
          </m:e>
          <m:sup>
            <m:r>
              <m:t>2</m:t>
            </m:r>
          </m:sup>
        </m:sSup>
      </m:oMath>
      <w:r>
        <w:t xml:space="preserve">).</w:t>
      </w:r>
      <w:hyperlink w:anchor="ref-higgins2003">
        <w:r>
          <w:rPr>
            <w:rStyle w:val="Hyperlink"/>
            <w:vertAlign w:val="superscript"/>
          </w:rPr>
          <w:t xml:space="preserve">339</w:t>
        </w:r>
      </w:hyperlink>
      <w:r>
        <w:rPr>
          <w:vertAlign w:val="superscript"/>
        </w:rPr>
        <w:t xml:space="preserve">,</w:t>
      </w:r>
      <w:hyperlink w:anchor="ref-higgins2008">
        <w:r>
          <w:rPr>
            <w:rStyle w:val="Hyperlink"/>
            <w:vertAlign w:val="superscript"/>
          </w:rPr>
          <w:t xml:space="preserve">340</w:t>
        </w:r>
      </w:hyperlink>
    </w:p>
    <w:p>
      <w:pPr>
        <w:pStyle w:val="BodyText"/>
      </w:pPr>
      <w:r>
        <w:t xml:space="preserve"> </w:t>
      </w:r>
    </w:p>
    <w:bookmarkEnd w:id="283"/>
    <w:bookmarkEnd w:id="284"/>
    <w:bookmarkStart w:id="293" w:name="quant-tri-results"/>
    <w:p>
      <w:pPr>
        <w:pStyle w:val="Heading3"/>
      </w:pPr>
      <w:r>
        <w:t xml:space="preserve">Results</w:t>
      </w:r>
    </w:p>
    <w:bookmarkStart w:id="286" w:name="single-study"/>
    <w:p>
      <w:pPr>
        <w:pStyle w:val="Heading4"/>
      </w:pPr>
      <w:r>
        <w:t xml:space="preserve">Single study</w:t>
      </w:r>
    </w:p>
    <w:p>
      <w:pPr>
        <w:pStyle w:val="FirstParagraph"/>
      </w:pPr>
      <w:r>
        <w:t xml:space="preserve">As an illustrative example of the process using a single result, the bias and indirectness inherent to the estimate of the effect of statin use on Alzheimer’s disease in the CPRD (as analysed in Chapter</w:t>
      </w:r>
      <w:r>
        <w:t xml:space="preserve"> </w:t>
      </w:r>
      <w:r>
        <w:t xml:space="preserve">5</w:t>
      </w:r>
      <w:r>
        <w:t xml:space="preserve">) are considered here. For this result, there were three domains at greater than low risk of bias: Bias due to confounding, Bias due to definition of the outcome, and Bias in the selection of the reported result (Figure</w:t>
      </w:r>
      <w:r>
        <w:t xml:space="preserve"> </w:t>
      </w:r>
      <w:r>
        <w:t xml:space="preserve">44</w:t>
      </w:r>
      <w:r>
        <w:t xml:space="preserve">). In Domain 1 (bias due to confounding), the study did not adjust for</w:t>
      </w:r>
      <w:r>
        <w:t xml:space="preserve"> </w:t>
      </w:r>
      <w:r>
        <w:rPr>
          <w:iCs/>
          <w:i/>
        </w:rPr>
        <w:t xml:space="preserve">ApoE4</w:t>
      </w:r>
      <w:r>
        <w:t xml:space="preserve"> </w:t>
      </w:r>
      <w:r>
        <w:t xml:space="preserve">status, which is predicted to mask any true association between statins and Alzheimer’s disease (see Section</w:t>
      </w:r>
      <w:r>
        <w:t xml:space="preserve"> </w:t>
      </w:r>
      <w:r>
        <w:t xml:space="preserve">5.4.3</w:t>
      </w:r>
      <w:r>
        <w:t xml:space="preserve"> </w:t>
      </w:r>
      <w:r>
        <w:t xml:space="preserve">for a fuller discussion). As such, the bias is predicted to</w:t>
      </w:r>
      <w:r>
        <w:t xml:space="preserve"> </w:t>
      </w:r>
      <w:r>
        <w:rPr>
          <w:iCs/>
          <w:i/>
        </w:rPr>
        <w:t xml:space="preserve">favour the comparator</w:t>
      </w:r>
      <w:r>
        <w:t xml:space="preserve"> </w:t>
      </w:r>
      <w:r>
        <w:t xml:space="preserve">and so the absolute direction of bias is to the right. In Domain 7 (bias in measurement of the outcome), there was a high risk of differential misclassification on the basis of the exposure. Here, history of statin use may make a diagnosis of vascular dementia more likely than Alzheimer’s disease, and so for this outcome, this bias is predicted to</w:t>
      </w:r>
      <w:r>
        <w:t xml:space="preserve"> </w:t>
      </w:r>
      <w:r>
        <w:rPr>
          <w:iCs/>
          <w:i/>
        </w:rPr>
        <w:t xml:space="preserve">favour the experimental</w:t>
      </w:r>
      <w:r>
        <w:t xml:space="preserve"> </w:t>
      </w:r>
      <w:r>
        <w:t xml:space="preserve">(in this case, an intervention). As such, the absolute direction of bias is to the left. In Domain 7 (bias in selection of the reported result), for consistency with the other NRSI, in the absence of a protocol the bias is assumed to be</w:t>
      </w:r>
      <w:r>
        <w:t xml:space="preserve"> </w:t>
      </w:r>
      <w:r>
        <w:rPr>
          <w:iCs/>
          <w:i/>
        </w:rPr>
        <w:t xml:space="preserve">away from the null</w:t>
      </w:r>
      <w:r>
        <w:t xml:space="preserve">. Given the position of the effect estimate below the null, the absolute direction of bias in this domain is to the left.</w:t>
      </w:r>
    </w:p>
    <w:p>
      <w:pPr>
        <w:pStyle w:val="BodyText"/>
      </w:pPr>
      <w:r>
        <w:t xml:space="preserve"> </w:t>
      </w:r>
    </w:p>
    <w:p>
      <w:pPr>
        <w:pStyle w:val="BodyText"/>
      </w:pPr>
      <w:r>
        <w:drawing>
          <wp:inline>
            <wp:extent cx="5943600" cy="2377440"/>
            <wp:effectExtent b="0" l="0" r="0" t="0"/>
            <wp:docPr descr="Figure 44: 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tri/midlife_AD_single.png" id="0" name="Picture"/>
                    <pic:cNvPicPr>
                      <a:picLocks noChangeArrowheads="1" noChangeAspect="1"/>
                    </pic:cNvPicPr>
                  </pic:nvPicPr>
                  <pic:blipFill>
                    <a:blip r:embed="rId28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Indirectness was intentionally not displayed in the plot above, as these figures are created using</w:t>
      </w:r>
      <w:r>
        <w:t xml:space="preserve"> </w:t>
      </w:r>
      <w:r>
        <w:rPr>
          <w:rStyle w:val="VerbatimChar"/>
        </w:rPr>
        <w:t xml:space="preserve">robvis</w:t>
      </w:r>
      <w:r>
        <w:t xml:space="preserve"> </w:t>
      </w:r>
      <w:r>
        <w:t xml:space="preserve">which is focused on creating visualisations of risk-of-bias data. In addition, I found it more useful to articulate the indirectness of a result in tabular format. With respect to this example result, I judged it to be a low risk in the population and outcome domains (Table</w:t>
      </w:r>
      <w:r>
        <w:t xml:space="preserve"> </w:t>
      </w:r>
      <w:r>
        <w:t xml:space="preserve">23</w:t>
      </w:r>
      <w:r>
        <w:t xml:space="preserve">). However, the result refers to the effect of statins on Alzheimer’s disease risk, rather than LDL-c levels directly, putting it at high risk of indirectness in the intervention/exposure domain. Assessing the predicted direction of indirectness was more challenging than assessing the predicted direction of bias. In this case, treatment with statins result in temporary lowering of lipid levels which and could thus underestimate the true effect of LDL-c lowering (indirectness towards the null). In contrast, statins may have an effect on Alzheimer’s disease through a mechanism other than LDL-c lowering effect of statins and so the effect is overestimated (indirectness away from null). As such, I judged the direction of indirectness in this domain to be unpredictable.</w:t>
      </w:r>
    </w:p>
    <w:p>
      <w:pPr>
        <w:pStyle w:val="BodyText"/>
      </w:pPr>
      <w:r>
        <w:t xml:space="preserve"> </w:t>
      </w:r>
    </w:p>
    <w:p>
      <w:pPr>
        <w:pStyle w:val="TableCaption"/>
      </w:pPr>
      <w:r>
        <w:t xml:space="preserve">Table 23:</w:t>
      </w:r>
      <w:r>
        <w:t xml:space="preserve"> </w:t>
      </w:r>
      <w:bookmarkStart w:id="da402683-bc68-4d64-8b9f-8f07666fccfd" w:name="tab:singleIndirect-table"/>
      <w:r>
        <w:t xml:space="preserve">Assessment of indirectness for a single example study.</w:t>
      </w:r>
      <w:bookmarkEnd w:id="da402683-bc68-4d64-8b9f-8f07666fccf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Domain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Target Setting</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Idealised version of single 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Direction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Population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General population,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UK general population, &gt;45 years of age,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Intervention/ exposure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Average low density lipoprotein cholesterol levels at midlife (45-60)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Initiation of statin use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Alzhiemer's disease, assessed using recognised clinical criteria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Alzheimer's disease cases extracted from EHR</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The unadjusted estimate was 0.98 (95%CI: 0.95-1.02). After accounting for the biases and indirectness described, the adjusted result was 1.07 (95%CI: 0.47-2.42).</w:t>
      </w:r>
    </w:p>
    <w:p>
      <w:pPr>
        <w:pStyle w:val="BodyText"/>
      </w:pPr>
      <w:r>
        <w:t xml:space="preserve"> </w:t>
      </w:r>
    </w:p>
    <w:bookmarkEnd w:id="286"/>
    <w:bookmarkStart w:id="289" w:name="Xa26d3efd9919970b7a1f3202c189e3ae7fea502"/>
    <w:p>
      <w:pPr>
        <w:pStyle w:val="Heading4"/>
      </w:pPr>
      <w:r>
        <w:t xml:space="preserve">Case study #1: effect of LDL-c at midlife on Alzheimer’s disease</w:t>
      </w:r>
    </w:p>
    <w:p>
      <w:pPr>
        <w:pStyle w:val="FirstParagraph"/>
      </w:pPr>
      <w:r>
        <w:t xml:space="preserve">From the data sources identified in Section</w:t>
      </w:r>
      <w:r>
        <w:t xml:space="preserve"> </w:t>
      </w:r>
      <w:r>
        <w:t xml:space="preserve">7.2</w:t>
      </w:r>
      <w:r>
        <w:t xml:space="preserve">, I identified 18 results relevant to my first causal question of interest. Most (n=17) were identified via the systematic review,</w:t>
      </w:r>
      <w:hyperlink w:anchor="ref-schilling2017">
        <w:r>
          <w:rPr>
            <w:rStyle w:val="Hyperlink"/>
            <w:vertAlign w:val="superscript"/>
          </w:rPr>
          <w:t xml:space="preserve">52</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ancelin2012">
        <w:r>
          <w:rPr>
            <w:rStyle w:val="Hyperlink"/>
            <w:vertAlign w:val="superscript"/>
          </w:rPr>
          <w:t xml:space="preserve">185</w:t>
        </w:r>
      </w:hyperlink>
      <w:r>
        <w:rPr>
          <w:vertAlign w:val="superscript"/>
        </w:rPr>
        <w:t xml:space="preserve">–</w:t>
      </w:r>
      <w:hyperlink w:anchor="ref-bettermann2012">
        <w:r>
          <w:rPr>
            <w:rStyle w:val="Hyperlink"/>
            <w:vertAlign w:val="superscript"/>
          </w:rPr>
          <w:t xml:space="preserve">187</w:t>
        </w:r>
      </w:hyperlink>
      <w:r>
        <w:rPr>
          <w:vertAlign w:val="superscript"/>
        </w:rPr>
        <w:t xml:space="preserve">,</w:t>
      </w:r>
      <w:hyperlink w:anchor="ref-chou2014">
        <w:r>
          <w:rPr>
            <w:rStyle w:val="Hyperlink"/>
            <w:vertAlign w:val="superscript"/>
          </w:rPr>
          <w:t xml:space="preserve">192</w:t>
        </w:r>
      </w:hyperlink>
      <w:r>
        <w:rPr>
          <w:vertAlign w:val="superscript"/>
        </w:rPr>
        <w:t xml:space="preserve">,</w:t>
      </w:r>
      <w:hyperlink w:anchor="ref-haag2009">
        <w:r>
          <w:rPr>
            <w:rStyle w:val="Hyperlink"/>
            <w:vertAlign w:val="superscript"/>
          </w:rPr>
          <w:t xml:space="preserve">196</w:t>
        </w:r>
      </w:hyperlink>
      <w:r>
        <w:rPr>
          <w:vertAlign w:val="superscript"/>
        </w:rPr>
        <w:t xml:space="preserve">,</w:t>
      </w:r>
      <w:hyperlink w:anchor="ref-li2004">
        <w:r>
          <w:rPr>
            <w:rStyle w:val="Hyperlink"/>
            <w:vertAlign w:val="superscript"/>
          </w:rPr>
          <w:t xml:space="preserve">200</w:t>
        </w:r>
      </w:hyperlink>
      <w:r>
        <w:rPr>
          <w:vertAlign w:val="superscript"/>
        </w:rPr>
        <w:t xml:space="preserve">,</w:t>
      </w:r>
      <w:hyperlink w:anchor="ref-li2010">
        <w:r>
          <w:rPr>
            <w:rStyle w:val="Hyperlink"/>
            <w:vertAlign w:val="superscript"/>
          </w:rPr>
          <w:t xml:space="preserve">201</w:t>
        </w:r>
      </w:hyperlink>
      <w:r>
        <w:rPr>
          <w:vertAlign w:val="superscript"/>
        </w:rPr>
        <w:t xml:space="preserve">,</w:t>
      </w:r>
      <w:hyperlink w:anchor="ref-rea2005">
        <w:r>
          <w:rPr>
            <w:rStyle w:val="Hyperlink"/>
            <w:vertAlign w:val="superscript"/>
          </w:rPr>
          <w:t xml:space="preserve">206</w:t>
        </w:r>
      </w:hyperlink>
      <w:r>
        <w:rPr>
          <w:vertAlign w:val="superscript"/>
        </w:rPr>
        <w:t xml:space="preserve">,</w:t>
      </w:r>
      <w:hyperlink w:anchor="ref-reitz2010">
        <w:r>
          <w:rPr>
            <w:rStyle w:val="Hyperlink"/>
            <w:vertAlign w:val="superscript"/>
          </w:rPr>
          <w:t xml:space="preserve">208</w:t>
        </w:r>
      </w:hyperlink>
      <w:r>
        <w:rPr>
          <w:vertAlign w:val="superscript"/>
        </w:rPr>
        <w:t xml:space="preserve">,</w:t>
      </w:r>
      <w:hyperlink w:anchor="ref-smeeth2009">
        <w:r>
          <w:rPr>
            <w:rStyle w:val="Hyperlink"/>
            <w:vertAlign w:val="superscript"/>
          </w:rPr>
          <w:t xml:space="preserve">209</w:t>
        </w:r>
      </w:hyperlink>
      <w:r>
        <w:rPr>
          <w:vertAlign w:val="superscript"/>
        </w:rPr>
        <w:t xml:space="preserve">,</w:t>
      </w:r>
      <w:hyperlink w:anchor="ref-zandi2005">
        <w:r>
          <w:rPr>
            <w:rStyle w:val="Hyperlink"/>
            <w:vertAlign w:val="superscript"/>
          </w:rPr>
          <w:t xml:space="preserve">215</w:t>
        </w:r>
      </w:hyperlink>
      <w:r>
        <w:rPr>
          <w:vertAlign w:val="superscript"/>
        </w:rPr>
        <w:t xml:space="preserve">,</w:t>
      </w:r>
      <w:hyperlink w:anchor="ref-tynkkynen2018">
        <w:r>
          <w:rPr>
            <w:rStyle w:val="Hyperlink"/>
            <w:vertAlign w:val="superscript"/>
          </w:rPr>
          <w:t xml:space="preserve">241</w:t>
        </w:r>
      </w:hyperlink>
      <w:r>
        <w:rPr>
          <w:vertAlign w:val="superscript"/>
        </w:rPr>
        <w:t xml:space="preserve">,</w:t>
      </w:r>
      <w:hyperlink w:anchor="ref-yoshitake1995">
        <w:r>
          <w:rPr>
            <w:rStyle w:val="Hyperlink"/>
            <w:vertAlign w:val="superscript"/>
          </w:rPr>
          <w:t xml:space="preserve">244</w:t>
        </w:r>
      </w:hyperlink>
      <w:r>
        <w:t xml:space="preserve"> </w:t>
      </w:r>
      <w:r>
        <w:t xml:space="preserve">while Chapter</w:t>
      </w:r>
      <w:r>
        <w:t xml:space="preserve"> </w:t>
      </w:r>
      <w:r>
        <w:t xml:space="preserve">??</w:t>
      </w:r>
      <w:r>
        <w:t xml:space="preserve"> </w:t>
      </w:r>
      <w:r>
        <w:t xml:space="preserve">provided an additional estimate from the CPRD analysis. The extent, type and direction of predicted bias for each result can be seen in the bias-direction plot presented in Figure</w:t>
      </w:r>
      <w:r>
        <w:t xml:space="preserve"> </w:t>
      </w:r>
      <w:r>
        <w:t xml:space="preserve">45</w:t>
      </w:r>
      <w:r>
        <w:t xml:space="preserve">, stratified by study design.</w:t>
      </w:r>
    </w:p>
    <w:p>
      <w:pPr>
        <w:pStyle w:val="BodyText"/>
      </w:pPr>
      <w:r>
        <w:t xml:space="preserve"> </w:t>
      </w:r>
    </w:p>
    <w:p>
      <w:pPr>
        <w:pStyle w:val="BodyText"/>
      </w:pPr>
      <w:r>
        <w:drawing>
          <wp:inline>
            <wp:extent cx="5943600" cy="4415245"/>
            <wp:effectExtent b="0" l="0" r="0" t="0"/>
            <wp:docPr descr="Figure 45: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87"/>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results of the unadjusted and the bias-/indirectness-adjusted (under Scenario 1) are shown in Figure</w:t>
      </w:r>
      <w:r>
        <w:t xml:space="preserve"> </w:t>
      </w:r>
      <w:r>
        <w:t xml:space="preserve">46</w:t>
      </w:r>
      <w:r>
        <w:t xml:space="preserve">. Following adjustment for bias and indirectness, the observed effect attenuates to the null (unadjusted 0.94, 95%CI: 0.89-0.99; adjusted 0.95, 95%CI: 0.86-1.04). Additionally, adjustment for bias and indirectness substantially reduced the heterogeneity between studies (unadjusted</w:t>
      </w:r>
      <w:r>
        <w:t xml:space="preserve"> </w:t>
      </w:r>
      <m:oMath>
        <m:sSup>
          <m:e>
            <m:r>
              <m:t>τ</m:t>
            </m:r>
          </m:e>
          <m:sup>
            <m:r>
              <m:t>2</m:t>
            </m:r>
          </m:sup>
        </m:sSup>
      </m:oMath>
      <w:r>
        <w:t xml:space="preserve"> </w:t>
      </w:r>
      <w:r>
        <w:t xml:space="preserve">= 0.0017,</w:t>
      </w:r>
      <w:r>
        <w:t xml:space="preserve"> </w:t>
      </w:r>
      <m:oMath>
        <m:sSup>
          <m:e>
            <m:r>
              <m:t>I</m:t>
            </m:r>
          </m:e>
          <m:sup>
            <m:r>
              <m:t>2</m:t>
            </m:r>
          </m:sup>
        </m:sSup>
      </m:oMath>
      <w:r>
        <w:t xml:space="preserve"> </w:t>
      </w:r>
      <w:r>
        <w:t xml:space="preserve">= 17;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However, as can been seen from the right panel in Figure</w:t>
      </w:r>
      <w:r>
        <w:t xml:space="preserve"> </w:t>
      </w:r>
      <w:r>
        <w:t xml:space="preserve">46</w:t>
      </w:r>
      <w:r>
        <w:t xml:space="preserve">, this reduction in heterogeneity between studies is largely achieved via a reduction in the precision of each individual result.</w:t>
      </w:r>
    </w:p>
    <w:p>
      <w:pPr>
        <w:pStyle w:val="BodyText"/>
      </w:pPr>
      <w:r>
        <w:t xml:space="preserve"> </w:t>
      </w:r>
    </w:p>
    <w:p>
      <w:pPr>
        <w:pStyle w:val="CaptionedFigure"/>
      </w:pPr>
      <w:r>
        <w:drawing>
          <wp:inline>
            <wp:extent cx="5943600" cy="2971800"/>
            <wp:effectExtent b="0" l="0" r="0" t="0"/>
            <wp:docPr descr="Figure 46: Random effects meta-analysis of the association of midlife LDL-c with Alzheimer’s disease,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8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46: Random effects meta-analysis of the association of midlife LDL-c with Alzheimer’s disease, using unadjusted and bias-/indirectness-adjusted results.</w:t>
      </w:r>
    </w:p>
    <w:p>
      <w:pPr>
        <w:pStyle w:val="BodyText"/>
      </w:pPr>
      <w:r>
        <w:t xml:space="preserve"> </w:t>
      </w:r>
    </w:p>
    <w:p>
      <w:pPr>
        <w:pStyle w:val="BodyText"/>
      </w:pPr>
      <w:r>
        <w:t xml:space="preserve">No substantial differences were observed between the summary estimates obtained under the two scenarios of additive bias (Figure</w:t>
      </w:r>
      <w:r>
        <w:t xml:space="preserve"> </w:t>
      </w:r>
      <w:r>
        <w:t xml:space="preserve">51</w:t>
      </w:r>
      <w:r>
        <w:t xml:space="preserve"> </w:t>
      </w:r>
      <w:r>
        <w:t xml:space="preserve">in Appendix</w:t>
      </w:r>
      <w:r>
        <w:t xml:space="preserve"> </w:t>
      </w:r>
      <w:r>
        <w:t xml:space="preserve">10.7</w:t>
      </w:r>
      <w:r>
        <w:t xml:space="preserve">).</w:t>
      </w:r>
    </w:p>
    <w:p>
      <w:pPr>
        <w:pStyle w:val="BodyText"/>
      </w:pPr>
      <w:r>
        <w:t xml:space="preserve"> </w:t>
      </w:r>
    </w:p>
    <w:bookmarkEnd w:id="289"/>
    <w:bookmarkStart w:id="292" w:name="Xbeead56182012fcbde6e7c8a3b8147a01088d5e"/>
    <w:p>
      <w:pPr>
        <w:pStyle w:val="Heading4"/>
      </w:pPr>
      <w:r>
        <w:t xml:space="preserve">Case study #2: effect of triglycerides at midlife on vascular dementia</w:t>
      </w:r>
    </w:p>
    <w:p>
      <w:pPr>
        <w:pStyle w:val="FirstParagraph"/>
      </w:pPr>
      <w:r>
        <w:t xml:space="preserve">From the data sources identified in Section</w:t>
      </w:r>
      <w:r>
        <w:t xml:space="preserve"> </w:t>
      </w:r>
      <w:r>
        <w:t xml:space="preserve">7.2</w:t>
      </w:r>
      <w:r>
        <w:t xml:space="preserve">, I identified 7 results relevant to my causal question of interest: 4 were identified via the systematic review,</w:t>
      </w:r>
      <w:hyperlink w:anchor="ref-forti2010">
        <w:r>
          <w:rPr>
            <w:rStyle w:val="Hyperlink"/>
            <w:vertAlign w:val="superscript"/>
          </w:rPr>
          <w:t xml:space="preserve">221</w:t>
        </w:r>
      </w:hyperlink>
      <w:r>
        <w:rPr>
          <w:vertAlign w:val="superscript"/>
        </w:rPr>
        <w:t xml:space="preserve">,</w:t>
      </w:r>
      <w:hyperlink w:anchor="ref-raffaitin2009">
        <w:r>
          <w:rPr>
            <w:rStyle w:val="Hyperlink"/>
            <w:vertAlign w:val="superscript"/>
          </w:rPr>
          <w:t xml:space="preserve">233</w:t>
        </w:r>
      </w:hyperlink>
      <w:r>
        <w:rPr>
          <w:vertAlign w:val="superscript"/>
        </w:rPr>
        <w:t xml:space="preserve">,</w:t>
      </w:r>
      <w:hyperlink w:anchor="ref-yoshitake1995">
        <w:r>
          <w:rPr>
            <w:rStyle w:val="Hyperlink"/>
            <w:vertAlign w:val="superscript"/>
          </w:rPr>
          <w:t xml:space="preserve">244</w:t>
        </w:r>
      </w:hyperlink>
      <w:r>
        <w:t xml:space="preserve"> </w:t>
      </w:r>
      <w:r>
        <w:t xml:space="preserve">while Chapter</w:t>
      </w:r>
      <w:r>
        <w:t xml:space="preserve"> </w:t>
      </w:r>
      <w:r>
        <w:t xml:space="preserve">??</w:t>
      </w:r>
      <w:r>
        <w:t xml:space="preserve"> </w:t>
      </w:r>
      <w:r>
        <w:t xml:space="preserve">provided two additional estimates from unanalysed datasets (CaPS and Whitehall II), and Chapter</w:t>
      </w:r>
      <w:r>
        <w:t xml:space="preserve"> </w:t>
      </w:r>
      <w:r>
        <w:t xml:space="preserve">6</w:t>
      </w:r>
      <w:r>
        <w:t xml:space="preserve"> </w:t>
      </w:r>
      <w:r>
        <w:t xml:space="preserve">provides an estimate for the effect of fibrates, a treatment for hypertriglyceridaemia. The extent, type and direction of predicted bias for each result can be seen in the bias-direction plot presented in Figure</w:t>
      </w:r>
      <w:r>
        <w:t xml:space="preserve"> </w:t>
      </w:r>
      <w:r>
        <w:t xml:space="preserve">47</w:t>
      </w:r>
      <w:r>
        <w:t xml:space="preserve">, stratified by study design.</w:t>
      </w:r>
    </w:p>
    <w:p>
      <w:pPr>
        <w:pStyle w:val="BodyText"/>
      </w:pPr>
      <w:r>
        <w:drawing>
          <wp:inline>
            <wp:extent cx="5943600" cy="4415245"/>
            <wp:effectExtent b="0" l="0" r="0" t="0"/>
            <wp:docPr descr="Figure 47: Bias direction plot, summarising the internal biases related to effect of triglycerides on vascular dementia, stratified by study design." title="" id="1" name="Picture"/>
            <a:graphic>
              <a:graphicData uri="http://schemas.openxmlformats.org/drawingml/2006/picture">
                <pic:pic>
                  <pic:nvPicPr>
                    <pic:cNvPr descr="figures/tri/midlife_VaD.png" id="0" name="Picture"/>
                    <pic:cNvPicPr>
                      <a:picLocks noChangeArrowheads="1" noChangeAspect="1"/>
                    </pic:cNvPicPr>
                  </pic:nvPicPr>
                  <pic:blipFill>
                    <a:blip r:embed="rId290"/>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Comparison of the unadjusted and bias-/indirectness-adjusted results for the effect of triglycerides on vascular dementia did not demonstrate a substantial difference (unadjusted 0.82, 95%CI: 0.64-1.05; adjusted 0.79, 95%CI: 0.58-1.08; Figure</w:t>
      </w:r>
      <w:r>
        <w:t xml:space="preserve"> </w:t>
      </w:r>
      <w:r>
        <w:t xml:space="preserve">48</w:t>
      </w:r>
      <w:r>
        <w:t xml:space="preserve">), though again, heterogeneity between the adjusted results was greatly reduced (unadjusted</w:t>
      </w:r>
      <w:r>
        <w:t xml:space="preserve"> </w:t>
      </w:r>
      <m:oMath>
        <m:sSup>
          <m:e>
            <m:r>
              <m:t>τ</m:t>
            </m:r>
          </m:e>
          <m:sup>
            <m:r>
              <m:t>2</m:t>
            </m:r>
          </m:sup>
        </m:sSup>
      </m:oMath>
      <w:r>
        <w:t xml:space="preserve"> </w:t>
      </w:r>
      <w:r>
        <w:t xml:space="preserve">= 0.054,</w:t>
      </w:r>
      <w:r>
        <w:t xml:space="preserve"> </w:t>
      </w:r>
      <m:oMath>
        <m:sSup>
          <m:e>
            <m:r>
              <m:t>I</m:t>
            </m:r>
          </m:e>
          <m:sup>
            <m:r>
              <m:t>2</m:t>
            </m:r>
          </m:sup>
        </m:sSup>
      </m:oMath>
      <w:r>
        <w:t xml:space="preserve"> </w:t>
      </w:r>
      <w:r>
        <w:t xml:space="preserve">= 65;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Similarly there was minimal difference between the results under the two scenarios of bias (Figure</w:t>
      </w:r>
      <w:r>
        <w:t xml:space="preserve"> </w:t>
      </w:r>
      <w:r>
        <w:t xml:space="preserve">52</w:t>
      </w:r>
      <w:r>
        <w:t xml:space="preserve"> </w:t>
      </w:r>
      <w:r>
        <w:t xml:space="preserve">in Appendix</w:t>
      </w:r>
      <w:r>
        <w:t xml:space="preserve"> </w:t>
      </w:r>
      <w:r>
        <w:t xml:space="preserve">10.7</w:t>
      </w:r>
      <w:r>
        <w:t xml:space="preserve">).</w:t>
      </w:r>
    </w:p>
    <w:p>
      <w:pPr>
        <w:pStyle w:val="CaptionedFigure"/>
      </w:pPr>
      <w:r>
        <w:drawing>
          <wp:inline>
            <wp:extent cx="5943600" cy="2971800"/>
            <wp:effectExtent b="0" l="0" r="0" t="0"/>
            <wp:docPr descr="Figure 48: Random effects meta-analysis of the association of midlife triglycerides and vascular dementia, using unadjusted and bias-/indirectness-adjusted (Scenario 1) results." title="" id="1" name="Picture"/>
            <a:graphic>
              <a:graphicData uri="http://schemas.openxmlformats.org/drawingml/2006/picture">
                <pic:pic>
                  <pic:nvPicPr>
                    <pic:cNvPr descr="figures/tri/fp_paired_midlife_tg_vad.png" id="0" name="Picture"/>
                    <pic:cNvPicPr>
                      <a:picLocks noChangeArrowheads="1" noChangeAspect="1"/>
                    </pic:cNvPicPr>
                  </pic:nvPicPr>
                  <pic:blipFill>
                    <a:blip r:embed="rId29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48: Random effects meta-analysis of the association of midlife triglycerides and vascular dementia, using unadjusted and bias-/indirectness-adjusted (Scenario 1) results.</w:t>
      </w:r>
    </w:p>
    <w:p>
      <w:pPr>
        <w:pStyle w:val="BodyText"/>
      </w:pPr>
      <w:r>
        <w:t xml:space="preserve"> </w:t>
      </w:r>
    </w:p>
    <w:bookmarkEnd w:id="292"/>
    <w:bookmarkEnd w:id="293"/>
    <w:bookmarkEnd w:id="294"/>
    <w:bookmarkStart w:id="304" w:name="discussion-4"/>
    <w:p>
      <w:pPr>
        <w:pStyle w:val="Heading2"/>
      </w:pPr>
      <w:r>
        <w:t xml:space="preserve">Discussion</w:t>
      </w:r>
    </w:p>
    <w:bookmarkStart w:id="295" w:name="summary-of-findings-3"/>
    <w:p>
      <w:pPr>
        <w:pStyle w:val="Heading3"/>
      </w:pPr>
      <w:r>
        <w:t xml:space="preserve">Summary of findings</w:t>
      </w:r>
    </w:p>
    <w:p>
      <w:pPr>
        <w:pStyle w:val="FirstParagraph"/>
      </w:pPr>
      <w:r>
        <w:t xml:space="preserve">This chapter has narratively synthesised the evidence identified and produced by the previous chapters, highlighting the absence of any consistent association between any blood lipid and any dementia outcome.</w:t>
      </w:r>
    </w:p>
    <w:p>
      <w:pPr>
        <w:pStyle w:val="BodyText"/>
      </w:pPr>
      <w:r>
        <w:t xml:space="preserve">In addition, it has sought to provide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
      </w:r>
    </w:p>
    <w:p>
      <w:pPr>
        <w:pStyle w:val="BodyText"/>
      </w:pPr>
      <w:r>
        <w:t xml:space="preserve"> </w:t>
      </w:r>
    </w:p>
    <w:bookmarkEnd w:id="295"/>
    <w:bookmarkStart w:id="300" w:name="limitations-2"/>
    <w:p>
      <w:pPr>
        <w:pStyle w:val="Heading3"/>
      </w:pPr>
      <w:r>
        <w:t xml:space="preserve">Limitations</w:t>
      </w:r>
    </w:p>
    <w:p>
      <w:pPr>
        <w:pStyle w:val="FirstParagraph"/>
      </w:pPr>
      <w:r>
        <w:t xml:space="preserve">The quantitative analysis presented in this chapter is subject to some strong methodological limitation, which are discussed in detail below.</w:t>
      </w:r>
    </w:p>
    <w:p>
      <w:pPr>
        <w:pStyle w:val="BodyText"/>
      </w:pPr>
      <w:r>
        <w:t xml:space="preserve"> </w:t>
      </w:r>
    </w:p>
    <w:bookmarkStart w:id="296" w:name="tri-prior-def"/>
    <w:p>
      <w:pPr>
        <w:pStyle w:val="Heading4"/>
      </w:pPr>
      <w:r>
        <w:t xml:space="preserve">Defining reasonable prior distributions for bias and indirectness</w:t>
      </w:r>
    </w:p>
    <w:p>
      <w:pPr>
        <w:pStyle w:val="FirstParagraph"/>
      </w:pPr>
      <w:r>
        <w:t xml:space="preserve">The key limitation of the quantitative synthesis presented in this chapter is the lack of empirical evidence available for the prior distributions for bias and indirectness. While I attempted to address this by informing the prior distributions using data from a previous expert elicitation exercise, the extent of bias/indirectness in that analysis may not generalise to the one presented here.</w:t>
      </w:r>
    </w:p>
    <w:p>
      <w:pPr>
        <w:pStyle w:val="BodyText"/>
      </w:pPr>
      <w:r>
        <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
      </w:r>
      <w:hyperlink w:anchor="ref-amer2021">
        <w:r>
          <w:rPr>
            <w:rStyle w:val="Hyperlink"/>
            <w:vertAlign w:val="superscript"/>
          </w:rPr>
          <w:t xml:space="preserve">341</w:t>
        </w:r>
      </w:hyperlink>
      <w:r>
        <w:rPr>
          <w:vertAlign w:val="superscript"/>
        </w:rPr>
        <w:t xml:space="preserve">,</w:t>
      </w:r>
      <w:hyperlink w:anchor="ref-page2016">
        <w:r>
          <w:rPr>
            <w:rStyle w:val="Hyperlink"/>
            <w:vertAlign w:val="superscript"/>
          </w:rPr>
          <w:t xml:space="preserve">342</w:t>
        </w:r>
      </w:hyperlink>
      <w:r>
        <w:t xml:space="preserve"> </w:t>
      </w:r>
      <w:r>
        <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true effect of LDL-c,</w:t>
      </w:r>
      <w:r>
        <w:t xml:space="preserve"> </w:t>
      </w:r>
      <w:r>
        <w:rPr>
          <w:iCs/>
          <w:i/>
        </w:rPr>
        <w:t xml:space="preserve">ApoE4</w:t>
      </w:r>
      <w:r>
        <w:t xml:space="preserve"> </w:t>
      </w:r>
      <w:r>
        <w:t xml:space="preserve">would induce a RR of 1.09 with risk of dementia per 1-SD increase in LDL-c.</w:t>
      </w:r>
      <w:hyperlink w:anchor="ref-iwagami2021">
        <w:r>
          <w:rPr>
            <w:rStyle w:val="Hyperlink"/>
            <w:vertAlign w:val="superscript"/>
          </w:rPr>
          <w:t xml:space="preserve">343</w:t>
        </w:r>
      </w:hyperlink>
      <w:r>
        <w:t xml:space="preserve"> </w:t>
      </w:r>
      <w:r>
        <w:t xml:space="preserve">This is comparable to the mean assigned to the prior distribution mapped to</w:t>
      </w:r>
      <w:r>
        <w:t xml:space="preserve"> </w:t>
      </w:r>
      <w:r>
        <w:t xml:space="preserve">“</w:t>
      </w:r>
      <w:r>
        <w:t xml:space="preserve">Moderate</w:t>
      </w:r>
      <w:r>
        <w:t xml:space="preserve">”</w:t>
      </w:r>
      <w:r>
        <w:t xml:space="preserve"> </w:t>
      </w:r>
      <w:r>
        <w:t xml:space="preserve">additive bias (N(0.08,0.05), Table</w:t>
      </w:r>
      <w:r>
        <w:t xml:space="preserve"> </w:t>
      </w:r>
      <w:r>
        <w:t xml:space="preserve">21</w:t>
      </w:r>
      <w:r>
        <w:t xml:space="preserve">).</w:t>
      </w:r>
    </w:p>
    <w:p>
      <w:pPr>
        <w:pStyle w:val="BodyText"/>
      </w:pPr>
      <w:r>
        <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
      </w:r>
      <w:hyperlink w:anchor="ref-savovic2018">
        <w:r>
          <w:rPr>
            <w:rStyle w:val="Hyperlink"/>
            <w:vertAlign w:val="superscript"/>
          </w:rPr>
          <w:t xml:space="preserve">344</w:t>
        </w:r>
      </w:hyperlink>
      <w:r>
        <w:t xml:space="preserve"> </w:t>
      </w:r>
      <w:r>
        <w:t xml:space="preserve">The generalised framework for quantitative triangulation, presented here and available via the</w:t>
      </w:r>
      <w:r>
        <w:t xml:space="preserve"> </w:t>
      </w:r>
      <w:r>
        <w:rPr>
          <w:rStyle w:val="VerbatimChar"/>
        </w:rPr>
        <w:t xml:space="preserve">triangulate</w:t>
      </w:r>
      <w:r>
        <w:t xml:space="preserve"> </w:t>
      </w:r>
      <w:r>
        <w:t xml:space="preserve">package (see Section</w:t>
      </w:r>
      <w:r>
        <w:t xml:space="preserve"> </w:t>
      </w:r>
      <w:r>
        <w:t xml:space="preserve">7.5.5</w:t>
      </w:r>
      <w:r>
        <w:t xml:space="preserve">), allows for domain-specific distributions of bias/indirectness. As more information on the effect of specific sources of bias becomes available, such domain-specific distributions should be used.</w:t>
      </w:r>
    </w:p>
    <w:p>
      <w:pPr>
        <w:pStyle w:val="BodyText"/>
      </w:pPr>
      <w:r>
        <w:t xml:space="preserve">Finally, it may in fact be more reasonable for domains such as bias due to confounding to adjust on a per-confounder basis rather than mapping to a</w:t>
      </w:r>
      <w:r>
        <w:t xml:space="preserve"> </w:t>
      </w:r>
      <w:r>
        <w:t xml:space="preserve">“</w:t>
      </w:r>
      <w:r>
        <w:t xml:space="preserve">Moderate</w:t>
      </w:r>
      <w:r>
        <w:t xml:space="preserve">”</w:t>
      </w:r>
      <w:r>
        <w:t xml:space="preserve"> </w:t>
      </w:r>
      <w:r>
        <w:t xml:space="preserve">or</w:t>
      </w:r>
      <w:r>
        <w:t xml:space="preserve"> </w:t>
      </w:r>
      <w:r>
        <w:t xml:space="preserve">“</w:t>
      </w:r>
      <w:r>
        <w:t xml:space="preserve">High</w:t>
      </w:r>
      <w:r>
        <w:t xml:space="preserve">”</w:t>
      </w:r>
      <w:r>
        <w:t xml:space="preserve"> </w:t>
      </w:r>
      <w:r>
        <w:t xml:space="preserve">extent of bias. In this approach, prior distributions are assigned to each of the confounders pre-specified as part of the ROBINS-I/ROBINS-E tools.</w:t>
      </w:r>
      <w:hyperlink w:anchor="ref-sterne2016">
        <w:r>
          <w:rPr>
            <w:rStyle w:val="Hyperlink"/>
            <w:vertAlign w:val="superscript"/>
          </w:rPr>
          <w:t xml:space="preserve">155</w:t>
        </w:r>
      </w:hyperlink>
      <w:r>
        <w:t xml:space="preserve"> </w:t>
      </w:r>
      <w:r>
        <w:t xml:space="preserve">Then, rather than assigning a domain level distribution based on an arbitrary judgement of how many important confounders are missing, the result is adjusted for each confounder not accounted for in the original analysis.</w:t>
      </w:r>
    </w:p>
    <w:p>
      <w:pPr>
        <w:pStyle w:val="BodyText"/>
      </w:pPr>
      <w:r>
        <w:t xml:space="preserve"> </w:t>
      </w:r>
    </w:p>
    <w:bookmarkEnd w:id="296"/>
    <w:bookmarkStart w:id="297" w:name="tri-accuracy"/>
    <w:p>
      <w:pPr>
        <w:pStyle w:val="Heading4"/>
      </w:pPr>
      <w:r>
        <w:t xml:space="preserve">Accuracy of bias-/indirectness-assessment</w:t>
      </w:r>
    </w:p>
    <w:p>
      <w:pPr>
        <w:pStyle w:val="FirstParagraph"/>
      </w:pPr>
      <w:r>
        <w:t xml:space="preserve">A key issue in this analysis is the accuracy of the assessment of bias and indirectness in each result. It has been widely demonstrated that the inter-rater agreement when using risk-of-bias tools is low with regards to the extent of bias assigned to each domain</w:t>
      </w:r>
      <w:hyperlink w:anchor="ref-hartling2011">
        <w:r>
          <w:rPr>
            <w:rStyle w:val="Hyperlink"/>
            <w:vertAlign w:val="superscript"/>
          </w:rPr>
          <w:t xml:space="preserve">345</w:t>
        </w:r>
      </w:hyperlink>
      <w:r>
        <w:rPr>
          <w:vertAlign w:val="superscript"/>
        </w:rPr>
        <w:t xml:space="preserve">–</w:t>
      </w:r>
      <w:hyperlink w:anchor="ref-minozzi2020">
        <w:r>
          <w:rPr>
            <w:rStyle w:val="Hyperlink"/>
            <w:vertAlign w:val="superscript"/>
          </w:rPr>
          <w:t xml:space="preserve">347</w:t>
        </w:r>
      </w:hyperlink>
      <w:r>
        <w:t xml:space="preserve"> </w:t>
      </w:r>
      <w:r>
        <w:t xml:space="preserve">Though not previously studied, given the difficulty in assessing the predicted direction of bias, agreement on this aspect of the tools is likely to be lower still.</w:t>
      </w:r>
    </w:p>
    <w:p>
      <w:pPr>
        <w:pStyle w:val="BodyText"/>
      </w:pPr>
      <w:r>
        <w:t xml:space="preserve">A further issue in this regard is that the rigour of the tools may not be equivalent. This issue can be illustrated by the Ostergaard</w:t>
      </w:r>
      <w:r>
        <w:t xml:space="preserve"> </w:t>
      </w:r>
      <w:r>
        <w:rPr>
          <w:iCs/>
          <w:i/>
        </w:rPr>
        <w:t xml:space="preserve">et al.</w:t>
      </w:r>
      <w:r>
        <w:t xml:space="preserve"> </w:t>
      </w:r>
      <w:r>
        <w:t xml:space="preserve">study</w:t>
      </w:r>
      <w:hyperlink w:anchor="ref-ostergaard2015">
        <w:r>
          <w:rPr>
            <w:rStyle w:val="Hyperlink"/>
            <w:vertAlign w:val="superscript"/>
          </w:rPr>
          <w:t xml:space="preserve">70</w:t>
        </w:r>
      </w:hyperlink>
      <w:r>
        <w:t xml:space="preserve"> </w:t>
      </w:r>
      <w:r>
        <w:t xml:space="preserve">having low risk of bias across all domains and thus receiving a substantial proportion of the weight in the first case study (Figure</w:t>
      </w:r>
      <w:r>
        <w:t xml:space="preserve"> </w:t>
      </w:r>
      <w:r>
        <w:t xml:space="preserve">46</w:t>
      </w:r>
      <w:r>
        <w:t xml:space="preserve">). While the RoB suite of tools (RoB 2.0, ROBINS-I, ROBINS-E) were developed by an expert working group and have been widely used, the Mamluk</w:t>
      </w:r>
      <w:r>
        <w:t xml:space="preserve"> </w:t>
      </w:r>
      <w:r>
        <w:rPr>
          <w:iCs/>
          <w:i/>
        </w:rPr>
        <w:t xml:space="preserve">et al.</w:t>
      </w:r>
      <w:r>
        <w:t xml:space="preserve"> </w:t>
      </w:r>
      <w:r>
        <w:t xml:space="preserve">tool</w:t>
      </w:r>
      <w:hyperlink w:anchor="ref-mamluk2020">
        <w:r>
          <w:rPr>
            <w:rStyle w:val="Hyperlink"/>
            <w:vertAlign w:val="superscript"/>
          </w:rPr>
          <w:t xml:space="preserve">162</w:t>
        </w:r>
      </w:hyperlink>
      <w:r>
        <w:t xml:space="preserve"> </w:t>
      </w:r>
      <w:r>
        <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
      </w:r>
      <w:r>
        <w:t xml:space="preserve"> </w:t>
      </w:r>
      <w:r>
        <w:t xml:space="preserve">“</w:t>
      </w:r>
      <w:r>
        <w:t xml:space="preserve">Moderate</w:t>
      </w:r>
      <w:r>
        <w:t xml:space="preserve">”</w:t>
      </w:r>
      <w:r>
        <w:t xml:space="preserve"> </w:t>
      </w:r>
      <w:r>
        <w:t xml:space="preserve">judgement in the confounding domain. Under these conditions, it is possible that a well-performed cohort study (low risk of bias across everything other that bias due to confounding) will be down-weighted versus a potentially poor MR study.</w:t>
      </w:r>
    </w:p>
    <w:p>
      <w:pPr>
        <w:pStyle w:val="BodyText"/>
      </w:pPr>
      <w:r>
        <w:t xml:space="preserve"> </w:t>
      </w:r>
    </w:p>
    <w:bookmarkEnd w:id="297"/>
    <w:bookmarkStart w:id="298"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 While this is in line with best practice, there is theoretically no reason why studies with this extent of bias could not be included in the propsed framework. However, the estimation of an appropriate prior distribution for the effect of</w:t>
      </w:r>
      <w:r>
        <w:t xml:space="preserve"> </w:t>
      </w:r>
      <w:r>
        <w:t xml:space="preserve">“</w:t>
      </w:r>
      <w:r>
        <w:t xml:space="preserve">Critical</w:t>
      </w:r>
      <w:r>
        <w:t xml:space="preserve">”</w:t>
      </w:r>
      <w:r>
        <w:t xml:space="preserve"> </w:t>
      </w:r>
      <w:r>
        <w:t xml:space="preserve">bias would be substantially more challenging, and so was avoided here.</w:t>
      </w:r>
    </w:p>
    <w:p>
      <w:pPr>
        <w:pStyle w:val="BodyText"/>
      </w:pPr>
      <w:r>
        <w:t xml:space="preserve">A related issue is the</w:t>
      </w:r>
      <w:r>
        <w:t xml:space="preserve"> </w:t>
      </w:r>
      <w:r>
        <w:t xml:space="preserve">“</w:t>
      </w:r>
      <w:r>
        <w:t xml:space="preserve">Low</w:t>
      </w:r>
      <w:r>
        <w:t xml:space="preserve">”</w:t>
      </w:r>
      <w:r>
        <w:t xml:space="preserve"> </w:t>
      </w:r>
      <w:r>
        <w:t xml:space="preserve">risk of bias judgement. In this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if only minimally. In this case, defining the predicted direction of bias would be particularly challenging in the absence of obvious sources of bias.</w:t>
      </w:r>
    </w:p>
    <w:p>
      <w:pPr>
        <w:pStyle w:val="BodyText"/>
      </w:pPr>
      <w:r>
        <w:t xml:space="preserve"> </w:t>
      </w:r>
    </w:p>
    <w:bookmarkEnd w:id="298"/>
    <w:bookmarkStart w:id="299" w:name="combination-of-different-effect-measures"/>
    <w:p>
      <w:pPr>
        <w:pStyle w:val="Heading4"/>
      </w:pPr>
      <w:r>
        <w:t xml:space="preserve">Combination of different effect measures</w:t>
      </w:r>
    </w:p>
    <w:p>
      <w:pPr>
        <w:pStyle w:val="FirstParagraph"/>
      </w:pPr>
      <w:r>
        <w:t xml:space="preserve">A final limitation to this analysis is the synthesis of different effect estimates. As discussed in Section</w:t>
      </w:r>
      <w:r>
        <w:t xml:space="preserve"> </w:t>
      </w:r>
      <w:r>
        <w:t xml:space="preserve">3.2.9.1</w:t>
      </w:r>
      <w:r>
        <w:t xml:space="preserve">, hazard ratios are not directly comparable to odds ratios, as they inherently account for person time-at-risk.</w:t>
      </w:r>
      <w:hyperlink w:anchor="ref-mckenzie2019">
        <w:r>
          <w:rPr>
            <w:rStyle w:val="Hyperlink"/>
            <w:vertAlign w:val="superscript"/>
          </w:rPr>
          <w:t xml:space="preserve">165</w:t>
        </w:r>
      </w:hyperlink>
      <w:r>
        <w:t xml:space="preserve"> </w:t>
      </w:r>
      <w:r>
        <w:t xml:space="preserve">As non-randomised studies (NRSI/NRSI) of dementia outcomes report hazard ratios and Mendelian randomisation studies report odds ratios, the resulting synthesis may be biased by the integration of these two different effect measures. This is primarily a concern for common outcomes, as when the outcome is rare, the odds, risk and hazard ratios approximate each other.</w:t>
      </w:r>
    </w:p>
    <w:p>
      <w:pPr>
        <w:pStyle w:val="BodyText"/>
      </w:pPr>
      <w:r>
        <w:t xml:space="preserve"> </w:t>
      </w:r>
    </w:p>
    <w:bookmarkEnd w:id="299"/>
    <w:bookmarkEnd w:id="300"/>
    <w:bookmarkStart w:id="301" w:name="strengths-2"/>
    <w:p>
      <w:pPr>
        <w:pStyle w:val="Heading3"/>
      </w:pPr>
      <w:r>
        <w:t xml:space="preserve">Strengths</w:t>
      </w:r>
    </w:p>
    <w:p>
      <w:pPr>
        <w:pStyle w:val="FirstParagraph"/>
      </w:pPr>
      <w:r>
        <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
      </w:r>
      <w:r>
        <w:t xml:space="preserve"> </w:t>
      </w:r>
      <w:r>
        <w:t xml:space="preserve">“</w:t>
      </w:r>
      <w:r>
        <w:t xml:space="preserve">explode out</w:t>
      </w:r>
      <w:r>
        <w:t xml:space="preserve">”</w:t>
      </w:r>
      <w:r>
        <w:t xml:space="preserve"> </w:t>
      </w:r>
      <w:r>
        <w:t xml:space="preserve">the component results of a meta-analysis, and consider the effects of bias/indirectness in each separately.</w:t>
      </w:r>
    </w:p>
    <w:p>
      <w:pPr>
        <w:pStyle w:val="BodyText"/>
      </w:pPr>
      <w:r>
        <w:t xml:space="preserve">A further advantage of this method comes from the ability to specify the prior distributions for each level of bias/indirectness in advance of performing the assessments. Expert elicitation of the extent of bias/indirectness using a panel of methodologists and topic experts is a powerful technique but the point at which it is deployed in the framework is important. In previous attempts at bias-/indirectness-adjusted meta-analysis, the extent of bias in each study was assessed via a elicitation process,</w:t>
      </w:r>
      <w:hyperlink w:anchor="ref-turner2009">
        <w:r>
          <w:rPr>
            <w:rStyle w:val="Hyperlink"/>
            <w:vertAlign w:val="superscript"/>
          </w:rPr>
          <w:t xml:space="preserve">336</w:t>
        </w:r>
      </w:hyperlink>
      <w:r>
        <w:rPr>
          <w:vertAlign w:val="superscript"/>
        </w:rPr>
        <w:t xml:space="preserve">,</w:t>
      </w:r>
      <w:hyperlink w:anchor="ref-thompson2011">
        <w:r>
          <w:rPr>
            <w:rStyle w:val="Hyperlink"/>
            <w:vertAlign w:val="superscript"/>
          </w:rPr>
          <w:t xml:space="preserve">338</w:t>
        </w:r>
      </w:hyperlink>
      <w:r>
        <w:rPr>
          <w:vertAlign w:val="superscript"/>
        </w:rPr>
        <w:t xml:space="preserve">,</w:t>
      </w:r>
      <w:hyperlink w:anchor="ref-wilks2011">
        <w:r>
          <w:rPr>
            <w:rStyle w:val="Hyperlink"/>
            <w:vertAlign w:val="superscript"/>
          </w:rPr>
          <w:t xml:space="preserve">348</w:t>
        </w:r>
      </w:hyperlink>
      <w:r>
        <w:t xml:space="preserve"> </w:t>
      </w:r>
      <w:r>
        <w:t xml:space="preserve">during which experts were aware of the results of each analysis. This approach is potentially subject to differential misclassification of the impact of bias/indirectness on the basis of the results, as there is no way to ensure that results at a similar level of bias for confounding (for example) are being adjusted by the same amount across studies. As an illustrative example, if experts are influenced by the knowledge of the effect estimate in a study, then a result at</w:t>
      </w:r>
      <w:r>
        <w:t xml:space="preserve"> </w:t>
      </w:r>
      <w:r>
        <w:t xml:space="preserve">“</w:t>
      </w:r>
      <w:r>
        <w:t xml:space="preserve">Moderate</w:t>
      </w:r>
      <w:r>
        <w:t xml:space="preserve">”</w:t>
      </w:r>
      <w:r>
        <w:t xml:space="preserve"> </w:t>
      </w:r>
      <w:r>
        <w:t xml:space="preserve">risk of confounding and demonstrating a stronger protective effect may receive greater adjustment than a study at the same risk of confounding but with a more modest effect. This is likely to be particularly problematic where experts have preconceived ideas about the true effectiveness of the intervention.</w:t>
      </w:r>
    </w:p>
    <w:p>
      <w:pPr>
        <w:pStyle w:val="BodyText"/>
      </w:pPr>
      <w:r>
        <w:t xml:space="preserve">Separating the assessment of bias/indirectness from the assignment of modifying values to each judgement will limit the potential for this misclassification. Using the framework proposed, reasonable modifying distributions for each level of bias can be defined</w:t>
      </w:r>
      <w:r>
        <w:t xml:space="preserve"> </w:t>
      </w:r>
      <w:r>
        <w:rPr>
          <w:iCs/>
          <w:i/>
        </w:rPr>
        <w:t xml:space="preserve">a priori</w:t>
      </w:r>
      <w:r>
        <w:t xml:space="preserve"> </w:t>
      </w:r>
      <w:r>
        <w:t xml:space="preserve">by the study team using the elicitation procedure detailed previously,</w:t>
      </w:r>
      <w:hyperlink w:anchor="ref-turner2009">
        <w:r>
          <w:rPr>
            <w:rStyle w:val="Hyperlink"/>
            <w:vertAlign w:val="superscript"/>
          </w:rPr>
          <w:t xml:space="preserve">336</w:t>
        </w:r>
      </w:hyperlink>
      <w:r>
        <w:t xml:space="preserve"> </w:t>
      </w:r>
      <w:r>
        <w:t xml:space="preserve">similar to how important confounders and co-interventions are defined in advance when performing ROBINS-I/ROBINS-E assessments.</w:t>
      </w:r>
      <w:hyperlink w:anchor="ref-sterne2016">
        <w:r>
          <w:rPr>
            <w:rStyle w:val="Hyperlink"/>
            <w:vertAlign w:val="superscript"/>
          </w:rPr>
          <w:t xml:space="preserve">155</w:t>
        </w:r>
      </w:hyperlink>
      <w:r>
        <w:t xml:space="preserve"> </w:t>
      </w:r>
      <w:r>
        <w:t xml:space="preserve">As an example, expert elicitation could be used to</w:t>
      </w:r>
      <w:r>
        <w:t xml:space="preserve"> </w:t>
      </w:r>
      <w:r>
        <w:rPr>
          <w:iCs/>
          <w:i/>
        </w:rPr>
        <w:t xml:space="preserve">a priori</w:t>
      </w:r>
      <w:r>
        <w:t xml:space="preserve"> </w:t>
      </w:r>
      <w:r>
        <w:t xml:space="preserve">define an additive bias distribution of N(.1,0.7) for</w:t>
      </w:r>
      <w:r>
        <w:t xml:space="preserve"> </w:t>
      </w:r>
      <w:r>
        <w:t xml:space="preserve">“</w:t>
      </w:r>
      <w:r>
        <w:t xml:space="preserve">Moderate</w:t>
      </w:r>
      <w:r>
        <w:t xml:space="preserve">”</w:t>
      </w:r>
      <w:r>
        <w:t xml:space="preserve"> </w:t>
      </w:r>
      <w:r>
        <w:t xml:space="preserve">risk of bias in Domain 1 of the ROBINS-I tool (bias due to confounding). Risk-of-bias assessments are then performed, and each result at</w:t>
      </w:r>
      <w:r>
        <w:t xml:space="preserve"> </w:t>
      </w:r>
      <w:r>
        <w:t xml:space="preserve">“</w:t>
      </w:r>
      <w:r>
        <w:t xml:space="preserve">Moderate</w:t>
      </w:r>
      <w:r>
        <w:t xml:space="preserve">”</w:t>
      </w:r>
      <w:r>
        <w:t xml:space="preserve"> </w:t>
      </w:r>
      <w:r>
        <w:t xml:space="preserve">risk of bias in Domain 1 is adjusted using this pre-specified distribution.</w:t>
      </w:r>
    </w:p>
    <w:p>
      <w:pPr>
        <w:pStyle w:val="BodyText"/>
      </w:pPr>
      <w:r>
        <w:t xml:space="preserve">Finally, accounting for bias using an incorrect prior distribution is no less problematic that synthesising and drawing conclusions from effect estimates as if they were unbiased, a common occurrence in systematic reviews.</w:t>
      </w:r>
      <w:hyperlink w:anchor="ref-katikireddi2015">
        <w:r>
          <w:rPr>
            <w:rStyle w:val="Hyperlink"/>
            <w:vertAlign w:val="superscript"/>
          </w:rPr>
          <w:t xml:space="preserve">181</w:t>
        </w:r>
      </w:hyperlink>
      <w:r>
        <w:t xml:space="preserve"> </w:t>
      </w:r>
      <w:r>
        <w:t xml:space="preserve">While this analysis may be limited by the absence of empirically-derived adjustment distributions, it at the very least acknowledges the uncertainty of evidence due to bias/indirectness via a reduction in precision.</w:t>
      </w:r>
    </w:p>
    <w:p>
      <w:pPr>
        <w:pStyle w:val="BodyText"/>
      </w:pPr>
      <w:r>
        <w:t xml:space="preserve"> </w:t>
      </w:r>
    </w:p>
    <w:bookmarkEnd w:id="301"/>
    <w:bookmarkStart w:id="302" w:name="future-research"/>
    <w:p>
      <w:pPr>
        <w:pStyle w:val="Heading3"/>
      </w:pPr>
      <w:r>
        <w:t xml:space="preserve">Future research</w:t>
      </w:r>
    </w:p>
    <w:p>
      <w:pPr>
        <w:pStyle w:val="FirstParagraph"/>
      </w:pPr>
      <w:r>
        <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
      </w:r>
      <w:hyperlink w:anchor="ref-savovic2018">
        <w:r>
          <w:rPr>
            <w:rStyle w:val="Hyperlink"/>
            <w:vertAlign w:val="superscript"/>
          </w:rPr>
          <w:t xml:space="preserve">344</w:t>
        </w:r>
      </w:hyperlink>
      <w:r>
        <w:t xml:space="preserve"> </w:t>
      </w:r>
      <w:r>
        <w:t xml:space="preserve">given the absence of an underlying database of meta-analysis of non-randomised studies.</w:t>
      </w:r>
    </w:p>
    <w:p>
      <w:pPr>
        <w:pStyle w:val="BodyText"/>
      </w:pPr>
      <w:r>
        <w:t xml:space="preserve">Future development of this framework should also account for bias at the analysis level in terms of missing evidence.</w:t>
      </w:r>
      <w:hyperlink w:anchor="ref-zotero-15123">
        <w:r>
          <w:rPr>
            <w:rStyle w:val="Hyperlink"/>
            <w:vertAlign w:val="superscript"/>
          </w:rPr>
          <w:t xml:space="preserve">164</w:t>
        </w:r>
      </w:hyperlink>
      <w:r>
        <w:t xml:space="preserve"> </w:t>
      </w:r>
      <w:r>
        <w:t xml:space="preserve">For example, there is at least one known study relevant to the vascular dementia case study that reported a non-significant result but provided insufficient details to be included in the analysis.</w:t>
      </w:r>
      <w:hyperlink w:anchor="ref-chiang2007">
        <w:r>
          <w:rPr>
            <w:rStyle w:val="Hyperlink"/>
            <w:vertAlign w:val="superscript"/>
          </w:rPr>
          <w:t xml:space="preserve">219</w:t>
        </w:r>
      </w:hyperlink>
      <w:r>
        <w:t xml:space="preserve"> </w:t>
      </w:r>
      <w:r>
        <w:t xml:space="preserve">Ideally, a quantitative triangulation framework would further account for this proportional meta-bias (as bias due to missing evidence is most likely to bias away from the null due to publication bias mechanisms), in addition to result-specific biases.</w:t>
      </w:r>
    </w:p>
    <w:p>
      <w:pPr>
        <w:pStyle w:val="BodyText"/>
      </w:pPr>
      <w:r>
        <w:t xml:space="preserve">Appreciation that both the risk-of-bias and indirectness of a result should be assessed is growing. Indeed, some existing for the assessment of diagnostic test accuracy</w:t>
      </w:r>
      <w:hyperlink w:anchor="ref-whiting2011">
        <w:r>
          <w:rPr>
            <w:rStyle w:val="Hyperlink"/>
            <w:vertAlign w:val="superscript"/>
          </w:rPr>
          <w:t xml:space="preserve">349</w:t>
        </w:r>
      </w:hyperlink>
      <w:r>
        <w:t xml:space="preserve"> </w:t>
      </w:r>
      <w:r>
        <w:t xml:space="preserve">and prediction models</w:t>
      </w:r>
      <w:hyperlink w:anchor="ref-moons2019">
        <w:r>
          <w:rPr>
            <w:rStyle w:val="Hyperlink"/>
            <w:vertAlign w:val="superscript"/>
          </w:rPr>
          <w:t xml:space="preserve">350</w:t>
        </w:r>
      </w:hyperlink>
      <w:r>
        <w:t xml:space="preserve"> </w:t>
      </w:r>
      <w:r>
        <w:t xml:space="preserve">consider indirectness (termed applicability in these tools) alongside the assessment of bias. Future iterations of the core risk-of-bias tools (RoB 2, ROBINS-I, ROBINS-E) could take this into account, though there is an competing argument that indirectness is already handled via tools such as the GRADE framework.</w:t>
      </w:r>
      <w:hyperlink w:anchor="ref-guyatt2011">
        <w:r>
          <w:rPr>
            <w:rStyle w:val="Hyperlink"/>
            <w:vertAlign w:val="superscript"/>
          </w:rPr>
          <w:t xml:space="preserve">337</w:t>
        </w:r>
      </w:hyperlink>
      <w:r>
        <w:t xml:space="preserve"> </w:t>
      </w:r>
      <w:r>
        <w:t xml:space="preserve">In addition, simple steps like harmonising the risk-of-bias judgements across tools and making the direction of bias question mandatory (even if users default to</w:t>
      </w:r>
      <w:r>
        <w:t xml:space="preserve"> </w:t>
      </w:r>
      <w:r>
        <w:t xml:space="preserve">“</w:t>
      </w:r>
      <w:r>
        <w:t xml:space="preserve">Unpredictable</w:t>
      </w:r>
      <w:r>
        <w:t xml:space="preserve">”</w:t>
      </w:r>
      <w:r>
        <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
      </w:r>
    </w:p>
    <w:p>
      <w:pPr>
        <w:pStyle w:val="BodyText"/>
      </w:pPr>
      <w:r>
        <w:t xml:space="preserve"> </w:t>
      </w:r>
    </w:p>
    <w:bookmarkEnd w:id="302"/>
    <w:bookmarkStart w:id="303"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triangulate</w:t>
      </w:r>
      <w:r>
        <w:t xml:space="preserve"> </w:t>
      </w:r>
      <w:r>
        <w:t xml:space="preserve">R package. Personal communication with the authors of the original method resulted in the STATA code to implement the bias-/indirectness-adjusted model.</w:t>
      </w:r>
      <w:hyperlink w:anchor="ref-turner2009">
        <w:r>
          <w:rPr>
            <w:rStyle w:val="Hyperlink"/>
            <w:vertAlign w:val="superscript"/>
          </w:rPr>
          <w:t xml:space="preserve">336</w:t>
        </w:r>
      </w:hyperlink>
      <w:r>
        <w:t xml:space="preserve"> </w:t>
      </w:r>
      <w:r>
        <w:t xml:space="preserve">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production of bias direction plots (via the tool described in Appendix @ref(?), calculation of bias/indirectness-adjusted estimates for each result, and synthesis of these adjusted results in a standard random-effects meta-analysis.</w:t>
      </w:r>
    </w:p>
    <w:p>
      <w:pPr>
        <w:pStyle w:val="BodyText"/>
      </w:pPr>
      <w:r>
        <w:t xml:space="preserve">The second key output is an annotated example dataset for the LDL-c/Alzheimer’s disease causal question addressed in this chapter. Available via the</w:t>
      </w:r>
      <w:r>
        <w:t xml:space="preserve"> </w:t>
      </w:r>
      <w:r>
        <w:rPr>
          <w:rStyle w:val="VerbatimChar"/>
        </w:rPr>
        <w:t xml:space="preserve">triangulate</w:t>
      </w:r>
      <w:r>
        <w:t xml:space="preserve"> </w:t>
      </w:r>
      <w:r>
        <w:t xml:space="preserve">package, this data will provide developers of new triangulation methods with an example dataset on which to test new tools, something which seriously hindered development of this work.</w:t>
      </w:r>
    </w:p>
    <w:p>
      <w:pPr>
        <w:pStyle w:val="BodyText"/>
      </w:pPr>
      <w:r>
        <w:t xml:space="preserve"> </w:t>
      </w:r>
    </w:p>
    <w:bookmarkEnd w:id="303"/>
    <w:bookmarkEnd w:id="304"/>
    <w:bookmarkStart w:id="305" w:name="summary-6"/>
    <w:p>
      <w:pPr>
        <w:pStyle w:val="Heading2"/>
      </w:pPr>
      <w:r>
        <w:t xml:space="preserve">Summary</w:t>
      </w:r>
    </w:p>
    <w:p>
      <w:pPr>
        <w:numPr>
          <w:ilvl w:val="0"/>
          <w:numId w:val="1025"/>
        </w:numPr>
      </w:pPr>
      <w:r>
        <w:t xml:space="preserve">In this chapter, I narratively described the evidence identified or produced in previous chapters, and highlighted the issues with a qualitative approach to triangulation when there are several sources of evidence.</w:t>
      </w:r>
    </w:p>
    <w:p>
      <w:pPr>
        <w:numPr>
          <w:ilvl w:val="0"/>
          <w:numId w:val="1025"/>
        </w:numPr>
      </w:pPr>
      <w:r>
        <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
      </w:r>
    </w:p>
    <w:p>
      <w:pPr>
        <w:numPr>
          <w:ilvl w:val="0"/>
          <w:numId w:val="1025"/>
        </w:numPr>
      </w:pPr>
      <w:r>
        <w:t xml:space="preserve">I discussed the limitations of this proposed method, given the absence of informative priors for the impact of bias/indirectness, and proposed future research (i.e. meta-epidemiological studies) that would address them.</w:t>
      </w:r>
    </w:p>
    <w:p>
      <w:pPr>
        <w:numPr>
          <w:ilvl w:val="0"/>
          <w:numId w:val="1025"/>
        </w:numPr>
      </w:pPr>
      <w:r>
        <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
      </w:r>
    </w:p>
    <w:bookmarkEnd w:id="305"/>
    <w:bookmarkEnd w:id="306"/>
    <w:bookmarkStart w:id="330" w:name="discussion-heading"/>
    <w:p>
      <w:pPr>
        <w:pStyle w:val="Heading1"/>
      </w:pPr>
      <w:r>
        <w:t xml:space="preserve">Discussion</w:t>
      </w:r>
    </w:p>
    <w:p>
      <w:pPr>
        <w:pStyle w:val="FirstParagraph"/>
      </w:pPr>
      <w:r>
        <w:t xml:space="preserve"> </w:t>
      </w:r>
    </w:p>
    <w:p>
      <w:pPr>
        <w:pStyle w:val="BodyText"/>
      </w:pPr>
    </w:p>
    <w:p>
      <w:r>
        <w:br w:type="page"/>
      </w:r>
    </w:p>
    <w:bookmarkStart w:id="307" w:name="lay-summary-7"/>
    <w:p>
      <w:pPr>
        <w:pStyle w:val="Heading2"/>
      </w:pPr>
      <w:r>
        <w:t xml:space="preserve">Lay summary</w:t>
      </w:r>
    </w:p>
    <w:p>
      <w:pPr>
        <w:pStyle w:val="FirstParagraph"/>
      </w:pPr>
      <w:r>
        <w:rPr>
          <w:bCs/>
          <w:b/>
        </w:rPr>
        <w:t xml:space="preserve">TBC</w:t>
      </w:r>
    </w:p>
    <w:bookmarkEnd w:id="307"/>
    <w:p>
      <w:pPr>
        <w:pStyle w:val="BodyText"/>
      </w:pPr>
      <w:r>
        <w:t xml:space="preserve"> </w:t>
      </w:r>
    </w:p>
    <w:bookmarkStart w:id="309" w:name="introduction-4"/>
    <w:p>
      <w:pPr>
        <w:pStyle w:val="Heading2"/>
      </w:pPr>
      <w:r>
        <w:t xml:space="preserve">Introduction</w:t>
      </w:r>
    </w:p>
    <w:p>
      <w:pPr>
        <w:pStyle w:val="FirstParagraph"/>
      </w:pPr>
      <w:r>
        <w:t xml:space="preserve">The aim of this thesis was to attempt to infer the causal effect of blood lipid levels on dementia outcomes. In this discussion, I will review the contribution of each chapter to this central aim, summarise the principal findings and methodological innovations, and discuss the implications of my findings for both clinical and public health practice. I consider the overall strengths and limitations of this thesis as a coherent body of work and suggest avenues for impactful future research that builds on the research presented.</w:t>
      </w:r>
    </w:p>
    <w:p>
      <w:pPr>
        <w:pStyle w:val="BodyText"/>
      </w:pPr>
      <w:r>
        <w:t xml:space="preserve"> </w:t>
      </w:r>
    </w:p>
    <w:bookmarkStart w:id="308" w:name="chapter-summary"/>
    <w:p>
      <w:pPr>
        <w:pStyle w:val="Heading3"/>
      </w:pPr>
      <w:r>
        <w:t xml:space="preserve">Chapter summary</w:t>
      </w:r>
    </w:p>
    <w:p>
      <w:pPr>
        <w:pStyle w:val="FirstParagraph"/>
      </w:pPr>
      <w:r>
        <w:t xml:space="preserve">This thesis is comprised of a mix of methodological and applied research chapters.</w:t>
      </w:r>
    </w:p>
    <w:p>
      <w:pPr>
        <w:pStyle w:val="BodyText"/>
      </w:pPr>
      <w:r>
        <w:t xml:space="preserve">In</w:t>
      </w:r>
      <w:r>
        <w:t xml:space="preserve"> </w:t>
      </w:r>
      <w:r>
        <w:rPr>
          <w:bCs/>
          <w:b/>
        </w:rPr>
        <w:t xml:space="preserve">Chapter</w:t>
      </w:r>
      <w:r>
        <w:rPr>
          <w:bCs/>
          <w:b/>
        </w:rPr>
        <w:t xml:space="preserve"> </w:t>
      </w:r>
      <w:r>
        <w:rPr>
          <w:bCs/>
          <w:b/>
        </w:rPr>
        <w:t xml:space="preserve">2</w:t>
      </w:r>
      <w:r>
        <w:t xml:space="preserve">, I introduced the core concepts considered in this thesis and framed the research presented in relation to a theoetical framework of evidence synthesis.</w:t>
      </w:r>
    </w:p>
    <w:p>
      <w:pPr>
        <w:pStyle w:val="BodyText"/>
      </w:pPr>
      <w:r>
        <w:t xml:space="preserve">In</w:t>
      </w:r>
      <w:r>
        <w:t xml:space="preserve"> </w:t>
      </w:r>
      <w:r>
        <w:rPr>
          <w:bCs/>
          <w:b/>
        </w:rPr>
        <w:t xml:space="preserve">Chapter</w:t>
      </w:r>
      <w:r>
        <w:rPr>
          <w:bCs/>
          <w:b/>
        </w:rPr>
        <w:t xml:space="preserve"> </w:t>
      </w:r>
      <w:r>
        <w:rPr>
          <w:bCs/>
          <w:b/>
        </w:rPr>
        <w:t xml:space="preserve">2</w:t>
      </w:r>
      <w:r>
        <w:t xml:space="preserve">, I presented a new tool for the systematic searching of health-related preprints, and detailed two use cases for preprint metadata beyond the systematic searching of this evidence source.</w:t>
      </w:r>
    </w:p>
    <w:p>
      <w:pPr>
        <w:pStyle w:val="BodyText"/>
      </w:pPr>
      <w:r>
        <w:t xml:space="preserve">In</w:t>
      </w:r>
      <w:r>
        <w:t xml:space="preserve"> </w:t>
      </w:r>
      <w:r>
        <w:rPr>
          <w:bCs/>
          <w:b/>
        </w:rPr>
        <w:t xml:space="preserve">Chapter</w:t>
      </w:r>
      <w:r>
        <w:rPr>
          <w:bCs/>
          <w:b/>
        </w:rPr>
        <w:t xml:space="preserve"> </w:t>
      </w:r>
      <w:r>
        <w:rPr>
          <w:bCs/>
          <w:b/>
        </w:rPr>
        <w:t xml:space="preserve">3</w:t>
      </w:r>
      <w:r>
        <w:t xml:space="preserve">, I describe the methods of a comprehensive systematic review of all available evidence on the association of both lipids and lipid-regulating agents with demetia outcomes. The results of this analysis are then presented in</w:t>
      </w:r>
      <w:r>
        <w:t xml:space="preserve"> </w:t>
      </w:r>
      <w:r>
        <w:rPr>
          <w:bCs/>
          <w:b/>
        </w:rPr>
        <w:t xml:space="preserve">Chapter</w:t>
      </w:r>
      <w:r>
        <w:rPr>
          <w:bCs/>
          <w:b/>
        </w:rPr>
        <w:t xml:space="preserve"> </w:t>
      </w:r>
      <w:r>
        <w:rPr>
          <w:bCs/>
          <w:b/>
        </w:rPr>
        <w:t xml:space="preserve">4</w:t>
      </w:r>
      <w:r>
        <w:t xml:space="preserve">.</w:t>
      </w:r>
    </w:p>
    <w:p>
      <w:pPr>
        <w:pStyle w:val="BodyText"/>
      </w:pPr>
      <w:r>
        <w:t xml:space="preserve">In</w:t>
      </w:r>
      <w:r>
        <w:t xml:space="preserve"> </w:t>
      </w:r>
      <w:r>
        <w:rPr>
          <w:bCs/>
          <w:b/>
        </w:rPr>
        <w:t xml:space="preserve">Chapter</w:t>
      </w:r>
      <w:r>
        <w:rPr>
          <w:bCs/>
          <w:b/>
        </w:rPr>
        <w:t xml:space="preserve"> </w:t>
      </w:r>
      <w:r>
        <w:rPr>
          <w:bCs/>
          <w:b/>
        </w:rPr>
        <w:t xml:space="preserve">??</w:t>
      </w:r>
      <w:r>
        <w:t xml:space="preserve">, I describe an analysis of the association of lipid-regulating agent use and dementia outcomes in the CPRD, a large electronic health record database. I make use of control outcomes to illustrate insufficiently controlled confounding.</w:t>
      </w:r>
    </w:p>
    <w:p>
      <w:pPr>
        <w:pStyle w:val="BodyText"/>
      </w:pPr>
      <w:r>
        <w:t xml:space="preserve">In</w:t>
      </w:r>
      <w:r>
        <w:t xml:space="preserve"> </w:t>
      </w:r>
      <w:r>
        <w:rPr>
          <w:bCs/>
          <w:b/>
        </w:rPr>
        <w:t xml:space="preserve">Chapter</w:t>
      </w:r>
      <w:r>
        <w:rPr>
          <w:bCs/>
          <w:b/>
        </w:rPr>
        <w:t xml:space="preserve"> </w:t>
      </w:r>
      <w:r>
        <w:rPr>
          <w:bCs/>
          <w:b/>
        </w:rPr>
        <w:t xml:space="preserve">6</w:t>
      </w:r>
      <w:r>
        <w:t xml:space="preserve">, I present an individual participant data meta-analysis of the association of lipid levels and dementia outcomes, using previously unanalysed data accessed via the Dementia Platform UK.</w:t>
      </w:r>
    </w:p>
    <w:p>
      <w:pPr>
        <w:pStyle w:val="BodyText"/>
      </w:pPr>
      <w:r>
        <w:t xml:space="preserve">Finally, in</w:t>
      </w:r>
      <w:r>
        <w:t xml:space="preserve"> </w:t>
      </w:r>
      <w:r>
        <w:rPr>
          <w:bCs/>
          <w:b/>
        </w:rPr>
        <w:t xml:space="preserve">Chapter</w:t>
      </w:r>
      <w:r>
        <w:rPr>
          <w:bCs/>
          <w:b/>
        </w:rPr>
        <w:t xml:space="preserve"> </w:t>
      </w:r>
      <w:r>
        <w:rPr>
          <w:bCs/>
          <w:b/>
        </w:rPr>
        <w:t xml:space="preserve">7</w:t>
      </w:r>
      <w:r>
        <w:t xml:space="preserve">, I propose a new method for the systematic integration of multiple evidence sources as part of quantitative triangulation framework. I illustrate the method using two case studies (the effect of LDL-c on Alzheimer’s disease and the effect of triglycerides on vascular dementia), drawing on the evidence identified or produced by previous chapters.</w:t>
      </w:r>
    </w:p>
    <w:p>
      <w:pPr>
        <w:pStyle w:val="BodyText"/>
      </w:pPr>
      <w:r>
        <w:t xml:space="preserve"> </w:t>
      </w:r>
    </w:p>
    <w:bookmarkEnd w:id="308"/>
    <w:bookmarkEnd w:id="309"/>
    <w:bookmarkStart w:id="314" w:name="summary-of-clinical-findings"/>
    <w:p>
      <w:pPr>
        <w:pStyle w:val="Heading2"/>
      </w:pPr>
      <w:r>
        <w:t xml:space="preserve">Summary of clinical findings</w:t>
      </w:r>
    </w:p>
    <w:bookmarkStart w:id="310" w:name="Xb108035f3582b1a4ee1aecd219aac965395e6e6"/>
    <w:p>
      <w:pPr>
        <w:pStyle w:val="Heading3"/>
      </w:pPr>
      <w:r>
        <w:t xml:space="preserve">Effect of blood lipids on dementia outcomes</w:t>
      </w:r>
    </w:p>
    <w:p>
      <w:pPr>
        <w:pStyle w:val="FirstParagraph"/>
      </w:pPr>
      <w:r>
        <w:t xml:space="preserve">As the results of the different components of this thesis are discussed in detail as part of the triangulation analysis (see Section</w:t>
      </w:r>
      <w:r>
        <w:t xml:space="preserve"> </w:t>
      </w:r>
      <w:r>
        <w:t xml:space="preserve">7.3</w:t>
      </w:r>
      <w:r>
        <w:t xml:space="preserve">), here I briefly summarise the key findings.</w:t>
      </w:r>
    </w:p>
    <w:p>
      <w:pPr>
        <w:pStyle w:val="BodyText"/>
      </w:pPr>
      <w:r>
        <w:t xml:space="preserve">Overall, I did not identify a consistent effect of any blood lipid fraction (total cholesterol, LDL cholesterol, HDL cholesterol or triglycerides) on any dementia outcome (all-cause dementia, Alzheimer’s disease or vascular dementia). While published non-randomised studies provided evidence for a protective effect of lipid-lowering via statin use on Alzheimer’s disease and the IPD analysis suggested a harmful effect of raised triglycerides on vascular dementia, these effects were not maintained when incorporated along with other sources of evidence in a quantitative triangulation framework. Similarly, the IPD analysis did not provide evidence for an interaction of patient characteristics with the association of blood lipids on dementia outcomes, though the results are limited by low number of cohorts analysed.</w:t>
      </w:r>
    </w:p>
    <w:p>
      <w:pPr>
        <w:pStyle w:val="BodyText"/>
      </w:pPr>
      <w:r>
        <w:t xml:space="preserve">In the published literature, statins were by far the most studied lipid-regulating agent in relation to dementia outcomes. Given the large proportion of patients taking statins as indicated by my analysis of the CPRD data, this finding is unsurprising. Finally, there was a substantial absence of evidence for vascular dementia.</w:t>
      </w:r>
    </w:p>
    <w:p>
      <w:pPr>
        <w:pStyle w:val="BodyText"/>
      </w:pPr>
      <w:r>
        <w:t xml:space="preserve"> </w:t>
      </w:r>
    </w:p>
    <w:bookmarkEnd w:id="310"/>
    <w:bookmarkStart w:id="311" w:name="comparison-with-new-evidence"/>
    <w:p>
      <w:pPr>
        <w:pStyle w:val="Heading3"/>
      </w:pPr>
      <w:r>
        <w:t xml:space="preserve">Comparison with new evidence</w:t>
      </w:r>
    </w:p>
    <w:p>
      <w:pPr>
        <w:pStyle w:val="FirstParagraph"/>
      </w:pPr>
      <w:r>
        <w:t xml:space="preserve">Since the searches underpinning the systematic review described in this thesis were performed (July 2019), further studies on this topic have been performed. Two of these, noteable for the analysis of large UK cohorts, are discussed here.</w:t>
      </w:r>
    </w:p>
    <w:p>
      <w:pPr>
        <w:pStyle w:val="BodyText"/>
      </w:pPr>
      <w:r>
        <w:t xml:space="preserve">The first is a large-scale analysis of 953,635 patients in the CPRD, followed from their first LDL-c measurement.</w:t>
      </w:r>
      <w:hyperlink w:anchor="ref-iwagami2021">
        <w:r>
          <w:rPr>
            <w:rStyle w:val="Hyperlink"/>
            <w:vertAlign w:val="superscript"/>
          </w:rPr>
          <w:t xml:space="preserve">343</w:t>
        </w:r>
      </w:hyperlink>
      <w:r>
        <w:t xml:space="preserve"> </w:t>
      </w:r>
      <w:r>
        <w:t xml:space="preserve">The study found a slight increased risk of dementia was associated higher LDL-c measured at mid-life, driven by the finding for the Alzheimer’s disease subgroup. These findings are consistent with the findings presented in this thesis, particularly given the lack of adjustment for confounding by ApoE4, which was estimated by the study to induce a RR of 1.09 per 1-SD increase in LDL-c in the absence of a true causal effect.</w:t>
      </w:r>
    </w:p>
    <w:p>
      <w:pPr>
        <w:pStyle w:val="BodyText"/>
      </w:pPr>
      <w:r>
        <w:t xml:space="preserve">The second analysis examined 502,226 participants in the UK Biobank, a large population-based prospective cohort study.</w:t>
      </w:r>
      <w:hyperlink w:anchor="ref-gong2021">
        <w:r>
          <w:rPr>
            <w:rStyle w:val="Hyperlink"/>
            <w:vertAlign w:val="superscript"/>
          </w:rPr>
          <w:t xml:space="preserve">351</w:t>
        </w:r>
      </w:hyperlink>
      <w:r>
        <w:rPr>
          <w:vertAlign w:val="superscript"/>
        </w:rPr>
        <w:t xml:space="preserve">,</w:t>
      </w:r>
      <w:hyperlink w:anchor="ref-sudlow2015">
        <w:r>
          <w:rPr>
            <w:rStyle w:val="Hyperlink"/>
            <w:vertAlign w:val="superscript"/>
          </w:rPr>
          <w:t xml:space="preserve">352</w:t>
        </w:r>
      </w:hyperlink>
      <w:r>
        <w:t xml:space="preserve"> </w:t>
      </w:r>
      <w:r>
        <w:t xml:space="preserve">The analysis found no association between lipids measured at mid-life and dementia outcomes, comparable to the results of this thesis. However, similar to the study discussed above, this analysis did not have access to genetic data and so may be subject to residual confounding by</w:t>
      </w:r>
      <w:r>
        <w:t xml:space="preserve"> </w:t>
      </w:r>
      <w:r>
        <w:rPr>
          <w:iCs/>
          <w:i/>
        </w:rPr>
        <w:t xml:space="preserve">ApoE4</w:t>
      </w:r>
      <w:r>
        <w:t xml:space="preserve"> </w:t>
      </w:r>
      <w:r>
        <w:t xml:space="preserve">genotype.</w:t>
      </w:r>
    </w:p>
    <w:p>
      <w:pPr>
        <w:pStyle w:val="BodyText"/>
      </w:pPr>
      <w:r>
        <w:t xml:space="preserve"> </w:t>
      </w:r>
    </w:p>
    <w:bookmarkEnd w:id="311"/>
    <w:bookmarkStart w:id="312" w:name="implications-for-clinical-practice"/>
    <w:p>
      <w:pPr>
        <w:pStyle w:val="Heading3"/>
      </w:pPr>
      <w:r>
        <w:t xml:space="preserve">Implications for clinical practice</w:t>
      </w:r>
    </w:p>
    <w:p>
      <w:pPr>
        <w:pStyle w:val="FirstParagraph"/>
      </w:pPr>
      <w:r>
        <w:t xml:space="preserve">Given the absence of any consistent signals across the evidence sources analysed, there are no clear indications for clinical practice arising from this thesis. While my research did not provide any strong evidence for an effect of lipid-lowering on dementia outcomes, the cumulative strength of evidence is also insufficient to rule out an effect.</w:t>
      </w:r>
    </w:p>
    <w:p>
      <w:pPr>
        <w:pStyle w:val="BodyText"/>
      </w:pPr>
      <w:r>
        <w:t xml:space="preserve">Given this ambiguity, the use of statins should be restricted to their primary and well-understood purpose of lipid-lowering to reduce the risk of cardiovascular events. However, it is important to recognise that even under the scenario that a strong harmful effect of lipid-lowering on dementia outcomes was identified, whether or not to prescribe a statin at mid-life will always be guided by factors other than dementia prevention. Patients must live to a certain age in order to be at risk of dementia (with the exception of familial early-onset dementias), which is substantially less likely if hypercholesterolemia at mid-life is left unchecked.</w:t>
      </w:r>
    </w:p>
    <w:p>
      <w:pPr>
        <w:pStyle w:val="BodyText"/>
      </w:pPr>
      <w:r>
        <w:t xml:space="preserve">In summary, clinicians should be aware of the uncertainty of evidence surrounding the effect of lipid-lowering on dementia outcomes and should be prepared to convey the same to patients.</w:t>
      </w:r>
    </w:p>
    <w:p>
      <w:pPr>
        <w:pStyle w:val="BodyText"/>
      </w:pPr>
      <w:r>
        <w:t xml:space="preserve"> </w:t>
      </w:r>
    </w:p>
    <w:bookmarkEnd w:id="312"/>
    <w:bookmarkStart w:id="313" w:name="implications-for-public-health"/>
    <w:p>
      <w:pPr>
        <w:pStyle w:val="Heading3"/>
      </w:pPr>
      <w:r>
        <w:t xml:space="preserve">Implications for public health</w:t>
      </w:r>
    </w:p>
    <w:p>
      <w:pPr>
        <w:pStyle w:val="FirstParagraph"/>
      </w:pPr>
      <w:r>
        <w:rPr>
          <w:bCs/>
          <w:b/>
        </w:rPr>
        <w:t xml:space="preserve">[Note: Yoav, I am particularly interested in your thoughts on this section]</w:t>
      </w:r>
    </w:p>
    <w:p>
      <w:pPr>
        <w:pStyle w:val="BodyText"/>
      </w:pPr>
      <w:r>
        <w:t xml:space="preserve">Similarly, given the ambiguity of evidence, there are no clear implications for public health practice. However, the role of public health, and particularly continuous population surveillance, may be important in providing a further source of evidence in relation to the effect of lipid lowering on dementia. Public health practitioners could examine summary-level statistics of GP prescription data to attempt to relate lipid-lowering treatment to temporal or geographical trends in dementia incidence. It will be difficult to assess if any observed trends are due to a true effect or to confounding or ecological biases. However, as dementia outcomes will be monitored anyway for incidence/prevalence estimation and planning of services/care, this approach would provide a ready source of further evidence.</w:t>
      </w:r>
    </w:p>
    <w:p>
      <w:pPr>
        <w:pStyle w:val="BodyText"/>
      </w:pPr>
      <w:r>
        <w:t xml:space="preserve"> </w:t>
      </w:r>
    </w:p>
    <w:bookmarkEnd w:id="313"/>
    <w:bookmarkEnd w:id="314"/>
    <w:bookmarkStart w:id="318" w:name="summary-of-methodological-contributions"/>
    <w:p>
      <w:pPr>
        <w:pStyle w:val="Heading2"/>
      </w:pPr>
      <w:r>
        <w:t xml:space="preserve">Summary of methodological contributions</w:t>
      </w:r>
    </w:p>
    <w:p>
      <w:pPr>
        <w:pStyle w:val="FirstParagraph"/>
      </w:pPr>
      <w:r>
        <w:t xml:space="preserve">In addition to addressing the causal impact of lipids on dementia outcomes, the research described in this thesis represents a number of novel contributions to the field of evidence synthesis methodology.</w:t>
      </w:r>
    </w:p>
    <w:p>
      <w:pPr>
        <w:pStyle w:val="BodyText"/>
      </w:pPr>
      <w:r>
        <w:t xml:space="preserve"> </w:t>
      </w:r>
    </w:p>
    <w:bookmarkStart w:id="315" w:name="inclusion-of-preprinted-evidence"/>
    <w:p>
      <w:pPr>
        <w:pStyle w:val="Heading3"/>
      </w:pPr>
      <w:r>
        <w:t xml:space="preserve">Inclusion of preprinted evidence</w:t>
      </w:r>
    </w:p>
    <w:p>
      <w:pPr>
        <w:pStyle w:val="FirstParagraph"/>
      </w:pPr>
      <w:r>
        <w:t xml:space="preserve">Preprints are an important source of evidence, and searching of preprint repositories should become an accepted part of the evidence synthesis process. To support this, I developed a new tool (as described in Chapter</w:t>
      </w:r>
      <w:r>
        <w:t xml:space="preserve"> </w:t>
      </w:r>
      <w:r>
        <w:t xml:space="preserve">2</w:t>
      </w:r>
      <w:r>
        <w:t xml:space="preserve">) to enable researchers to readily search health-related preprints.</w:t>
      </w:r>
    </w:p>
    <w:p>
      <w:pPr>
        <w:pStyle w:val="BodyText"/>
      </w:pPr>
      <w:r>
        <w:t xml:space="preserve"> </w:t>
      </w:r>
    </w:p>
    <w:bookmarkEnd w:id="315"/>
    <w:bookmarkStart w:id="316" w:name="bias"/>
    <w:p>
      <w:pPr>
        <w:pStyle w:val="Heading3"/>
      </w:pPr>
      <w:r>
        <w:t xml:space="preserve">Bias</w:t>
      </w:r>
    </w:p>
    <w:p>
      <w:pPr>
        <w:pStyle w:val="FirstParagraph"/>
      </w:pPr>
      <w:r>
        <w:t xml:space="preserve">One of the central methodological contributions of this thesis has been on the conduct, visualisation, and incorporation of bias assessments as part of an evidence synthesis exercise.</w:t>
      </w:r>
    </w:p>
    <w:p>
      <w:pPr>
        <w:pStyle w:val="BodyText"/>
      </w:pPr>
      <w:r>
        <w:t xml:space="preserve">In terms of assessment, I applied domain-based tools to evidence relevant to the effect of lipids on dementia outcomes, and highlighted the limitation of the available tools for Mendelian randomisation studies. I also piloted and provided feedback on a forthcoming tool for assessing the risk of bias due to missing evidence. In the primary analysis of data from the CPRD, I used negative control outcomes to assess the potential for bias due to insufficiently controlled confounding by indication.</w:t>
      </w:r>
    </w:p>
    <w:p>
      <w:pPr>
        <w:pStyle w:val="BodyText"/>
      </w:pPr>
      <w:r>
        <w:t xml:space="preserve">In terms of visualisation of bias, I have made a number of methodological contributions. I created a well-received R package to create paired forest plots (see Appendix</w:t>
      </w:r>
      <w:r>
        <w:t xml:space="preserve"> </w:t>
      </w:r>
      <w:r>
        <w:t xml:space="preserve">11.2</w:t>
      </w:r>
      <w:r>
        <w:t xml:space="preserve">), and built on this to enable creation of the bias direction plots illustrated in Chapter</w:t>
      </w:r>
      <w:r>
        <w:t xml:space="preserve"> </w:t>
      </w:r>
      <w:r>
        <w:t xml:space="preserve">7</w:t>
      </w:r>
      <w:r>
        <w:t xml:space="preserve">.</w:t>
      </w:r>
    </w:p>
    <w:p>
      <w:pPr>
        <w:pStyle w:val="BodyText"/>
      </w:pPr>
      <w:r>
        <w:t xml:space="preserve">Finally, I made several novel contributions around the incorporation of bias into analyses. These were intended to encourage authors of reviews to actively consider the impact of bias in their synthesis, something that empirical evidence suggests happens infrequently at present.</w:t>
      </w:r>
      <w:hyperlink w:anchor="ref-katikireddi2015">
        <w:r>
          <w:rPr>
            <w:rStyle w:val="Hyperlink"/>
            <w:vertAlign w:val="superscript"/>
          </w:rPr>
          <w:t xml:space="preserve">181</w:t>
        </w:r>
      </w:hyperlink>
      <w:r>
        <w:t xml:space="preserve"> </w:t>
      </w:r>
      <w:r>
        <w:t xml:space="preserve">The new methods introduced by this thesis range from the forest plots stratified by overall risk of bias level presented in Chapter</w:t>
      </w:r>
      <w:r>
        <w:t xml:space="preserve"> </w:t>
      </w:r>
      <w:r>
        <w:t xml:space="preserve">4</w:t>
      </w:r>
      <w:r>
        <w:t xml:space="preserve"> </w:t>
      </w:r>
      <w:r>
        <w:t xml:space="preserve">to the more advanced triangulation framework presented in Chapter</w:t>
      </w:r>
      <w:r>
        <w:t xml:space="preserve"> </w:t>
      </w:r>
      <w:r>
        <w:t xml:space="preserve">7</w:t>
      </w:r>
      <w:r>
        <w:t xml:space="preserve">.</w:t>
      </w:r>
    </w:p>
    <w:p>
      <w:pPr>
        <w:pStyle w:val="BodyText"/>
      </w:pPr>
      <w:r>
        <w:t xml:space="preserve"> </w:t>
      </w:r>
    </w:p>
    <w:bookmarkEnd w:id="316"/>
    <w:bookmarkStart w:id="317" w:name="triangulation-framework"/>
    <w:p>
      <w:pPr>
        <w:pStyle w:val="Heading3"/>
      </w:pPr>
      <w:r>
        <w:t xml:space="preserve">Triangulation framework</w:t>
      </w:r>
    </w:p>
    <w:p>
      <w:pPr>
        <w:pStyle w:val="FirstParagraph"/>
      </w:pPr>
      <w:r>
        <w:t xml:space="preserve">The proposed quantitative triangulation framework represents the final novel contribution of this thesis to evidence synthesis methodology. Using pre-specified adjustment distributions mapped to the results of the domain-based risk-of-bias and indirectness assessments, this approach provides a systematic way to account for biases/indirectness across studies, reducing the potential for differential adjustment based on knowledge of the results.</w:t>
      </w:r>
    </w:p>
    <w:p>
      <w:pPr>
        <w:pStyle w:val="BodyText"/>
      </w:pPr>
      <w:r>
        <w:t xml:space="preserve">Ideally, this framework should be based on the results of a comprehensive systematic review, which identifies all evidence (both direct and indirect) related to a causal question of interest. This would represent a break from the current practice of limiting review to a single type of evidence, and would result in fewer, more comprehensive reviews. However, in the current context of research waste, a concentration of effort in fewer reviews may be advantageous. Section</w:t>
      </w:r>
      <w:r>
        <w:t xml:space="preserve"> </w:t>
      </w:r>
      <w:r>
        <w:t xml:space="preserve">4.5.2</w:t>
      </w:r>
      <w:r>
        <w:t xml:space="preserve"> </w:t>
      </w:r>
      <w:r>
        <w:t xml:space="preserve">illustrates the duplication of reviews in relation to the topic of this thesis, while an assessment of the COVID-19 literature found that, for a specific clinical question, there were substantially more reviews (25) than available primary studies (17).</w:t>
      </w:r>
      <w:hyperlink w:anchor="ref-perez-gaxiola2021">
        <w:r>
          <w:rPr>
            <w:rStyle w:val="Hyperlink"/>
            <w:vertAlign w:val="superscript"/>
          </w:rPr>
          <w:t xml:space="preserve">353</w:t>
        </w:r>
      </w:hyperlink>
    </w:p>
    <w:p>
      <w:pPr>
        <w:pStyle w:val="BodyText"/>
      </w:pPr>
      <w:r>
        <w:t xml:space="preserve">Finally, while the framework proposed here could (fairly) be criticised over the validity of the prior distributions of bias/indirectness chosen, the assumptions made about the impact of bias in this thesis are no stronger than those made when synthesising effect estimates as though they were unbiased. The proposed framework at the very least recognises the uncertainty introduced by bias/indirectness, and decreases the precision of the overall effect estimate on this basis.</w:t>
      </w:r>
    </w:p>
    <w:p>
      <w:pPr>
        <w:pStyle w:val="BodyText"/>
      </w:pPr>
      <w:r>
        <w:t xml:space="preserve">In summary, the proposed triangulation framework will enable better use of all available evidence to address causal questions.</w:t>
      </w:r>
    </w:p>
    <w:p>
      <w:pPr>
        <w:pStyle w:val="BodyText"/>
      </w:pPr>
      <w:r>
        <w:t xml:space="preserve"> </w:t>
      </w:r>
    </w:p>
    <w:bookmarkEnd w:id="317"/>
    <w:bookmarkEnd w:id="318"/>
    <w:bookmarkStart w:id="321" w:name="overall-strengths-and-limitations"/>
    <w:p>
      <w:pPr>
        <w:pStyle w:val="Heading2"/>
      </w:pPr>
      <w:r>
        <w:t xml:space="preserve">Overall strengths and limitations</w:t>
      </w:r>
    </w:p>
    <w:p>
      <w:pPr>
        <w:pStyle w:val="FirstParagraph"/>
      </w:pPr>
      <w:r>
        <w:t xml:space="preserve">The strengths and limitations of each aspect of this thesis have been discussed in the respective chapter. Here, I highlight the strengths and weaknesses of this thesis as a body of work.</w:t>
      </w:r>
    </w:p>
    <w:p>
      <w:pPr>
        <w:pStyle w:val="BodyText"/>
      </w:pPr>
      <w:r>
        <w:t xml:space="preserve"> </w:t>
      </w:r>
    </w:p>
    <w:bookmarkStart w:id="319" w:name="strengths-3"/>
    <w:p>
      <w:pPr>
        <w:pStyle w:val="Heading3"/>
      </w:pPr>
      <w:r>
        <w:t xml:space="preserve">Strengths</w:t>
      </w:r>
    </w:p>
    <w:p>
      <w:pPr>
        <w:pStyle w:val="FirstParagraph"/>
      </w:pPr>
      <w:r>
        <w:t xml:space="preserve">There are several strengths to this thesis as a whole. Specifically, the identification and triangulation of evidence across study designs and publication status sets this thesis apart from previous synthesis of the evidence on this topic. Additionally, this thesis has also produced new evidence on the association of blood lipids with dementia outcomes in previously unanalysed cohorts, and provided additional information on a previously under-studied association (lipids/LRA and vascular dementia).</w:t>
      </w:r>
    </w:p>
    <w:p>
      <w:pPr>
        <w:pStyle w:val="BodyText"/>
      </w:pPr>
      <w:r>
        <w:t xml:space="preserve">A further strength of this thesis is the production of software to support the novel evidence synthesis techniques used. Extensive documentation has been written to guide users through usage of the tools and example data is provided for use. Finally, subtantial effort has been invested to make the research documented in this thesis as reproducible as possible - this is documented more fully in Appendix</w:t>
      </w:r>
      <w:r>
        <w:t xml:space="preserve"> </w:t>
      </w:r>
      <w:r>
        <w:t xml:space="preserve">10.8.1</w:t>
      </w:r>
      <w:r>
        <w:t xml:space="preserve">.</w:t>
      </w:r>
    </w:p>
    <w:p>
      <w:pPr>
        <w:pStyle w:val="BodyText"/>
      </w:pPr>
      <w:r>
        <w:t xml:space="preserve"> </w:t>
      </w:r>
    </w:p>
    <w:bookmarkEnd w:id="319"/>
    <w:bookmarkStart w:id="320" w:name="weaknessess"/>
    <w:p>
      <w:pPr>
        <w:pStyle w:val="Heading3"/>
      </w:pPr>
      <w:r>
        <w:t xml:space="preserve">Weaknessess</w:t>
      </w:r>
    </w:p>
    <w:p>
      <w:pPr>
        <w:pStyle w:val="FirstParagraph"/>
      </w:pPr>
      <w:r>
        <w:t xml:space="preserve">However, there are also several strong limitations to this thesis. In the first instance, as with many many studies of dementia outcomes, a limiting factor in the interpretation of the results is the absence of a detailed pathological mechanism. It is possible that statins have a true effect via some other pathway , but without knowledge of the mechanism, the plausibility of this relationship cannot be assessed.</w:t>
      </w:r>
    </w:p>
    <w:p>
      <w:pPr>
        <w:pStyle w:val="BodyText"/>
      </w:pPr>
      <w:r>
        <w:t xml:space="preserve">Secondly, each analysis presented here makes use of secondary data sources, be it published literature, electronic health records, or existing cohorts. Secondary data can limit the type of analyses performed (for example, in the IPD analysis presented in Chapter</w:t>
      </w:r>
      <w:r>
        <w:t xml:space="preserve"> </w:t>
      </w:r>
      <w:r>
        <w:t xml:space="preserve">??</w:t>
      </w:r>
      <w:r>
        <w:t xml:space="preserve">, absence of time-to-event data prevented the use of hazard ratios to quantify dementia risk) and the validity of the data if collected for purposes other than research (for example, the accuracy of dementia diagnoses in electronic health records is known to be variable).</w:t>
      </w:r>
      <w:hyperlink w:anchor="ref-wilkinson2018">
        <w:r>
          <w:rPr>
            <w:rStyle w:val="Hyperlink"/>
            <w:vertAlign w:val="superscript"/>
          </w:rPr>
          <w:t xml:space="preserve">274</w:t>
        </w:r>
      </w:hyperlink>
    </w:p>
    <w:p>
      <w:pPr>
        <w:pStyle w:val="BodyText"/>
      </w:pPr>
      <w:r>
        <w:t xml:space="preserve">Thirdly, missing evidence was a common limitation across this thesis. In Chapters</w:t>
      </w:r>
      <w:r>
        <w:t xml:space="preserve"> </w:t>
      </w:r>
      <w:r>
        <w:t xml:space="preserve">3</w:t>
      </w:r>
      <w:r>
        <w:t xml:space="preserve">/</w:t>
      </w:r>
      <w:r>
        <w:t xml:space="preserve">4</w:t>
      </w:r>
      <w:r>
        <w:t xml:space="preserve">, several studies stated that they did not report the results of an analysis because the results were not significant. This was particularly common among non-randomised studies of exposure examining blood lipids directly. Similarly, an absence of evidence on vascular dementia, potentially due to a publication bias mechanism, limited the analysis of this outcome. Missing evidence was also as an issue in the IPD meta-analysis reported in Chapter</w:t>
      </w:r>
      <w:r>
        <w:t xml:space="preserve"> </w:t>
      </w:r>
      <w:r>
        <w:t xml:space="preserve">??</w:t>
      </w:r>
      <w:r>
        <w:t xml:space="preserve">, in the form of a poor response to data access requests, while the absence of empirically-based distributions of bias/indirectness for use with the triangulation framework limited the credibility of the results produced.</w:t>
      </w:r>
    </w:p>
    <w:p>
      <w:pPr>
        <w:pStyle w:val="BodyText"/>
      </w:pPr>
      <w:r>
        <w:t xml:space="preserve">A final weakness stems from the geographical focus of the data analysed in this thesis. All primary analysis presented drew on data from the UK (CPRD, CaPS, EPIC Norfolk, Whitehall II), while the majority of studies identified by the review were based in the Western world (Figure</w:t>
      </w:r>
      <w:r>
        <w:t xml:space="preserve"> </w:t>
      </w:r>
      <w:r>
        <w:t xml:space="preserve">5</w:t>
      </w:r>
      <w:r>
        <w:t xml:space="preserve">). This may limit the generalisability of the results presented to different populations.</w:t>
      </w:r>
    </w:p>
    <w:p>
      <w:pPr>
        <w:pStyle w:val="BodyText"/>
      </w:pPr>
      <w:r>
        <w:t xml:space="preserve"> </w:t>
      </w:r>
    </w:p>
    <w:bookmarkEnd w:id="320"/>
    <w:bookmarkEnd w:id="321"/>
    <w:bookmarkStart w:id="322" w:name="lessons-learned"/>
    <w:p>
      <w:pPr>
        <w:pStyle w:val="Heading2"/>
      </w:pPr>
      <w:r>
        <w:t xml:space="preserve">Lessons learned</w:t>
      </w:r>
    </w:p>
    <w:p>
      <w:pPr>
        <w:pStyle w:val="FirstParagraph"/>
      </w:pPr>
      <w:r>
        <w:t xml:space="preserve">As part of a reflective learning process throughout my PhD, I maintained a catalogue of failures (available in Appendix</w:t>
      </w:r>
      <w:r>
        <w:t xml:space="preserve"> </w:t>
      </w:r>
      <w:r>
        <w:t xml:space="preserve">10.8.2</w:t>
      </w:r>
      <w:r>
        <w:t xml:space="preserve">) describing analytical mistakes, failed experiments, and unsuccessful grant applications. However, I found there was one central learning point from this thesis, namely to be slightly less ambitious when planning future research projects.</w:t>
      </w:r>
    </w:p>
    <w:p>
      <w:pPr>
        <w:pStyle w:val="BodyText"/>
      </w:pPr>
      <w:r>
        <w:t xml:space="preserve">The proposal for the programme of research underpinning this thesis was created in advance of starting my PhD, as a detailed plan was required in order to secure the funding that supported me through my studies. In hindsight, the decision to take a broad approach to the inclusion of dementia outcomes resulted in a larger workload than anticipated, particularly when also considering evidence from multiple different study designs. Additionally, as dementia subtypes likely have very different aetiological pathways, it may have been better to focus on a single subtype (e.g. Alzheimer’s disease) when considering the causal effects of lipids. Similarly, attempting to undertake a full individual participant data meta-analysis as a single part of a larger programme of research was overly ambitious, as data cleaning and harmonisation for just three of the many cohorts I applied to was a substantial undertaking.</w:t>
      </w:r>
    </w:p>
    <w:p>
      <w:pPr>
        <w:pStyle w:val="BodyText"/>
      </w:pPr>
      <w:r>
        <w:t xml:space="preserve">In the future, armed with the experience gained through conduct of the research projects presented here, I will be better place to scope and design research projects.</w:t>
      </w:r>
    </w:p>
    <w:p>
      <w:pPr>
        <w:pStyle w:val="BodyText"/>
      </w:pPr>
      <w:r>
        <w:t xml:space="preserve"> </w:t>
      </w:r>
    </w:p>
    <w:bookmarkEnd w:id="322"/>
    <w:bookmarkStart w:id="328" w:name="future-work-1"/>
    <w:p>
      <w:pPr>
        <w:pStyle w:val="Heading2"/>
      </w:pPr>
      <w:r>
        <w:t xml:space="preserve">Future work</w:t>
      </w:r>
    </w:p>
    <w:p>
      <w:pPr>
        <w:pStyle w:val="FirstParagraph"/>
      </w:pPr>
      <w:r>
        <w:t xml:space="preserve">Several avenues of future research could be pursued, building on the novel work presented here. These are grouped by topic in the following sections.</w:t>
      </w:r>
    </w:p>
    <w:p>
      <w:pPr>
        <w:pStyle w:val="BodyText"/>
      </w:pPr>
      <w:r>
        <w:rPr>
          <w:bCs/>
          <w:b/>
        </w:rPr>
        <w:t xml:space="preserve">[Question: is it better to use</w:t>
      </w:r>
      <w:r>
        <w:rPr>
          <w:bCs/>
          <w:b/>
        </w:rPr>
        <w:t xml:space="preserve"> </w:t>
      </w:r>
      <w:r>
        <w:rPr>
          <w:bCs/>
          <w:b/>
        </w:rPr>
        <w:t xml:space="preserve">“</w:t>
      </w:r>
      <w:r>
        <w:rPr>
          <w:bCs/>
          <w:b/>
        </w:rPr>
        <w:t xml:space="preserve">should</w:t>
      </w:r>
      <w:r>
        <w:rPr>
          <w:bCs/>
          <w:b/>
        </w:rPr>
        <w:t xml:space="preserve">”</w:t>
      </w:r>
      <w:r>
        <w:rPr>
          <w:bCs/>
          <w:b/>
        </w:rPr>
        <w:t xml:space="preserve"> </w:t>
      </w:r>
      <w:r>
        <w:rPr>
          <w:bCs/>
          <w:b/>
        </w:rPr>
        <w:t xml:space="preserve">or</w:t>
      </w:r>
      <w:r>
        <w:rPr>
          <w:bCs/>
          <w:b/>
        </w:rPr>
        <w:t xml:space="preserve"> </w:t>
      </w:r>
      <w:r>
        <w:rPr>
          <w:bCs/>
          <w:b/>
        </w:rPr>
        <w:t xml:space="preserve">“</w:t>
      </w:r>
      <w:r>
        <w:rPr>
          <w:bCs/>
          <w:b/>
        </w:rPr>
        <w:t xml:space="preserve">could</w:t>
      </w:r>
      <w:r>
        <w:rPr>
          <w:bCs/>
          <w:b/>
        </w:rPr>
        <w:t xml:space="preserve">”</w:t>
      </w:r>
      <w:r>
        <w:rPr>
          <w:bCs/>
          <w:b/>
        </w:rPr>
        <w:t xml:space="preserve"> </w:t>
      </w:r>
      <w:r>
        <w:rPr>
          <w:bCs/>
          <w:b/>
        </w:rPr>
        <w:t xml:space="preserve">when listing ideas for future research? I.e.</w:t>
      </w:r>
      <w:r>
        <w:rPr>
          <w:bCs/>
          <w:b/>
        </w:rPr>
        <w:t xml:space="preserve"> </w:t>
      </w:r>
      <w:r>
        <w:rPr>
          <w:bCs/>
          <w:b/>
        </w:rPr>
        <w:t xml:space="preserve">“</w:t>
      </w:r>
      <w:r>
        <w:rPr>
          <w:bCs/>
          <w:b/>
        </w:rPr>
        <w:t xml:space="preserve">future work could/should look at X</w:t>
      </w:r>
      <w:r>
        <w:rPr>
          <w:bCs/>
          <w:b/>
        </w:rPr>
        <w:t xml:space="preserve">”</w:t>
      </w:r>
      <w:r>
        <w:rPr>
          <w:bCs/>
          <w:b/>
        </w:rPr>
        <w:t xml:space="preserve">?]</w:t>
      </w:r>
    </w:p>
    <w:p>
      <w:pPr>
        <w:pStyle w:val="BodyText"/>
      </w:pPr>
      <w:r>
        <w:t xml:space="preserve"> </w:t>
      </w:r>
    </w:p>
    <w:bookmarkStart w:id="323" w:name="generation-of-new-rct-evidence"/>
    <w:p>
      <w:pPr>
        <w:pStyle w:val="Heading3"/>
      </w:pPr>
      <w:r>
        <w:t xml:space="preserve">Generation of new RCT evidence</w:t>
      </w:r>
    </w:p>
    <w:p>
      <w:pPr>
        <w:pStyle w:val="FirstParagraph"/>
      </w:pPr>
      <w:r>
        <w:t xml:space="preserve">It is customary at this point in the discussion of results based (primarily) on observational data to recommend that a large-scale randomised controlled trial be performed to assess the effect of the proposed intervention. Given the costs and logistical challenges associated with trials examining outcomes with long prodomal periods such as dementia, a more efficient approach is offered by the opportunistic post-trial follow-up (PTFU) of existing RCTs of lipid-regulating agents.</w:t>
      </w:r>
    </w:p>
    <w:p>
      <w:pPr>
        <w:pStyle w:val="BodyText"/>
      </w:pPr>
      <w:r>
        <w:t xml:space="preserve">This approach has already been used to assess long-term (11-20 years) safety outcomes of statin use, using participant recontact</w:t>
      </w:r>
      <w:hyperlink w:anchor="ref-group2011">
        <w:r>
          <w:rPr>
            <w:rStyle w:val="Hyperlink"/>
            <w:vertAlign w:val="superscript"/>
          </w:rPr>
          <w:t xml:space="preserve">354</w:t>
        </w:r>
      </w:hyperlink>
      <w:r>
        <w:t xml:space="preserve"> </w:t>
      </w:r>
      <w:r>
        <w:t xml:space="preserve">and linkage with electronic health records to identify events.</w:t>
      </w:r>
      <w:hyperlink w:anchor="ref-ford2016">
        <w:r>
          <w:rPr>
            <w:rStyle w:val="Hyperlink"/>
            <w:vertAlign w:val="superscript"/>
          </w:rPr>
          <w:t xml:space="preserve">355</w:t>
        </w:r>
      </w:hyperlink>
      <w:r>
        <w:t xml:space="preserve"> </w:t>
      </w:r>
      <w:r>
        <w:t xml:space="preserve">A similar approach could be used to assess the impact of randomisation to statins at midlife on subsequent risk of dementia outcomes. Use of data linkage would represent the most cost-efficient approach,</w:t>
      </w:r>
      <w:hyperlink w:anchor="ref-llewellyn-bennett2018">
        <w:r>
          <w:rPr>
            <w:rStyle w:val="Hyperlink"/>
            <w:vertAlign w:val="superscript"/>
          </w:rPr>
          <w:t xml:space="preserve">356</w:t>
        </w:r>
      </w:hyperlink>
      <w:r>
        <w:t xml:space="preserve"> </w:t>
      </w:r>
      <w:r>
        <w:t xml:space="preserve">though as noted in Chapter</w:t>
      </w:r>
      <w:r>
        <w:t xml:space="preserve"> </w:t>
      </w:r>
      <w:r>
        <w:t xml:space="preserve">5</w:t>
      </w:r>
      <w:r>
        <w:t xml:space="preserve">, there is the potential for non-differential misclassification when defining dementia outcomes using EHRs.</w:t>
      </w:r>
    </w:p>
    <w:p>
      <w:pPr>
        <w:pStyle w:val="BodyText"/>
      </w:pPr>
      <w:r>
        <w:t xml:space="preserve"> </w:t>
      </w:r>
    </w:p>
    <w:bookmarkEnd w:id="323"/>
    <w:bookmarkStart w:id="324" w:name="evidence-on-vascular-dementia"/>
    <w:p>
      <w:pPr>
        <w:pStyle w:val="Heading3"/>
      </w:pPr>
      <w:r>
        <w:t xml:space="preserve">Evidence on vascular dementia</w:t>
      </w:r>
    </w:p>
    <w:p>
      <w:pPr>
        <w:pStyle w:val="FirstParagraph"/>
      </w:pPr>
      <w:r>
        <w:t xml:space="preserve">As highlighted by the results of the systematic review presented in Chapter</w:t>
      </w:r>
      <w:r>
        <w:t xml:space="preserve"> </w:t>
      </w:r>
      <w:r>
        <w:t xml:space="preserve">4</w:t>
      </w:r>
      <w:r>
        <w:t xml:space="preserve">, there is an absence of evidence on vascular dementia across the existing evidence base. While the primary studies presented here go some way towards supplementing this evidence base, future work is needed both to investigate the reasons for this evidence gap (e.g. due to an absence of primary data, challenges in the analysis of this outcome as documented in Chapter</w:t>
      </w:r>
      <w:r>
        <w:t xml:space="preserve"> </w:t>
      </w:r>
      <w:r>
        <w:t xml:space="preserve">5</w:t>
      </w:r>
      <w:r>
        <w:t xml:space="preserve">, or a publication bias mechanism) and to address it.</w:t>
      </w:r>
    </w:p>
    <w:p>
      <w:pPr>
        <w:pStyle w:val="BodyText"/>
      </w:pPr>
      <w:r>
        <w:t xml:space="preserve">However, it seems unlikely that further analysis of observational data alone will be sufficient to investigate this outcome, as indicated by the presence of strong confounding by indication in the analysis of statins and vascular dementia (Chapter</w:t>
      </w:r>
      <w:r>
        <w:t xml:space="preserve"> </w:t>
      </w:r>
      <w:r>
        <w:t xml:space="preserve">5</w:t>
      </w:r>
      <w:r>
        <w:t xml:space="preserve">). Even using new methods, such as a target trial emulation approach, previous analyses have not replicated the known protective effect of statins on coronary heart disease identified by RCTs (see Section</w:t>
      </w:r>
      <w:r>
        <w:t xml:space="preserve"> </w:t>
      </w:r>
      <w:r>
        <w:t xml:space="preserve">5.4.2.1</w:t>
      </w:r>
      <w:r>
        <w:t xml:space="preserve">).</w:t>
      </w:r>
      <w:hyperlink w:anchor="ref-danaei2013">
        <w:r>
          <w:rPr>
            <w:rStyle w:val="Hyperlink"/>
            <w:vertAlign w:val="superscript"/>
          </w:rPr>
          <w:t xml:space="preserve">307</w:t>
        </w:r>
      </w:hyperlink>
      <w:r>
        <w:t xml:space="preserve"> </w:t>
      </w:r>
      <w:r>
        <w:t xml:space="preserve">Similarly, Mendelian randomisation studies are limited to a single one-sample analysis of HMGCR variants as a proxy for statin treatment. This study suggested a protective effect of lipid-lowering on vascular dementia, though there was a moderate risk of bias in this analysis and the effect was attenuated to the null when including a wider range of lipid-lowering variants.</w:t>
      </w:r>
    </w:p>
    <w:p>
      <w:pPr>
        <w:pStyle w:val="BodyText"/>
      </w:pPr>
      <w:r>
        <w:t xml:space="preserve">Taken together, these points reinforce the need for large-scale GWAS of vascular dementia, similar to those current available for Alzheimer’s disease, to identify associated loci that future two-sample Mendelian randomisation studies could exploit. While GWAS of this outcome are likely to be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allow for the assessment of genetically-driven risk factors beyond those considered in this thesis.</w:t>
      </w:r>
    </w:p>
    <w:p>
      <w:pPr>
        <w:pStyle w:val="BodyText"/>
      </w:pPr>
      <w:r>
        <w:t xml:space="preserve"> </w:t>
      </w:r>
    </w:p>
    <w:bookmarkEnd w:id="324"/>
    <w:bookmarkStart w:id="325" w:name="preprinted-evidence"/>
    <w:p>
      <w:pPr>
        <w:pStyle w:val="Heading3"/>
      </w:pPr>
      <w:r>
        <w:t xml:space="preserve">Preprinted evidence</w:t>
      </w:r>
    </w:p>
    <w:p>
      <w:pPr>
        <w:pStyle w:val="FirstParagraph"/>
      </w:pPr>
      <w:r>
        <w:t xml:space="preserve">In terms of evidence synthesis methodology, future work on preprinted evidence should address how to handle discrepancies between the preprinted and published versions of a paper when identifying results for inclusion in a synthesis. This will be particularly important in cases where the results are substantially different between the two versions or if a result available in the preprint manuscript is not presented in the published version.</w:t>
      </w:r>
    </w:p>
    <w:p>
      <w:pPr>
        <w:pStyle w:val="BodyText"/>
      </w:pPr>
      <w:r>
        <w:t xml:space="preserve">The</w:t>
      </w:r>
      <w:r>
        <w:t xml:space="preserve"> </w:t>
      </w:r>
      <w:r>
        <w:rPr>
          <w:rStyle w:val="VerbatimChar"/>
        </w:rPr>
        <w:t xml:space="preserve">medrxivr</w:t>
      </w:r>
      <w:r>
        <w:t xml:space="preserve"> </w:t>
      </w:r>
      <w:r>
        <w:t xml:space="preserve">tool enables programmatic searching of health-related preprints, and future work could incorporate the tool, along with software to search other literature sources, into an automated searching pipeline as part of a living systematic review.</w:t>
      </w:r>
      <w:hyperlink w:anchor="ref-elliott2014">
        <w:r>
          <w:rPr>
            <w:rStyle w:val="Hyperlink"/>
            <w:vertAlign w:val="superscript"/>
          </w:rPr>
          <w:t xml:space="preserve">357</w:t>
        </w:r>
      </w:hyperlink>
      <w:r>
        <w:t xml:space="preserve"> </w:t>
      </w:r>
      <w:r>
        <w:t xml:space="preserve">In addition, the ready access to preprint data afforded by the tool will enable future meta-epidemiological studies to examine factors which may influence eventual publication (e.g. significant result, geographical location/gender/career stage of first author, or some other factor). Finally, the tool will allow future research to assess the impact of peer review and editorial guidelines on manuscripts through comparison of the same paper at two stages (preprinted versus published). This approach was used to explore the impact of editorial polices on open data sharing, as discussed in Chapter</w:t>
      </w:r>
      <w:r>
        <w:t xml:space="preserve"> </w:t>
      </w:r>
      <w:r>
        <w:t xml:space="preserve">??</w:t>
      </w:r>
      <w:r>
        <w:t xml:space="preserve">, but could be applied to other aspects of the publication process.</w:t>
      </w:r>
    </w:p>
    <w:p>
      <w:pPr>
        <w:pStyle w:val="BodyText"/>
      </w:pPr>
      <w:r>
        <w:t xml:space="preserve"> </w:t>
      </w:r>
    </w:p>
    <w:bookmarkEnd w:id="325"/>
    <w:bookmarkStart w:id="326" w:name="Xd19ce5d822d2d7feaf108eb303985c32f1879c0"/>
    <w:p>
      <w:pPr>
        <w:pStyle w:val="Heading3"/>
      </w:pPr>
      <w:r>
        <w:t xml:space="preserve">Reviewing Mendelian randomisation studies</w:t>
      </w:r>
    </w:p>
    <w:p>
      <w:pPr>
        <w:pStyle w:val="FirstParagraph"/>
      </w:pPr>
      <w:r>
        <w:t xml:space="preserve">As noted in Chapter</w:t>
      </w:r>
      <w:r>
        <w:t xml:space="preserve"> </w:t>
      </w:r>
      <w:r>
        <w:t xml:space="preserve">4</w:t>
      </w:r>
      <w:r>
        <w:t xml:space="preserve">, methods for the inclusion of Mendelian randomisation studies in evidence synthesis exercises are not yet sufficiently developed, particularly in comparison to other study designs. Future work should aim to validate search strategies for this study design, paying particular attention to the range of terms used to define the analytical approach (e.g. genetic instrumental variable analysis). In addition, as discussed in Section</w:t>
      </w:r>
      <w:r>
        <w:t xml:space="preserve"> </w:t>
      </w:r>
      <w:r>
        <w:t xml:space="preserve">7.5.2.2</w:t>
      </w:r>
      <w:r>
        <w:t xml:space="preserve">, the lack of an established risk-of-bias tool for Mendelian randomisation studies limits subsequent analyses that requires systematic assessment of bias, such as the quantitative triangulation framework proposed here. Creation of a domain-based tool for this study design, which accounts for the differences in potential biases between one- and two-sample approaches, should be considered a priority.</w:t>
      </w:r>
    </w:p>
    <w:p>
      <w:pPr>
        <w:pStyle w:val="BodyText"/>
      </w:pPr>
      <w:r>
        <w:t xml:space="preserve">Finally, the inclusion of multiple two-sample Mendelian randomisation studies using identical summary statistics can falsely increase the precision of the summary effect estimate if treated as independent results. Development of best pracice guidance for addressing this problem would represent a useful contribution to the field.</w:t>
      </w:r>
    </w:p>
    <w:p>
      <w:pPr>
        <w:pStyle w:val="BodyText"/>
      </w:pPr>
      <w:r>
        <w:t xml:space="preserve"> </w:t>
      </w:r>
    </w:p>
    <w:bookmarkEnd w:id="326"/>
    <w:bookmarkStart w:id="327" w:name="X5b39033f5f92b3dcb72214e5f401a2d117e33ff"/>
    <w:p>
      <w:pPr>
        <w:pStyle w:val="Heading3"/>
      </w:pPr>
      <w:r>
        <w:t xml:space="preserve">Systematic reviews and quantiative triangulation</w:t>
      </w:r>
    </w:p>
    <w:p>
      <w:pPr>
        <w:pStyle w:val="FirstParagraph"/>
      </w:pPr>
      <w:r>
        <w:t xml:space="preserve">Quantitative triangulation is an area ripe for future work. The approach presented here will benefit from future meta-epidemiological studies to better define the impact of bias/indirectness, as discussed in detail in Section</w:t>
      </w:r>
      <w:r>
        <w:t xml:space="preserve"> </w:t>
      </w:r>
      <w:r>
        <w:t xml:space="preserve">7.5.2.1</w:t>
      </w:r>
      <w:r>
        <w:t xml:space="preserve">. Similarly, future work should expand the framework proposed here to account for meta-biases, such as those introduced by missing evidence. Tools such as ROB-ME will enable this, but how to adjust for this analysis-level - as opposed to result-level - bias will need to be determined. Finally, the application of the framework to other causal questions will help to identify sticking points and may lead to refinement of the process.</w:t>
      </w:r>
    </w:p>
    <w:p>
      <w:pPr>
        <w:pStyle w:val="BodyText"/>
      </w:pPr>
      <w:r>
        <w:t xml:space="preserve"> </w:t>
      </w:r>
      <w:r>
        <w:t xml:space="preserve"> </w:t>
      </w:r>
    </w:p>
    <w:bookmarkEnd w:id="327"/>
    <w:bookmarkEnd w:id="328"/>
    <w:bookmarkStart w:id="329" w:name="overall-conclusions"/>
    <w:p>
      <w:pPr>
        <w:pStyle w:val="Heading2"/>
      </w:pPr>
      <w:r>
        <w:t xml:space="preserve">Overall conclusions</w:t>
      </w:r>
    </w:p>
    <w:p>
      <w:pPr>
        <w:pStyle w:val="FirstParagraph"/>
      </w:pPr>
      <w:r>
        <w:t xml:space="preserve">This thesis has provided new evidence concerning the role of blood lipids as a modifiable risk factor for dementia and highlighted the considerable uncertainty that still remains in relation to this causal question. In addition, it has developed new methods and tools, specifically around the inclusion of preprints in systematic reviews and the quantitative triangulation of evidence sources, which will future evidence synthesists to better address important causal questions.</w:t>
      </w:r>
    </w:p>
    <w:bookmarkEnd w:id="329"/>
    <w:bookmarkEnd w:id="330"/>
    <w:bookmarkStart w:id="331" w:name="bibliography"/>
    <w:p>
      <w:pPr>
        <w:pStyle w:val="Heading1"/>
      </w:pPr>
      <w:r>
        <w:t xml:space="preserve">Bibliography</w:t>
      </w:r>
    </w:p>
    <w:bookmarkEnd w:id="331"/>
    <w:bookmarkStart w:id="744" w:name="bibliography-1"/>
    <w:p>
      <w:pPr>
        <w:pStyle w:val="Heading1"/>
      </w:pPr>
      <w:r>
        <w:t xml:space="preserve">Bibliography</w:t>
      </w:r>
    </w:p>
    <w:bookmarkStart w:id="743" w:name="refs"/>
    <w:bookmarkStart w:id="332" w:name="ref-edition2013"/>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32"/>
    <w:bookmarkStart w:id="333"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33"/>
    <w:bookmarkStart w:id="334"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34"/>
    <w:bookmarkStart w:id="335"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35"/>
    <w:bookmarkStart w:id="336"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36"/>
    <w:bookmarkStart w:id="337"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7"/>
    <w:bookmarkStart w:id="338"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38"/>
    <w:bookmarkStart w:id="339"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39"/>
    <w:bookmarkStart w:id="340"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40"/>
    <w:bookmarkStart w:id="341"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41"/>
    <w:bookmarkStart w:id="342" w:name="ref-roman1993"/>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42"/>
    <w:bookmarkStart w:id="343"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43"/>
    <w:bookmarkStart w:id="344"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44"/>
    <w:bookmarkStart w:id="345"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45"/>
    <w:bookmarkStart w:id="346" w:name="ref-zotero-15757"/>
    <w:p>
      <w:pPr>
        <w:pStyle w:val="Bibliography"/>
      </w:pPr>
      <w:r>
        <w:t xml:space="preserve">15.</w:t>
      </w:r>
      <w:r>
        <w:t xml:space="preserve"> </w:t>
      </w:r>
      <w:r>
        <w:t xml:space="preserve">	</w:t>
      </w:r>
      <w:r>
        <w:t xml:space="preserve">Leading causes of death,</w:t>
      </w:r>
      <w:r>
        <w:t xml:space="preserve"> </w:t>
      </w:r>
      <w:r>
        <w:t xml:space="preserve">UK</w:t>
      </w:r>
      <w:r>
        <w:t xml:space="preserve"> </w:t>
      </w:r>
      <w:r>
        <w:t xml:space="preserve">-</w:t>
      </w:r>
      <w:r>
        <w:t xml:space="preserve"> </w:t>
      </w:r>
      <w:r>
        <w:t xml:space="preserve">Office</w:t>
      </w:r>
      <w:r>
        <w:t xml:space="preserve"> </w:t>
      </w:r>
      <w:r>
        <w:t xml:space="preserve">for</w:t>
      </w:r>
      <w:r>
        <w:t xml:space="preserve"> </w:t>
      </w:r>
      <w:r>
        <w:t xml:space="preserve">National Statistics</w:t>
      </w:r>
      <w:r>
        <w:t xml:space="preserve">.</w:t>
      </w:r>
    </w:p>
    <w:bookmarkEnd w:id="346"/>
    <w:bookmarkStart w:id="347" w:name="ref-wittenberg2019"/>
    <w:p>
      <w:pPr>
        <w:pStyle w:val="Bibliography"/>
      </w:pPr>
      <w:r>
        <w:t xml:space="preserve">16.</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47"/>
    <w:bookmarkStart w:id="348" w:name="ref-prince2014"/>
    <w:p>
      <w:pPr>
        <w:pStyle w:val="Bibliography"/>
      </w:pPr>
      <w:r>
        <w:t xml:space="preserve">17.</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348"/>
    <w:bookmarkStart w:id="349" w:name="ref-cummings2020"/>
    <w:p>
      <w:pPr>
        <w:pStyle w:val="Bibliography"/>
      </w:pPr>
      <w:r>
        <w:t xml:space="preserve">18.</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49"/>
    <w:bookmarkStart w:id="350" w:name="ref-hampel2018"/>
    <w:p>
      <w:pPr>
        <w:pStyle w:val="Bibliography"/>
      </w:pPr>
      <w:r>
        <w:t xml:space="preserve">19.</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50"/>
    <w:bookmarkStart w:id="351" w:name="ref-pariente2008"/>
    <w:p>
      <w:pPr>
        <w:pStyle w:val="Bibliography"/>
      </w:pPr>
      <w:r>
        <w:t xml:space="preserve">20.</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51"/>
    <w:bookmarkStart w:id="353" w:name="ref-marucci2020"/>
    <w:p>
      <w:pPr>
        <w:pStyle w:val="Bibliography"/>
      </w:pPr>
      <w:r>
        <w:t xml:space="preserve">21.</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52">
        <w:r>
          <w:rPr>
            <w:rStyle w:val="Hyperlink"/>
          </w:rPr>
          <w:t xml:space="preserve">10.1016/j.neuropharm.2020.108352</w:t>
        </w:r>
      </w:hyperlink>
    </w:p>
    <w:bookmarkEnd w:id="353"/>
    <w:bookmarkStart w:id="354" w:name="ref-francis2010"/>
    <w:p>
      <w:pPr>
        <w:pStyle w:val="Bibliography"/>
      </w:pPr>
      <w:r>
        <w:t xml:space="preserve">22.</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54"/>
    <w:bookmarkStart w:id="355" w:name="ref-winblad2016"/>
    <w:p>
      <w:pPr>
        <w:pStyle w:val="Bibliography"/>
      </w:pPr>
      <w:r>
        <w:t xml:space="preserve">23.</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355"/>
    <w:bookmarkStart w:id="356" w:name="ref-feingold2000"/>
    <w:p>
      <w:pPr>
        <w:pStyle w:val="Bibliography"/>
      </w:pPr>
      <w:r>
        <w:t xml:space="preserve">24.</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56"/>
    <w:bookmarkStart w:id="357" w:name="ref-peters2019"/>
    <w:p>
      <w:pPr>
        <w:pStyle w:val="Bibliography"/>
      </w:pPr>
      <w:r>
        <w:t xml:space="preserve">25.</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57"/>
    <w:bookmarkStart w:id="358" w:name="ref-anstey2019"/>
    <w:p>
      <w:pPr>
        <w:pStyle w:val="Bibliography"/>
      </w:pPr>
      <w:r>
        <w:t xml:space="preserve">26.</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58"/>
    <w:bookmarkStart w:id="359" w:name="ref-hughes2020"/>
    <w:p>
      <w:pPr>
        <w:pStyle w:val="Bibliography"/>
      </w:pPr>
      <w:r>
        <w:t xml:space="preserve">27.</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359"/>
    <w:bookmarkStart w:id="360" w:name="ref-norton2014potential"/>
    <w:p>
      <w:pPr>
        <w:pStyle w:val="Bibliography"/>
      </w:pPr>
      <w:r>
        <w:t xml:space="preserve">28.</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60"/>
    <w:bookmarkStart w:id="361" w:name="ref-pushpakom2019"/>
    <w:p>
      <w:pPr>
        <w:pStyle w:val="Bibliography"/>
      </w:pPr>
      <w:r>
        <w:t xml:space="preserve">29.</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361"/>
    <w:bookmarkStart w:id="362" w:name="ref-laufs2020"/>
    <w:p>
      <w:pPr>
        <w:pStyle w:val="Bibliography"/>
      </w:pPr>
      <w:r>
        <w:t xml:space="preserve">30.</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62"/>
    <w:bookmarkStart w:id="363" w:name="ref-zampelas2019"/>
    <w:p>
      <w:pPr>
        <w:pStyle w:val="Bibliography"/>
      </w:pPr>
      <w:r>
        <w:t xml:space="preserve">31.</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63"/>
    <w:bookmarkStart w:id="364" w:name="ref-friedewald1972"/>
    <w:p>
      <w:pPr>
        <w:pStyle w:val="Bibliography"/>
      </w:pPr>
      <w:r>
        <w:t xml:space="preserve">32.</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64"/>
    <w:bookmarkStart w:id="365" w:name="ref-national2002third"/>
    <w:p>
      <w:pPr>
        <w:pStyle w:val="Bibliography"/>
      </w:pPr>
      <w:r>
        <w:t xml:space="preserve">33.</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65"/>
    <w:bookmarkStart w:id="366" w:name="ref-nelson2013"/>
    <w:p>
      <w:pPr>
        <w:pStyle w:val="Bibliography"/>
      </w:pPr>
      <w:r>
        <w:t xml:space="preserve">34.</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66"/>
    <w:bookmarkStart w:id="367" w:name="ref-libby2019"/>
    <w:p>
      <w:pPr>
        <w:pStyle w:val="Bibliography"/>
      </w:pPr>
      <w:r>
        <w:t xml:space="preserve">35.</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67"/>
    <w:bookmarkStart w:id="368" w:name="ref-collins2016"/>
    <w:p>
      <w:pPr>
        <w:pStyle w:val="Bibliography"/>
      </w:pPr>
      <w:r>
        <w:t xml:space="preserve">36.</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8"/>
    <w:bookmarkStart w:id="369" w:name="ref-law2003"/>
    <w:p>
      <w:pPr>
        <w:pStyle w:val="Bibliography"/>
      </w:pPr>
      <w:r>
        <w:t xml:space="preserve">37.</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69"/>
    <w:bookmarkStart w:id="370" w:name="ref-schachter2005"/>
    <w:p>
      <w:pPr>
        <w:pStyle w:val="Bibliography"/>
      </w:pPr>
      <w:r>
        <w:t xml:space="preserve">38.</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70"/>
    <w:bookmarkStart w:id="371" w:name="ref-sierra2011"/>
    <w:p>
      <w:pPr>
        <w:pStyle w:val="Bibliography"/>
      </w:pPr>
      <w:r>
        <w:t xml:space="preserve">39.</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71"/>
    <w:bookmarkStart w:id="372" w:name="ref-kosoglou2005"/>
    <w:p>
      <w:pPr>
        <w:pStyle w:val="Bibliography"/>
      </w:pPr>
      <w:r>
        <w:t xml:space="preserve">40.</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72"/>
    <w:bookmarkStart w:id="373" w:name="ref-genest2006"/>
    <w:p>
      <w:pPr>
        <w:pStyle w:val="Bibliography"/>
      </w:pPr>
      <w:r>
        <w:t xml:space="preserve">41.</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73"/>
    <w:bookmarkStart w:id="374" w:name="ref-chaudhary2017"/>
    <w:p>
      <w:pPr>
        <w:pStyle w:val="Bibliography"/>
      </w:pPr>
      <w:r>
        <w:t xml:space="preserve">42.</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74"/>
    <w:bookmarkStart w:id="375" w:name="ref-mckenney2004"/>
    <w:p>
      <w:pPr>
        <w:pStyle w:val="Bibliography"/>
      </w:pPr>
      <w:r>
        <w:t xml:space="preserve">43.</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75"/>
    <w:bookmarkStart w:id="376" w:name="ref-skulas2019"/>
    <w:p>
      <w:pPr>
        <w:pStyle w:val="Bibliography"/>
      </w:pPr>
      <w:r>
        <w:t xml:space="preserve">44.</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76"/>
    <w:bookmarkStart w:id="377" w:name="ref-burns2003"/>
    <w:p>
      <w:pPr>
        <w:pStyle w:val="Bibliography"/>
      </w:pPr>
      <w:r>
        <w:t xml:space="preserve">45.</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77"/>
    <w:bookmarkStart w:id="378" w:name="ref-mizuno1999"/>
    <w:p>
      <w:pPr>
        <w:pStyle w:val="Bibliography"/>
      </w:pPr>
      <w:r>
        <w:t xml:space="preserve">46.</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78"/>
    <w:bookmarkStart w:id="379" w:name="ref-beecham2014"/>
    <w:p>
      <w:pPr>
        <w:pStyle w:val="Bibliography"/>
      </w:pPr>
      <w:r>
        <w:t xml:space="preserve">47.</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79"/>
    <w:bookmarkStart w:id="380" w:name="ref-harold2009"/>
    <w:p>
      <w:pPr>
        <w:pStyle w:val="Bibliography"/>
      </w:pPr>
      <w:r>
        <w:t xml:space="preserve">48.</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80"/>
    <w:bookmarkStart w:id="381" w:name="ref-meng2007"/>
    <w:p>
      <w:pPr>
        <w:pStyle w:val="Bibliography"/>
      </w:pPr>
      <w:r>
        <w:t xml:space="preserve">49.</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81"/>
    <w:bookmarkStart w:id="382" w:name="ref-kivipelto2002"/>
    <w:p>
      <w:pPr>
        <w:pStyle w:val="Bibliography"/>
      </w:pPr>
      <w:r>
        <w:t xml:space="preserve">50.</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82"/>
    <w:bookmarkStart w:id="383" w:name="ref-kivipelto2005"/>
    <w:p>
      <w:pPr>
        <w:pStyle w:val="Bibliography"/>
      </w:pPr>
      <w:r>
        <w:t xml:space="preserve">51.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83"/>
    <w:bookmarkStart w:id="384" w:name="ref-schilling2017"/>
    <w:p>
      <w:pPr>
        <w:pStyle w:val="Bibliography"/>
      </w:pPr>
      <w:r>
        <w:t xml:space="preserve">52.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84"/>
    <w:bookmarkStart w:id="385" w:name="ref-solomon2009"/>
    <w:p>
      <w:pPr>
        <w:pStyle w:val="Bibliography"/>
      </w:pPr>
      <w:r>
        <w:t xml:space="preserve">53.</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85"/>
    <w:bookmarkStart w:id="386" w:name="ref-whitmer2005"/>
    <w:p>
      <w:pPr>
        <w:pStyle w:val="Bibliography"/>
      </w:pPr>
      <w:r>
        <w:t xml:space="preserve">54.</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86"/>
    <w:bookmarkStart w:id="387" w:name="ref-li2005"/>
    <w:p>
      <w:pPr>
        <w:pStyle w:val="Bibliography"/>
      </w:pPr>
      <w:r>
        <w:t xml:space="preserve">55.</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87"/>
    <w:bookmarkStart w:id="388" w:name="ref-mainous2005"/>
    <w:p>
      <w:pPr>
        <w:pStyle w:val="Bibliography"/>
      </w:pPr>
      <w:r>
        <w:t xml:space="preserve">56.</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88"/>
    <w:bookmarkStart w:id="389" w:name="ref-mielke2010"/>
    <w:p>
      <w:pPr>
        <w:pStyle w:val="Bibliography"/>
      </w:pPr>
      <w:r>
        <w:t xml:space="preserve">57.</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89"/>
    <w:bookmarkStart w:id="390" w:name="ref-tan2003"/>
    <w:p>
      <w:pPr>
        <w:pStyle w:val="Bibliography"/>
      </w:pPr>
      <w:r>
        <w:t xml:space="preserve">58.</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 The</w:t>
      </w:r>
      <w:r>
        <w:t xml:space="preserve"> </w:t>
      </w:r>
      <w:r>
        <w:t xml:space="preserve">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390"/>
    <w:bookmarkStart w:id="391" w:name="ref-mielke2005"/>
    <w:p>
      <w:pPr>
        <w:pStyle w:val="Bibliography"/>
      </w:pPr>
      <w:r>
        <w:t xml:space="preserve">59.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91"/>
    <w:bookmarkStart w:id="392" w:name="ref-reitz2004"/>
    <w:p>
      <w:pPr>
        <w:pStyle w:val="Bibliography"/>
      </w:pPr>
      <w:r>
        <w:t xml:space="preserve">60.</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92"/>
    <w:bookmarkStart w:id="393" w:name="ref-moroney1999"/>
    <w:p>
      <w:pPr>
        <w:pStyle w:val="Bibliography"/>
      </w:pPr>
      <w:r>
        <w:t xml:space="preserve">61.</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93"/>
    <w:bookmarkStart w:id="394" w:name="ref-ritchie2015"/>
    <w:p>
      <w:pPr>
        <w:pStyle w:val="Bibliography"/>
      </w:pPr>
      <w:r>
        <w:t xml:space="preserve">62.</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94"/>
    <w:bookmarkStart w:id="396" w:name="ref-mcguinness2016"/>
    <w:p>
      <w:pPr>
        <w:pStyle w:val="Bibliography"/>
      </w:pPr>
      <w:r>
        <w:t xml:space="preserve">63.</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95">
        <w:r>
          <w:rPr>
            <w:rStyle w:val="Hyperlink"/>
          </w:rPr>
          <w:t xml:space="preserve">10.1002/14651858.CD003160.pub3</w:t>
        </w:r>
      </w:hyperlink>
    </w:p>
    <w:bookmarkEnd w:id="396"/>
    <w:bookmarkStart w:id="397" w:name="ref-trompet2010"/>
    <w:p>
      <w:pPr>
        <w:pStyle w:val="Bibliography"/>
      </w:pPr>
      <w:r>
        <w:t xml:space="preserve">64.</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97"/>
    <w:bookmarkStart w:id="398" w:name="X49f9892f062f4edfe92b37e5c1639cb4f6c013f"/>
    <w:p>
      <w:pPr>
        <w:pStyle w:val="Bibliography"/>
      </w:pPr>
      <w:r>
        <w:t xml:space="preserve">65.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98"/>
    <w:bookmarkStart w:id="399"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99"/>
    <w:bookmarkStart w:id="400"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400"/>
    <w:bookmarkStart w:id="401"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401"/>
    <w:bookmarkStart w:id="402" w:name="ref-larsson2017"/>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(2017).</w:t>
      </w:r>
    </w:p>
    <w:bookmarkEnd w:id="402"/>
    <w:bookmarkStart w:id="403"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403"/>
    <w:bookmarkStart w:id="404"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404"/>
    <w:bookmarkStart w:id="405"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405"/>
    <w:bookmarkStart w:id="406" w:name="ref-donnelly2018"/>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06"/>
    <w:bookmarkStart w:id="407" w:name="ref-chandler2019chapter"/>
    <w:p>
      <w:pPr>
        <w:pStyle w:val="Bibliography"/>
      </w:pPr>
      <w:r>
        <w:t xml:space="preserve">74.</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07"/>
    <w:bookmarkStart w:id="409" w:name="ref-paez2017"/>
    <w:p>
      <w:pPr>
        <w:pStyle w:val="Bibliography"/>
      </w:pPr>
      <w:r>
        <w:t xml:space="preserve">75.</w:t>
      </w:r>
      <w:r>
        <w:t xml:space="preserve"> </w:t>
      </w:r>
      <w:r>
        <w:t xml:space="preserve">	</w:t>
      </w:r>
      <w:r>
        <w:t xml:space="preserve">Paez, A. Grey literature: An important resource in systematic reviews.</w:t>
      </w:r>
      <w:r>
        <w:t xml:space="preserve"> </w:t>
      </w:r>
      <w:r>
        <w:rPr>
          <w:iCs/>
          <w:i/>
        </w:rPr>
        <w:t xml:space="preserve">Journal of Evidence-Based Medicine</w:t>
      </w:r>
      <w:r>
        <w:t xml:space="preserve"> </w:t>
      </w:r>
      <w:r>
        <w:t xml:space="preserve">(2017). doi:</w:t>
      </w:r>
      <w:hyperlink r:id="rId408">
        <w:r>
          <w:rPr>
            <w:rStyle w:val="Hyperlink"/>
          </w:rPr>
          <w:t xml:space="preserve">10.1111/jebm.12265</w:t>
        </w:r>
      </w:hyperlink>
    </w:p>
    <w:bookmarkEnd w:id="409"/>
    <w:bookmarkStart w:id="410" w:name="ref-conn2003"/>
    <w:p>
      <w:pPr>
        <w:pStyle w:val="Bibliography"/>
      </w:pPr>
      <w:r>
        <w:t xml:space="preserve">76.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10"/>
    <w:bookmarkStart w:id="411" w:name="ref-mcauley2000"/>
    <w:p>
      <w:pPr>
        <w:pStyle w:val="Bibliography"/>
      </w:pPr>
      <w:r>
        <w:t xml:space="preserve">77.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11"/>
    <w:bookmarkStart w:id="413" w:name="ref-hopewell2007"/>
    <w:p>
      <w:pPr>
        <w:pStyle w:val="Bibliography"/>
      </w:pPr>
      <w:r>
        <w:t xml:space="preserve">78.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12">
        <w:r>
          <w:rPr>
            <w:rStyle w:val="Hyperlink"/>
          </w:rPr>
          <w:t xml:space="preserve">10.1002/14651858.MR000010.pub3</w:t>
        </w:r>
      </w:hyperlink>
    </w:p>
    <w:bookmarkEnd w:id="413"/>
    <w:bookmarkStart w:id="414" w:name="ref-lefebvre2019searching"/>
    <w:p>
      <w:pPr>
        <w:pStyle w:val="Bibliography"/>
      </w:pPr>
      <w:r>
        <w:t xml:space="preserve">79.</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14"/>
    <w:bookmarkStart w:id="415" w:name="ref-committeeonpublicationethicscope2018"/>
    <w:p>
      <w:pPr>
        <w:pStyle w:val="Bibliography"/>
      </w:pPr>
      <w:r>
        <w:t xml:space="preserve">80.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15"/>
    <w:bookmarkStart w:id="416" w:name="ref-vale2016"/>
    <w:p>
      <w:pPr>
        <w:pStyle w:val="Bibliography"/>
      </w:pPr>
      <w:r>
        <w:t xml:space="preserve">81.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16"/>
    <w:bookmarkStart w:id="418" w:name="ref-fraser2020preprinting"/>
    <w:p>
      <w:pPr>
        <w:pStyle w:val="Bibliography"/>
      </w:pPr>
      <w:r>
        <w:t xml:space="preserve">82.</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17">
        <w:r>
          <w:rPr>
            <w:rStyle w:val="Hyperlink"/>
          </w:rPr>
          <w:t xml:space="preserve">10.1101/2020.05.22.111294</w:t>
        </w:r>
      </w:hyperlink>
    </w:p>
    <w:bookmarkEnd w:id="418"/>
    <w:bookmarkStart w:id="419" w:name="ref-rosenthal1979"/>
    <w:p>
      <w:pPr>
        <w:pStyle w:val="Bibliography"/>
      </w:pPr>
      <w:r>
        <w:t xml:space="preserve">83.</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19"/>
    <w:bookmarkStart w:id="420" w:name="ref-maslove2018"/>
    <w:p>
      <w:pPr>
        <w:pStyle w:val="Bibliography"/>
      </w:pPr>
      <w:r>
        <w:t xml:space="preserve">84.</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20"/>
    <w:bookmarkStart w:id="421" w:name="ref-schalkwyk2020"/>
    <w:p>
      <w:pPr>
        <w:pStyle w:val="Bibliography"/>
      </w:pPr>
      <w:r>
        <w:t xml:space="preserve">85.</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21"/>
    <w:bookmarkStart w:id="422" w:name="ref-mahood2014"/>
    <w:p>
      <w:pPr>
        <w:pStyle w:val="Bibliography"/>
      </w:pPr>
      <w:r>
        <w:t xml:space="preserve">86.</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22"/>
    <w:bookmarkStart w:id="423" w:name="ref-shi2021"/>
    <w:p>
      <w:pPr>
        <w:pStyle w:val="Bibliography"/>
      </w:pPr>
      <w:r>
        <w:t xml:space="preserve">87.</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423"/>
    <w:bookmarkStart w:id="424" w:name="ref-klein2019"/>
    <w:p>
      <w:pPr>
        <w:pStyle w:val="Bibliography"/>
      </w:pPr>
      <w:r>
        <w:t xml:space="preserve">88.</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24"/>
    <w:bookmarkStart w:id="426" w:name="ref-nicholson2021"/>
    <w:p>
      <w:pPr>
        <w:pStyle w:val="Bibliography"/>
      </w:pPr>
      <w:r>
        <w:t xml:space="preserve">89.</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25">
        <w:r>
          <w:rPr>
            <w:rStyle w:val="Hyperlink"/>
          </w:rPr>
          <w:t xml:space="preserve">10.1101/2021.03.04.433874</w:t>
        </w:r>
      </w:hyperlink>
    </w:p>
    <w:bookmarkEnd w:id="426"/>
    <w:bookmarkStart w:id="427" w:name="ref-riley2010"/>
    <w:p>
      <w:pPr>
        <w:pStyle w:val="Bibliography"/>
      </w:pPr>
      <w:r>
        <w:t xml:space="preserve">90.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27"/>
    <w:bookmarkStart w:id="428" w:name="ref-stewart1993"/>
    <w:p>
      <w:pPr>
        <w:pStyle w:val="Bibliography"/>
      </w:pPr>
      <w:r>
        <w:t xml:space="preserve">91.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28"/>
    <w:bookmarkStart w:id="429" w:name="ref-arain2009"/>
    <w:p>
      <w:pPr>
        <w:pStyle w:val="Bibliography"/>
      </w:pPr>
      <w:r>
        <w:t xml:space="preserve">92.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29"/>
    <w:bookmarkStart w:id="430" w:name="ref-clayton2018"/>
    <w:p>
      <w:pPr>
        <w:pStyle w:val="Bibliography"/>
      </w:pPr>
      <w:r>
        <w:t xml:space="preserve">93.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30"/>
    <w:bookmarkStart w:id="431" w:name="ref-mccartney2016"/>
    <w:p>
      <w:pPr>
        <w:pStyle w:val="Bibliography"/>
      </w:pPr>
      <w:r>
        <w:t xml:space="preserve">94.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31"/>
    <w:bookmarkStart w:id="432" w:name="ref-letenneur1999"/>
    <w:p>
      <w:pPr>
        <w:pStyle w:val="Bibliography"/>
      </w:pPr>
      <w:r>
        <w:t xml:space="preserve">95.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32"/>
    <w:bookmarkStart w:id="433" w:name="ref-riley2020"/>
    <w:p>
      <w:pPr>
        <w:pStyle w:val="Bibliography"/>
      </w:pPr>
      <w:r>
        <w:t xml:space="preserve">96.</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33"/>
    <w:bookmarkStart w:id="434" w:name="ref-stewart2002"/>
    <w:p>
      <w:pPr>
        <w:pStyle w:val="Bibliography"/>
      </w:pPr>
      <w:r>
        <w:t xml:space="preserve">97.</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34"/>
    <w:bookmarkStart w:id="435" w:name="ref-tugwell2010"/>
    <w:p>
      <w:pPr>
        <w:pStyle w:val="Bibliography"/>
      </w:pPr>
      <w:r>
        <w:t xml:space="preserve">98.</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35"/>
    <w:bookmarkStart w:id="436" w:name="ref-nevitt2017"/>
    <w:p>
      <w:pPr>
        <w:pStyle w:val="Bibliography"/>
      </w:pPr>
      <w:r>
        <w:t xml:space="preserve">99.</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BMJ</w:t>
      </w:r>
      <w:r>
        <w:t xml:space="preserve"> </w:t>
      </w:r>
      <w:r>
        <w:rPr>
          <w:bCs/>
          <w:b/>
        </w:rPr>
        <w:t xml:space="preserve">357</w:t>
      </w:r>
      <w:r>
        <w:t xml:space="preserve">, j1390 (2017).</w:t>
      </w:r>
    </w:p>
    <w:bookmarkEnd w:id="436"/>
    <w:bookmarkStart w:id="437" w:name="ref-ventresca2020"/>
    <w:p>
      <w:pPr>
        <w:pStyle w:val="Bibliography"/>
      </w:pPr>
      <w:r>
        <w:t xml:space="preserve">100.</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37"/>
    <w:bookmarkStart w:id="438" w:name="ref-alsheikh-ali2011"/>
    <w:p>
      <w:pPr>
        <w:pStyle w:val="Bibliography"/>
      </w:pPr>
      <w:r>
        <w:t xml:space="preserve">101.</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38"/>
    <w:bookmarkStart w:id="439" w:name="ref-federer2018"/>
    <w:p>
      <w:pPr>
        <w:pStyle w:val="Bibliography"/>
      </w:pPr>
      <w:r>
        <w:t xml:space="preserve">102.</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 An 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439"/>
    <w:bookmarkStart w:id="440" w:name="ref-vines2014"/>
    <w:p>
      <w:pPr>
        <w:pStyle w:val="Bibliography"/>
      </w:pPr>
      <w:r>
        <w:t xml:space="preserve">103.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40"/>
    <w:bookmarkStart w:id="441" w:name="ref-vanpanhuis2014"/>
    <w:p>
      <w:pPr>
        <w:pStyle w:val="Bibliography"/>
      </w:pPr>
      <w:r>
        <w:t xml:space="preserve">104.</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441"/>
    <w:bookmarkStart w:id="442" w:name="ref-wartenberg2010"/>
    <w:p>
      <w:pPr>
        <w:pStyle w:val="Bibliography"/>
      </w:pPr>
      <w:r>
        <w:t xml:space="preserve">105.</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42"/>
    <w:bookmarkStart w:id="443" w:name="ref-bauermeister2020"/>
    <w:p>
      <w:pPr>
        <w:pStyle w:val="Bibliography"/>
      </w:pPr>
      <w:r>
        <w:t xml:space="preserve">106.</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43"/>
    <w:bookmarkStart w:id="444" w:name="ref-lawlor2016"/>
    <w:p>
      <w:pPr>
        <w:pStyle w:val="Bibliography"/>
      </w:pPr>
      <w:r>
        <w:t xml:space="preserve">107.</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444"/>
    <w:bookmarkStart w:id="445" w:name="ref-munafo2018"/>
    <w:p>
      <w:pPr>
        <w:pStyle w:val="Bibliography"/>
      </w:pPr>
      <w:r>
        <w:t xml:space="preserve">108.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45"/>
    <w:bookmarkStart w:id="446" w:name="ref-rawlinson2019"/>
    <w:p>
      <w:pPr>
        <w:pStyle w:val="Bibliography"/>
      </w:pPr>
      <w:r>
        <w:t xml:space="preserve">109.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46"/>
    <w:bookmarkStart w:id="448" w:name="ref-sever2019"/>
    <w:p>
      <w:pPr>
        <w:pStyle w:val="Bibliography"/>
      </w:pPr>
      <w:r>
        <w:t xml:space="preserve">110.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47">
        <w:r>
          <w:rPr>
            <w:rStyle w:val="Hyperlink"/>
          </w:rPr>
          <w:t xml:space="preserve">10.1101/833400</w:t>
        </w:r>
      </w:hyperlink>
    </w:p>
    <w:bookmarkEnd w:id="448"/>
    <w:bookmarkStart w:id="449" w:name="ref-bramer2018"/>
    <w:p>
      <w:pPr>
        <w:pStyle w:val="Bibliography"/>
      </w:pPr>
      <w:r>
        <w:t xml:space="preserve">111.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49"/>
    <w:bookmarkStart w:id="450" w:name="ref-gusenbauer2020"/>
    <w:p>
      <w:pPr>
        <w:pStyle w:val="Bibliography"/>
      </w:pPr>
      <w:r>
        <w:t xml:space="preserve">112.</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50"/>
    <w:bookmarkStart w:id="451" w:name="ref-zotero-15029"/>
    <w:p>
      <w:pPr>
        <w:pStyle w:val="Bibliography"/>
      </w:pPr>
      <w:r>
        <w:t xml:space="preserve">113.</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51"/>
    <w:bookmarkStart w:id="452"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52"/>
    <w:bookmarkStart w:id="453" w:name="ref-abdill2019"/>
    <w:p>
      <w:pPr>
        <w:pStyle w:val="Bibliography"/>
      </w:pPr>
      <w:r>
        <w:t xml:space="preserve">115.</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53"/>
    <w:bookmarkStart w:id="454" w:name="ref-zotero-15027"/>
    <w:p>
      <w:pPr>
        <w:pStyle w:val="Bibliography"/>
      </w:pPr>
      <w:r>
        <w:t xml:space="preserve">116.</w:t>
      </w:r>
      <w:r>
        <w:t xml:space="preserve"> </w:t>
      </w:r>
      <w:r>
        <w:t xml:space="preserve">	</w:t>
      </w:r>
      <w:r>
        <w:t xml:space="preserve">Rxivist: Explore popular biology preprints.</w:t>
      </w:r>
    </w:p>
    <w:bookmarkEnd w:id="454"/>
    <w:bookmarkStart w:id="455" w:name="ref-iwema2016"/>
    <w:p>
      <w:pPr>
        <w:pStyle w:val="Bibliography"/>
      </w:pPr>
      <w:r>
        <w:t xml:space="preserve">117.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55"/>
    <w:bookmarkStart w:id="457" w:name="ref-shaw2002"/>
    <w:p>
      <w:pPr>
        <w:pStyle w:val="Bibliography"/>
      </w:pPr>
      <w:r>
        <w:t xml:space="preserve">118.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56">
        <w:r>
          <w:rPr>
            <w:rStyle w:val="Hyperlink"/>
          </w:rPr>
          <w:t xml:space="preserve">10.1145/582128.582152</w:t>
        </w:r>
      </w:hyperlink>
    </w:p>
    <w:bookmarkEnd w:id="457"/>
    <w:bookmarkStart w:id="458" w:name="ref-laprie1992"/>
    <w:p>
      <w:pPr>
        <w:pStyle w:val="Bibliography"/>
      </w:pPr>
      <w:r>
        <w:t xml:space="preserve">119.</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58"/>
    <w:bookmarkStart w:id="459" w:name="ref-rcoreteam2019"/>
    <w:p>
      <w:pPr>
        <w:pStyle w:val="Bibliography"/>
      </w:pPr>
      <w:r>
        <w:t xml:space="preserve">120.</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59"/>
    <w:bookmarkStart w:id="460" w:name="ref-zotero-15031"/>
    <w:p>
      <w:pPr>
        <w:pStyle w:val="Bibliography"/>
      </w:pPr>
      <w:r>
        <w:t xml:space="preserve">121.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60"/>
    <w:bookmarkStart w:id="461" w:name="ref-rethlefsen2021prisma"/>
    <w:p>
      <w:pPr>
        <w:pStyle w:val="Bibliography"/>
      </w:pPr>
      <w:r>
        <w:t xml:space="preserve">122.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61"/>
    <w:bookmarkStart w:id="463" w:name="ref-kodvanj2020"/>
    <w:p>
      <w:pPr>
        <w:pStyle w:val="Bibliography"/>
      </w:pPr>
      <w:r>
        <w:t xml:space="preserve">123.</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62">
        <w:r>
          <w:rPr>
            <w:rStyle w:val="Hyperlink"/>
          </w:rPr>
          <w:t xml:space="preserve">10.1101/2020.11.23.394577</w:t>
        </w:r>
      </w:hyperlink>
    </w:p>
    <w:bookmarkEnd w:id="463"/>
    <w:bookmarkStart w:id="464" w:name="ref-noone2020"/>
    <w:p>
      <w:pPr>
        <w:pStyle w:val="Bibliography"/>
      </w:pPr>
      <w:r>
        <w:t xml:space="preserve">124.</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64"/>
    <w:bookmarkStart w:id="465" w:name="ref-grassly2020"/>
    <w:p>
      <w:pPr>
        <w:pStyle w:val="Bibliography"/>
      </w:pPr>
      <w:r>
        <w:t xml:space="preserve">125.</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65"/>
    <w:bookmarkStart w:id="467" w:name="ref-mcguinness2020DAScomparison"/>
    <w:p>
      <w:pPr>
        <w:pStyle w:val="Bibliography"/>
      </w:pPr>
      <w:r>
        <w:t xml:space="preserve">126.</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466">
        <w:r>
          <w:rPr>
            <w:rStyle w:val="Hyperlink"/>
          </w:rPr>
          <w:t xml:space="preserve">10.31222/osf.io/p75xe</w:t>
        </w:r>
      </w:hyperlink>
    </w:p>
    <w:bookmarkEnd w:id="467"/>
    <w:bookmarkStart w:id="468" w:name="ref-boettiger2015"/>
    <w:p>
      <w:pPr>
        <w:pStyle w:val="Bibliography"/>
      </w:pPr>
      <w:r>
        <w:t xml:space="preserve">127.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68"/>
    <w:bookmarkStart w:id="469" w:name="ref-mcguinness2020medrxivr"/>
    <w:p>
      <w:pPr>
        <w:pStyle w:val="Bibliography"/>
      </w:pPr>
      <w:r>
        <w:t xml:space="preserve">128.</w:t>
      </w:r>
      <w:r>
        <w:t xml:space="preserve"> </w:t>
      </w:r>
      <w:r>
        <w:t xml:space="preserve">	</w:t>
      </w:r>
      <w:r>
        <w:t xml:space="preserve">McGuinness, L.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69"/>
    <w:bookmarkStart w:id="470" w:name="ref-zotero-15016"/>
    <w:p>
      <w:pPr>
        <w:pStyle w:val="Bibliography"/>
      </w:pPr>
      <w:r>
        <w:t xml:space="preserve">129.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70"/>
    <w:bookmarkStart w:id="471" w:name="ref-abdill2019popularity"/>
    <w:p>
      <w:pPr>
        <w:pStyle w:val="Bibliography"/>
      </w:pPr>
      <w:r>
        <w:t xml:space="preserve">130.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71"/>
    <w:bookmarkStart w:id="473" w:name="ref-bong2019"/>
    <w:p>
      <w:pPr>
        <w:pStyle w:val="Bibliography"/>
      </w:pPr>
      <w:r>
        <w:t xml:space="preserve">131.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72">
        <w:r>
          <w:rPr>
            <w:rStyle w:val="Hyperlink"/>
          </w:rPr>
          <w:t xml:space="preserve">10.1101/19000265</w:t>
        </w:r>
      </w:hyperlink>
    </w:p>
    <w:bookmarkEnd w:id="473"/>
    <w:bookmarkStart w:id="474" w:name="ref-song2010"/>
    <w:p>
      <w:pPr>
        <w:pStyle w:val="Bibliography"/>
      </w:pPr>
      <w:r>
        <w:t xml:space="preserve">132.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74"/>
    <w:bookmarkStart w:id="476" w:name="ref-goldacre2019"/>
    <w:p>
      <w:pPr>
        <w:pStyle w:val="Bibliography"/>
      </w:pPr>
      <w:r>
        <w:t xml:space="preserve">133.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475">
        <w:r>
          <w:rPr>
            <w:rStyle w:val="Hyperlink"/>
          </w:rPr>
          <w:t xml:space="preserve">10.1136/bmj.l6365</w:t>
        </w:r>
      </w:hyperlink>
    </w:p>
    <w:bookmarkEnd w:id="476"/>
    <w:bookmarkStart w:id="477" w:name="ref-mckiernan2016"/>
    <w:p>
      <w:pPr>
        <w:pStyle w:val="Bibliography"/>
      </w:pPr>
      <w:r>
        <w:t xml:space="preserve">134.</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477"/>
    <w:bookmarkStart w:id="478" w:name="ref-fraser2020rbiorixv"/>
    <w:p>
      <w:pPr>
        <w:pStyle w:val="Bibliography"/>
      </w:pPr>
      <w:r>
        <w:t xml:space="preserve">135.</w:t>
      </w:r>
      <w:r>
        <w:t xml:space="preserve"> </w:t>
      </w:r>
      <w:r>
        <w:t xml:space="preserve">	</w:t>
      </w:r>
      <w:r>
        <w:t xml:space="preserve">Fraser, N.</w:t>
      </w:r>
      <w:r>
        <w:t xml:space="preserve"> </w:t>
      </w:r>
      <w:r>
        <w:rPr>
          <w:iCs/>
          <w:i/>
        </w:rPr>
        <w:t xml:space="preserve">Rbiorxiv: Client for the ’</w:t>
      </w:r>
      <w:r>
        <w:rPr>
          <w:iCs/>
          <w:i/>
        </w:rPr>
        <w:t xml:space="preserve">bioRxiv</w:t>
      </w:r>
      <w:r>
        <w:rPr>
          <w:iCs/>
          <w:i/>
        </w:rPr>
        <w:t xml:space="preserve">’</w:t>
      </w:r>
      <w:r>
        <w:rPr>
          <w:iCs/>
          <w:i/>
        </w:rPr>
        <w:t xml:space="preserve"> </w:t>
      </w:r>
      <w:r>
        <w:rPr>
          <w:iCs/>
          <w:i/>
        </w:rPr>
        <w:t xml:space="preserve">API</w:t>
      </w:r>
      <w:r>
        <w:t xml:space="preserve">. (2020).</w:t>
      </w:r>
    </w:p>
    <w:bookmarkEnd w:id="478"/>
    <w:bookmarkStart w:id="480" w:name="ref-vuorre2020"/>
    <w:p>
      <w:pPr>
        <w:pStyle w:val="Bibliography"/>
      </w:pPr>
      <w:r>
        <w:t xml:space="preserve">136.</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79">
        <w:r>
          <w:rPr>
            <w:rStyle w:val="Hyperlink"/>
          </w:rPr>
          <w:t xml:space="preserve">10.3758/s13428-020-01436-x</w:t>
        </w:r>
      </w:hyperlink>
    </w:p>
    <w:bookmarkEnd w:id="480"/>
    <w:bookmarkStart w:id="482" w:name="ref-mcguinnessluke2020"/>
    <w:p>
      <w:pPr>
        <w:pStyle w:val="Bibliography"/>
      </w:pPr>
      <w:r>
        <w:t xml:space="preserve">137.</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81">
        <w:r>
          <w:rPr>
            <w:rStyle w:val="Hyperlink"/>
          </w:rPr>
          <w:t xml:space="preserve">10.17605/OSF.IO/VTW5Y</w:t>
        </w:r>
      </w:hyperlink>
    </w:p>
    <w:bookmarkEnd w:id="482"/>
    <w:bookmarkStart w:id="483" w:name="ref-organizationwho1993"/>
    <w:p>
      <w:pPr>
        <w:pStyle w:val="Bibliography"/>
      </w:pPr>
      <w:r>
        <w:t xml:space="preserve">138.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83"/>
    <w:bookmarkStart w:id="485" w:name="ref-tennant2021"/>
    <w:p>
      <w:pPr>
        <w:pStyle w:val="Bibliography"/>
      </w:pPr>
      <w:r>
        <w:t xml:space="preserve">139.</w:t>
      </w:r>
      <w:r>
        <w:t xml:space="preserve"> </w:t>
      </w:r>
      <w:r>
        <w:t xml:space="preserve">	</w:t>
      </w:r>
      <w:r>
        <w:t xml:space="preserve">Tennant, P. W. G., Arnold, K. F., Ellison, G. T. H. &amp; Gilthorpe, M. S. Analyses of</w:t>
      </w:r>
      <w:r>
        <w:t xml:space="preserve"> </w:t>
      </w:r>
      <w:r>
        <w:t xml:space="preserve">“change scores”</w:t>
      </w:r>
      <w:r>
        <w:t xml:space="preserve"> </w:t>
      </w:r>
      <w:r>
        <w:t xml:space="preserve">do not estimate causal effects in observational data.</w:t>
      </w:r>
      <w:r>
        <w:t xml:space="preserve"> </w:t>
      </w:r>
      <w:r>
        <w:rPr>
          <w:iCs/>
          <w:i/>
        </w:rPr>
        <w:t xml:space="preserve">International Journal of Epidemiology</w:t>
      </w:r>
      <w:r>
        <w:t xml:space="preserve"> </w:t>
      </w:r>
      <w:r>
        <w:t xml:space="preserve">(2021). doi:</w:t>
      </w:r>
      <w:hyperlink r:id="rId484">
        <w:r>
          <w:rPr>
            <w:rStyle w:val="Hyperlink"/>
          </w:rPr>
          <w:t xml:space="preserve">10.1093/ije/dyab050</w:t>
        </w:r>
      </w:hyperlink>
    </w:p>
    <w:bookmarkEnd w:id="485"/>
    <w:bookmarkStart w:id="486" w:name="ref-greenhalgh2005"/>
    <w:p>
      <w:pPr>
        <w:pStyle w:val="Bibliography"/>
      </w:pPr>
      <w:r>
        <w:t xml:space="preserve">140.</w:t>
      </w:r>
      <w:r>
        <w:t xml:space="preserve"> </w:t>
      </w:r>
      <w:r>
        <w:t xml:space="preserve">	</w:t>
      </w:r>
      <w:r>
        <w:t xml:space="preserve">Greenhalgh, T. &amp; Peacock, R. Effectiveness and efficiency of search methods in systematic reviews of complex evidence: Audit of primary sources.</w:t>
      </w:r>
      <w:r>
        <w:t xml:space="preserve"> </w:t>
      </w:r>
      <w:r>
        <w:rPr>
          <w:iCs/>
          <w:i/>
        </w:rPr>
        <w:t xml:space="preserve">BMJ : British Medical Journal</w:t>
      </w:r>
      <w:r>
        <w:t xml:space="preserve"> </w:t>
      </w:r>
      <w:r>
        <w:rPr>
          <w:bCs/>
          <w:b/>
        </w:rPr>
        <w:t xml:space="preserve">331</w:t>
      </w:r>
      <w:r>
        <w:t xml:space="preserve">, 1064–1065 (2005).</w:t>
      </w:r>
    </w:p>
    <w:bookmarkEnd w:id="486"/>
    <w:bookmarkStart w:id="488" w:name="ref-wohlin2014"/>
    <w:p>
      <w:pPr>
        <w:pStyle w:val="Bibliography"/>
      </w:pPr>
      <w:r>
        <w:t xml:space="preserve">141.</w:t>
      </w:r>
      <w:r>
        <w:t xml:space="preserve"> </w:t>
      </w:r>
      <w:r>
        <w:t xml:space="preserve">	</w:t>
      </w:r>
      <w:r>
        <w:t xml:space="preserve">Wohlin, C. Guidelines for snowballing in systematic literature studies and a replication in software engineering. in</w:t>
      </w:r>
      <w:r>
        <w:t xml:space="preserve"> </w:t>
      </w:r>
      <w:r>
        <w:rPr>
          <w:iCs/>
          <w:i/>
        </w:rPr>
        <w:t xml:space="preserve">Proceedings of the 18th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Evaluation</w:t>
      </w:r>
      <w:r>
        <w:rPr>
          <w:iCs/>
          <w:i/>
        </w:rPr>
        <w:t xml:space="preserve"> </w:t>
      </w:r>
      <w:r>
        <w:rPr>
          <w:iCs/>
          <w:i/>
        </w:rPr>
        <w:t xml:space="preserve">and</w:t>
      </w:r>
      <w:r>
        <w:rPr>
          <w:iCs/>
          <w:i/>
        </w:rPr>
        <w:t xml:space="preserve"> </w:t>
      </w:r>
      <w:r>
        <w:rPr>
          <w:iCs/>
          <w:i/>
        </w:rPr>
        <w:t xml:space="preserve">Assessment</w:t>
      </w:r>
      <w:r>
        <w:rPr>
          <w:iCs/>
          <w:i/>
        </w:rPr>
        <w:t xml:space="preserve"> </w:t>
      </w:r>
      <w:r>
        <w:rPr>
          <w:iCs/>
          <w:i/>
        </w:rPr>
        <w:t xml:space="preserve">in</w:t>
      </w:r>
      <w:r>
        <w:rPr>
          <w:iCs/>
          <w:i/>
        </w:rPr>
        <w:t xml:space="preserve"> </w:t>
      </w:r>
      <w:r>
        <w:rPr>
          <w:iCs/>
          <w:i/>
        </w:rPr>
        <w:t xml:space="preserve">Software Engineering</w:t>
      </w:r>
      <w:r>
        <w:rPr>
          <w:iCs/>
          <w:i/>
        </w:rPr>
        <w:t xml:space="preserve"> </w:t>
      </w:r>
      <w:r>
        <w:rPr>
          <w:iCs/>
          <w:i/>
        </w:rPr>
        <w:t xml:space="preserve">-</w:t>
      </w:r>
      <w:r>
        <w:rPr>
          <w:iCs/>
          <w:i/>
        </w:rPr>
        <w:t xml:space="preserve"> </w:t>
      </w:r>
      <w:r>
        <w:rPr>
          <w:iCs/>
          <w:i/>
        </w:rPr>
        <w:t xml:space="preserve">EASE</w:t>
      </w:r>
      <w:r>
        <w:rPr>
          <w:iCs/>
          <w:i/>
        </w:rPr>
        <w:t xml:space="preserve"> </w:t>
      </w:r>
      <w:r>
        <w:rPr>
          <w:iCs/>
          <w:i/>
        </w:rPr>
        <w:t xml:space="preserve">’14</w:t>
      </w:r>
      <w:r>
        <w:t xml:space="preserve"> </w:t>
      </w:r>
      <w:r>
        <w:t xml:space="preserve">1–10 (</w:t>
      </w:r>
      <w:r>
        <w:t xml:space="preserve">ACM Press</w:t>
      </w:r>
      <w:r>
        <w:t xml:space="preserve">, 2014). doi:</w:t>
      </w:r>
      <w:hyperlink r:id="rId487">
        <w:r>
          <w:rPr>
            <w:rStyle w:val="Hyperlink"/>
          </w:rPr>
          <w:t xml:space="preserve">10.1145/2601248.2601268</w:t>
        </w:r>
      </w:hyperlink>
    </w:p>
    <w:bookmarkEnd w:id="488"/>
    <w:bookmarkStart w:id="489" w:name="ref-bramer2016"/>
    <w:p>
      <w:pPr>
        <w:pStyle w:val="Bibliography"/>
      </w:pPr>
      <w:r>
        <w:t xml:space="preserve">142.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89"/>
    <w:bookmarkStart w:id="490" w:name="ref-hupe2019"/>
    <w:p>
      <w:pPr>
        <w:pStyle w:val="Bibliography"/>
      </w:pPr>
      <w:r>
        <w:t xml:space="preserve">143.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90"/>
    <w:bookmarkStart w:id="491" w:name="ref-ouzzani2016"/>
    <w:p>
      <w:pPr>
        <w:pStyle w:val="Bibliography"/>
      </w:pPr>
      <w:r>
        <w:t xml:space="preserve">144.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91"/>
    <w:bookmarkStart w:id="492" w:name="ref-page2021"/>
    <w:p>
      <w:pPr>
        <w:pStyle w:val="Bibliography"/>
      </w:pPr>
      <w:r>
        <w:t xml:space="preserve">145.</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92"/>
    <w:bookmarkStart w:id="493" w:name="ref-gwet2008"/>
    <w:p>
      <w:pPr>
        <w:pStyle w:val="Bibliography"/>
      </w:pPr>
      <w:r>
        <w:t xml:space="preserve">146.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93"/>
    <w:bookmarkStart w:id="494" w:name="ref-cohen1960"/>
    <w:p>
      <w:pPr>
        <w:pStyle w:val="Bibliography"/>
      </w:pPr>
      <w:r>
        <w:t xml:space="preserve">147.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94"/>
    <w:bookmarkStart w:id="495" w:name="ref-wongpakaran2013"/>
    <w:p>
      <w:pPr>
        <w:pStyle w:val="Bibliography"/>
      </w:pPr>
      <w:r>
        <w:t xml:space="preserve">148.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95"/>
    <w:bookmarkStart w:id="496" w:name="ref-brennan1992"/>
    <w:p>
      <w:pPr>
        <w:pStyle w:val="Bibliography"/>
      </w:pPr>
      <w:r>
        <w:t xml:space="preserve">149.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96"/>
    <w:bookmarkStart w:id="497" w:name="ref-mchugh2012"/>
    <w:p>
      <w:pPr>
        <w:pStyle w:val="Bibliography"/>
      </w:pPr>
      <w:r>
        <w:t xml:space="preserve">150.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97"/>
    <w:bookmarkStart w:id="498" w:name="ref-higgins2019"/>
    <w:p>
      <w:pPr>
        <w:pStyle w:val="Bibliography"/>
      </w:pPr>
      <w:r>
        <w:t xml:space="preserve">151.</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98"/>
    <w:bookmarkStart w:id="499" w:name="ref-rugge2011"/>
    <w:p>
      <w:pPr>
        <w:pStyle w:val="Bibliography"/>
      </w:pPr>
      <w:r>
        <w:t xml:space="preserve">152.</w:t>
      </w:r>
      <w:r>
        <w:t xml:space="preserve"> </w:t>
      </w:r>
      <w:r>
        <w:t xml:space="preserve">	</w:t>
      </w:r>
      <w:r>
        <w:t xml:space="preserve">Rugge, B.</w:t>
      </w:r>
      <w:r>
        <w:t xml:space="preserve"> </w:t>
      </w:r>
      <w:r>
        <w:rPr>
          <w:iCs/>
          <w:i/>
        </w:rPr>
        <w:t xml:space="preserve">et al.</w:t>
      </w:r>
      <w:r>
        <w:t xml:space="preserve"> Appendix</w:t>
      </w:r>
      <w:r>
        <w:t xml:space="preserve"> </w:t>
      </w:r>
      <w:r>
        <w:t xml:space="preserve">A</w:t>
      </w:r>
      <w:r>
        <w:t xml:space="preserve">: Lipid</w:t>
      </w:r>
      <w:r>
        <w:t xml:space="preserve"> </w:t>
      </w:r>
      <w:r>
        <w:t xml:space="preserve">Conversion Factors</w:t>
      </w:r>
      <w:r>
        <w:t xml:space="preserve">. in</w:t>
      </w:r>
      <w:r>
        <w:t xml:space="preserve"> </w:t>
      </w:r>
      <w:r>
        <w:rPr>
          <w:iCs/>
          <w:i/>
        </w:rPr>
        <w:t xml:space="preserve">Screening and</w:t>
      </w:r>
      <w:r>
        <w:rPr>
          <w:iCs/>
          <w:i/>
        </w:rPr>
        <w:t xml:space="preserve"> </w:t>
      </w:r>
      <w:r>
        <w:rPr>
          <w:iCs/>
          <w:i/>
        </w:rPr>
        <w:t xml:space="preserve">Treatment</w:t>
      </w:r>
      <w:r>
        <w:rPr>
          <w:iCs/>
          <w:i/>
        </w:rPr>
        <w:t xml:space="preserve"> </w:t>
      </w:r>
      <w:r>
        <w:rPr>
          <w:iCs/>
          <w:i/>
        </w:rPr>
        <w:t xml:space="preserve">of</w:t>
      </w:r>
      <w:r>
        <w:rPr>
          <w:iCs/>
          <w:i/>
        </w:rPr>
        <w:t xml:space="preserve"> </w:t>
      </w:r>
      <w:r>
        <w:rPr>
          <w:iCs/>
          <w:i/>
        </w:rPr>
        <w:t xml:space="preserve">Subclinical Hypothyroidism</w:t>
      </w:r>
      <w:r>
        <w:rPr>
          <w:iCs/>
          <w:i/>
        </w:rPr>
        <w:t xml:space="preserve"> </w:t>
      </w:r>
      <w:r>
        <w:rPr>
          <w:iCs/>
          <w:i/>
        </w:rPr>
        <w:t xml:space="preserve">or</w:t>
      </w:r>
      <w:r>
        <w:rPr>
          <w:iCs/>
          <w:i/>
        </w:rPr>
        <w:t xml:space="preserve"> </w:t>
      </w:r>
      <w:r>
        <w:rPr>
          <w:iCs/>
          <w:i/>
        </w:rPr>
        <w:t xml:space="preserve">Hyperthyroidism</w:t>
      </w:r>
      <w:r>
        <w:t xml:space="preserve"> </w:t>
      </w:r>
      <w:r>
        <w:t xml:space="preserve">(</w:t>
      </w:r>
      <w:r>
        <w:t xml:space="preserve">Agency for Healthcare Research and Quality (US)</w:t>
      </w:r>
      <w:r>
        <w:t xml:space="preserve">, 2011).</w:t>
      </w:r>
    </w:p>
    <w:bookmarkEnd w:id="499"/>
    <w:bookmarkStart w:id="500" w:name="ref-reynders2019"/>
    <w:p>
      <w:pPr>
        <w:pStyle w:val="Bibliography"/>
      </w:pPr>
      <w:r>
        <w:t xml:space="preserve">153.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00"/>
    <w:bookmarkStart w:id="501" w:name="ref-mcguinness2018"/>
    <w:p>
      <w:pPr>
        <w:pStyle w:val="Bibliography"/>
      </w:pPr>
      <w:r>
        <w:t xml:space="preserve">154.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501"/>
    <w:bookmarkStart w:id="502" w:name="ref-sterne2016"/>
    <w:p>
      <w:pPr>
        <w:pStyle w:val="Bibliography"/>
      </w:pPr>
      <w:r>
        <w:t xml:space="preserve">155.</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502"/>
    <w:bookmarkStart w:id="503" w:name="ref-campbell1957"/>
    <w:p>
      <w:pPr>
        <w:pStyle w:val="Bibliography"/>
      </w:pPr>
      <w:r>
        <w:t xml:space="preserve">156.</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503"/>
    <w:bookmarkStart w:id="504" w:name="ref-juni2001"/>
    <w:p>
      <w:pPr>
        <w:pStyle w:val="Bibliography"/>
      </w:pPr>
      <w:r>
        <w:t xml:space="preserve">157.</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504"/>
    <w:bookmarkStart w:id="505" w:name="ref-sterne2019"/>
    <w:p>
      <w:pPr>
        <w:pStyle w:val="Bibliography"/>
      </w:pPr>
      <w:r>
        <w:t xml:space="preserve">158.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505"/>
    <w:bookmarkStart w:id="506" w:name="ref-morganr2020"/>
    <w:p>
      <w:pPr>
        <w:pStyle w:val="Bibliography"/>
      </w:pPr>
      <w:r>
        <w:t xml:space="preserve">159.</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506"/>
    <w:bookmarkStart w:id="507" w:name="ref-french2019"/>
    <w:p>
      <w:pPr>
        <w:pStyle w:val="Bibliography"/>
      </w:pPr>
      <w:r>
        <w:t xml:space="preserve">160.</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507"/>
    <w:bookmarkStart w:id="508" w:name="ref-wells2000"/>
    <w:p>
      <w:pPr>
        <w:pStyle w:val="Bibliography"/>
      </w:pPr>
      <w:r>
        <w:t xml:space="preserve">161.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508"/>
    <w:bookmarkStart w:id="509" w:name="ref-mamluk2020"/>
    <w:p>
      <w:pPr>
        <w:pStyle w:val="Bibliography"/>
      </w:pPr>
      <w:r>
        <w:t xml:space="preserve">162.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509"/>
    <w:bookmarkStart w:id="511" w:name="ref-spiga2021"/>
    <w:p>
      <w:pPr>
        <w:pStyle w:val="Bibliography"/>
      </w:pPr>
      <w:r>
        <w:t xml:space="preserve">163.</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510">
        <w:r>
          <w:rPr>
            <w:rStyle w:val="Hyperlink"/>
          </w:rPr>
          <w:t xml:space="preserve">10.1101/2021.10.21.21265126</w:t>
        </w:r>
      </w:hyperlink>
    </w:p>
    <w:bookmarkEnd w:id="511"/>
    <w:bookmarkStart w:id="512" w:name="ref-zotero-15123"/>
    <w:p>
      <w:pPr>
        <w:pStyle w:val="Bibliography"/>
      </w:pPr>
      <w:r>
        <w:t xml:space="preserve">164.</w:t>
      </w:r>
      <w:r>
        <w:t xml:space="preserve"> </w:t>
      </w:r>
      <w:r>
        <w:t xml:space="preserve">	</w:t>
      </w:r>
      <w:r>
        <w:t xml:space="preserve">Matthew J Page</w:t>
      </w:r>
      <w:r>
        <w:t xml:space="preserve"> </w:t>
      </w:r>
      <w:r>
        <w:rPr>
          <w:iCs/>
          <w:i/>
        </w:rPr>
        <w:t xml:space="preserve">et al.</w:t>
      </w:r>
      <w:r>
        <w:t xml:space="preserve"> </w:t>
      </w:r>
      <w:r>
        <w:rPr>
          <w:iCs/>
          <w:i/>
        </w:rPr>
        <w:t xml:space="preserve">Risk</w:t>
      </w:r>
      <w:r>
        <w:rPr>
          <w:iCs/>
          <w:i/>
        </w:rPr>
        <w:t xml:space="preserve"> </w:t>
      </w:r>
      <w:r>
        <w:rPr>
          <w:iCs/>
          <w:i/>
        </w:rPr>
        <w:t xml:space="preserve">Of Bias</w:t>
      </w:r>
      <w:r>
        <w:rPr>
          <w:iCs/>
          <w:i/>
        </w:rPr>
        <w:t xml:space="preserve"> </w:t>
      </w:r>
      <w:r>
        <w:rPr>
          <w:iCs/>
          <w:i/>
        </w:rPr>
        <w:t xml:space="preserve">due to</w:t>
      </w:r>
      <w:r>
        <w:rPr>
          <w:iCs/>
          <w:i/>
        </w:rPr>
        <w:t xml:space="preserve"> </w:t>
      </w:r>
      <w:r>
        <w:rPr>
          <w:iCs/>
          <w:i/>
        </w:rPr>
        <w:t xml:space="preserve">Missing Evidence</w:t>
      </w:r>
      <w:r>
        <w:rPr>
          <w:iCs/>
          <w:i/>
        </w:rPr>
        <w:t xml:space="preserve"> </w:t>
      </w:r>
      <w:r>
        <w:rPr>
          <w:iCs/>
          <w:i/>
        </w:rPr>
        <w:t xml:space="preserve">(</w:t>
      </w:r>
      <w:r>
        <w:rPr>
          <w:iCs/>
          <w:i/>
        </w:rPr>
        <w:t xml:space="preserve">ROB</w:t>
      </w:r>
      <w:r>
        <w:rPr>
          <w:iCs/>
          <w:i/>
        </w:rPr>
        <w:t xml:space="preserve">-</w:t>
      </w:r>
      <w:r>
        <w:rPr>
          <w:iCs/>
          <w:i/>
        </w:rPr>
        <w:t xml:space="preserve">ME</w:t>
      </w:r>
      <w:r>
        <w:rPr>
          <w:iCs/>
          <w:i/>
        </w:rPr>
        <w:t xml:space="preserve">): A new tool for assessing risk of non-reporting biases in evidence syntheses -</w:t>
      </w:r>
      <w:r>
        <w:rPr>
          <w:iCs/>
          <w:i/>
        </w:rPr>
        <w:t xml:space="preserve"> </w:t>
      </w:r>
      <w:r>
        <w:rPr>
          <w:iCs/>
          <w:i/>
        </w:rPr>
        <w:t xml:space="preserve">Detailed</w:t>
      </w:r>
      <w:r>
        <w:rPr>
          <w:iCs/>
          <w:i/>
        </w:rPr>
        <w:t xml:space="preserve"> </w:t>
      </w:r>
      <w:r>
        <w:rPr>
          <w:iCs/>
          <w:i/>
        </w:rPr>
        <w:t xml:space="preserve">guidance</w:t>
      </w:r>
      <w:r>
        <w:t xml:space="preserve">.</w:t>
      </w:r>
    </w:p>
    <w:bookmarkEnd w:id="512"/>
    <w:bookmarkStart w:id="513" w:name="ref-mckenzie2019"/>
    <w:p>
      <w:pPr>
        <w:pStyle w:val="Bibliography"/>
      </w:pPr>
      <w:r>
        <w:t xml:space="preserve">165.</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3"/>
    <w:bookmarkStart w:id="514" w:name="ref-vanderweele2020"/>
    <w:p>
      <w:pPr>
        <w:pStyle w:val="Bibliography"/>
      </w:pPr>
      <w:r>
        <w:t xml:space="preserve">166.</w:t>
      </w:r>
      <w:r>
        <w:t xml:space="preserve"> </w:t>
      </w:r>
      <w:r>
        <w:t xml:space="preserve">	</w:t>
      </w:r>
      <w:r>
        <w:t xml:space="preserve">VanderWeele, T. J. Optimal approximate conversions of odds ratios and hazard ratios to risk ratios.</w:t>
      </w:r>
      <w:r>
        <w:t xml:space="preserve"> </w:t>
      </w:r>
      <w:r>
        <w:rPr>
          <w:iCs/>
          <w:i/>
        </w:rPr>
        <w:t xml:space="preserve">Biometrics</w:t>
      </w:r>
      <w:r>
        <w:t xml:space="preserve"> </w:t>
      </w:r>
      <w:r>
        <w:rPr>
          <w:bCs/>
          <w:b/>
        </w:rPr>
        <w:t xml:space="preserve">76</w:t>
      </w:r>
      <w:r>
        <w:t xml:space="preserve">, 746–752 (2020).</w:t>
      </w:r>
    </w:p>
    <w:bookmarkEnd w:id="514"/>
    <w:bookmarkStart w:id="515" w:name="ref-hedges1998"/>
    <w:p>
      <w:pPr>
        <w:pStyle w:val="Bibliography"/>
      </w:pPr>
      <w:r>
        <w:t xml:space="preserve">167.</w:t>
      </w:r>
      <w:r>
        <w:t xml:space="preserve"> </w:t>
      </w:r>
      <w:r>
        <w:t xml:space="preserve">	</w:t>
      </w:r>
      <w:r>
        <w:t xml:space="preserve">Hedges, L. V. &amp; Vevea, J. L. Fixed-and random-effects models in meta-analysis.</w:t>
      </w:r>
      <w:r>
        <w:t xml:space="preserve"> </w:t>
      </w:r>
      <w:r>
        <w:rPr>
          <w:iCs/>
          <w:i/>
        </w:rPr>
        <w:t xml:space="preserve">Psychological methods</w:t>
      </w:r>
      <w:r>
        <w:t xml:space="preserve"> </w:t>
      </w:r>
      <w:r>
        <w:rPr>
          <w:bCs/>
          <w:b/>
        </w:rPr>
        <w:t xml:space="preserve">3</w:t>
      </w:r>
      <w:r>
        <w:t xml:space="preserve">, 486 (1998).</w:t>
      </w:r>
    </w:p>
    <w:bookmarkEnd w:id="515"/>
    <w:bookmarkStart w:id="516" w:name="ref-dersimonian1986"/>
    <w:p>
      <w:pPr>
        <w:pStyle w:val="Bibliography"/>
      </w:pPr>
      <w:r>
        <w:t xml:space="preserve">168.</w:t>
      </w:r>
      <w:r>
        <w:t xml:space="preserve"> </w:t>
      </w:r>
      <w:r>
        <w:t xml:space="preserve">	</w:t>
      </w:r>
      <w:r>
        <w:t xml:space="preserve">DerSimonian, R. &amp; Laird, N. Meta-analysis in clinical trials.</w:t>
      </w:r>
      <w:r>
        <w:t xml:space="preserve"> </w:t>
      </w:r>
      <w:r>
        <w:rPr>
          <w:iCs/>
          <w:i/>
        </w:rPr>
        <w:t xml:space="preserve">Controlled Clinical Trials</w:t>
      </w:r>
      <w:r>
        <w:t xml:space="preserve"> </w:t>
      </w:r>
      <w:r>
        <w:rPr>
          <w:bCs/>
          <w:b/>
        </w:rPr>
        <w:t xml:space="preserve">7</w:t>
      </w:r>
      <w:r>
        <w:t xml:space="preserve">, 177–188 (1986).</w:t>
      </w:r>
    </w:p>
    <w:bookmarkEnd w:id="516"/>
    <w:bookmarkStart w:id="517" w:name="ref-deeks2019"/>
    <w:p>
      <w:pPr>
        <w:pStyle w:val="Bibliography"/>
      </w:pPr>
      <w:r>
        <w:t xml:space="preserve">169.</w:t>
      </w:r>
      <w:r>
        <w:t xml:space="preserve"> </w:t>
      </w:r>
      <w:r>
        <w:t xml:space="preserve">	</w:t>
      </w:r>
      <w:r>
        <w:t xml:space="preserve">Deeks, J. J., Altman, D. G. &amp; Higgins, J. P. T. Section 10.11.4: Meta-regression.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7"/>
    <w:bookmarkStart w:id="518" w:name="ref-R-metafor"/>
    <w:p>
      <w:pPr>
        <w:pStyle w:val="Bibliography"/>
      </w:pPr>
      <w:r>
        <w:t xml:space="preserve">170.</w:t>
      </w:r>
      <w:r>
        <w:t xml:space="preserve"> </w:t>
      </w:r>
      <w:r>
        <w:t xml:space="preserve">	</w:t>
      </w:r>
      <w:r>
        <w:t xml:space="preserve">Viechtbauer, W.</w:t>
      </w:r>
      <w:r>
        <w:t xml:space="preserve"> </w:t>
      </w:r>
      <w:r>
        <w:rPr>
          <w:iCs/>
          <w:i/>
        </w:rPr>
        <w:t xml:space="preserve">Metafor: Meta-analysis package for r</w:t>
      </w:r>
      <w:r>
        <w:t xml:space="preserve">. (2021).</w:t>
      </w:r>
    </w:p>
    <w:bookmarkEnd w:id="518"/>
    <w:bookmarkStart w:id="519" w:name="ref-greenland1992"/>
    <w:p>
      <w:pPr>
        <w:pStyle w:val="Bibliography"/>
      </w:pPr>
      <w:r>
        <w:t xml:space="preserve">171.</w:t>
      </w:r>
      <w:r>
        <w:t xml:space="preserve"> </w:t>
      </w:r>
      <w:r>
        <w:t xml:space="preserve">	</w:t>
      </w:r>
      <w:r>
        <w:t xml:space="preserve">Greenland, S. &amp; Longnecker, M. P. Methods for</w:t>
      </w:r>
      <w:r>
        <w:t xml:space="preserve"> </w:t>
      </w:r>
      <w:r>
        <w:t xml:space="preserve">Trend Estimation</w:t>
      </w:r>
      <w:r>
        <w:t xml:space="preserve"> </w:t>
      </w:r>
      <w:r>
        <w:t xml:space="preserve">from</w:t>
      </w:r>
      <w:r>
        <w:t xml:space="preserve"> </w:t>
      </w:r>
      <w:r>
        <w:t xml:space="preserve">Summarized Dose</w:t>
      </w:r>
      <w:r>
        <w:t xml:space="preserve">-</w:t>
      </w:r>
      <w:r>
        <w:t xml:space="preserve">Response Data</w:t>
      </w:r>
      <w:r>
        <w:t xml:space="preserve">, with</w:t>
      </w:r>
      <w:r>
        <w:t xml:space="preserve"> </w:t>
      </w:r>
      <w:r>
        <w:t xml:space="preserve">Applications</w:t>
      </w:r>
      <w:r>
        <w:t xml:space="preserve"> </w:t>
      </w:r>
      <w:r>
        <w:t xml:space="preserve">to</w:t>
      </w:r>
      <w:r>
        <w:t xml:space="preserve"> </w:t>
      </w:r>
      <w:r>
        <w:t xml:space="preserve">Meta</w:t>
      </w:r>
      <w:r>
        <w:t xml:space="preserve">-</w:t>
      </w:r>
      <w:r>
        <w:t xml:space="preserve">Analysis</w:t>
      </w:r>
      <w:r>
        <w:t xml:space="preserve">.</w:t>
      </w:r>
      <w:r>
        <w:t xml:space="preserve"> </w:t>
      </w:r>
      <w:r>
        <w:rPr>
          <w:iCs/>
          <w:i/>
        </w:rPr>
        <w:t xml:space="preserve">American Journal of Epidemiology</w:t>
      </w:r>
      <w:r>
        <w:t xml:space="preserve"> </w:t>
      </w:r>
      <w:r>
        <w:rPr>
          <w:bCs/>
          <w:b/>
        </w:rPr>
        <w:t xml:space="preserve">135</w:t>
      </w:r>
      <w:r>
        <w:t xml:space="preserve">, 1301–1309 (1992).</w:t>
      </w:r>
    </w:p>
    <w:bookmarkEnd w:id="519"/>
    <w:bookmarkStart w:id="520" w:name="ref-durrleman1989"/>
    <w:p>
      <w:pPr>
        <w:pStyle w:val="Bibliography"/>
      </w:pPr>
      <w:r>
        <w:t xml:space="preserve">172.</w:t>
      </w:r>
      <w:r>
        <w:t xml:space="preserve"> </w:t>
      </w:r>
      <w:r>
        <w:t xml:space="preserve">	</w:t>
      </w:r>
      <w:r>
        <w:t xml:space="preserve">Durrleman, S. &amp; Simon, R. Flexible regression models with cubic splines.</w:t>
      </w:r>
      <w:r>
        <w:t xml:space="preserve"> </w:t>
      </w:r>
      <w:r>
        <w:rPr>
          <w:iCs/>
          <w:i/>
        </w:rPr>
        <w:t xml:space="preserve">Statistics in Medicine</w:t>
      </w:r>
      <w:r>
        <w:t xml:space="preserve"> </w:t>
      </w:r>
      <w:r>
        <w:rPr>
          <w:bCs/>
          <w:b/>
        </w:rPr>
        <w:t xml:space="preserve">8</w:t>
      </w:r>
      <w:r>
        <w:t xml:space="preserve">, 551–561 (1989).</w:t>
      </w:r>
    </w:p>
    <w:bookmarkEnd w:id="520"/>
    <w:bookmarkStart w:id="521" w:name="ref-liu2009"/>
    <w:p>
      <w:pPr>
        <w:pStyle w:val="Bibliography"/>
      </w:pPr>
      <w:r>
        <w:t xml:space="preserve">173.</w:t>
      </w:r>
      <w:r>
        <w:t xml:space="preserve"> </w:t>
      </w:r>
      <w:r>
        <w:t xml:space="preserve">	</w:t>
      </w:r>
      <w:r>
        <w:t xml:space="preserve">Liu, Q., Cook, N. R., Bergström, A. &amp; Hsieh, C.-C. A two-stage hierarchical regression model for meta-analysis of epidemiologic nonlinear dose</w:t>
      </w:r>
      <w:r>
        <w:t xml:space="preserve">response data.</w:t>
      </w:r>
      <w:r>
        <w:t xml:space="preserve"> </w:t>
      </w:r>
      <w:r>
        <w:rPr>
          <w:iCs/>
          <w:i/>
        </w:rPr>
        <w:t xml:space="preserve">Computational Statistics &amp; Data Analysis</w:t>
      </w:r>
      <w:r>
        <w:t xml:space="preserve"> </w:t>
      </w:r>
      <w:r>
        <w:rPr>
          <w:bCs/>
          <w:b/>
        </w:rPr>
        <w:t xml:space="preserve">53</w:t>
      </w:r>
      <w:r>
        <w:t xml:space="preserve">, 4157–4167 (2009).</w:t>
      </w:r>
    </w:p>
    <w:bookmarkEnd w:id="521"/>
    <w:bookmarkStart w:id="522" w:name="ref-gauthier2020"/>
    <w:p>
      <w:pPr>
        <w:pStyle w:val="Bibliography"/>
      </w:pPr>
      <w:r>
        <w:t xml:space="preserve">174.</w:t>
      </w:r>
      <w:r>
        <w:t xml:space="preserve"> </w:t>
      </w:r>
      <w:r>
        <w:t xml:space="preserve">	</w:t>
      </w:r>
      <w:r>
        <w:t xml:space="preserve">Gauthier, J., Wu, Q. V. &amp; Gooley, T. A. Cubic splines to model relationships between continuous variables and outcomes: A guide for clinicians.</w:t>
      </w:r>
      <w:r>
        <w:t xml:space="preserve"> </w:t>
      </w:r>
      <w:r>
        <w:rPr>
          <w:iCs/>
          <w:i/>
        </w:rPr>
        <w:t xml:space="preserve">Bone Marrow Transplantation</w:t>
      </w:r>
      <w:r>
        <w:t xml:space="preserve"> </w:t>
      </w:r>
      <w:r>
        <w:rPr>
          <w:bCs/>
          <w:b/>
        </w:rPr>
        <w:t xml:space="preserve">55</w:t>
      </w:r>
      <w:r>
        <w:t xml:space="preserve">, 675–680 (2020).</w:t>
      </w:r>
    </w:p>
    <w:bookmarkEnd w:id="522"/>
    <w:bookmarkStart w:id="523" w:name="ref-white2009"/>
    <w:p>
      <w:pPr>
        <w:pStyle w:val="Bibliography"/>
      </w:pPr>
      <w:r>
        <w:t xml:space="preserve">175.</w:t>
      </w:r>
      <w:r>
        <w:t xml:space="preserve"> </w:t>
      </w:r>
      <w:r>
        <w:t xml:space="preserve">	</w:t>
      </w:r>
      <w:r>
        <w:t xml:space="preserve">White, I. R. Multivariate random-effects meta-analysis.</w:t>
      </w:r>
      <w:r>
        <w:t xml:space="preserve"> </w:t>
      </w:r>
      <w:r>
        <w:rPr>
          <w:iCs/>
          <w:i/>
        </w:rPr>
        <w:t xml:space="preserve">The Stata Journal</w:t>
      </w:r>
      <w:r>
        <w:t xml:space="preserve"> </w:t>
      </w:r>
      <w:r>
        <w:rPr>
          <w:bCs/>
          <w:b/>
        </w:rPr>
        <w:t xml:space="preserve">9</w:t>
      </w:r>
      <w:r>
        <w:t xml:space="preserve">, 40–56 (2009).</w:t>
      </w:r>
    </w:p>
    <w:bookmarkEnd w:id="523"/>
    <w:bookmarkStart w:id="524" w:name="ref-gasparrini2012"/>
    <w:p>
      <w:pPr>
        <w:pStyle w:val="Bibliography"/>
      </w:pPr>
      <w:r>
        <w:t xml:space="preserve">176.</w:t>
      </w:r>
      <w:r>
        <w:t xml:space="preserve"> </w:t>
      </w:r>
      <w:r>
        <w:t xml:space="preserve">	</w:t>
      </w:r>
      <w:r>
        <w:t xml:space="preserve">Gasparrini, A., Armstrong, B. &amp; Kenward, M. G. Multivariate meta-analysis for non-linear and other multi-parameter associations.</w:t>
      </w:r>
      <w:r>
        <w:t xml:space="preserve"> </w:t>
      </w:r>
      <w:r>
        <w:rPr>
          <w:iCs/>
          <w:i/>
        </w:rPr>
        <w:t xml:space="preserve">Statistics in Medicine</w:t>
      </w:r>
      <w:r>
        <w:t xml:space="preserve"> </w:t>
      </w:r>
      <w:r>
        <w:rPr>
          <w:bCs/>
          <w:b/>
        </w:rPr>
        <w:t xml:space="preserve">31</w:t>
      </w:r>
      <w:r>
        <w:t xml:space="preserve">, 3821–3839 (2012).</w:t>
      </w:r>
    </w:p>
    <w:bookmarkEnd w:id="524"/>
    <w:bookmarkStart w:id="525" w:name="ref-crippa2016"/>
    <w:p>
      <w:pPr>
        <w:pStyle w:val="Bibliography"/>
      </w:pPr>
      <w:r>
        <w:t xml:space="preserve">177.</w:t>
      </w:r>
      <w:r>
        <w:t xml:space="preserve"> </w:t>
      </w:r>
      <w:r>
        <w:t xml:space="preserve">	</w:t>
      </w:r>
      <w:r>
        <w:t xml:space="preserve">Crippa, A. &amp; Orsini, N. Multivariate dose-response meta-analysis: The dosresmeta</w:t>
      </w:r>
      <w:r>
        <w:t xml:space="preserve"> </w:t>
      </w:r>
      <w:r>
        <w:t xml:space="preserve">R</w:t>
      </w:r>
      <w:r>
        <w:t xml:space="preserve"> </w:t>
      </w:r>
      <w:r>
        <w:t xml:space="preserve">package.</w:t>
      </w:r>
      <w:r>
        <w:t xml:space="preserve"> </w:t>
      </w:r>
      <w:r>
        <w:rPr>
          <w:iCs/>
          <w:i/>
        </w:rPr>
        <w:t xml:space="preserve">Journal of Statistical Software, Code Snippets</w:t>
      </w:r>
      <w:r>
        <w:t xml:space="preserve"> </w:t>
      </w:r>
      <w:r>
        <w:rPr>
          <w:bCs/>
          <w:b/>
        </w:rPr>
        <w:t xml:space="preserve">72</w:t>
      </w:r>
      <w:r>
        <w:t xml:space="preserve">, 1–15 (2016).</w:t>
      </w:r>
    </w:p>
    <w:bookmarkEnd w:id="525"/>
    <w:bookmarkStart w:id="526" w:name="ref-sterne2011"/>
    <w:p>
      <w:pPr>
        <w:pStyle w:val="Bibliography"/>
      </w:pPr>
      <w:r>
        <w:t xml:space="preserve">178.</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26"/>
    <w:bookmarkStart w:id="527" w:name="ref-saran2018"/>
    <w:p>
      <w:pPr>
        <w:pStyle w:val="Bibliography"/>
      </w:pPr>
      <w:r>
        <w:t xml:space="preserve">179.</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527"/>
    <w:bookmarkStart w:id="528" w:name="ref-marusic2020"/>
    <w:p>
      <w:pPr>
        <w:pStyle w:val="Bibliography"/>
      </w:pPr>
      <w:r>
        <w:t xml:space="preserve">180.</w:t>
      </w:r>
      <w:r>
        <w:t xml:space="preserve"> </w:t>
      </w:r>
      <w:r>
        <w:t xml:space="preserve">	</w:t>
      </w:r>
      <w:r>
        <w:t xml:space="preserve">Marušić, M. F.</w:t>
      </w:r>
      <w:r>
        <w:t xml:space="preserve"> </w:t>
      </w:r>
      <w:r>
        <w:rPr>
          <w:iCs/>
          <w:i/>
        </w:rPr>
        <w:t xml:space="preserve">et al.</w:t>
      </w:r>
      <w:r>
        <w:t xml:space="preserve"> Methodological tools and sensitivity analysis for assessing quality or risk of bias used in systematic reviews published in the high-impact anesthesiology journals.</w:t>
      </w:r>
      <w:r>
        <w:t xml:space="preserve"> </w:t>
      </w:r>
      <w:r>
        <w:rPr>
          <w:iCs/>
          <w:i/>
        </w:rPr>
        <w:t xml:space="preserve">BMC Medical Research Methodology</w:t>
      </w:r>
      <w:r>
        <w:t xml:space="preserve"> </w:t>
      </w:r>
      <w:r>
        <w:rPr>
          <w:bCs/>
          <w:b/>
        </w:rPr>
        <w:t xml:space="preserve">20</w:t>
      </w:r>
      <w:r>
        <w:t xml:space="preserve">, 121 (2020).</w:t>
      </w:r>
    </w:p>
    <w:bookmarkEnd w:id="528"/>
    <w:bookmarkStart w:id="529" w:name="ref-katikireddi2015"/>
    <w:p>
      <w:pPr>
        <w:pStyle w:val="Bibliography"/>
      </w:pPr>
      <w:r>
        <w:t xml:space="preserve">181.</w:t>
      </w:r>
      <w:r>
        <w:t xml:space="preserve"> </w:t>
      </w:r>
      <w:r>
        <w:t xml:space="preserve">	</w:t>
      </w:r>
      <w:r>
        <w:t xml:space="preserve">Katikireddi, S. V., Egan, M. &amp; Petticrew, M. How do systematic reviews incorporate risk of bias assessments into the synthesis of evidence? A methodological study.</w:t>
      </w:r>
      <w:r>
        <w:t xml:space="preserve"> </w:t>
      </w:r>
      <w:r>
        <w:rPr>
          <w:iCs/>
          <w:i/>
        </w:rPr>
        <w:t xml:space="preserve">Journal of Epidemiology and Community Health</w:t>
      </w:r>
      <w:r>
        <w:t xml:space="preserve"> </w:t>
      </w:r>
      <w:r>
        <w:rPr>
          <w:bCs/>
          <w:b/>
        </w:rPr>
        <w:t xml:space="preserve">69</w:t>
      </w:r>
      <w:r>
        <w:t xml:space="preserve">, 189–195 (2015).</w:t>
      </w:r>
    </w:p>
    <w:bookmarkEnd w:id="529"/>
    <w:bookmarkStart w:id="530" w:name="ref-mcguinness2020robvisPaper"/>
    <w:p>
      <w:pPr>
        <w:pStyle w:val="Bibliography"/>
      </w:pPr>
      <w:r>
        <w:t xml:space="preserve">182.</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530"/>
    <w:bookmarkStart w:id="531" w:name="ref-feinstein1990"/>
    <w:p>
      <w:pPr>
        <w:pStyle w:val="Bibliography"/>
      </w:pPr>
      <w:r>
        <w:t xml:space="preserve">183.</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531"/>
    <w:bookmarkStart w:id="532" w:name="ref-ridker2008"/>
    <w:p>
      <w:pPr>
        <w:pStyle w:val="Bibliography"/>
      </w:pPr>
      <w:r>
        <w:t xml:space="preserve">184.</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32"/>
    <w:bookmarkStart w:id="533" w:name="ref-ancelin2012"/>
    <w:p>
      <w:pPr>
        <w:pStyle w:val="Bibliography"/>
      </w:pPr>
      <w:r>
        <w:t xml:space="preserve">185.</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533"/>
    <w:bookmarkStart w:id="534" w:name="ref-arvanitakis2008"/>
    <w:p>
      <w:pPr>
        <w:pStyle w:val="Bibliography"/>
      </w:pPr>
      <w:r>
        <w:t xml:space="preserve">186.</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34"/>
    <w:bookmarkStart w:id="535" w:name="ref-bettermann2012"/>
    <w:p>
      <w:pPr>
        <w:pStyle w:val="Bibliography"/>
      </w:pPr>
      <w:r>
        <w:t xml:space="preserve">187.</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35"/>
    <w:bookmarkStart w:id="536" w:name="ref-beydoun2011"/>
    <w:p>
      <w:pPr>
        <w:pStyle w:val="Bibliography"/>
      </w:pPr>
      <w:r>
        <w:t xml:space="preserve">188.</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36"/>
    <w:bookmarkStart w:id="537" w:name="ref-chao2015"/>
    <w:p>
      <w:pPr>
        <w:pStyle w:val="Bibliography"/>
      </w:pPr>
      <w:r>
        <w:t xml:space="preserve">189.</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37"/>
    <w:bookmarkStart w:id="538" w:name="ref-chen2014"/>
    <w:p>
      <w:pPr>
        <w:pStyle w:val="Bibliography"/>
      </w:pPr>
      <w:r>
        <w:t xml:space="preserve">190.</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38"/>
    <w:bookmarkStart w:id="539" w:name="ref-chitnis2015"/>
    <w:p>
      <w:pPr>
        <w:pStyle w:val="Bibliography"/>
      </w:pPr>
      <w:r>
        <w:t xml:space="preserve">191.</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39"/>
    <w:bookmarkStart w:id="540" w:name="ref-chou2014"/>
    <w:p>
      <w:pPr>
        <w:pStyle w:val="Bibliography"/>
      </w:pPr>
      <w:r>
        <w:t xml:space="preserve">192.</w:t>
      </w:r>
      <w:r>
        <w:t xml:space="preserve"> </w:t>
      </w:r>
      <w:r>
        <w:t xml:space="preserve">	</w:t>
      </w:r>
      <w:r>
        <w:t xml:space="preserve">Chou, C.-Y., Chou, Y.-C., Chou, Y.-J., Yang, Y.-F.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40"/>
    <w:bookmarkStart w:id="541" w:name="ref-chuang2015"/>
    <w:p>
      <w:pPr>
        <w:pStyle w:val="Bibliography"/>
      </w:pPr>
      <w:r>
        <w:t xml:space="preserve">193.</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41"/>
    <w:bookmarkStart w:id="542" w:name="ref-cramer2008"/>
    <w:p>
      <w:pPr>
        <w:pStyle w:val="Bibliography"/>
      </w:pPr>
      <w:r>
        <w:t xml:space="preserve">194.</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42"/>
    <w:bookmarkStart w:id="543" w:name="ref-gnjidic2016"/>
    <w:p>
      <w:pPr>
        <w:pStyle w:val="Bibliography"/>
      </w:pPr>
      <w:r>
        <w:t xml:space="preserve">195.</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43"/>
    <w:bookmarkStart w:id="544" w:name="ref-haag2009"/>
    <w:p>
      <w:pPr>
        <w:pStyle w:val="Bibliography"/>
      </w:pPr>
      <w:r>
        <w:t xml:space="preserve">196.</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44"/>
    <w:bookmarkStart w:id="545" w:name="ref-hendrie2015"/>
    <w:p>
      <w:pPr>
        <w:pStyle w:val="Bibliography"/>
      </w:pPr>
      <w:r>
        <w:t xml:space="preserve">197.</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45"/>
    <w:bookmarkStart w:id="546" w:name="ref-hippisley-cox2010"/>
    <w:p>
      <w:pPr>
        <w:pStyle w:val="Bibliography"/>
      </w:pPr>
      <w:r>
        <w:t xml:space="preserve">198.</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546"/>
    <w:bookmarkStart w:id="547" w:name="ref-jick2000"/>
    <w:p>
      <w:pPr>
        <w:pStyle w:val="Bibliography"/>
      </w:pPr>
      <w:r>
        <w:t xml:space="preserve">199.</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47"/>
    <w:bookmarkStart w:id="548" w:name="ref-li2004"/>
    <w:p>
      <w:pPr>
        <w:pStyle w:val="Bibliography"/>
      </w:pPr>
      <w:r>
        <w:t xml:space="preserve">200.</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48"/>
    <w:bookmarkStart w:id="549" w:name="ref-li2010"/>
    <w:p>
      <w:pPr>
        <w:pStyle w:val="Bibliography"/>
      </w:pPr>
      <w:r>
        <w:t xml:space="preserve">201.</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49"/>
    <w:bookmarkStart w:id="550" w:name="ref-liao2013"/>
    <w:p>
      <w:pPr>
        <w:pStyle w:val="Bibliography"/>
      </w:pPr>
      <w:r>
        <w:t xml:space="preserve">202.</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50"/>
    <w:bookmarkStart w:id="551" w:name="ref-liu2019"/>
    <w:p>
      <w:pPr>
        <w:pStyle w:val="Bibliography"/>
      </w:pPr>
      <w:r>
        <w:t xml:space="preserve">203.</w:t>
      </w:r>
      <w:r>
        <w:t xml:space="preserve"> </w:t>
      </w:r>
      <w:r>
        <w:t xml:space="preserve">	</w:t>
      </w:r>
      <w:r>
        <w:t xml:space="preserve">Liu, D.</w:t>
      </w:r>
      <w:r>
        <w:t xml:space="preserve"> </w:t>
      </w:r>
      <w:r>
        <w:rPr>
          <w:iCs/>
          <w:i/>
        </w:rPr>
        <w:t xml:space="preserve">et al.</w:t>
      </w:r>
      <w:r>
        <w:t xml:space="preserve"> Incentive schemes to increase dementia diagnoses in primary care in</w:t>
      </w:r>
      <w:r>
        <w:t xml:space="preserve"> </w:t>
      </w:r>
      <w:r>
        <w:t xml:space="preserve">England</w:t>
      </w:r>
      <w:r>
        <w:t xml:space="preserve">: A retrospective cohort study of unintended consequences.</w:t>
      </w:r>
      <w:r>
        <w:t xml:space="preserve"> </w:t>
      </w:r>
      <w:r>
        <w:rPr>
          <w:iCs/>
          <w:i/>
        </w:rPr>
        <w:t xml:space="preserve">British Journal of General Practice</w:t>
      </w:r>
      <w:r>
        <w:t xml:space="preserve"> </w:t>
      </w:r>
      <w:r>
        <w:rPr>
          <w:bCs/>
          <w:b/>
        </w:rPr>
        <w:t xml:space="preserve">69</w:t>
      </w:r>
      <w:r>
        <w:t xml:space="preserve">, e154–e163 (2019).</w:t>
      </w:r>
    </w:p>
    <w:bookmarkEnd w:id="551"/>
    <w:bookmarkStart w:id="552" w:name="ref-pan2018"/>
    <w:p>
      <w:pPr>
        <w:pStyle w:val="Bibliography"/>
      </w:pPr>
      <w:r>
        <w:t xml:space="preserve">204.</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52"/>
    <w:bookmarkStart w:id="553" w:name="ref-parikh2011"/>
    <w:p>
      <w:pPr>
        <w:pStyle w:val="Bibliography"/>
      </w:pPr>
      <w:r>
        <w:t xml:space="preserve">205.</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53"/>
    <w:bookmarkStart w:id="554" w:name="ref-rea2005"/>
    <w:p>
      <w:pPr>
        <w:pStyle w:val="Bibliography"/>
      </w:pPr>
      <w:r>
        <w:t xml:space="preserve">206.</w:t>
      </w:r>
      <w:r>
        <w:t xml:space="preserve"> </w:t>
      </w:r>
      <w:r>
        <w:t xml:space="preserve">	</w:t>
      </w:r>
      <w:r>
        <w:t xml:space="preserve">Rea, T. D.</w:t>
      </w:r>
      <w:r>
        <w:t xml:space="preserve"> </w:t>
      </w:r>
      <w:r>
        <w:rPr>
          <w:iCs/>
          <w:i/>
        </w:rPr>
        <w:t xml:space="preserve">et al.</w:t>
      </w:r>
      <w:r>
        <w:t xml:space="preserve">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54"/>
    <w:bookmarkStart w:id="555" w:name="ref-redelmeier2019"/>
    <w:p>
      <w:pPr>
        <w:pStyle w:val="Bibliography"/>
      </w:pPr>
      <w:r>
        <w:t xml:space="preserve">207.</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55"/>
    <w:bookmarkStart w:id="556" w:name="ref-reitz2010"/>
    <w:p>
      <w:pPr>
        <w:pStyle w:val="Bibliography"/>
      </w:pPr>
      <w:r>
        <w:t xml:space="preserve">208.</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56"/>
    <w:bookmarkStart w:id="557" w:name="ref-smeeth2009"/>
    <w:p>
      <w:pPr>
        <w:pStyle w:val="Bibliography"/>
      </w:pPr>
      <w:r>
        <w:t xml:space="preserve">209.</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57"/>
    <w:bookmarkStart w:id="558" w:name="ref-solomon2007"/>
    <w:p>
      <w:pPr>
        <w:pStyle w:val="Bibliography"/>
      </w:pPr>
      <w:r>
        <w:t xml:space="preserve">210.</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58"/>
    <w:bookmarkStart w:id="559" w:name="ref-sparks2008"/>
    <w:p>
      <w:pPr>
        <w:pStyle w:val="Bibliography"/>
      </w:pPr>
      <w:r>
        <w:t xml:space="preserve">211.</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59"/>
    <w:bookmarkStart w:id="560" w:name="ref-szwast2007"/>
    <w:p>
      <w:pPr>
        <w:pStyle w:val="Bibliography"/>
      </w:pPr>
      <w:r>
        <w:t xml:space="preserve">212.</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60"/>
    <w:bookmarkStart w:id="561" w:name="ref-yang2015"/>
    <w:p>
      <w:pPr>
        <w:pStyle w:val="Bibliography"/>
      </w:pPr>
      <w:r>
        <w:t xml:space="preserve">213.</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61"/>
    <w:bookmarkStart w:id="562" w:name="ref-zamrini2004"/>
    <w:p>
      <w:pPr>
        <w:pStyle w:val="Bibliography"/>
      </w:pPr>
      <w:r>
        <w:t xml:space="preserve">214.</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62"/>
    <w:bookmarkStart w:id="563" w:name="ref-zandi2005"/>
    <w:p>
      <w:pPr>
        <w:pStyle w:val="Bibliography"/>
      </w:pPr>
      <w:r>
        <w:t xml:space="preserve">215.</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63"/>
    <w:bookmarkStart w:id="564" w:name="ref-ancelin2013"/>
    <w:p>
      <w:pPr>
        <w:pStyle w:val="Bibliography"/>
      </w:pPr>
      <w:r>
        <w:t xml:space="preserve">216.</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64"/>
    <w:bookmarkStart w:id="565" w:name="ref-batty2014"/>
    <w:p>
      <w:pPr>
        <w:pStyle w:val="Bibliography"/>
      </w:pPr>
      <w:r>
        <w:t xml:space="preserve">217.</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65"/>
    <w:bookmarkStart w:id="566" w:name="ref-bruce2017"/>
    <w:p>
      <w:pPr>
        <w:pStyle w:val="Bibliography"/>
      </w:pPr>
      <w:r>
        <w:t xml:space="preserve">218.</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66"/>
    <w:bookmarkStart w:id="567" w:name="ref-chiang2007"/>
    <w:p>
      <w:pPr>
        <w:pStyle w:val="Bibliography"/>
      </w:pPr>
      <w:r>
        <w:t xml:space="preserve">219.</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67"/>
    <w:bookmarkStart w:id="568" w:name="ref-dodge2011"/>
    <w:p>
      <w:pPr>
        <w:pStyle w:val="Bibliography"/>
      </w:pPr>
      <w:r>
        <w:t xml:space="preserve">220.</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68"/>
    <w:bookmarkStart w:id="569" w:name="ref-forti2010"/>
    <w:p>
      <w:pPr>
        <w:pStyle w:val="Bibliography"/>
      </w:pPr>
      <w:r>
        <w:t xml:space="preserve">221.</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69"/>
    <w:bookmarkStart w:id="570" w:name="ref-gottesman2017"/>
    <w:p>
      <w:pPr>
        <w:pStyle w:val="Bibliography"/>
      </w:pPr>
      <w:r>
        <w:t xml:space="preserve">222.</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70"/>
    <w:bookmarkStart w:id="571" w:name="ref-gustafson2012"/>
    <w:p>
      <w:pPr>
        <w:pStyle w:val="Bibliography"/>
      </w:pPr>
      <w:r>
        <w:t xml:space="preserve">223.</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71"/>
    <w:bookmarkStart w:id="572" w:name="ref-hayden2006"/>
    <w:p>
      <w:pPr>
        <w:pStyle w:val="Bibliography"/>
      </w:pPr>
      <w:r>
        <w:t xml:space="preserve">224.</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72"/>
    <w:bookmarkStart w:id="573" w:name="ref-kimm2011"/>
    <w:p>
      <w:pPr>
        <w:pStyle w:val="Bibliography"/>
      </w:pPr>
      <w:r>
        <w:t xml:space="preserve">225.</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73"/>
    <w:bookmarkStart w:id="574" w:name="ref-kivipelto2001"/>
    <w:p>
      <w:pPr>
        <w:pStyle w:val="Bibliography"/>
      </w:pPr>
      <w:r>
        <w:t xml:space="preserve">226.</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74"/>
    <w:bookmarkStart w:id="575" w:name="ref-kuo2015"/>
    <w:p>
      <w:pPr>
        <w:pStyle w:val="Bibliography"/>
      </w:pPr>
      <w:r>
        <w:t xml:space="preserve">227.</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75"/>
    <w:bookmarkStart w:id="576" w:name="ref-mielke2011"/>
    <w:p>
      <w:pPr>
        <w:pStyle w:val="Bibliography"/>
      </w:pPr>
      <w:r>
        <w:t xml:space="preserve">228.</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76"/>
    <w:bookmarkStart w:id="577" w:name="ref-muller2007"/>
    <w:p>
      <w:pPr>
        <w:pStyle w:val="Bibliography"/>
      </w:pPr>
      <w:r>
        <w:t xml:space="preserve">229.</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77"/>
    <w:bookmarkStart w:id="578" w:name="ref-noale2013"/>
    <w:p>
      <w:pPr>
        <w:pStyle w:val="Bibliography"/>
      </w:pPr>
      <w:r>
        <w:t xml:space="preserve">230.</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78"/>
    <w:bookmarkStart w:id="579" w:name="ref-notkola1998"/>
    <w:p>
      <w:pPr>
        <w:pStyle w:val="Bibliography"/>
      </w:pPr>
      <w:r>
        <w:t xml:space="preserve">231.</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79"/>
    <w:bookmarkStart w:id="580" w:name="ref-peters2009"/>
    <w:p>
      <w:pPr>
        <w:pStyle w:val="Bibliography"/>
      </w:pPr>
      <w:r>
        <w:t xml:space="preserve">232.</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80"/>
    <w:bookmarkStart w:id="581" w:name="ref-raffaitin2009"/>
    <w:p>
      <w:pPr>
        <w:pStyle w:val="Bibliography"/>
      </w:pPr>
      <w:r>
        <w:t xml:space="preserve">233.</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81"/>
    <w:bookmarkStart w:id="582" w:name="ref-rantanen2017"/>
    <w:p>
      <w:pPr>
        <w:pStyle w:val="Bibliography"/>
      </w:pPr>
      <w:r>
        <w:t xml:space="preserve">234.</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82"/>
    <w:bookmarkStart w:id="583" w:name="ref-ronnemaa2011"/>
    <w:p>
      <w:pPr>
        <w:pStyle w:val="Bibliography"/>
      </w:pPr>
      <w:r>
        <w:t xml:space="preserve">235.</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83"/>
    <w:bookmarkStart w:id="584" w:name="ref-solomon2010"/>
    <w:p>
      <w:pPr>
        <w:pStyle w:val="Bibliography"/>
      </w:pPr>
      <w:r>
        <w:t xml:space="preserve">236.</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84"/>
    <w:bookmarkStart w:id="585" w:name="ref-strand2013"/>
    <w:p>
      <w:pPr>
        <w:pStyle w:val="Bibliography"/>
      </w:pPr>
      <w:r>
        <w:t xml:space="preserve">237.</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85"/>
    <w:bookmarkStart w:id="586" w:name="ref-su2017"/>
    <w:p>
      <w:pPr>
        <w:pStyle w:val="Bibliography"/>
      </w:pPr>
      <w:r>
        <w:t xml:space="preserve">238.</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86"/>
    <w:bookmarkStart w:id="587" w:name="ref-svensson2019"/>
    <w:p>
      <w:pPr>
        <w:pStyle w:val="Bibliography"/>
      </w:pPr>
      <w:r>
        <w:t xml:space="preserve">239.</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87"/>
    <w:bookmarkStart w:id="588" w:name="ref-tynkkynen2016"/>
    <w:p>
      <w:pPr>
        <w:pStyle w:val="Bibliography"/>
      </w:pPr>
      <w:r>
        <w:t xml:space="preserve">240.</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88"/>
    <w:bookmarkStart w:id="589" w:name="ref-tynkkynen2018"/>
    <w:p>
      <w:pPr>
        <w:pStyle w:val="Bibliography"/>
      </w:pPr>
      <w:r>
        <w:t xml:space="preserve">241.</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89"/>
    <w:bookmarkStart w:id="590" w:name="ref-wang2012"/>
    <w:p>
      <w:pPr>
        <w:pStyle w:val="Bibliography"/>
      </w:pPr>
      <w:r>
        <w:t xml:space="preserve">242.</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90"/>
    <w:bookmarkStart w:id="591" w:name="ref-yamada2009"/>
    <w:p>
      <w:pPr>
        <w:pStyle w:val="Bibliography"/>
      </w:pPr>
      <w:r>
        <w:t xml:space="preserve">243.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91"/>
    <w:bookmarkStart w:id="592" w:name="ref-yoshitake1995"/>
    <w:p>
      <w:pPr>
        <w:pStyle w:val="Bibliography"/>
      </w:pPr>
      <w:r>
        <w:t xml:space="preserve">244.</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92"/>
    <w:bookmarkStart w:id="593" w:name="ref-zimetbaum1992"/>
    <w:p>
      <w:pPr>
        <w:pStyle w:val="Bibliography"/>
      </w:pPr>
      <w:r>
        <w:t xml:space="preserve">245.</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93"/>
    <w:bookmarkStart w:id="594" w:name="ref-andrews2021"/>
    <w:p>
      <w:pPr>
        <w:pStyle w:val="Bibliography"/>
      </w:pPr>
      <w:r>
        <w:t xml:space="preserve">246.</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94"/>
    <w:bookmarkStart w:id="595" w:name="ref-burgess2017"/>
    <w:p>
      <w:pPr>
        <w:pStyle w:val="Bibliography"/>
      </w:pPr>
      <w:r>
        <w:t xml:space="preserve">247.</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95"/>
    <w:bookmarkStart w:id="596" w:name="ref-mukherjee2013"/>
    <w:p>
      <w:pPr>
        <w:pStyle w:val="Bibliography"/>
      </w:pPr>
      <w:r>
        <w:t xml:space="preserve">248.</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96"/>
    <w:bookmarkStart w:id="598" w:name="ref-so2017"/>
    <w:p>
      <w:pPr>
        <w:pStyle w:val="Bibliography"/>
      </w:pPr>
      <w:r>
        <w:t xml:space="preserve">249.</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97">
        <w:r>
          <w:rPr>
            <w:rStyle w:val="Hyperlink"/>
          </w:rPr>
          <w:t xml:space="preserve">10.1101/170241</w:t>
        </w:r>
      </w:hyperlink>
    </w:p>
    <w:bookmarkEnd w:id="598"/>
    <w:bookmarkStart w:id="599" w:name="ref-zhu2018"/>
    <w:p>
      <w:pPr>
        <w:pStyle w:val="Bibliography"/>
      </w:pPr>
      <w:r>
        <w:t xml:space="preserve">250.</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99"/>
    <w:bookmarkStart w:id="601" w:name="ref-andrews2019"/>
    <w:p>
      <w:pPr>
        <w:pStyle w:val="Bibliography"/>
      </w:pPr>
      <w:r>
        <w:t xml:space="preserve">251.</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600">
        <w:r>
          <w:rPr>
            <w:rStyle w:val="Hyperlink"/>
          </w:rPr>
          <w:t xml:space="preserve">10.1101/689752</w:t>
        </w:r>
      </w:hyperlink>
    </w:p>
    <w:bookmarkEnd w:id="601"/>
    <w:bookmarkStart w:id="603" w:name="ref-zhu2017"/>
    <w:p>
      <w:pPr>
        <w:pStyle w:val="Bibliography"/>
      </w:pPr>
      <w:r>
        <w:t xml:space="preserve">252.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602">
        <w:r>
          <w:rPr>
            <w:rStyle w:val="Hyperlink"/>
          </w:rPr>
          <w:t xml:space="preserve">10.1101/168674</w:t>
        </w:r>
      </w:hyperlink>
    </w:p>
    <w:bookmarkEnd w:id="603"/>
    <w:bookmarkStart w:id="604" w:name="ref-shepherd2002"/>
    <w:p>
      <w:pPr>
        <w:pStyle w:val="Bibliography"/>
      </w:pPr>
      <w:r>
        <w:t xml:space="preserve">253.</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Lancet (London, England)</w:t>
      </w:r>
      <w:r>
        <w:t xml:space="preserve"> </w:t>
      </w:r>
      <w:r>
        <w:rPr>
          <w:bCs/>
          <w:b/>
        </w:rPr>
        <w:t xml:space="preserve">360</w:t>
      </w:r>
      <w:r>
        <w:t xml:space="preserve">, 1623–1630 (2002).</w:t>
      </w:r>
    </w:p>
    <w:bookmarkEnd w:id="604"/>
    <w:bookmarkStart w:id="605" w:name="ref-yamada2009conf"/>
    <w:p>
      <w:pPr>
        <w:pStyle w:val="Bibliography"/>
      </w:pPr>
      <w:r>
        <w:t xml:space="preserve">254.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605"/>
    <w:bookmarkStart w:id="606" w:name="ref-chu2018"/>
    <w:p>
      <w:pPr>
        <w:pStyle w:val="Bibliography"/>
      </w:pPr>
      <w:r>
        <w:t xml:space="preserve">255.</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606"/>
    <w:bookmarkStart w:id="607" w:name="ref-yang2020"/>
    <w:p>
      <w:pPr>
        <w:pStyle w:val="Bibliography"/>
      </w:pPr>
      <w:r>
        <w:t xml:space="preserve">256.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607"/>
    <w:bookmarkStart w:id="609" w:name="ref-muangpaisan2010"/>
    <w:p>
      <w:pPr>
        <w:pStyle w:val="Bibliography"/>
      </w:pPr>
      <w:r>
        <w:t xml:space="preserve">257.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608">
        <w:r>
          <w:rPr>
            <w:rStyle w:val="Hyperlink"/>
          </w:rPr>
          <w:t xml:space="preserve">10.1111/j.1447-0594.2009.00579.x</w:t>
        </w:r>
      </w:hyperlink>
    </w:p>
    <w:bookmarkEnd w:id="609"/>
    <w:bookmarkStart w:id="610" w:name="ref-poly2020"/>
    <w:p>
      <w:pPr>
        <w:pStyle w:val="Bibliography"/>
      </w:pPr>
      <w:r>
        <w:t xml:space="preserve">258.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610"/>
    <w:bookmarkStart w:id="611" w:name="ref-kuzma2018stroke"/>
    <w:p>
      <w:pPr>
        <w:pStyle w:val="Bibliography"/>
      </w:pPr>
      <w:r>
        <w:t xml:space="preserve">259.</w:t>
      </w:r>
      <w:r>
        <w:t xml:space="preserve"> </w:t>
      </w:r>
      <w:r>
        <w:t xml:space="preserve">	</w:t>
      </w:r>
      <w:r>
        <w:t xml:space="preserve">Kuźma, E.</w:t>
      </w:r>
      <w:r>
        <w:t xml:space="preserve"> </w:t>
      </w:r>
      <w:r>
        <w:rPr>
          <w:iCs/>
          <w:i/>
        </w:rPr>
        <w:t xml:space="preserve">et al.</w:t>
      </w:r>
      <w:r>
        <w:t xml:space="preserve"> Stroke and dementia risk: A systematic review and meta-analysis.</w:t>
      </w:r>
      <w:r>
        <w:t xml:space="preserve"> </w:t>
      </w:r>
      <w:r>
        <w:rPr>
          <w:iCs/>
          <w:i/>
        </w:rPr>
        <w:t xml:space="preserve">Alzheimer’s &amp; dementia : the journal of the Alzheimer’s Association</w:t>
      </w:r>
      <w:r>
        <w:t xml:space="preserve"> </w:t>
      </w:r>
      <w:r>
        <w:rPr>
          <w:bCs/>
          <w:b/>
        </w:rPr>
        <w:t xml:space="preserve">14</w:t>
      </w:r>
      <w:r>
        <w:t xml:space="preserve">, 1416–1426 (2018).</w:t>
      </w:r>
    </w:p>
    <w:bookmarkEnd w:id="611"/>
    <w:bookmarkStart w:id="612" w:name="ref-kuzma2018risk"/>
    <w:p>
      <w:pPr>
        <w:pStyle w:val="Bibliography"/>
      </w:pPr>
      <w:r>
        <w:t xml:space="preserve">260.</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612"/>
    <w:bookmarkStart w:id="613" w:name="ref-power2015"/>
    <w:p>
      <w:pPr>
        <w:pStyle w:val="Bibliography"/>
      </w:pPr>
      <w:r>
        <w:t xml:space="preserve">261.</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613"/>
    <w:bookmarkStart w:id="614" w:name="ref-aromataris2015"/>
    <w:p>
      <w:pPr>
        <w:pStyle w:val="Bibliography"/>
      </w:pPr>
      <w:r>
        <w:t xml:space="preserve">262.</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614"/>
    <w:bookmarkStart w:id="615" w:name="ref-smith2011"/>
    <w:p>
      <w:pPr>
        <w:pStyle w:val="Bibliography"/>
      </w:pPr>
      <w:r>
        <w:t xml:space="preserve">263.</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615"/>
    <w:bookmarkStart w:id="616" w:name="ref-skrivankova2021"/>
    <w:p>
      <w:pPr>
        <w:pStyle w:val="Bibliography"/>
      </w:pPr>
      <w:r>
        <w:t xml:space="preserve">264.</w:t>
      </w:r>
      <w:r>
        <w:t xml:space="preserve"> </w:t>
      </w:r>
      <w:r>
        <w:t xml:space="preserve">	</w:t>
      </w:r>
      <w:r>
        <w:t xml:space="preserve">Skrivankova, V. W.</w:t>
      </w:r>
      <w:r>
        <w:t xml:space="preserve"> </w:t>
      </w:r>
      <w:r>
        <w:rPr>
          <w:iCs/>
          <w:i/>
        </w:rPr>
        <w:t xml:space="preserve">et al.</w:t>
      </w:r>
      <w:r>
        <w:t xml:space="preserve"> Strengthening the reporting of observational studies in epidemiology using mendelian randomisation (</w:t>
      </w:r>
      <w:r>
        <w:t xml:space="preserve">STROBE</w:t>
      </w:r>
      <w:r>
        <w:t xml:space="preserve">-</w:t>
      </w:r>
      <w:r>
        <w:t xml:space="preserve">MR</w:t>
      </w:r>
      <w:r>
        <w:t xml:space="preserve">): Explanation and elaboration.</w:t>
      </w:r>
      <w:r>
        <w:t xml:space="preserve"> </w:t>
      </w:r>
      <w:r>
        <w:rPr>
          <w:iCs/>
          <w:i/>
        </w:rPr>
        <w:t xml:space="preserve">BMJ</w:t>
      </w:r>
      <w:r>
        <w:t xml:space="preserve"> </w:t>
      </w:r>
      <w:r>
        <w:rPr>
          <w:bCs/>
          <w:b/>
        </w:rPr>
        <w:t xml:space="preserve">375</w:t>
      </w:r>
      <w:r>
        <w:t xml:space="preserve">, n2233 (2021).</w:t>
      </w:r>
    </w:p>
    <w:bookmarkEnd w:id="616"/>
    <w:bookmarkStart w:id="617" w:name="ref-sohani2015"/>
    <w:p>
      <w:pPr>
        <w:pStyle w:val="Bibliography"/>
      </w:pPr>
      <w:r>
        <w:t xml:space="preserve">265.</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617"/>
    <w:bookmarkStart w:id="618" w:name="ref-waffenschmidt2020"/>
    <w:p>
      <w:pPr>
        <w:pStyle w:val="Bibliography"/>
      </w:pPr>
      <w:r>
        <w:t xml:space="preserve">266.</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618"/>
    <w:bookmarkStart w:id="619" w:name="ref-wagner2020"/>
    <w:p>
      <w:pPr>
        <w:pStyle w:val="Bibliography"/>
      </w:pPr>
      <w:r>
        <w:t xml:space="preserve">267.</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619"/>
    <w:bookmarkStart w:id="620" w:name="ref-benn2017comment"/>
    <w:p>
      <w:pPr>
        <w:pStyle w:val="Bibliography"/>
      </w:pPr>
      <w:r>
        <w:t xml:space="preserve">268.</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620"/>
    <w:bookmarkStart w:id="621" w:name="ref-meursingereynders2019"/>
    <w:p>
      <w:pPr>
        <w:pStyle w:val="Bibliography"/>
      </w:pPr>
      <w:r>
        <w:t xml:space="preserve">269.</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21"/>
    <w:bookmarkStart w:id="622" w:name="ref-cooper2019"/>
    <w:p>
      <w:pPr>
        <w:pStyle w:val="Bibliography"/>
      </w:pPr>
      <w:r>
        <w:t xml:space="preserve">270.</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22"/>
    <w:bookmarkStart w:id="623" w:name="ref-hennessy2021"/>
    <w:p>
      <w:pPr>
        <w:pStyle w:val="Bibliography"/>
      </w:pPr>
      <w:r>
        <w:t xml:space="preserve">271.</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7">
        <w:r>
          <w:rPr>
            <w:rStyle w:val="Hyperlink"/>
          </w:rPr>
          <w:t xml:space="preserve">10.1007/s11121-021-01279-8</w:t>
        </w:r>
      </w:hyperlink>
    </w:p>
    <w:bookmarkEnd w:id="623"/>
    <w:bookmarkStart w:id="624" w:name="ref-hsieh2019"/>
    <w:p>
      <w:pPr>
        <w:pStyle w:val="Bibliography"/>
      </w:pPr>
      <w:r>
        <w:t xml:space="preserve">272.</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24"/>
    <w:bookmarkStart w:id="625" w:name="ref-mcguinness2019validity"/>
    <w:p>
      <w:pPr>
        <w:pStyle w:val="Bibliography"/>
      </w:pPr>
      <w:r>
        <w:t xml:space="preserve">273.</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25"/>
    <w:bookmarkStart w:id="626" w:name="ref-wilkinson2018"/>
    <w:p>
      <w:pPr>
        <w:pStyle w:val="Bibliography"/>
      </w:pPr>
      <w:r>
        <w:t xml:space="preserve">274.</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26"/>
    <w:bookmarkStart w:id="627" w:name="ref-jeyaraman2020"/>
    <w:p>
      <w:pPr>
        <w:pStyle w:val="Bibliography"/>
      </w:pPr>
      <w:r>
        <w:t xml:space="preserve">275.</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27"/>
    <w:bookmarkStart w:id="628" w:name="ref-suissa2008"/>
    <w:p>
      <w:pPr>
        <w:pStyle w:val="Bibliography"/>
      </w:pPr>
      <w:r>
        <w:t xml:space="preserve">276.</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28"/>
    <w:bookmarkStart w:id="629" w:name="ref-walker2016"/>
    <w:p>
      <w:pPr>
        <w:pStyle w:val="Bibliography"/>
      </w:pPr>
      <w:r>
        <w:t xml:space="preserve">277.</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29"/>
    <w:bookmarkStart w:id="630" w:name="ref-vonelm2008"/>
    <w:p>
      <w:pPr>
        <w:pStyle w:val="Bibliography"/>
      </w:pPr>
      <w:r>
        <w:t xml:space="preserve">278.</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30"/>
    <w:bookmarkStart w:id="631" w:name="ref-herrett2015"/>
    <w:p>
      <w:pPr>
        <w:pStyle w:val="Bibliography"/>
      </w:pPr>
      <w:r>
        <w:t xml:space="preserve">279.</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31"/>
    <w:bookmarkStart w:id="632" w:name="ref-williams2012"/>
    <w:p>
      <w:pPr>
        <w:pStyle w:val="Bibliography"/>
      </w:pPr>
      <w:r>
        <w:t xml:space="preserve">280.</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32"/>
    <w:bookmarkStart w:id="633" w:name="ref-wood2001revitalizing"/>
    <w:p>
      <w:pPr>
        <w:pStyle w:val="Bibliography"/>
      </w:pPr>
      <w:r>
        <w:t xml:space="preserve">281.</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33"/>
    <w:bookmarkStart w:id="634" w:name="ref-mathur2014"/>
    <w:p>
      <w:pPr>
        <w:pStyle w:val="Bibliography"/>
      </w:pPr>
      <w:r>
        <w:t xml:space="preserve">282.</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34"/>
    <w:bookmarkStart w:id="635" w:name="ref-booth1994"/>
    <w:p>
      <w:pPr>
        <w:pStyle w:val="Bibliography"/>
      </w:pPr>
      <w:r>
        <w:t xml:space="preserve">283.</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35"/>
    <w:bookmarkStart w:id="636" w:name="ref-wolf2019"/>
    <w:p>
      <w:pPr>
        <w:pStyle w:val="Bibliography"/>
      </w:pPr>
      <w:r>
        <w:t xml:space="preserve">284.</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36"/>
    <w:bookmarkStart w:id="637" w:name="ref-wishart2017"/>
    <w:p>
      <w:pPr>
        <w:pStyle w:val="Bibliography"/>
      </w:pPr>
      <w:r>
        <w:t xml:space="preserve">285.</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37"/>
    <w:bookmarkStart w:id="638" w:name="ref-charlson1987new"/>
    <w:p>
      <w:pPr>
        <w:pStyle w:val="Bibliography"/>
      </w:pPr>
      <w:r>
        <w:t xml:space="preserve">286.</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38"/>
    <w:bookmarkStart w:id="639" w:name="ref-wells2013strategies"/>
    <w:p>
      <w:pPr>
        <w:pStyle w:val="Bibliography"/>
      </w:pPr>
      <w:r>
        <w:t xml:space="preserve">287.</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39"/>
    <w:bookmarkStart w:id="640" w:name="ref-sterne2009"/>
    <w:p>
      <w:pPr>
        <w:pStyle w:val="Bibliography"/>
      </w:pPr>
      <w:r>
        <w:t xml:space="preserve">288.</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40"/>
    <w:bookmarkStart w:id="641" w:name="ref-moons2006"/>
    <w:p>
      <w:pPr>
        <w:pStyle w:val="Bibliography"/>
      </w:pPr>
      <w:r>
        <w:t xml:space="preserve">289.</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41"/>
    <w:bookmarkStart w:id="642" w:name="ref-levesque2010"/>
    <w:p>
      <w:pPr>
        <w:pStyle w:val="Bibliography"/>
      </w:pPr>
      <w:r>
        <w:t xml:space="preserve">290.</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42"/>
    <w:bookmarkStart w:id="643" w:name="ref-lamarca1998"/>
    <w:p>
      <w:pPr>
        <w:pStyle w:val="Bibliography"/>
      </w:pPr>
      <w:r>
        <w:t xml:space="preserve">291.</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43"/>
    <w:bookmarkStart w:id="644" w:name="ref-gail2009"/>
    <w:p>
      <w:pPr>
        <w:pStyle w:val="Bibliography"/>
      </w:pPr>
      <w:r>
        <w:t xml:space="preserve">292.</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44"/>
    <w:bookmarkStart w:id="645" w:name="ref-pencina2007"/>
    <w:p>
      <w:pPr>
        <w:pStyle w:val="Bibliography"/>
      </w:pPr>
      <w:r>
        <w:t xml:space="preserve">293.</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45"/>
    <w:bookmarkStart w:id="646" w:name="ref-pigott2001"/>
    <w:p>
      <w:pPr>
        <w:pStyle w:val="Bibliography"/>
      </w:pPr>
      <w:r>
        <w:t xml:space="preserve">294.</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46"/>
    <w:bookmarkStart w:id="647" w:name="ref-hughes2019"/>
    <w:p>
      <w:pPr>
        <w:pStyle w:val="Bibliography"/>
      </w:pPr>
      <w:r>
        <w:t xml:space="preserve">295.</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47"/>
    <w:bookmarkStart w:id="648" w:name="ref-lipsitch2010"/>
    <w:p>
      <w:pPr>
        <w:pStyle w:val="Bibliography"/>
      </w:pPr>
      <w:r>
        <w:t xml:space="preserve">296.</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48"/>
    <w:bookmarkStart w:id="649" w:name="ref-selva-ocallaghan2018"/>
    <w:p>
      <w:pPr>
        <w:pStyle w:val="Bibliography"/>
      </w:pPr>
      <w:r>
        <w:t xml:space="preserve">297.</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49"/>
    <w:bookmarkStart w:id="650" w:name="ref-herrett2021"/>
    <w:p>
      <w:pPr>
        <w:pStyle w:val="Bibliography"/>
      </w:pPr>
      <w:r>
        <w:t xml:space="preserve">298.</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50"/>
    <w:bookmarkStart w:id="651" w:name="ref-macedo2014"/>
    <w:p>
      <w:pPr>
        <w:pStyle w:val="Bibliography"/>
      </w:pPr>
      <w:r>
        <w:t xml:space="preserve">299.</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51"/>
    <w:bookmarkStart w:id="652" w:name="ref-smit2020"/>
    <w:p>
      <w:pPr>
        <w:pStyle w:val="Bibliography"/>
      </w:pPr>
      <w:r>
        <w:t xml:space="preserve">300.</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52"/>
    <w:bookmarkStart w:id="653" w:name="ref-karalis2016"/>
    <w:p>
      <w:pPr>
        <w:pStyle w:val="Bibliography"/>
      </w:pPr>
      <w:r>
        <w:t xml:space="preserve">301.</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53"/>
    <w:bookmarkStart w:id="654" w:name="ref-carbonari2015"/>
    <w:p>
      <w:pPr>
        <w:pStyle w:val="Bibliography"/>
      </w:pPr>
      <w:r>
        <w:t xml:space="preserve">302.</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54"/>
    <w:bookmarkStart w:id="655" w:name="ref-salas1999"/>
    <w:p>
      <w:pPr>
        <w:pStyle w:val="Bibliography"/>
      </w:pPr>
      <w:r>
        <w:t xml:space="preserve">303.</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55"/>
    <w:bookmarkStart w:id="656" w:name="ref-suttorp2015"/>
    <w:p>
      <w:pPr>
        <w:pStyle w:val="Bibliography"/>
      </w:pPr>
      <w:r>
        <w:t xml:space="preserve">304.</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56"/>
    <w:bookmarkStart w:id="657" w:name="ref-boruzs2016"/>
    <w:p>
      <w:pPr>
        <w:pStyle w:val="Bibliography"/>
      </w:pPr>
      <w:r>
        <w:t xml:space="preserve">305.</w:t>
      </w:r>
      <w:r>
        <w:t xml:space="preserve"> </w:t>
      </w:r>
      <w:r>
        <w:t xml:space="preserve">	</w:t>
      </w:r>
      <w:r>
        <w:t xml:space="preserve">Boruzs, K., Juhász, A., Nagy, C., Ádány, R. &amp; Bíró, K. Relationship between</w:t>
      </w:r>
      <w:r>
        <w:t xml:space="preserve"> </w:t>
      </w:r>
      <w:r>
        <w:t xml:space="preserve">Statin Utilization</w:t>
      </w:r>
      <w:r>
        <w:t xml:space="preserve"> </w:t>
      </w:r>
      <w:r>
        <w:t xml:space="preserve">and</w:t>
      </w:r>
      <w:r>
        <w:t xml:space="preserve"> </w:t>
      </w:r>
      <w:r>
        <w:t xml:space="preserve">Socioeconomic Deprivation</w:t>
      </w:r>
      <w:r>
        <w:t xml:space="preserve"> </w:t>
      </w:r>
      <w:r>
        <w:t xml:space="preserve">in</w:t>
      </w:r>
      <w:r>
        <w:t xml:space="preserve"> </w:t>
      </w:r>
      <w:r>
        <w:t xml:space="preserve">Hungary</w:t>
      </w:r>
      <w:r>
        <w:t xml:space="preserve">.</w:t>
      </w:r>
      <w:r>
        <w:t xml:space="preserve"> </w:t>
      </w:r>
      <w:r>
        <w:rPr>
          <w:iCs/>
          <w:i/>
        </w:rPr>
        <w:t xml:space="preserve">Frontiers in Pharmacology</w:t>
      </w:r>
      <w:r>
        <w:t xml:space="preserve"> </w:t>
      </w:r>
      <w:r>
        <w:rPr>
          <w:bCs/>
          <w:b/>
        </w:rPr>
        <w:t xml:space="preserve">7</w:t>
      </w:r>
      <w:r>
        <w:t xml:space="preserve">, 66 (2016).</w:t>
      </w:r>
    </w:p>
    <w:bookmarkEnd w:id="657"/>
    <w:bookmarkStart w:id="658" w:name="ref-ikeda2019"/>
    <w:p>
      <w:pPr>
        <w:pStyle w:val="Bibliography"/>
      </w:pPr>
      <w:r>
        <w:t xml:space="preserve">306.</w:t>
      </w:r>
      <w:r>
        <w:t xml:space="preserve"> </w:t>
      </w:r>
      <w:r>
        <w:t xml:space="preserve">	</w:t>
      </w:r>
      <w:r>
        <w:t xml:space="preserve">Ikeda, T.</w:t>
      </w:r>
      <w:r>
        <w:t xml:space="preserve"> </w:t>
      </w:r>
      <w:r>
        <w:rPr>
          <w:iCs/>
          <w:i/>
        </w:rPr>
        <w:t xml:space="preserve">et al.</w:t>
      </w:r>
      <w:r>
        <w:t xml:space="preserve"> Socioeconomic inequalities in low back pain among older people: The</w:t>
      </w:r>
      <w:r>
        <w:t xml:space="preserve"> </w:t>
      </w:r>
      <w:r>
        <w:t xml:space="preserve">JAGES</w:t>
      </w:r>
      <w:r>
        <w:t xml:space="preserve"> </w:t>
      </w:r>
      <w:r>
        <w:t xml:space="preserve">cross-sectional study.</w:t>
      </w:r>
      <w:r>
        <w:t xml:space="preserve"> </w:t>
      </w:r>
      <w:r>
        <w:rPr>
          <w:iCs/>
          <w:i/>
        </w:rPr>
        <w:t xml:space="preserve">International Journal for Equity in Health</w:t>
      </w:r>
      <w:r>
        <w:t xml:space="preserve"> </w:t>
      </w:r>
      <w:r>
        <w:rPr>
          <w:bCs/>
          <w:b/>
        </w:rPr>
        <w:t xml:space="preserve">18</w:t>
      </w:r>
      <w:r>
        <w:t xml:space="preserve">, 15 (2019).</w:t>
      </w:r>
    </w:p>
    <w:bookmarkEnd w:id="658"/>
    <w:bookmarkStart w:id="659" w:name="ref-danaei2013"/>
    <w:p>
      <w:pPr>
        <w:pStyle w:val="Bibliography"/>
      </w:pPr>
      <w:r>
        <w:t xml:space="preserve">307.</w:t>
      </w:r>
      <w:r>
        <w:t xml:space="preserve"> </w:t>
      </w:r>
      <w:r>
        <w:t xml:space="preserve">	</w:t>
      </w:r>
      <w:r>
        <w:t xml:space="preserve">Danaei, G., Rodríguez, L. A. G., Cantero, O. F., Logan, R. &amp; Hernán, M. A. Observational data for comparative effectiveness research: An emulation of randomised trials of statins and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59"/>
    <w:bookmarkStart w:id="660" w:name="ref-taylor2013"/>
    <w:p>
      <w:pPr>
        <w:pStyle w:val="Bibliography"/>
      </w:pPr>
      <w:r>
        <w:t xml:space="preserve">308.</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60"/>
    <w:bookmarkStart w:id="661" w:name="ref-newman2019"/>
    <w:p>
      <w:pPr>
        <w:pStyle w:val="Bibliography"/>
      </w:pPr>
      <w:r>
        <w:t xml:space="preserve">309.</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61"/>
    <w:bookmarkStart w:id="662" w:name="ref-shepardson2011"/>
    <w:p>
      <w:pPr>
        <w:pStyle w:val="Bibliography"/>
      </w:pPr>
      <w:r>
        <w:t xml:space="preserve">310.</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62"/>
    <w:bookmarkStart w:id="663" w:name="ref-porta2014"/>
    <w:p>
      <w:pPr>
        <w:pStyle w:val="Bibliography"/>
      </w:pPr>
      <w:r>
        <w:t xml:space="preserve">311.</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63"/>
    <w:bookmarkStart w:id="664" w:name="ref-bennet2007"/>
    <w:p>
      <w:pPr>
        <w:pStyle w:val="Bibliography"/>
      </w:pPr>
      <w:r>
        <w:t xml:space="preserve">312.</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64"/>
    <w:bookmarkStart w:id="665" w:name="ref-thompson2005"/>
    <w:p>
      <w:pPr>
        <w:pStyle w:val="Bibliography"/>
      </w:pPr>
      <w:r>
        <w:t xml:space="preserve">313.</w:t>
      </w:r>
      <w:r>
        <w:t xml:space="preserve"> </w:t>
      </w:r>
      <w:r>
        <w:t xml:space="preserve">	</w:t>
      </w:r>
      <w:r>
        <w:t xml:space="preserve">Thompson, S. G. &amp; Higgins, J. P. T. Treating individuals 4: Can meta-analysis help target interventions at individuals most likely to benefit?</w:t>
      </w:r>
      <w:r>
        <w:t xml:space="preserve"> </w:t>
      </w:r>
      <w:r>
        <w:rPr>
          <w:iCs/>
          <w:i/>
        </w:rPr>
        <w:t xml:space="preserve">Lancet (London, England)</w:t>
      </w:r>
      <w:r>
        <w:t xml:space="preserve"> </w:t>
      </w:r>
      <w:r>
        <w:rPr>
          <w:bCs/>
          <w:b/>
        </w:rPr>
        <w:t xml:space="preserve">365</w:t>
      </w:r>
      <w:r>
        <w:t xml:space="preserve">, 341–346 (2005).</w:t>
      </w:r>
    </w:p>
    <w:bookmarkEnd w:id="665"/>
    <w:bookmarkStart w:id="666" w:name="ref-hingorani2013"/>
    <w:p>
      <w:pPr>
        <w:pStyle w:val="Bibliography"/>
      </w:pPr>
      <w:r>
        <w:t xml:space="preserve">314.</w:t>
      </w:r>
      <w:r>
        <w:t xml:space="preserve"> </w:t>
      </w:r>
      <w:r>
        <w:t xml:space="preserve">	</w:t>
      </w:r>
      <w:r>
        <w:t xml:space="preserve">Hingorani, A. D.</w:t>
      </w:r>
      <w:r>
        <w:t xml:space="preserve"> </w:t>
      </w:r>
      <w:r>
        <w:rPr>
          <w:iCs/>
          <w:i/>
        </w:rPr>
        <w:t xml:space="preserve">et al.</w:t>
      </w:r>
      <w:r>
        <w:t xml:space="preserve"> Prognosis research strategy (</w:t>
      </w:r>
      <w:r>
        <w:t xml:space="preserve">PROGRESS</w:t>
      </w:r>
      <w:r>
        <w:t xml:space="preserve">) 4: Stratified medicine research.</w:t>
      </w:r>
      <w:r>
        <w:t xml:space="preserve"> </w:t>
      </w:r>
      <w:r>
        <w:rPr>
          <w:iCs/>
          <w:i/>
        </w:rPr>
        <w:t xml:space="preserve">The BMJ</w:t>
      </w:r>
      <w:r>
        <w:t xml:space="preserve"> </w:t>
      </w:r>
      <w:r>
        <w:rPr>
          <w:bCs/>
          <w:b/>
        </w:rPr>
        <w:t xml:space="preserve">346</w:t>
      </w:r>
      <w:r>
        <w:t xml:space="preserve">, e5793 (2013).</w:t>
      </w:r>
    </w:p>
    <w:bookmarkEnd w:id="666"/>
    <w:bookmarkStart w:id="667" w:name="ref-ensor2018"/>
    <w:p>
      <w:pPr>
        <w:pStyle w:val="Bibliography"/>
      </w:pPr>
      <w:r>
        <w:t xml:space="preserve">315.</w:t>
      </w:r>
      <w:r>
        <w:t xml:space="preserve"> </w:t>
      </w:r>
      <w:r>
        <w:t xml:space="preserve">	</w:t>
      </w:r>
      <w:r>
        <w:t xml:space="preserve">Ensor, J., Burke, D. L., Snell, K. I. E., Hemming, K. &amp; Riley, R. D. Simulation-based power calculations for planning a two-stage individual participant data meta-analysis.</w:t>
      </w:r>
      <w:r>
        <w:t xml:space="preserve"> </w:t>
      </w:r>
      <w:r>
        <w:rPr>
          <w:iCs/>
          <w:i/>
        </w:rPr>
        <w:t xml:space="preserve">BMC Medical Research Methodology</w:t>
      </w:r>
      <w:r>
        <w:t xml:space="preserve"> </w:t>
      </w:r>
      <w:r>
        <w:rPr>
          <w:bCs/>
          <w:b/>
        </w:rPr>
        <w:t xml:space="preserve">18</w:t>
      </w:r>
      <w:r>
        <w:t xml:space="preserve">, 41 (2018).</w:t>
      </w:r>
    </w:p>
    <w:bookmarkEnd w:id="667"/>
    <w:bookmarkStart w:id="668" w:name="ref-wickham2016func"/>
    <w:p>
      <w:pPr>
        <w:pStyle w:val="Bibliography"/>
      </w:pPr>
      <w:r>
        <w:t xml:space="preserve">316.</w:t>
      </w:r>
      <w:r>
        <w:t xml:space="preserve"> </w:t>
      </w:r>
      <w:r>
        <w:t xml:space="preserve">	</w:t>
      </w:r>
      <w:r>
        <w:t xml:space="preserve">Wickham, H. &amp; Grolemund, G.</w:t>
      </w:r>
      <w:r>
        <w:t xml:space="preserve"> </w:t>
      </w:r>
      <w:r>
        <w:rPr>
          <w:iCs/>
          <w:i/>
        </w:rPr>
        <w:t xml:space="preserve">Chapter 21: Iteration |</w:t>
      </w:r>
      <w:r>
        <w:rPr>
          <w:iCs/>
          <w:i/>
        </w:rPr>
        <w:t xml:space="preserve"> </w:t>
      </w:r>
      <w:r>
        <w:rPr>
          <w:iCs/>
          <w:i/>
        </w:rPr>
        <w:t xml:space="preserve">R</w:t>
      </w:r>
      <w:r>
        <w:rPr>
          <w:iCs/>
          <w:i/>
        </w:rPr>
        <w:t xml:space="preserve"> </w:t>
      </w:r>
      <w:r>
        <w:rPr>
          <w:iCs/>
          <w:i/>
        </w:rPr>
        <w:t xml:space="preserve">for data science: Import, tidy, transform, visualize, and model data</w:t>
      </w:r>
      <w:r>
        <w:t xml:space="preserve">. (</w:t>
      </w:r>
      <w:r>
        <w:t xml:space="preserve">O’Reilly</w:t>
      </w:r>
      <w:r>
        <w:t xml:space="preserve">, 2016).</w:t>
      </w:r>
    </w:p>
    <w:bookmarkEnd w:id="668"/>
    <w:bookmarkStart w:id="669" w:name="ref-levis2021"/>
    <w:p>
      <w:pPr>
        <w:pStyle w:val="Bibliography"/>
      </w:pPr>
      <w:r>
        <w:t xml:space="preserve">317.</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69"/>
    <w:bookmarkStart w:id="670" w:name="ref-fibrinogenstudiescollaboration2009"/>
    <w:p>
      <w:pPr>
        <w:pStyle w:val="Bibliography"/>
      </w:pPr>
      <w:r>
        <w:t xml:space="preserve">318.</w:t>
      </w:r>
      <w:r>
        <w:t xml:space="preserve"> </w:t>
      </w:r>
      <w:r>
        <w:t xml:space="preserve">	</w:t>
      </w:r>
      <w:r>
        <w:t xml:space="preserve">Fibrinogen Studies Collaboration. Systematically missing confounders in individual participant data meta-analysis of observational cohort studies.</w:t>
      </w:r>
      <w:r>
        <w:t xml:space="preserve"> </w:t>
      </w:r>
      <w:r>
        <w:rPr>
          <w:iCs/>
          <w:i/>
        </w:rPr>
        <w:t xml:space="preserve">Statistics in Medicine</w:t>
      </w:r>
      <w:r>
        <w:t xml:space="preserve"> </w:t>
      </w:r>
      <w:r>
        <w:rPr>
          <w:bCs/>
          <w:b/>
        </w:rPr>
        <w:t xml:space="preserve">28</w:t>
      </w:r>
      <w:r>
        <w:t xml:space="preserve">, 1218–1237 (2009).</w:t>
      </w:r>
    </w:p>
    <w:bookmarkEnd w:id="670"/>
    <w:bookmarkStart w:id="671" w:name="ref-abo-zaid2013"/>
    <w:p>
      <w:pPr>
        <w:pStyle w:val="Bibliography"/>
      </w:pPr>
      <w:r>
        <w:t xml:space="preserve">319.</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71"/>
    <w:bookmarkStart w:id="672" w:name="ref-burke2017"/>
    <w:p>
      <w:pPr>
        <w:pStyle w:val="Bibliography"/>
      </w:pPr>
      <w:r>
        <w:t xml:space="preserve">320.</w:t>
      </w:r>
      <w:r>
        <w:t xml:space="preserve"> </w:t>
      </w:r>
      <w:r>
        <w:t xml:space="preserve">	</w:t>
      </w:r>
      <w:r>
        <w:t xml:space="preserve">Burke, D. L., Ensor, J. &amp; Riley, R. D. Meta-analysis using individual participant data: One-stage and two-stage approaches, and why they may differ.</w:t>
      </w:r>
      <w:r>
        <w:t xml:space="preserve"> </w:t>
      </w:r>
      <w:r>
        <w:rPr>
          <w:iCs/>
          <w:i/>
        </w:rPr>
        <w:t xml:space="preserve">Statistics in Medicine</w:t>
      </w:r>
      <w:r>
        <w:t xml:space="preserve"> </w:t>
      </w:r>
      <w:r>
        <w:rPr>
          <w:bCs/>
          <w:b/>
        </w:rPr>
        <w:t xml:space="preserve">36</w:t>
      </w:r>
      <w:r>
        <w:t xml:space="preserve">, 855–875 (2017).</w:t>
      </w:r>
    </w:p>
    <w:bookmarkEnd w:id="672"/>
    <w:bookmarkStart w:id="673" w:name="ref-fisher2017"/>
    <w:p>
      <w:pPr>
        <w:pStyle w:val="Bibliography"/>
      </w:pPr>
      <w:r>
        <w:t xml:space="preserve">321.</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673"/>
    <w:bookmarkStart w:id="674" w:name="ref-zotero-15398"/>
    <w:p>
      <w:pPr>
        <w:pStyle w:val="Bibliography"/>
      </w:pPr>
      <w:r>
        <w:t xml:space="preserve">322.</w:t>
      </w:r>
      <w:r>
        <w:t xml:space="preserve"> </w:t>
      </w:r>
      <w:r>
        <w:t xml:space="preserve">	</w:t>
      </w:r>
      <w:r>
        <w:t xml:space="preserve">Caerphilly</w:t>
      </w:r>
      <w:r>
        <w:t xml:space="preserve"> </w:t>
      </w:r>
      <w:r>
        <w:t xml:space="preserve">Prospective Study</w:t>
      </w:r>
      <w:r>
        <w:t xml:space="preserve"> </w:t>
      </w:r>
      <w:r>
        <w:t xml:space="preserve">-</w:t>
      </w:r>
      <w:r>
        <w:t xml:space="preserve"> </w:t>
      </w:r>
      <w:r>
        <w:t xml:space="preserve">About</w:t>
      </w:r>
      <w:r>
        <w:t xml:space="preserve">.</w:t>
      </w:r>
    </w:p>
    <w:bookmarkEnd w:id="674"/>
    <w:bookmarkStart w:id="675" w:name="ref-elwood2013"/>
    <w:p>
      <w:pPr>
        <w:pStyle w:val="Bibliography"/>
      </w:pPr>
      <w:r>
        <w:t xml:space="preserve">323.</w:t>
      </w:r>
      <w:r>
        <w:t xml:space="preserve"> </w:t>
      </w:r>
      <w:r>
        <w:t xml:space="preserve">	</w:t>
      </w:r>
      <w:r>
        <w:t xml:space="preserve">Elwood, P.</w:t>
      </w:r>
      <w:r>
        <w:t xml:space="preserve"> </w:t>
      </w:r>
      <w:r>
        <w:rPr>
          <w:iCs/>
          <w:i/>
        </w:rPr>
        <w:t xml:space="preserve">et al.</w:t>
      </w:r>
      <w:r>
        <w:t xml:space="preserve"> Healthy</w:t>
      </w:r>
      <w:r>
        <w:t xml:space="preserve"> </w:t>
      </w:r>
      <w:r>
        <w:t xml:space="preserve">Lifestyles Reduce</w:t>
      </w:r>
      <w:r>
        <w:t xml:space="preserve"> </w:t>
      </w:r>
      <w:r>
        <w:t xml:space="preserve">the</w:t>
      </w:r>
      <w:r>
        <w:t xml:space="preserve"> </w:t>
      </w:r>
      <w:r>
        <w:t xml:space="preserve">Incidence</w:t>
      </w:r>
      <w:r>
        <w:t xml:space="preserve"> </w:t>
      </w:r>
      <w:r>
        <w:t xml:space="preserve">of</w:t>
      </w:r>
      <w:r>
        <w:t xml:space="preserve"> </w:t>
      </w:r>
      <w:r>
        <w:t xml:space="preserve">Chronic Diseases</w:t>
      </w:r>
      <w:r>
        <w:t xml:space="preserve"> </w:t>
      </w:r>
      <w:r>
        <w:t xml:space="preserve">and</w:t>
      </w:r>
      <w:r>
        <w:t xml:space="preserve"> </w:t>
      </w:r>
      <w:r>
        <w:t xml:space="preserve">Dementia</w:t>
      </w:r>
      <w:r>
        <w:t xml:space="preserve">: Evidence from the</w:t>
      </w:r>
      <w:r>
        <w:t xml:space="preserve"> </w:t>
      </w:r>
      <w:r>
        <w:t xml:space="preserve">Caerphilly Cohort Study</w:t>
      </w:r>
      <w:r>
        <w:t xml:space="preserve">.</w:t>
      </w:r>
      <w:r>
        <w:t xml:space="preserve"> </w:t>
      </w:r>
      <w:r>
        <w:rPr>
          <w:iCs/>
          <w:i/>
        </w:rPr>
        <w:t xml:space="preserve">PLOS ONE</w:t>
      </w:r>
      <w:r>
        <w:t xml:space="preserve"> </w:t>
      </w:r>
      <w:r>
        <w:rPr>
          <w:bCs/>
          <w:b/>
        </w:rPr>
        <w:t xml:space="preserve">8</w:t>
      </w:r>
      <w:r>
        <w:t xml:space="preserve">, e81877 (2013).</w:t>
      </w:r>
    </w:p>
    <w:bookmarkEnd w:id="675"/>
    <w:bookmarkStart w:id="676" w:name="ref-riboli1997"/>
    <w:p>
      <w:pPr>
        <w:pStyle w:val="Bibliography"/>
      </w:pPr>
      <w:r>
        <w:t xml:space="preserve">324.</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76"/>
    <w:bookmarkStart w:id="677" w:name="ref-riboli2002"/>
    <w:p>
      <w:pPr>
        <w:pStyle w:val="Bibliography"/>
      </w:pPr>
      <w:r>
        <w:t xml:space="preserve">325.</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77"/>
    <w:bookmarkStart w:id="678" w:name="ref-marmot2005"/>
    <w:p>
      <w:pPr>
        <w:pStyle w:val="Bibliography"/>
      </w:pPr>
      <w:r>
        <w:t xml:space="preserve">326.</w:t>
      </w:r>
      <w:r>
        <w:t xml:space="preserve"> </w:t>
      </w:r>
      <w:r>
        <w:t xml:space="preserve">	</w:t>
      </w:r>
      <w:r>
        <w:t xml:space="preserve">Marmot, M. &amp; Brunner, E. Cohort</w:t>
      </w:r>
      <w:r>
        <w:t xml:space="preserve"> </w:t>
      </w:r>
      <w:r>
        <w:t xml:space="preserve">Profile</w:t>
      </w:r>
      <w:r>
        <w:t xml:space="preserve">: The</w:t>
      </w:r>
      <w:r>
        <w:t xml:space="preserve"> </w:t>
      </w:r>
      <w:r>
        <w:t xml:space="preserve">Whitehall II</w:t>
      </w:r>
      <w:r>
        <w:t xml:space="preserve"> </w:t>
      </w:r>
      <w:r>
        <w:t xml:space="preserve">study.</w:t>
      </w:r>
      <w:r>
        <w:t xml:space="preserve"> </w:t>
      </w:r>
      <w:r>
        <w:rPr>
          <w:iCs/>
          <w:i/>
        </w:rPr>
        <w:t xml:space="preserve">International Journal of Epidemiology</w:t>
      </w:r>
      <w:r>
        <w:t xml:space="preserve"> </w:t>
      </w:r>
      <w:r>
        <w:rPr>
          <w:bCs/>
          <w:b/>
        </w:rPr>
        <w:t xml:space="preserve">34</w:t>
      </w:r>
      <w:r>
        <w:t xml:space="preserve">, 251–256 (2005).</w:t>
      </w:r>
    </w:p>
    <w:bookmarkEnd w:id="678"/>
    <w:bookmarkStart w:id="679" w:name="ref-zotero-15403"/>
    <w:p>
      <w:pPr>
        <w:pStyle w:val="Bibliography"/>
      </w:pPr>
      <w:r>
        <w:t xml:space="preserve">327.</w:t>
      </w:r>
      <w:r>
        <w:t xml:space="preserve"> </w:t>
      </w:r>
      <w:r>
        <w:t xml:space="preserve">	</w:t>
      </w:r>
      <w:r>
        <w:t xml:space="preserve">Hospital</w:t>
      </w:r>
      <w:r>
        <w:t xml:space="preserve"> </w:t>
      </w:r>
      <w:r>
        <w:t xml:space="preserve">Episode Statistics</w:t>
      </w:r>
      <w:r>
        <w:t xml:space="preserve"> </w:t>
      </w:r>
      <w:r>
        <w:t xml:space="preserve">(</w:t>
      </w:r>
      <w:r>
        <w:t xml:space="preserve">HES</w:t>
      </w:r>
      <w:r>
        <w:t xml:space="preserve">).</w:t>
      </w:r>
      <w:r>
        <w:t xml:space="preserve"> </w:t>
      </w:r>
      <w:r>
        <w:rPr>
          <w:iCs/>
          <w:i/>
        </w:rPr>
        <w:t xml:space="preserve">NHS Digital</w:t>
      </w:r>
    </w:p>
    <w:bookmarkEnd w:id="679"/>
    <w:bookmarkStart w:id="680" w:name="ref-ahmed2012"/>
    <w:p>
      <w:pPr>
        <w:pStyle w:val="Bibliography"/>
      </w:pPr>
      <w:r>
        <w:t xml:space="preserve">328.</w:t>
      </w:r>
      <w:r>
        <w:t xml:space="preserve"> </w:t>
      </w:r>
      <w:r>
        <w:t xml:space="preserve">	</w:t>
      </w:r>
      <w:r>
        <w:t xml:space="preserve">Ahmed, I., Sutton, A. J. &amp; Riley, R. D. Assessment of publication bias, selection bias, and unavailable data in meta-analyses using individual participant data: A database survey.</w:t>
      </w:r>
      <w:r>
        <w:t xml:space="preserve"> </w:t>
      </w:r>
      <w:r>
        <w:rPr>
          <w:iCs/>
          <w:i/>
        </w:rPr>
        <w:t xml:space="preserve">BMJ</w:t>
      </w:r>
      <w:r>
        <w:t xml:space="preserve"> </w:t>
      </w:r>
      <w:r>
        <w:rPr>
          <w:bCs/>
          <w:b/>
        </w:rPr>
        <w:t xml:space="preserve">344</w:t>
      </w:r>
      <w:r>
        <w:t xml:space="preserve">, d7762 (2012).</w:t>
      </w:r>
    </w:p>
    <w:bookmarkEnd w:id="680"/>
    <w:bookmarkStart w:id="681" w:name="ref-jaspers2014"/>
    <w:p>
      <w:pPr>
        <w:pStyle w:val="Bibliography"/>
      </w:pPr>
      <w:r>
        <w:t xml:space="preserve">329.</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81"/>
    <w:bookmarkStart w:id="682" w:name="ref-danko2019"/>
    <w:p>
      <w:pPr>
        <w:pStyle w:val="Bibliography"/>
      </w:pPr>
      <w:r>
        <w:t xml:space="preserve">330.</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82"/>
    <w:bookmarkStart w:id="683" w:name="ref-safieh2019"/>
    <w:p>
      <w:pPr>
        <w:pStyle w:val="Bibliography"/>
      </w:pPr>
      <w:r>
        <w:t xml:space="preserve">331.</w:t>
      </w:r>
      <w:r>
        <w:t xml:space="preserve"> </w:t>
      </w:r>
      <w:r>
        <w:t xml:space="preserve">	</w:t>
      </w:r>
      <w:r>
        <w:t xml:space="preserve">Safieh, M., Korczyn, A. D. &amp; Michaelson, D. M.</w:t>
      </w:r>
      <w:r>
        <w:t xml:space="preserve"> </w:t>
      </w:r>
      <w:r>
        <w:t xml:space="preserve">ApoE4</w:t>
      </w:r>
      <w:r>
        <w:t xml:space="preserve">: An emerging therapeutic target for</w:t>
      </w:r>
      <w:r>
        <w:t xml:space="preserve"> </w:t>
      </w:r>
      <w:r>
        <w:t xml:space="preserve">Alzheimer</w:t>
      </w:r>
      <w:r>
        <w:t xml:space="preserve">’s disease.</w:t>
      </w:r>
      <w:r>
        <w:t xml:space="preserve"> </w:t>
      </w:r>
      <w:r>
        <w:rPr>
          <w:iCs/>
          <w:i/>
        </w:rPr>
        <w:t xml:space="preserve">BMC Medicine</w:t>
      </w:r>
      <w:r>
        <w:t xml:space="preserve"> </w:t>
      </w:r>
      <w:r>
        <w:rPr>
          <w:bCs/>
          <w:b/>
        </w:rPr>
        <w:t xml:space="preserve">17</w:t>
      </w:r>
      <w:r>
        <w:t xml:space="preserve">, 64 (2019).</w:t>
      </w:r>
    </w:p>
    <w:bookmarkEnd w:id="683"/>
    <w:bookmarkStart w:id="684" w:name="ref-nature2009"/>
    <w:p>
      <w:pPr>
        <w:pStyle w:val="Bibliography"/>
      </w:pPr>
      <w:r>
        <w:t xml:space="preserve">332.</w:t>
      </w:r>
      <w:r>
        <w:t xml:space="preserve"> </w:t>
      </w:r>
      <w:r>
        <w:t xml:space="preserve">	</w:t>
      </w:r>
      <w:r>
        <w:t xml:space="preserve">Credit where credit is due.</w:t>
      </w:r>
      <w:r>
        <w:t xml:space="preserve"> </w:t>
      </w:r>
      <w:r>
        <w:rPr>
          <w:iCs/>
          <w:i/>
        </w:rPr>
        <w:t xml:space="preserve">Nature</w:t>
      </w:r>
      <w:r>
        <w:t xml:space="preserve"> </w:t>
      </w:r>
      <w:r>
        <w:rPr>
          <w:bCs/>
          <w:b/>
        </w:rPr>
        <w:t xml:space="preserve">462</w:t>
      </w:r>
      <w:r>
        <w:t xml:space="preserve">, 825–825 (2009).</w:t>
      </w:r>
    </w:p>
    <w:bookmarkEnd w:id="684"/>
    <w:bookmarkStart w:id="685" w:name="ref-hill1965"/>
    <w:p>
      <w:pPr>
        <w:pStyle w:val="Bibliography"/>
      </w:pPr>
      <w:r>
        <w:t xml:space="preserve">333.</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85"/>
    <w:bookmarkStart w:id="686" w:name="ref-dubroff2018"/>
    <w:p>
      <w:pPr>
        <w:pStyle w:val="Bibliography"/>
      </w:pPr>
      <w:r>
        <w:t xml:space="preserve">334.</w:t>
      </w:r>
      <w:r>
        <w:t xml:space="preserve"> </w:t>
      </w:r>
      <w:r>
        <w:t xml:space="preserve">	</w:t>
      </w:r>
      <w:r>
        <w:t xml:space="preserve">DuBroff, R. Confirmation bias, conflicts of interest and cholesterol guidance: Can we trust expert opinions?</w:t>
      </w:r>
      <w:r>
        <w:t xml:space="preserve"> </w:t>
      </w:r>
      <w:r>
        <w:rPr>
          <w:iCs/>
          <w:i/>
        </w:rPr>
        <w:t xml:space="preserve">QJM: An International Journal of Medicine</w:t>
      </w:r>
      <w:r>
        <w:t xml:space="preserve"> </w:t>
      </w:r>
      <w:r>
        <w:rPr>
          <w:bCs/>
          <w:b/>
        </w:rPr>
        <w:t xml:space="preserve">111</w:t>
      </w:r>
      <w:r>
        <w:t xml:space="preserve">, 687–689 (2018).</w:t>
      </w:r>
    </w:p>
    <w:bookmarkEnd w:id="686"/>
    <w:bookmarkStart w:id="687" w:name="ref-ference2014"/>
    <w:p>
      <w:pPr>
        <w:pStyle w:val="Bibliography"/>
      </w:pPr>
      <w:r>
        <w:t xml:space="preserve">335.</w:t>
      </w:r>
      <w:r>
        <w:t xml:space="preserve"> </w:t>
      </w:r>
      <w:r>
        <w:t xml:space="preserve">	</w:t>
      </w:r>
      <w:r>
        <w:t xml:space="preserve">Ference, B. A.</w:t>
      </w:r>
      <w:r>
        <w:t xml:space="preserve"> </w:t>
      </w:r>
      <w:r>
        <w:rPr>
          <w:iCs/>
          <w:i/>
        </w:rPr>
        <w:t xml:space="preserve">et al.</w:t>
      </w:r>
      <w:r>
        <w:t xml:space="preserve"> Clinical effect of naturally random allocation to lower systolic blood pressure beginning before the development of hypertension.</w:t>
      </w:r>
      <w:r>
        <w:t xml:space="preserve"> </w:t>
      </w:r>
      <w:r>
        <w:rPr>
          <w:iCs/>
          <w:i/>
        </w:rPr>
        <w:t xml:space="preserve">Hypertension (Dallas, Tex.: 1979)</w:t>
      </w:r>
      <w:r>
        <w:t xml:space="preserve"> </w:t>
      </w:r>
      <w:r>
        <w:rPr>
          <w:bCs/>
          <w:b/>
        </w:rPr>
        <w:t xml:space="preserve">63</w:t>
      </w:r>
      <w:r>
        <w:t xml:space="preserve">, 1182–1188 (2014).</w:t>
      </w:r>
    </w:p>
    <w:bookmarkEnd w:id="687"/>
    <w:bookmarkStart w:id="688" w:name="ref-turner2009"/>
    <w:p>
      <w:pPr>
        <w:pStyle w:val="Bibliography"/>
      </w:pPr>
      <w:r>
        <w:t xml:space="preserve">336.</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88"/>
    <w:bookmarkStart w:id="689" w:name="ref-guyatt2011"/>
    <w:p>
      <w:pPr>
        <w:pStyle w:val="Bibliography"/>
      </w:pPr>
      <w:r>
        <w:t xml:space="preserve">337.</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 - indirectness.</w:t>
      </w:r>
      <w:r>
        <w:t xml:space="preserve"> </w:t>
      </w:r>
      <w:r>
        <w:rPr>
          <w:iCs/>
          <w:i/>
        </w:rPr>
        <w:t xml:space="preserve">Journal of Clinical Epidemiology</w:t>
      </w:r>
      <w:r>
        <w:t xml:space="preserve"> </w:t>
      </w:r>
      <w:r>
        <w:rPr>
          <w:bCs/>
          <w:b/>
        </w:rPr>
        <w:t xml:space="preserve">64</w:t>
      </w:r>
      <w:r>
        <w:t xml:space="preserve">, 1311–1316 (2011).</w:t>
      </w:r>
    </w:p>
    <w:bookmarkEnd w:id="689"/>
    <w:bookmarkStart w:id="690" w:name="ref-thompson2011"/>
    <w:p>
      <w:pPr>
        <w:pStyle w:val="Bibliography"/>
      </w:pPr>
      <w:r>
        <w:t xml:space="preserve">338.</w:t>
      </w:r>
      <w:r>
        <w:t xml:space="preserve"> </w:t>
      </w:r>
      <w:r>
        <w:t xml:space="preserve">	</w:t>
      </w:r>
      <w:r>
        <w:t xml:space="preserve">Thompson, S.</w:t>
      </w:r>
      <w:r>
        <w:t xml:space="preserve"> </w:t>
      </w:r>
      <w:r>
        <w:rPr>
          <w:iCs/>
          <w:i/>
        </w:rPr>
        <w:t xml:space="preserve">et al.</w:t>
      </w:r>
      <w:r>
        <w:t xml:space="preserve"> A proposed method of bias adjustment for meta-analyses of published observational studies.</w:t>
      </w:r>
      <w:r>
        <w:t xml:space="preserve"> </w:t>
      </w:r>
      <w:r>
        <w:rPr>
          <w:iCs/>
          <w:i/>
        </w:rPr>
        <w:t xml:space="preserve">International Journal of Epidemiology</w:t>
      </w:r>
      <w:r>
        <w:t xml:space="preserve"> </w:t>
      </w:r>
      <w:r>
        <w:rPr>
          <w:bCs/>
          <w:b/>
        </w:rPr>
        <w:t xml:space="preserve">40</w:t>
      </w:r>
      <w:r>
        <w:t xml:space="preserve">, 765–777 (2011).</w:t>
      </w:r>
    </w:p>
    <w:bookmarkEnd w:id="690"/>
    <w:bookmarkStart w:id="691" w:name="ref-higgins2003"/>
    <w:p>
      <w:pPr>
        <w:pStyle w:val="Bibliography"/>
      </w:pPr>
      <w:r>
        <w:t xml:space="preserve">339.</w:t>
      </w:r>
      <w:r>
        <w:t xml:space="preserve"> </w:t>
      </w:r>
      <w:r>
        <w:t xml:space="preserve">	</w:t>
      </w:r>
      <w:r>
        <w:t xml:space="preserve">Higgins, J. P. T., Thompson, S. G., Deeks, J. J. &amp; Altman, D. G. Measuring inconsistency in meta-analyses.</w:t>
      </w:r>
      <w:r>
        <w:t xml:space="preserve"> </w:t>
      </w:r>
      <w:r>
        <w:rPr>
          <w:iCs/>
          <w:i/>
        </w:rPr>
        <w:t xml:space="preserve">BMJ : British Medical Journal</w:t>
      </w:r>
      <w:r>
        <w:t xml:space="preserve"> </w:t>
      </w:r>
      <w:r>
        <w:rPr>
          <w:bCs/>
          <w:b/>
        </w:rPr>
        <w:t xml:space="preserve">327</w:t>
      </w:r>
      <w:r>
        <w:t xml:space="preserve">, 557–560 (2003).</w:t>
      </w:r>
    </w:p>
    <w:bookmarkEnd w:id="691"/>
    <w:bookmarkStart w:id="692" w:name="ref-higgins2008"/>
    <w:p>
      <w:pPr>
        <w:pStyle w:val="Bibliography"/>
      </w:pPr>
      <w:r>
        <w:t xml:space="preserve">340.</w:t>
      </w:r>
      <w:r>
        <w:t xml:space="preserve"> </w:t>
      </w:r>
      <w:r>
        <w:t xml:space="preserve">	</w:t>
      </w:r>
      <w:r>
        <w:t xml:space="preserve">Higgins, J. P. T. Commentary: Heterogeneity in meta-analysis should be expected and appropriately quantified.</w:t>
      </w:r>
      <w:r>
        <w:t xml:space="preserve"> </w:t>
      </w:r>
      <w:r>
        <w:rPr>
          <w:iCs/>
          <w:i/>
        </w:rPr>
        <w:t xml:space="preserve">International Journal of Epidemiology</w:t>
      </w:r>
      <w:r>
        <w:t xml:space="preserve"> </w:t>
      </w:r>
      <w:r>
        <w:rPr>
          <w:bCs/>
          <w:b/>
        </w:rPr>
        <w:t xml:space="preserve">37</w:t>
      </w:r>
      <w:r>
        <w:t xml:space="preserve">, 1158–1160 (2008).</w:t>
      </w:r>
    </w:p>
    <w:bookmarkEnd w:id="692"/>
    <w:bookmarkStart w:id="693" w:name="ref-amer2021"/>
    <w:p>
      <w:pPr>
        <w:pStyle w:val="Bibliography"/>
      </w:pPr>
      <w:r>
        <w:t xml:space="preserve">341.</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93"/>
    <w:bookmarkStart w:id="694" w:name="ref-page2016"/>
    <w:p>
      <w:pPr>
        <w:pStyle w:val="Bibliography"/>
      </w:pPr>
      <w:r>
        <w:t xml:space="preserve">342.</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94"/>
    <w:bookmarkStart w:id="695" w:name="ref-iwagami2021"/>
    <w:p>
      <w:pPr>
        <w:pStyle w:val="Bibliography"/>
      </w:pPr>
      <w:r>
        <w:t xml:space="preserve">343.</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695"/>
    <w:bookmarkStart w:id="696" w:name="ref-savovic2018"/>
    <w:p>
      <w:pPr>
        <w:pStyle w:val="Bibliography"/>
      </w:pPr>
      <w:r>
        <w:t xml:space="preserve">344.</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696"/>
    <w:bookmarkStart w:id="697" w:name="ref-hartling2011"/>
    <w:p>
      <w:pPr>
        <w:pStyle w:val="Bibliography"/>
      </w:pPr>
      <w:r>
        <w:t xml:space="preserve">345.</w:t>
      </w:r>
      <w:r>
        <w:t xml:space="preserve"> </w:t>
      </w:r>
      <w:r>
        <w:t xml:space="preserve">	</w:t>
      </w:r>
      <w:r>
        <w:t xml:space="preserve">Hartling, L.</w:t>
      </w:r>
      <w:r>
        <w:t xml:space="preserve"> </w:t>
      </w:r>
      <w:r>
        <w:rPr>
          <w:iCs/>
          <w:i/>
        </w:rPr>
        <w:t xml:space="preserve">et al.</w:t>
      </w:r>
      <w:r>
        <w:t xml:space="preserve"> Applying the</w:t>
      </w:r>
      <w:r>
        <w:t xml:space="preserve"> </w:t>
      </w:r>
      <w:r>
        <w:t xml:space="preserve">Risk</w:t>
      </w:r>
      <w:r>
        <w:t xml:space="preserve"> </w:t>
      </w:r>
      <w:r>
        <w:t xml:space="preserve">of</w:t>
      </w:r>
      <w:r>
        <w:t xml:space="preserve"> </w:t>
      </w:r>
      <w:r>
        <w:t xml:space="preserve">Bias Tool</w:t>
      </w:r>
      <w:r>
        <w:t xml:space="preserve"> </w:t>
      </w:r>
      <w:r>
        <w:t xml:space="preserve">in a</w:t>
      </w:r>
      <w:r>
        <w:t xml:space="preserve"> </w:t>
      </w:r>
      <w:r>
        <w:t xml:space="preserve">Systematic Review</w:t>
      </w:r>
      <w:r>
        <w:t xml:space="preserve"> </w:t>
      </w:r>
      <w:r>
        <w:t xml:space="preserve">of</w:t>
      </w:r>
      <w:r>
        <w:t xml:space="preserve"> </w:t>
      </w:r>
      <w:r>
        <w:t xml:space="preserve">Combination Long</w:t>
      </w:r>
      <w:r>
        <w:t xml:space="preserve">-</w:t>
      </w:r>
      <w:r>
        <w:t xml:space="preserve">Acting Beta</w:t>
      </w:r>
      <w:r>
        <w:t xml:space="preserve">-</w:t>
      </w:r>
      <w:r>
        <w:t xml:space="preserve">Agonists</w:t>
      </w:r>
      <w:r>
        <w:t xml:space="preserve"> </w:t>
      </w:r>
      <w:r>
        <w:t xml:space="preserve">and</w:t>
      </w:r>
      <w:r>
        <w:t xml:space="preserve"> </w:t>
      </w:r>
      <w:r>
        <w:t xml:space="preserve">Inhaled Corticosteroids</w:t>
      </w:r>
      <w:r>
        <w:t xml:space="preserve"> </w:t>
      </w:r>
      <w:r>
        <w:t xml:space="preserve">for</w:t>
      </w:r>
      <w:r>
        <w:t xml:space="preserve"> </w:t>
      </w:r>
      <w:r>
        <w:t xml:space="preserve">Persistent Asthma</w:t>
      </w:r>
      <w:r>
        <w:t xml:space="preserve">.</w:t>
      </w:r>
      <w:r>
        <w:t xml:space="preserve"> </w:t>
      </w:r>
      <w:r>
        <w:rPr>
          <w:iCs/>
          <w:i/>
        </w:rPr>
        <w:t xml:space="preserve">PLOS ONE</w:t>
      </w:r>
      <w:r>
        <w:t xml:space="preserve"> </w:t>
      </w:r>
      <w:r>
        <w:rPr>
          <w:bCs/>
          <w:b/>
        </w:rPr>
        <w:t xml:space="preserve">6</w:t>
      </w:r>
      <w:r>
        <w:t xml:space="preserve">, e17242 (2011).</w:t>
      </w:r>
    </w:p>
    <w:bookmarkEnd w:id="697"/>
    <w:bookmarkStart w:id="698" w:name="ref-minozzi2019"/>
    <w:p>
      <w:pPr>
        <w:pStyle w:val="Bibliography"/>
      </w:pPr>
      <w:r>
        <w:t xml:space="preserve">346.</w:t>
      </w:r>
      <w:r>
        <w:t xml:space="preserve"> </w:t>
      </w:r>
      <w:r>
        <w:t xml:space="preserve">	</w:t>
      </w:r>
      <w:r>
        <w:t xml:space="preserve">Minozzi, S.</w:t>
      </w:r>
      <w:r>
        <w:t xml:space="preserve"> </w:t>
      </w:r>
      <w:r>
        <w:rPr>
          <w:iCs/>
          <w:i/>
        </w:rPr>
        <w:t xml:space="preserve">et al.</w:t>
      </w:r>
      <w:r>
        <w:t xml:space="preserve"> Risk of bias in nonrandomized studies of interventions showed low inter-rater reliability and challenges in its application.</w:t>
      </w:r>
      <w:r>
        <w:t xml:space="preserve"> </w:t>
      </w:r>
      <w:r>
        <w:rPr>
          <w:iCs/>
          <w:i/>
        </w:rPr>
        <w:t xml:space="preserve">Journal of Clinical Epidemiology</w:t>
      </w:r>
      <w:r>
        <w:t xml:space="preserve"> </w:t>
      </w:r>
      <w:r>
        <w:rPr>
          <w:bCs/>
          <w:b/>
        </w:rPr>
        <w:t xml:space="preserve">112</w:t>
      </w:r>
      <w:r>
        <w:t xml:space="preserve">, 28–35 (2019).</w:t>
      </w:r>
    </w:p>
    <w:bookmarkEnd w:id="698"/>
    <w:bookmarkStart w:id="699" w:name="ref-minozzi2020"/>
    <w:p>
      <w:pPr>
        <w:pStyle w:val="Bibliography"/>
      </w:pPr>
      <w:r>
        <w:t xml:space="preserve">347.</w:t>
      </w:r>
      <w:r>
        <w:t xml:space="preserve"> </w:t>
      </w:r>
      <w:r>
        <w:t xml:space="preserve">	</w:t>
      </w:r>
      <w:r>
        <w:t xml:space="preserve">Minozzi, S., Cinquini, M., Gianola, S., Gonzalez-Lorenzo, M. &amp; Banzi, R. The revised</w:t>
      </w:r>
      <w:r>
        <w:t xml:space="preserve"> </w:t>
      </w:r>
      <w:r>
        <w:t xml:space="preserve">Cochrane</w:t>
      </w:r>
      <w:r>
        <w:t xml:space="preserve"> </w:t>
      </w:r>
      <w:r>
        <w:t xml:space="preserve">risk of bias tool for randomized trials (</w:t>
      </w:r>
      <w:r>
        <w:t xml:space="preserve">RoB</w:t>
      </w:r>
      <w:r>
        <w:t xml:space="preserve"> </w:t>
      </w:r>
      <w:r>
        <w:t xml:space="preserve">2) showed low interrater reliability and challenges in its application.</w:t>
      </w:r>
      <w:r>
        <w:t xml:space="preserve"> </w:t>
      </w:r>
      <w:r>
        <w:rPr>
          <w:iCs/>
          <w:i/>
        </w:rPr>
        <w:t xml:space="preserve">Journal of Clinical Epidemiology</w:t>
      </w:r>
      <w:r>
        <w:t xml:space="preserve"> </w:t>
      </w:r>
      <w:r>
        <w:rPr>
          <w:bCs/>
          <w:b/>
        </w:rPr>
        <w:t xml:space="preserve">126</w:t>
      </w:r>
      <w:r>
        <w:t xml:space="preserve">, 37–44 (2020).</w:t>
      </w:r>
    </w:p>
    <w:bookmarkEnd w:id="699"/>
    <w:bookmarkStart w:id="700" w:name="ref-wilks2011"/>
    <w:p>
      <w:pPr>
        <w:pStyle w:val="Bibliography"/>
      </w:pPr>
      <w:r>
        <w:t xml:space="preserve">348.</w:t>
      </w:r>
      <w:r>
        <w:t xml:space="preserve"> </w:t>
      </w:r>
      <w:r>
        <w:t xml:space="preserve">	</w:t>
      </w:r>
      <w:r>
        <w:t xml:space="preserve">Wilks, D. C.</w:t>
      </w:r>
      <w:r>
        <w:t xml:space="preserve"> </w:t>
      </w:r>
      <w:r>
        <w:rPr>
          <w:iCs/>
          <w:i/>
        </w:rPr>
        <w:t xml:space="preserve">et al.</w:t>
      </w:r>
      <w:r>
        <w:t xml:space="preserve"> Objectively</w:t>
      </w:r>
      <w:r>
        <w:t xml:space="preserve"> </w:t>
      </w:r>
      <w:r>
        <w:t xml:space="preserve">Measured Physical Activity</w:t>
      </w:r>
      <w:r>
        <w:t xml:space="preserve"> </w:t>
      </w:r>
      <w:r>
        <w:t xml:space="preserve">and</w:t>
      </w:r>
      <w:r>
        <w:t xml:space="preserve"> </w:t>
      </w:r>
      <w:r>
        <w:t xml:space="preserve">Fat Mass</w:t>
      </w:r>
      <w:r>
        <w:t xml:space="preserve"> </w:t>
      </w:r>
      <w:r>
        <w:t xml:space="preserve">in</w:t>
      </w:r>
      <w:r>
        <w:t xml:space="preserve"> </w:t>
      </w:r>
      <w:r>
        <w:t xml:space="preserve">Children</w:t>
      </w:r>
      <w:r>
        <w:t xml:space="preserve">: A</w:t>
      </w:r>
      <w:r>
        <w:t xml:space="preserve"> </w:t>
      </w:r>
      <w:r>
        <w:t xml:space="preserve">Bias</w:t>
      </w:r>
      <w:r>
        <w:t xml:space="preserve">-</w:t>
      </w:r>
      <w:r>
        <w:t xml:space="preserve">Adjusted Meta</w:t>
      </w:r>
      <w:r>
        <w:t xml:space="preserve">-</w:t>
      </w:r>
      <w:r>
        <w:t xml:space="preserve">Analysis</w:t>
      </w:r>
      <w:r>
        <w:t xml:space="preserve"> </w:t>
      </w:r>
      <w:r>
        <w:t xml:space="preserve">of</w:t>
      </w:r>
      <w:r>
        <w:t xml:space="preserve"> </w:t>
      </w:r>
      <w:r>
        <w:t xml:space="preserve">Prospective Studies</w:t>
      </w:r>
      <w:r>
        <w:t xml:space="preserve">.</w:t>
      </w:r>
      <w:r>
        <w:t xml:space="preserve"> </w:t>
      </w:r>
      <w:r>
        <w:rPr>
          <w:iCs/>
          <w:i/>
        </w:rPr>
        <w:t xml:space="preserve">PLOS ONE</w:t>
      </w:r>
      <w:r>
        <w:t xml:space="preserve"> </w:t>
      </w:r>
      <w:r>
        <w:rPr>
          <w:bCs/>
          <w:b/>
        </w:rPr>
        <w:t xml:space="preserve">6</w:t>
      </w:r>
      <w:r>
        <w:t xml:space="preserve">, e17205 (2011).</w:t>
      </w:r>
    </w:p>
    <w:bookmarkEnd w:id="700"/>
    <w:bookmarkStart w:id="701" w:name="ref-whiting2011"/>
    <w:p>
      <w:pPr>
        <w:pStyle w:val="Bibliography"/>
      </w:pPr>
      <w:r>
        <w:t xml:space="preserve">349.</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701"/>
    <w:bookmarkStart w:id="702" w:name="ref-moons2019"/>
    <w:p>
      <w:pPr>
        <w:pStyle w:val="Bibliography"/>
      </w:pPr>
      <w:r>
        <w:t xml:space="preserve">350.</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702"/>
    <w:bookmarkStart w:id="703" w:name="ref-gong2021"/>
    <w:p>
      <w:pPr>
        <w:pStyle w:val="Bibliography"/>
      </w:pPr>
      <w:r>
        <w:t xml:space="preserve">351.</w:t>
      </w:r>
      <w:r>
        <w:t xml:space="preserve"> </w:t>
      </w:r>
      <w:r>
        <w:t xml:space="preserve">	</w:t>
      </w:r>
      <w:r>
        <w:t xml:space="preserve">Gong, J., Harris, K., Peters, S. A. E. &amp; Woodward, M. Sex differences in the association between major cardiovascular risk factors in midlife and dementia: A cohort study using data from the</w:t>
      </w:r>
      <w:r>
        <w:t xml:space="preserve"> </w:t>
      </w:r>
      <w:r>
        <w:t xml:space="preserve">UK Biobank</w:t>
      </w:r>
      <w:r>
        <w:t xml:space="preserve">.</w:t>
      </w:r>
      <w:r>
        <w:t xml:space="preserve"> </w:t>
      </w:r>
      <w:r>
        <w:rPr>
          <w:iCs/>
          <w:i/>
        </w:rPr>
        <w:t xml:space="preserve">BMC Medicine</w:t>
      </w:r>
      <w:r>
        <w:t xml:space="preserve"> </w:t>
      </w:r>
      <w:r>
        <w:rPr>
          <w:bCs/>
          <w:b/>
        </w:rPr>
        <w:t xml:space="preserve">19</w:t>
      </w:r>
      <w:r>
        <w:t xml:space="preserve">, 110 (2021).</w:t>
      </w:r>
    </w:p>
    <w:bookmarkEnd w:id="703"/>
    <w:bookmarkStart w:id="704" w:name="ref-sudlow2015"/>
    <w:p>
      <w:pPr>
        <w:pStyle w:val="Bibliography"/>
      </w:pPr>
      <w:r>
        <w:t xml:space="preserve">352.</w:t>
      </w:r>
      <w:r>
        <w:t xml:space="preserve"> </w:t>
      </w:r>
      <w:r>
        <w:t xml:space="preserve">	</w:t>
      </w:r>
      <w:r>
        <w:t xml:space="preserve">Sudlow, C.</w:t>
      </w:r>
      <w:r>
        <w:t xml:space="preserve"> </w:t>
      </w:r>
      <w:r>
        <w:rPr>
          <w:iCs/>
          <w:i/>
        </w:rPr>
        <w:t xml:space="preserve">et al.</w:t>
      </w:r>
      <w:r>
        <w:t xml:space="preserve"> </w:t>
      </w:r>
      <w:r>
        <w:t xml:space="preserve">UK Biobank</w:t>
      </w:r>
      <w:r>
        <w:t xml:space="preserve">: An</w:t>
      </w:r>
      <w:r>
        <w:t xml:space="preserve"> </w:t>
      </w:r>
      <w:r>
        <w:t xml:space="preserve">Open Access Resource</w:t>
      </w:r>
      <w:r>
        <w:t xml:space="preserve"> </w:t>
      </w:r>
      <w:r>
        <w:t xml:space="preserve">for</w:t>
      </w:r>
      <w:r>
        <w:t xml:space="preserve"> </w:t>
      </w:r>
      <w:r>
        <w:t xml:space="preserve">Identifying</w:t>
      </w:r>
      <w:r>
        <w:t xml:space="preserve"> </w:t>
      </w:r>
      <w:r>
        <w:t xml:space="preserve">the</w:t>
      </w:r>
      <w:r>
        <w:t xml:space="preserve"> </w:t>
      </w:r>
      <w:r>
        <w:t xml:space="preserve">Causes</w:t>
      </w:r>
      <w:r>
        <w:t xml:space="preserve"> </w:t>
      </w:r>
      <w:r>
        <w:t xml:space="preserve">of a</w:t>
      </w:r>
      <w:r>
        <w:t xml:space="preserve"> </w:t>
      </w:r>
      <w:r>
        <w:t xml:space="preserve">Wide Range</w:t>
      </w:r>
      <w:r>
        <w:t xml:space="preserve"> </w:t>
      </w:r>
      <w:r>
        <w:t xml:space="preserve">of</w:t>
      </w:r>
      <w:r>
        <w:t xml:space="preserve"> </w:t>
      </w:r>
      <w:r>
        <w:t xml:space="preserve">Complex Diseases</w:t>
      </w:r>
      <w:r>
        <w:t xml:space="preserve"> </w:t>
      </w:r>
      <w:r>
        <w:t xml:space="preserve">of</w:t>
      </w:r>
      <w:r>
        <w:t xml:space="preserve"> </w:t>
      </w:r>
      <w:r>
        <w:t xml:space="preserve">Middle</w:t>
      </w:r>
      <w:r>
        <w:t xml:space="preserve"> </w:t>
      </w:r>
      <w:r>
        <w:t xml:space="preserve">and</w:t>
      </w:r>
      <w:r>
        <w:t xml:space="preserve"> </w:t>
      </w:r>
      <w:r>
        <w:t xml:space="preserve">Old Age</w:t>
      </w:r>
      <w:r>
        <w:t xml:space="preserve">.</w:t>
      </w:r>
      <w:r>
        <w:t xml:space="preserve"> </w:t>
      </w:r>
      <w:r>
        <w:rPr>
          <w:iCs/>
          <w:i/>
        </w:rPr>
        <w:t xml:space="preserve">PLOS Medicine</w:t>
      </w:r>
      <w:r>
        <w:t xml:space="preserve"> </w:t>
      </w:r>
      <w:r>
        <w:rPr>
          <w:bCs/>
          <w:b/>
        </w:rPr>
        <w:t xml:space="preserve">12</w:t>
      </w:r>
      <w:r>
        <w:t xml:space="preserve">, e1001779 (2015).</w:t>
      </w:r>
    </w:p>
    <w:bookmarkEnd w:id="704"/>
    <w:bookmarkStart w:id="705" w:name="ref-perez-gaxiola2021"/>
    <w:p>
      <w:pPr>
        <w:pStyle w:val="Bibliography"/>
      </w:pPr>
      <w:r>
        <w:t xml:space="preserve">353.</w:t>
      </w:r>
      <w:r>
        <w:t xml:space="preserve"> </w:t>
      </w:r>
      <w:r>
        <w:t xml:space="preserve">	</w:t>
      </w:r>
      <w:r>
        <w:t xml:space="preserve">Pérez-Gaxiola, G., Verdugo-Paiva, F., Rada, G. &amp; Flórez, I. D. Assessment of</w:t>
      </w:r>
      <w:r>
        <w:t xml:space="preserve"> </w:t>
      </w:r>
      <w:r>
        <w:t xml:space="preserve">Duplicate Evidence</w:t>
      </w:r>
      <w:r>
        <w:t xml:space="preserve"> </w:t>
      </w:r>
      <w:r>
        <w:t xml:space="preserve">in</w:t>
      </w:r>
      <w:r>
        <w:t xml:space="preserve"> </w:t>
      </w:r>
      <w:r>
        <w:t xml:space="preserve">Systematic Reviews</w:t>
      </w:r>
      <w:r>
        <w:t xml:space="preserve"> </w:t>
      </w:r>
      <w:r>
        <w:t xml:space="preserve">of</w:t>
      </w:r>
      <w:r>
        <w:t xml:space="preserve"> </w:t>
      </w:r>
      <w:r>
        <w:t xml:space="preserve">Imaging Findings</w:t>
      </w:r>
      <w:r>
        <w:t xml:space="preserve"> </w:t>
      </w:r>
      <w:r>
        <w:t xml:space="preserve">of</w:t>
      </w:r>
      <w:r>
        <w:t xml:space="preserve"> </w:t>
      </w:r>
      <w:r>
        <w:t xml:space="preserve">Children With COVID</w:t>
      </w:r>
      <w:r>
        <w:t xml:space="preserve">-19.</w:t>
      </w:r>
      <w:r>
        <w:t xml:space="preserve"> </w:t>
      </w:r>
      <w:r>
        <w:rPr>
          <w:iCs/>
          <w:i/>
        </w:rPr>
        <w:t xml:space="preserve">JAMA Network Open</w:t>
      </w:r>
      <w:r>
        <w:t xml:space="preserve"> </w:t>
      </w:r>
      <w:r>
        <w:rPr>
          <w:bCs/>
          <w:b/>
        </w:rPr>
        <w:t xml:space="preserve">4</w:t>
      </w:r>
      <w:r>
        <w:t xml:space="preserve">, e2032690 (2021).</w:t>
      </w:r>
    </w:p>
    <w:bookmarkEnd w:id="705"/>
    <w:bookmarkStart w:id="706" w:name="ref-group2011"/>
    <w:p>
      <w:pPr>
        <w:pStyle w:val="Bibliography"/>
      </w:pPr>
      <w:r>
        <w:t xml:space="preserve">354.</w:t>
      </w:r>
      <w:r>
        <w:t xml:space="preserve"> </w:t>
      </w:r>
      <w:r>
        <w:t xml:space="preserve">	</w:t>
      </w:r>
      <w:r>
        <w:t xml:space="preserve">Group, H. P. S. C. Effects on 11-year mortality and morbidity of lowering</w:t>
      </w:r>
      <w:r>
        <w:t xml:space="preserve"> </w:t>
      </w:r>
      <w:r>
        <w:t xml:space="preserve">LDL</w:t>
      </w:r>
      <w:r>
        <w:t xml:space="preserve"> </w:t>
      </w:r>
      <w:r>
        <w:t xml:space="preserve">cholesterol with simvastatin for about 5 years in 20 536 high-risk individuals: A randomised controlled trial.</w:t>
      </w:r>
      <w:r>
        <w:t xml:space="preserve"> </w:t>
      </w:r>
      <w:r>
        <w:rPr>
          <w:iCs/>
          <w:i/>
        </w:rPr>
        <w:t xml:space="preserve">The Lancet</w:t>
      </w:r>
      <w:r>
        <w:t xml:space="preserve"> </w:t>
      </w:r>
      <w:r>
        <w:rPr>
          <w:bCs/>
          <w:b/>
        </w:rPr>
        <w:t xml:space="preserve">378</w:t>
      </w:r>
      <w:r>
        <w:t xml:space="preserve">, 2013–2020 (2011).</w:t>
      </w:r>
    </w:p>
    <w:bookmarkEnd w:id="706"/>
    <w:bookmarkStart w:id="707" w:name="ref-ford2016"/>
    <w:p>
      <w:pPr>
        <w:pStyle w:val="Bibliography"/>
      </w:pPr>
      <w:r>
        <w:t xml:space="preserve">355.</w:t>
      </w:r>
      <w:r>
        <w:t xml:space="preserve"> </w:t>
      </w:r>
      <w:r>
        <w:t xml:space="preserve">	</w:t>
      </w:r>
      <w:r>
        <w:t xml:space="preserve">Ford, I., Murray, H., McCowan, C. &amp; Packard, C. J. Long-</w:t>
      </w:r>
      <w:r>
        <w:t xml:space="preserve">Term Safety</w:t>
      </w:r>
      <w:r>
        <w:t xml:space="preserve"> </w:t>
      </w:r>
      <w:r>
        <w:t xml:space="preserve">and</w:t>
      </w:r>
      <w:r>
        <w:t xml:space="preserve"> </w:t>
      </w:r>
      <w:r>
        <w:t xml:space="preserve">Efficacy</w:t>
      </w:r>
      <w:r>
        <w:t xml:space="preserve"> </w:t>
      </w:r>
      <w:r>
        <w:t xml:space="preserve">of</w:t>
      </w:r>
      <w:r>
        <w:t xml:space="preserve"> </w:t>
      </w:r>
      <w:r>
        <w:t xml:space="preserve">Lowering Low</w:t>
      </w:r>
      <w:r>
        <w:t xml:space="preserve">-</w:t>
      </w:r>
      <w:r>
        <w:t xml:space="preserve">Density Lipoprotein Cholesterol With Statin Therapy</w:t>
      </w:r>
      <w:r>
        <w:t xml:space="preserve">.</w:t>
      </w:r>
      <w:r>
        <w:t xml:space="preserve"> </w:t>
      </w:r>
      <w:r>
        <w:rPr>
          <w:iCs/>
          <w:i/>
        </w:rPr>
        <w:t xml:space="preserve">Circulation</w:t>
      </w:r>
      <w:r>
        <w:t xml:space="preserve"> </w:t>
      </w:r>
      <w:r>
        <w:rPr>
          <w:bCs/>
          <w:b/>
        </w:rPr>
        <w:t xml:space="preserve">133</w:t>
      </w:r>
      <w:r>
        <w:t xml:space="preserve">, 1073–1080 (2016).</w:t>
      </w:r>
    </w:p>
    <w:bookmarkEnd w:id="707"/>
    <w:bookmarkStart w:id="708" w:name="ref-llewellyn-bennett2018"/>
    <w:p>
      <w:pPr>
        <w:pStyle w:val="Bibliography"/>
      </w:pPr>
      <w:r>
        <w:t xml:space="preserve">356.</w:t>
      </w:r>
      <w:r>
        <w:t xml:space="preserve"> </w:t>
      </w:r>
      <w:r>
        <w:t xml:space="preserve">	</w:t>
      </w:r>
      <w:r>
        <w:t xml:space="preserve">Llewellyn-Bennett, R.</w:t>
      </w:r>
      <w:r>
        <w:t xml:space="preserve"> </w:t>
      </w:r>
      <w:r>
        <w:rPr>
          <w:iCs/>
          <w:i/>
        </w:rPr>
        <w:t xml:space="preserve">et al.</w:t>
      </w:r>
      <w:r>
        <w:t xml:space="preserve"> Post-trial follow-up methodology in large randomised controlled trials: A systematic review.</w:t>
      </w:r>
      <w:r>
        <w:t xml:space="preserve"> </w:t>
      </w:r>
      <w:r>
        <w:rPr>
          <w:iCs/>
          <w:i/>
        </w:rPr>
        <w:t xml:space="preserve">Trials</w:t>
      </w:r>
      <w:r>
        <w:t xml:space="preserve"> </w:t>
      </w:r>
      <w:r>
        <w:rPr>
          <w:bCs/>
          <w:b/>
        </w:rPr>
        <w:t xml:space="preserve">19</w:t>
      </w:r>
      <w:r>
        <w:t xml:space="preserve">, 298 (2018).</w:t>
      </w:r>
    </w:p>
    <w:bookmarkEnd w:id="708"/>
    <w:bookmarkStart w:id="709" w:name="ref-elliott2014"/>
    <w:p>
      <w:pPr>
        <w:pStyle w:val="Bibliography"/>
      </w:pPr>
      <w:r>
        <w:t xml:space="preserve">357.</w:t>
      </w:r>
      <w:r>
        <w:t xml:space="preserve"> </w:t>
      </w:r>
      <w:r>
        <w:t xml:space="preserve">	</w:t>
      </w:r>
      <w:r>
        <w:t xml:space="preserve">Elliott, J. H.</w:t>
      </w:r>
      <w:r>
        <w:t xml:space="preserve"> </w:t>
      </w:r>
      <w:r>
        <w:rPr>
          <w:iCs/>
          <w:i/>
        </w:rPr>
        <w:t xml:space="preserve">et al.</w:t>
      </w:r>
      <w:r>
        <w:t xml:space="preserve"> Living</w:t>
      </w:r>
      <w:r>
        <w:t xml:space="preserve"> </w:t>
      </w:r>
      <w:r>
        <w:t xml:space="preserve">Systematic Reviews</w:t>
      </w:r>
      <w:r>
        <w:t xml:space="preserve">: An</w:t>
      </w:r>
      <w:r>
        <w:t xml:space="preserve"> </w:t>
      </w:r>
      <w:r>
        <w:t xml:space="preserve">Emerging Opportunity</w:t>
      </w:r>
      <w:r>
        <w:t xml:space="preserve"> </w:t>
      </w:r>
      <w:r>
        <w:t xml:space="preserve">to</w:t>
      </w:r>
      <w:r>
        <w:t xml:space="preserve"> </w:t>
      </w:r>
      <w:r>
        <w:t xml:space="preserve">Narrow</w:t>
      </w:r>
      <w:r>
        <w:t xml:space="preserve"> </w:t>
      </w:r>
      <w:r>
        <w:t xml:space="preserve">the</w:t>
      </w:r>
      <w:r>
        <w:t xml:space="preserve"> </w:t>
      </w:r>
      <w:r>
        <w:t xml:space="preserve">Evidence</w:t>
      </w:r>
      <w:r>
        <w:t xml:space="preserve">-</w:t>
      </w:r>
      <w:r>
        <w:t xml:space="preserve">Practice Gap</w:t>
      </w:r>
      <w:r>
        <w:t xml:space="preserve">.</w:t>
      </w:r>
      <w:r>
        <w:t xml:space="preserve"> </w:t>
      </w:r>
      <w:r>
        <w:rPr>
          <w:iCs/>
          <w:i/>
        </w:rPr>
        <w:t xml:space="preserve">PLOS Medicine</w:t>
      </w:r>
      <w:r>
        <w:t xml:space="preserve"> </w:t>
      </w:r>
      <w:r>
        <w:rPr>
          <w:bCs/>
          <w:b/>
        </w:rPr>
        <w:t xml:space="preserve">11</w:t>
      </w:r>
      <w:r>
        <w:t xml:space="preserve">, e1001603 (2014).</w:t>
      </w:r>
    </w:p>
    <w:bookmarkEnd w:id="709"/>
    <w:bookmarkStart w:id="711" w:name="ref-sterne2013"/>
    <w:p>
      <w:pPr>
        <w:pStyle w:val="Bibliography"/>
      </w:pPr>
      <w:r>
        <w:t xml:space="preserve">358.</w:t>
      </w:r>
      <w:r>
        <w:t xml:space="preserve"> </w:t>
      </w:r>
      <w:r>
        <w:t xml:space="preserve">	</w:t>
      </w:r>
      <w:r>
        <w:t xml:space="preserve">Sterne, J. A. Why the</w:t>
      </w:r>
      <w:r>
        <w:t xml:space="preserve"> </w:t>
      </w:r>
      <w:r>
        <w:t xml:space="preserve">Cochrane Risk</w:t>
      </w:r>
      <w:r>
        <w:t xml:space="preserve"> </w:t>
      </w:r>
      <w:r>
        <w:t xml:space="preserve">of</w:t>
      </w:r>
      <w:r>
        <w:t xml:space="preserve"> </w:t>
      </w:r>
      <w:r>
        <w:t xml:space="preserve">Bias Tool Should</w:t>
      </w:r>
      <w:r>
        <w:t xml:space="preserve"> </w:t>
      </w:r>
      <w:r>
        <w:t xml:space="preserve">not</w:t>
      </w:r>
      <w:r>
        <w:t xml:space="preserve"> </w:t>
      </w:r>
      <w:r>
        <w:t xml:space="preserve">Include Funding Source</w:t>
      </w:r>
      <w:r>
        <w:t xml:space="preserve"> </w:t>
      </w:r>
      <w:r>
        <w:t xml:space="preserve">as a</w:t>
      </w:r>
      <w:r>
        <w:t xml:space="preserve"> </w:t>
      </w:r>
      <w:r>
        <w:t xml:space="preserve">Standard Item</w:t>
      </w:r>
      <w:r>
        <w:t xml:space="preserve">.</w:t>
      </w:r>
      <w:r>
        <w:t xml:space="preserve"> </w:t>
      </w:r>
      <w:r>
        <w:rPr>
          <w:iCs/>
          <w:i/>
        </w:rPr>
        <w:t xml:space="preserve">Cochrane Database of Systematic Reviews</w:t>
      </w:r>
      <w:r>
        <w:t xml:space="preserve"> </w:t>
      </w:r>
      <w:r>
        <w:t xml:space="preserve">(2013). doi:</w:t>
      </w:r>
      <w:hyperlink r:id="rId710">
        <w:r>
          <w:rPr>
            <w:rStyle w:val="Hyperlink"/>
          </w:rPr>
          <w:t xml:space="preserve">10.1002/14651858.ED000076</w:t>
        </w:r>
      </w:hyperlink>
    </w:p>
    <w:bookmarkEnd w:id="711"/>
    <w:bookmarkStart w:id="712" w:name="ref-R-base"/>
    <w:p>
      <w:pPr>
        <w:pStyle w:val="Bibliography"/>
      </w:pPr>
      <w:r>
        <w:t xml:space="preserve">359.</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712"/>
    <w:bookmarkStart w:id="713" w:name="ref-R-bookdown"/>
    <w:p>
      <w:pPr>
        <w:pStyle w:val="Bibliography"/>
      </w:pPr>
      <w:r>
        <w:t xml:space="preserve">360.</w:t>
      </w:r>
      <w:r>
        <w:t xml:space="preserve"> </w:t>
      </w:r>
      <w:r>
        <w:t xml:space="preserve">	</w:t>
      </w:r>
      <w:r>
        <w:t xml:space="preserve">Xie, Y.</w:t>
      </w:r>
      <w:r>
        <w:t xml:space="preserve"> </w:t>
      </w:r>
      <w:r>
        <w:rPr>
          <w:iCs/>
          <w:i/>
        </w:rPr>
        <w:t xml:space="preserve">Bookdown: Authoring books and technical documents with r markdown</w:t>
      </w:r>
      <w:r>
        <w:t xml:space="preserve">. (2021).</w:t>
      </w:r>
    </w:p>
    <w:bookmarkEnd w:id="713"/>
    <w:bookmarkStart w:id="714" w:name="ref-R-dagitty"/>
    <w:p>
      <w:pPr>
        <w:pStyle w:val="Bibliography"/>
      </w:pPr>
      <w:r>
        <w:t xml:space="preserve">361.</w:t>
      </w:r>
      <w:r>
        <w:t xml:space="preserve"> </w:t>
      </w:r>
      <w:r>
        <w:t xml:space="preserve">	</w:t>
      </w:r>
      <w:r>
        <w:t xml:space="preserve">Textor, J., der Zander, B. van &amp; Ankan, A.</w:t>
      </w:r>
      <w:r>
        <w:t xml:space="preserve"> </w:t>
      </w:r>
      <w:r>
        <w:rPr>
          <w:iCs/>
          <w:i/>
        </w:rPr>
        <w:t xml:space="preserve">Dagitty: Graphical analysis of structural causal models</w:t>
      </w:r>
      <w:r>
        <w:t xml:space="preserve">. (2021).</w:t>
      </w:r>
    </w:p>
    <w:bookmarkEnd w:id="714"/>
    <w:bookmarkStart w:id="715" w:name="ref-R-data.table"/>
    <w:p>
      <w:pPr>
        <w:pStyle w:val="Bibliography"/>
      </w:pPr>
      <w:r>
        <w:t xml:space="preserve">362.</w:t>
      </w:r>
      <w:r>
        <w:t xml:space="preserve"> </w:t>
      </w:r>
      <w:r>
        <w:t xml:space="preserve">	</w:t>
      </w:r>
      <w:r>
        <w:t xml:space="preserve">Dowle, M. &amp; Srinivasan, A.</w:t>
      </w:r>
      <w:r>
        <w:t xml:space="preserve"> </w:t>
      </w:r>
      <w:r>
        <w:rPr>
          <w:iCs/>
          <w:i/>
        </w:rPr>
        <w:t xml:space="preserve">Data.table: Extension of ‘data.frame‘</w:t>
      </w:r>
      <w:r>
        <w:t xml:space="preserve">. (2021).</w:t>
      </w:r>
    </w:p>
    <w:bookmarkEnd w:id="715"/>
    <w:bookmarkStart w:id="716" w:name="ref-R-DiagrammeR"/>
    <w:p>
      <w:pPr>
        <w:pStyle w:val="Bibliography"/>
      </w:pPr>
      <w:r>
        <w:t xml:space="preserve">363.</w:t>
      </w:r>
      <w:r>
        <w:t xml:space="preserve"> </w:t>
      </w:r>
      <w:r>
        <w:t xml:space="preserve">	</w:t>
      </w:r>
      <w:r>
        <w:t xml:space="preserve">Iannone, R.</w:t>
      </w:r>
      <w:r>
        <w:t xml:space="preserve"> </w:t>
      </w:r>
      <w:r>
        <w:rPr>
          <w:iCs/>
          <w:i/>
        </w:rPr>
        <w:t xml:space="preserve">DiagrammeR</w:t>
      </w:r>
      <w:r>
        <w:rPr>
          <w:iCs/>
          <w:i/>
        </w:rPr>
        <w:t xml:space="preserve">: Graph/</w:t>
      </w:r>
      <w:r>
        <w:rPr>
          <w:iCs/>
          <w:i/>
        </w:rPr>
        <w:t xml:space="preserve">Network</w:t>
      </w:r>
      <w:r>
        <w:rPr>
          <w:iCs/>
          <w:i/>
        </w:rPr>
        <w:t xml:space="preserve"> </w:t>
      </w:r>
      <w:r>
        <w:rPr>
          <w:iCs/>
          <w:i/>
        </w:rPr>
        <w:t xml:space="preserve">visualization</w:t>
      </w:r>
      <w:r>
        <w:t xml:space="preserve">. (2020).</w:t>
      </w:r>
    </w:p>
    <w:bookmarkEnd w:id="716"/>
    <w:bookmarkStart w:id="717" w:name="ref-R-dplyr"/>
    <w:p>
      <w:pPr>
        <w:pStyle w:val="Bibliography"/>
      </w:pPr>
      <w:r>
        <w:t xml:space="preserve">364.</w:t>
      </w:r>
      <w:r>
        <w:t xml:space="preserve"> </w:t>
      </w:r>
      <w:r>
        <w:t xml:space="preserve">	</w:t>
      </w:r>
      <w:r>
        <w:t xml:space="preserve">Wickham, H., François, R., Henry, L. &amp; Müller, K.</w:t>
      </w:r>
      <w:r>
        <w:t xml:space="preserve"> </w:t>
      </w:r>
      <w:r>
        <w:rPr>
          <w:iCs/>
          <w:i/>
        </w:rPr>
        <w:t xml:space="preserve">Dplyr: A grammar of data manipulation</w:t>
      </w:r>
      <w:r>
        <w:t xml:space="preserve">. (2021).</w:t>
      </w:r>
    </w:p>
    <w:bookmarkEnd w:id="717"/>
    <w:bookmarkStart w:id="718" w:name="ref-R-flextable"/>
    <w:p>
      <w:pPr>
        <w:pStyle w:val="Bibliography"/>
      </w:pPr>
      <w:r>
        <w:t xml:space="preserve">365.</w:t>
      </w:r>
      <w:r>
        <w:t xml:space="preserve"> </w:t>
      </w:r>
      <w:r>
        <w:t xml:space="preserve">	</w:t>
      </w:r>
      <w:r>
        <w:t xml:space="preserve">Gohel, D.</w:t>
      </w:r>
      <w:r>
        <w:t xml:space="preserve"> </w:t>
      </w:r>
      <w:r>
        <w:rPr>
          <w:iCs/>
          <w:i/>
        </w:rPr>
        <w:t xml:space="preserve">Flextable: Functions for tabular reporting</w:t>
      </w:r>
      <w:r>
        <w:t xml:space="preserve">. (2021).</w:t>
      </w:r>
    </w:p>
    <w:bookmarkEnd w:id="718"/>
    <w:bookmarkStart w:id="719" w:name="ref-R-ggdag"/>
    <w:p>
      <w:pPr>
        <w:pStyle w:val="Bibliography"/>
      </w:pPr>
      <w:r>
        <w:t xml:space="preserve">366.</w:t>
      </w:r>
      <w:r>
        <w:t xml:space="preserve"> </w:t>
      </w:r>
      <w:r>
        <w:t xml:space="preserve">	</w:t>
      </w:r>
      <w:r>
        <w:t xml:space="preserve">Barrett, M.</w:t>
      </w:r>
      <w:r>
        <w:t xml:space="preserve"> </w:t>
      </w:r>
      <w:r>
        <w:rPr>
          <w:iCs/>
          <w:i/>
        </w:rPr>
        <w:t xml:space="preserve">Ggdag: Analyze and create elegant directed acyclic graphs</w:t>
      </w:r>
      <w:r>
        <w:t xml:space="preserve">. (2021).</w:t>
      </w:r>
    </w:p>
    <w:bookmarkEnd w:id="719"/>
    <w:bookmarkStart w:id="720" w:name="ref-R-ggplot2"/>
    <w:p>
      <w:pPr>
        <w:pStyle w:val="Bibliography"/>
      </w:pPr>
      <w:r>
        <w:t xml:space="preserve">367.</w:t>
      </w:r>
      <w:r>
        <w:t xml:space="preserve"> </w:t>
      </w:r>
      <w:r>
        <w:t xml:space="preserve">	</w:t>
      </w:r>
      <w:r>
        <w:t xml:space="preserve">Wickham, H.</w:t>
      </w:r>
      <w:r>
        <w:t xml:space="preserve"> </w:t>
      </w:r>
      <w:r>
        <w:rPr>
          <w:iCs/>
          <w:i/>
        </w:rPr>
        <w:t xml:space="preserve">et al.</w:t>
      </w:r>
      <w:r>
        <w:t xml:space="preserve"> </w:t>
      </w:r>
      <w:r>
        <w:rPr>
          <w:iCs/>
          <w:i/>
        </w:rPr>
        <w:t xml:space="preserve">Ggplot2: Create elegant data visualisations using the grammar of graphics</w:t>
      </w:r>
      <w:r>
        <w:t xml:space="preserve">. (2021).</w:t>
      </w:r>
    </w:p>
    <w:bookmarkEnd w:id="720"/>
    <w:bookmarkStart w:id="721" w:name="ref-R-kableExtra"/>
    <w:p>
      <w:pPr>
        <w:pStyle w:val="Bibliography"/>
      </w:pPr>
      <w:r>
        <w:t xml:space="preserve">368.</w:t>
      </w:r>
      <w:r>
        <w:t xml:space="preserve"> </w:t>
      </w:r>
      <w:r>
        <w:t xml:space="preserve">	</w:t>
      </w:r>
      <w:r>
        <w:t xml:space="preserve">Zhu, H.</w:t>
      </w:r>
      <w:r>
        <w:t xml:space="preserve"> </w:t>
      </w:r>
      <w:r>
        <w:rPr>
          <w:iCs/>
          <w:i/>
        </w:rPr>
        <w:t xml:space="preserve">kableExtra</w:t>
      </w:r>
      <w:r>
        <w:rPr>
          <w:iCs/>
          <w:i/>
        </w:rPr>
        <w:t xml:space="preserve">: Construct complex table with kable and pipe syntax</w:t>
      </w:r>
      <w:r>
        <w:t xml:space="preserve">. (2020).</w:t>
      </w:r>
    </w:p>
    <w:bookmarkEnd w:id="721"/>
    <w:bookmarkStart w:id="722" w:name="ref-R-knitr"/>
    <w:p>
      <w:pPr>
        <w:pStyle w:val="Bibliography"/>
      </w:pPr>
      <w:r>
        <w:t xml:space="preserve">369.</w:t>
      </w:r>
      <w:r>
        <w:t xml:space="preserve"> </w:t>
      </w:r>
      <w:r>
        <w:t xml:space="preserve">	</w:t>
      </w:r>
      <w:r>
        <w:t xml:space="preserve">Xie, Y.</w:t>
      </w:r>
      <w:r>
        <w:t xml:space="preserve"> </w:t>
      </w:r>
      <w:r>
        <w:rPr>
          <w:iCs/>
          <w:i/>
        </w:rPr>
        <w:t xml:space="preserve">Knitr: A general-purpose package for dynamic report generation in r</w:t>
      </w:r>
      <w:r>
        <w:t xml:space="preserve">. (2021).</w:t>
      </w:r>
    </w:p>
    <w:bookmarkEnd w:id="722"/>
    <w:bookmarkStart w:id="723" w:name="ref-R-magrittr"/>
    <w:p>
      <w:pPr>
        <w:pStyle w:val="Bibliography"/>
      </w:pPr>
      <w:r>
        <w:t xml:space="preserve">370.</w:t>
      </w:r>
      <w:r>
        <w:t xml:space="preserve"> </w:t>
      </w:r>
      <w:r>
        <w:t xml:space="preserve">	</w:t>
      </w:r>
      <w:r>
        <w:t xml:space="preserve">Bache, S. M. &amp; Wickham, H.</w:t>
      </w:r>
      <w:r>
        <w:t xml:space="preserve"> </w:t>
      </w:r>
      <w:r>
        <w:rPr>
          <w:iCs/>
          <w:i/>
        </w:rPr>
        <w:t xml:space="preserve">Magrittr: A forward-pipe operator for r</w:t>
      </w:r>
      <w:r>
        <w:t xml:space="preserve">. (2020).</w:t>
      </w:r>
    </w:p>
    <w:bookmarkEnd w:id="723"/>
    <w:bookmarkStart w:id="724" w:name="ref-R-Matrix"/>
    <w:p>
      <w:pPr>
        <w:pStyle w:val="Bibliography"/>
      </w:pPr>
      <w:r>
        <w:t xml:space="preserve">371.</w:t>
      </w:r>
      <w:r>
        <w:t xml:space="preserve"> </w:t>
      </w:r>
      <w:r>
        <w:t xml:space="preserve">	</w:t>
      </w:r>
      <w:r>
        <w:t xml:space="preserve">Bates, D. &amp; Maechler, M.</w:t>
      </w:r>
      <w:r>
        <w:t xml:space="preserve"> </w:t>
      </w:r>
      <w:r>
        <w:rPr>
          <w:iCs/>
          <w:i/>
        </w:rPr>
        <w:t xml:space="preserve">Matrix: Sparse and dense matrix classes and methods</w:t>
      </w:r>
      <w:r>
        <w:t xml:space="preserve">. (2019).</w:t>
      </w:r>
    </w:p>
    <w:bookmarkEnd w:id="724"/>
    <w:bookmarkStart w:id="725" w:name="ref-R-medrxivr"/>
    <w:p>
      <w:pPr>
        <w:pStyle w:val="Bibliography"/>
      </w:pPr>
      <w:r>
        <w:t xml:space="preserve">372.</w:t>
      </w:r>
      <w:r>
        <w:t xml:space="preserve"> </w:t>
      </w:r>
      <w:r>
        <w:t xml:space="preserve">	</w:t>
      </w:r>
      <w:r>
        <w:t xml:space="preserve">McGuinness, L. &amp; Schmidt, L.</w:t>
      </w:r>
      <w:r>
        <w:t xml:space="preserve"> </w:t>
      </w:r>
      <w:r>
        <w:rPr>
          <w:iCs/>
          <w:i/>
        </w:rPr>
        <w:t xml:space="preserve">Medrxivr: Access and search</w:t>
      </w:r>
      <w:r>
        <w:rPr>
          <w:iCs/>
          <w:i/>
        </w:rPr>
        <w:t xml:space="preserve"> </w:t>
      </w:r>
      <w:r>
        <w:rPr>
          <w:iCs/>
          <w:i/>
        </w:rPr>
        <w:t xml:space="preserve">MedRxiv</w:t>
      </w:r>
      <w:r>
        <w:rPr>
          <w:iCs/>
          <w:i/>
        </w:rPr>
        <w:t xml:space="preserve"> </w:t>
      </w:r>
      <w:r>
        <w:rPr>
          <w:iCs/>
          <w:i/>
        </w:rPr>
        <w:t xml:space="preserve">and</w:t>
      </w:r>
      <w:r>
        <w:rPr>
          <w:iCs/>
          <w:i/>
        </w:rPr>
        <w:t xml:space="preserve"> </w:t>
      </w:r>
      <w:r>
        <w:rPr>
          <w:iCs/>
          <w:i/>
        </w:rPr>
        <w:t xml:space="preserve">BioRxiv</w:t>
      </w:r>
      <w:r>
        <w:rPr>
          <w:iCs/>
          <w:i/>
        </w:rPr>
        <w:t xml:space="preserve"> </w:t>
      </w:r>
      <w:r>
        <w:rPr>
          <w:iCs/>
          <w:i/>
        </w:rPr>
        <w:t xml:space="preserve">preprint data</w:t>
      </w:r>
      <w:r>
        <w:t xml:space="preserve">. (2021).</w:t>
      </w:r>
    </w:p>
    <w:bookmarkEnd w:id="725"/>
    <w:bookmarkStart w:id="726" w:name="ref-R-networkD3"/>
    <w:p>
      <w:pPr>
        <w:pStyle w:val="Bibliography"/>
      </w:pPr>
      <w:r>
        <w:t xml:space="preserve">373.</w:t>
      </w:r>
      <w:r>
        <w:t xml:space="preserve"> </w:t>
      </w:r>
      <w:r>
        <w:t xml:space="preserve">	</w:t>
      </w:r>
      <w:r>
        <w:t xml:space="preserve">Allaire, J. J., Gandrud, C., Russell, K. &amp; Yetman, C.</w:t>
      </w:r>
      <w:r>
        <w:t xml:space="preserve"> </w:t>
      </w:r>
      <w:r>
        <w:rPr>
          <w:iCs/>
          <w:i/>
        </w:rPr>
        <w:t xml:space="preserve">networkD3</w:t>
      </w:r>
      <w:r>
        <w:rPr>
          <w:iCs/>
          <w:i/>
        </w:rPr>
        <w:t xml:space="preserve">: D3</w:t>
      </w:r>
      <w:r>
        <w:rPr>
          <w:iCs/>
          <w:i/>
        </w:rPr>
        <w:t xml:space="preserve"> </w:t>
      </w:r>
      <w:r>
        <w:rPr>
          <w:iCs/>
          <w:i/>
        </w:rPr>
        <w:t xml:space="preserve">JavaScript</w:t>
      </w:r>
      <w:r>
        <w:rPr>
          <w:iCs/>
          <w:i/>
        </w:rPr>
        <w:t xml:space="preserve"> </w:t>
      </w:r>
      <w:r>
        <w:rPr>
          <w:iCs/>
          <w:i/>
        </w:rPr>
        <w:t xml:space="preserve">network graphs from r</w:t>
      </w:r>
      <w:r>
        <w:t xml:space="preserve">. (2017).</w:t>
      </w:r>
    </w:p>
    <w:bookmarkEnd w:id="726"/>
    <w:bookmarkStart w:id="727" w:name="ref-R-patchwork"/>
    <w:p>
      <w:pPr>
        <w:pStyle w:val="Bibliography"/>
      </w:pPr>
      <w:r>
        <w:t xml:space="preserve">374.</w:t>
      </w:r>
      <w:r>
        <w:t xml:space="preserve"> </w:t>
      </w:r>
      <w:r>
        <w:t xml:space="preserve">	</w:t>
      </w:r>
      <w:r>
        <w:t xml:space="preserve">Pedersen, T. L.</w:t>
      </w:r>
      <w:r>
        <w:t xml:space="preserve"> </w:t>
      </w:r>
      <w:r>
        <w:rPr>
          <w:iCs/>
          <w:i/>
        </w:rPr>
        <w:t xml:space="preserve">Patchwork: The composer of plots</w:t>
      </w:r>
      <w:r>
        <w:t xml:space="preserve">. (2020).</w:t>
      </w:r>
    </w:p>
    <w:bookmarkEnd w:id="727"/>
    <w:bookmarkStart w:id="728" w:name="ref-R-png"/>
    <w:p>
      <w:pPr>
        <w:pStyle w:val="Bibliography"/>
      </w:pPr>
      <w:r>
        <w:t xml:space="preserve">375.</w:t>
      </w:r>
      <w:r>
        <w:t xml:space="preserve"> </w:t>
      </w:r>
      <w:r>
        <w:t xml:space="preserve">	</w:t>
      </w:r>
      <w:r>
        <w:t xml:space="preserve">Urbanek, S.</w:t>
      </w:r>
      <w:r>
        <w:t xml:space="preserve"> </w:t>
      </w:r>
      <w:r>
        <w:rPr>
          <w:iCs/>
          <w:i/>
        </w:rPr>
        <w:t xml:space="preserve">Png: Read and write</w:t>
      </w:r>
      <w:r>
        <w:rPr>
          <w:iCs/>
          <w:i/>
        </w:rPr>
        <w:t xml:space="preserve"> </w:t>
      </w:r>
      <w:r>
        <w:rPr>
          <w:iCs/>
          <w:i/>
        </w:rPr>
        <w:t xml:space="preserve">PNG</w:t>
      </w:r>
      <w:r>
        <w:rPr>
          <w:iCs/>
          <w:i/>
        </w:rPr>
        <w:t xml:space="preserve"> </w:t>
      </w:r>
      <w:r>
        <w:rPr>
          <w:iCs/>
          <w:i/>
        </w:rPr>
        <w:t xml:space="preserve">images</w:t>
      </w:r>
      <w:r>
        <w:t xml:space="preserve">. (2013).</w:t>
      </w:r>
    </w:p>
    <w:bookmarkEnd w:id="728"/>
    <w:bookmarkStart w:id="729" w:name="ref-R-readxl"/>
    <w:p>
      <w:pPr>
        <w:pStyle w:val="Bibliography"/>
      </w:pPr>
      <w:r>
        <w:t xml:space="preserve">376.</w:t>
      </w:r>
      <w:r>
        <w:t xml:space="preserve"> </w:t>
      </w:r>
      <w:r>
        <w:t xml:space="preserve">	</w:t>
      </w:r>
      <w:r>
        <w:t xml:space="preserve">Wickham, H. &amp; Bryan, J.</w:t>
      </w:r>
      <w:r>
        <w:t xml:space="preserve"> </w:t>
      </w:r>
      <w:r>
        <w:rPr>
          <w:iCs/>
          <w:i/>
        </w:rPr>
        <w:t xml:space="preserve">Readxl: Read excel files</w:t>
      </w:r>
      <w:r>
        <w:t xml:space="preserve">. (2019).</w:t>
      </w:r>
    </w:p>
    <w:bookmarkEnd w:id="729"/>
    <w:bookmarkStart w:id="730" w:name="ref-R-robvis"/>
    <w:p>
      <w:pPr>
        <w:pStyle w:val="Bibliography"/>
      </w:pPr>
      <w:r>
        <w:t xml:space="preserve">377.</w:t>
      </w:r>
      <w:r>
        <w:t xml:space="preserve"> </w:t>
      </w:r>
      <w:r>
        <w:t xml:space="preserve">	</w:t>
      </w:r>
      <w:r>
        <w:t xml:space="preserve">McGuinness, L.</w:t>
      </w:r>
      <w:r>
        <w:t xml:space="preserve"> </w:t>
      </w:r>
      <w:r>
        <w:rPr>
          <w:iCs/>
          <w:i/>
        </w:rPr>
        <w:t xml:space="preserve">Robvis: Visualize the results of risk-of-bias (</w:t>
      </w:r>
      <w:r>
        <w:rPr>
          <w:iCs/>
          <w:i/>
        </w:rPr>
        <w:t xml:space="preserve">ROB</w:t>
      </w:r>
      <w:r>
        <w:rPr>
          <w:iCs/>
          <w:i/>
        </w:rPr>
        <w:t xml:space="preserve">) assessments</w:t>
      </w:r>
      <w:r>
        <w:t xml:space="preserve">. (2021).</w:t>
      </w:r>
    </w:p>
    <w:bookmarkEnd w:id="730"/>
    <w:bookmarkStart w:id="731" w:name="ref-R-sf"/>
    <w:p>
      <w:pPr>
        <w:pStyle w:val="Bibliography"/>
      </w:pPr>
      <w:r>
        <w:t xml:space="preserve">378.</w:t>
      </w:r>
      <w:r>
        <w:t xml:space="preserve"> </w:t>
      </w:r>
      <w:r>
        <w:t xml:space="preserve">	</w:t>
      </w:r>
      <w:r>
        <w:t xml:space="preserve">Pebesma, E.</w:t>
      </w:r>
      <w:r>
        <w:t xml:space="preserve"> </w:t>
      </w:r>
      <w:r>
        <w:rPr>
          <w:iCs/>
          <w:i/>
        </w:rPr>
        <w:t xml:space="preserve">Sf: Simple features for r</w:t>
      </w:r>
      <w:r>
        <w:t xml:space="preserve">. (2021).</w:t>
      </w:r>
    </w:p>
    <w:bookmarkEnd w:id="731"/>
    <w:bookmarkStart w:id="732" w:name="ref-bookdown2016"/>
    <w:p>
      <w:pPr>
        <w:pStyle w:val="Bibliography"/>
      </w:pPr>
      <w:r>
        <w:t xml:space="preserve">379.</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w:t>
      </w:r>
      <w:r>
        <w:t xml:space="preserve">Chapman and Hall/CRC</w:t>
      </w:r>
      <w:r>
        <w:t xml:space="preserve">, 2016).</w:t>
      </w:r>
    </w:p>
    <w:bookmarkEnd w:id="732"/>
    <w:bookmarkStart w:id="733" w:name="ref-dagitty2016"/>
    <w:p>
      <w:pPr>
        <w:pStyle w:val="Bibliography"/>
      </w:pPr>
      <w:r>
        <w:t xml:space="preserve">380.</w:t>
      </w:r>
      <w:r>
        <w:t xml:space="preserve"> </w:t>
      </w:r>
      <w:r>
        <w:t xml:space="preserve">	</w:t>
      </w:r>
      <w:r>
        <w:t xml:space="preserve">Textor, J., der Zander, B. van, Gilthorpe, M. S., Liśkiewicz, M. &amp; Ellison, G. T. Robust causal inference using directed acyclic graphs: The</w:t>
      </w:r>
      <w:r>
        <w:t xml:space="preserve"> </w:t>
      </w:r>
      <w:r>
        <w:t xml:space="preserve">R</w:t>
      </w:r>
      <w:r>
        <w:t xml:space="preserve"> </w:t>
      </w:r>
      <w:r>
        <w:t xml:space="preserve">package ’dagitty’.</w:t>
      </w:r>
      <w:r>
        <w:t xml:space="preserve"> </w:t>
      </w:r>
      <w:r>
        <w:rPr>
          <w:iCs/>
          <w:i/>
        </w:rPr>
        <w:t xml:space="preserve">International Journal of Epidemiology</w:t>
      </w:r>
      <w:r>
        <w:t xml:space="preserve"> </w:t>
      </w:r>
      <w:r>
        <w:rPr>
          <w:bCs/>
          <w:b/>
        </w:rPr>
        <w:t xml:space="preserve">45</w:t>
      </w:r>
      <w:r>
        <w:t xml:space="preserve">, 1887–1894 (2016).</w:t>
      </w:r>
    </w:p>
    <w:bookmarkEnd w:id="733"/>
    <w:bookmarkStart w:id="734" w:name="ref-ggplot22016"/>
    <w:p>
      <w:pPr>
        <w:pStyle w:val="Bibliography"/>
      </w:pPr>
      <w:r>
        <w:t xml:space="preserve">381.</w:t>
      </w:r>
      <w:r>
        <w:t xml:space="preserve"> </w:t>
      </w:r>
      <w:r>
        <w:t xml:space="preserve">	</w:t>
      </w:r>
      <w:r>
        <w:t xml:space="preserve">Wickham, H.</w:t>
      </w:r>
      <w:r>
        <w:t xml:space="preserve"> </w:t>
      </w:r>
      <w:r>
        <w:rPr>
          <w:iCs/>
          <w:i/>
        </w:rPr>
        <w:t xml:space="preserve">Ggplot2: Elegant graphics for data analysis</w:t>
      </w:r>
      <w:r>
        <w:t xml:space="preserve">. (</w:t>
      </w:r>
      <w:r>
        <w:t xml:space="preserve">Springer-Verlag New York</w:t>
      </w:r>
      <w:r>
        <w:t xml:space="preserve">, 2016).</w:t>
      </w:r>
    </w:p>
    <w:bookmarkEnd w:id="734"/>
    <w:bookmarkStart w:id="735" w:name="ref-knitr2015"/>
    <w:p>
      <w:pPr>
        <w:pStyle w:val="Bibliography"/>
      </w:pPr>
      <w:r>
        <w:t xml:space="preserve">382.</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735"/>
    <w:bookmarkStart w:id="736" w:name="ref-knitr2014"/>
    <w:p>
      <w:pPr>
        <w:pStyle w:val="Bibliography"/>
      </w:pPr>
      <w:r>
        <w:t xml:space="preserve">383.</w:t>
      </w:r>
      <w:r>
        <w:t xml:space="preserve"> </w:t>
      </w:r>
      <w:r>
        <w:t xml:space="preserve">	</w:t>
      </w:r>
      <w:r>
        <w:t xml:space="preserve">Xie, Y. Knitr: A comprehensive tool for reproducible research in</w:t>
      </w:r>
      <w:r>
        <w:t xml:space="preserve"> </w:t>
      </w:r>
      <w:r>
        <w:t xml:space="preserve">R</w:t>
      </w:r>
      <w:r>
        <w:t xml:space="preserve">. in</w:t>
      </w:r>
      <w:r>
        <w:t xml:space="preserve"> </w:t>
      </w:r>
      <w:r>
        <w:rPr>
          <w:iCs/>
          <w:i/>
        </w:rPr>
        <w:t xml:space="preserve">Implementing reproducible computational research</w:t>
      </w:r>
      <w:r>
        <w:t xml:space="preserve"> </w:t>
      </w:r>
      <w:r>
        <w:t xml:space="preserve">(eds. Stodden, V., Leisch, F. &amp; Peng, R. D.) (</w:t>
      </w:r>
      <w:r>
        <w:t xml:space="preserve">Chapman and Hall/CRC</w:t>
      </w:r>
      <w:r>
        <w:t xml:space="preserve">, 2014).</w:t>
      </w:r>
    </w:p>
    <w:bookmarkEnd w:id="736"/>
    <w:bookmarkStart w:id="737" w:name="ref-medrxivr2020"/>
    <w:p>
      <w:pPr>
        <w:pStyle w:val="Bibliography"/>
      </w:pPr>
      <w:r>
        <w:t xml:space="preserve">384.</w:t>
      </w:r>
      <w:r>
        <w:t xml:space="preserve"> </w:t>
      </w:r>
      <w:r>
        <w:t xml:space="preserve">	</w:t>
      </w:r>
      <w:r>
        <w:t xml:space="preserve">McGuinness, L. A.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737"/>
    <w:bookmarkStart w:id="738" w:name="ref-metafor2010"/>
    <w:p>
      <w:pPr>
        <w:pStyle w:val="Bibliography"/>
      </w:pPr>
      <w:r>
        <w:t xml:space="preserve">385.</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rPr>
          <w:bCs/>
          <w:b/>
        </w:rPr>
        <w:t xml:space="preserve">36</w:t>
      </w:r>
      <w:r>
        <w:t xml:space="preserve">, 1–48 (2010).</w:t>
      </w:r>
    </w:p>
    <w:bookmarkEnd w:id="738"/>
    <w:bookmarkStart w:id="739" w:name="ref-robvis2020"/>
    <w:p>
      <w:pPr>
        <w:pStyle w:val="Bibliography"/>
      </w:pPr>
      <w:r>
        <w:t xml:space="preserve">386.</w:t>
      </w:r>
      <w:r>
        <w:t xml:space="preserve"> </w:t>
      </w:r>
      <w:r>
        <w:t xml:space="preserve">	</w:t>
      </w:r>
      <w:r>
        <w:t xml:space="preserve">McGuinness, L. A. &amp; Higgins, J. P.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48">
        <w:r>
          <w:rPr>
            <w:rStyle w:val="Hyperlink"/>
          </w:rPr>
          <w:t xml:space="preserve">10.1002/jrsm.1411</w:t>
        </w:r>
      </w:hyperlink>
    </w:p>
    <w:bookmarkEnd w:id="739"/>
    <w:bookmarkStart w:id="740" w:name="ref-sf2018"/>
    <w:p>
      <w:pPr>
        <w:pStyle w:val="Bibliography"/>
      </w:pPr>
      <w:r>
        <w:t xml:space="preserve">387.</w:t>
      </w:r>
      <w:r>
        <w:t xml:space="preserve"> </w:t>
      </w:r>
      <w:r>
        <w:t xml:space="preserve">	</w:t>
      </w:r>
      <w:r>
        <w:t xml:space="preserve">Pebesma, E. Simple features for r: Standardized support for spatial vector data.</w:t>
      </w:r>
      <w:r>
        <w:t xml:space="preserve"> </w:t>
      </w:r>
      <w:r>
        <w:rPr>
          <w:iCs/>
          <w:i/>
        </w:rPr>
        <w:t xml:space="preserve">The R Journal</w:t>
      </w:r>
      <w:r>
        <w:t xml:space="preserve"> </w:t>
      </w:r>
      <w:r>
        <w:rPr>
          <w:bCs/>
          <w:b/>
        </w:rPr>
        <w:t xml:space="preserve">10</w:t>
      </w:r>
      <w:r>
        <w:t xml:space="preserve">, 439–446 (2018).</w:t>
      </w:r>
    </w:p>
    <w:bookmarkEnd w:id="740"/>
    <w:bookmarkStart w:id="741" w:name="ref-wilson2014"/>
    <w:p>
      <w:pPr>
        <w:pStyle w:val="Bibliography"/>
      </w:pPr>
      <w:r>
        <w:t xml:space="preserve">388.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741"/>
    <w:bookmarkStart w:id="742" w:name="ref-wilson2017"/>
    <w:p>
      <w:pPr>
        <w:pStyle w:val="Bibliography"/>
      </w:pPr>
      <w:r>
        <w:t xml:space="preserve">389.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742"/>
    <w:bookmarkEnd w:id="743"/>
    <w:bookmarkEnd w:id="744"/>
    <w:bookmarkStart w:id="745" w:name="appendix"/>
    <w:p>
      <w:pPr>
        <w:pStyle w:val="Heading1"/>
      </w:pPr>
      <w:r>
        <w:t xml:space="preserve">Appendix</w:t>
      </w:r>
    </w:p>
    <w:bookmarkEnd w:id="745"/>
    <w:bookmarkStart w:id="776" w:name="chapter-appendix-heading"/>
    <w:p>
      <w:pPr>
        <w:pStyle w:val="Heading1"/>
      </w:pPr>
      <w:r>
        <w:t xml:space="preserve">Appendices by Chapter</w:t>
      </w:r>
    </w:p>
    <w:p>
      <w:pPr>
        <w:pStyle w:val="FirstParagraph"/>
      </w:pPr>
      <w:r>
        <w:t xml:space="preserve"> </w:t>
      </w:r>
    </w:p>
    <w:p>
      <w:pPr>
        <w:pStyle w:val="BodyText"/>
      </w:pPr>
    </w:p>
    <w:p>
      <w:r>
        <w:br w:type="page"/>
      </w:r>
    </w:p>
    <w:bookmarkStart w:id="748" w:name="appendix-into"/>
    <w:p>
      <w:pPr>
        <w:pStyle w:val="Heading2"/>
      </w:pPr>
      <w:r>
        <w:t xml:space="preserve">Chapter</w:t>
      </w:r>
      <w:r>
        <w:t xml:space="preserve"> </w:t>
      </w:r>
      <w:r>
        <w:t xml:space="preserve">1</w:t>
      </w:r>
    </w:p>
    <w:bookmarkStart w:id="746" w:name="appendix-publications"/>
    <w:p>
      <w:pPr>
        <w:pStyle w:val="Heading3"/>
      </w:pPr>
      <w:r>
        <w:t xml:space="preserve">Publications beyond the scope of this thesis</w:t>
      </w:r>
    </w:p>
    <w:p>
      <w:pPr>
        <w:pStyle w:val="FirstParagraph"/>
      </w:pPr>
      <w:r>
        <w:rPr>
          <w:bCs/>
          <w:b/>
        </w:rPr>
        <w:t xml:space="preserve">Peer reviewed</w:t>
      </w:r>
    </w:p>
    <w:p>
      <w:pPr>
        <w:numPr>
          <w:ilvl w:val="0"/>
          <w:numId w:val="1026"/>
        </w:numPr>
      </w:pPr>
      <w:r>
        <w:t xml:space="preserve">PRISMA main paper</w:t>
      </w:r>
    </w:p>
    <w:p>
      <w:pPr>
        <w:numPr>
          <w:ilvl w:val="0"/>
          <w:numId w:val="1026"/>
        </w:numPr>
      </w:pPr>
      <w:r>
        <w:t xml:space="preserve">PRISMA E&amp;E</w:t>
      </w:r>
    </w:p>
    <w:p>
      <w:pPr>
        <w:numPr>
          <w:ilvl w:val="0"/>
          <w:numId w:val="1026"/>
        </w:numPr>
      </w:pPr>
      <w:r>
        <w:t xml:space="preserve">PRISMA 2020 software</w:t>
      </w:r>
    </w:p>
    <w:p>
      <w:pPr>
        <w:numPr>
          <w:ilvl w:val="0"/>
          <w:numId w:val="1026"/>
        </w:numPr>
      </w:pPr>
      <w:r>
        <w:t xml:space="preserve">COVID Suicide Living Review</w:t>
      </w:r>
    </w:p>
    <w:p>
      <w:pPr>
        <w:numPr>
          <w:ilvl w:val="0"/>
          <w:numId w:val="1026"/>
        </w:numPr>
      </w:pPr>
      <w:r>
        <w:t xml:space="preserve">Data extraction tools systematic review</w:t>
      </w:r>
    </w:p>
    <w:p>
      <w:pPr>
        <w:pStyle w:val="FirstParagraph"/>
      </w:pPr>
      <w:r>
        <w:rPr>
          <w:bCs/>
          <w:b/>
        </w:rPr>
        <w:t xml:space="preserve">Under review/Preprints</w:t>
      </w:r>
    </w:p>
    <w:p>
      <w:pPr>
        <w:numPr>
          <w:ilvl w:val="0"/>
          <w:numId w:val="1027"/>
        </w:numPr>
      </w:pPr>
      <w:r>
        <w:t xml:space="preserve">MSc Paper on systematic reviews of this thesis topic</w:t>
      </w:r>
    </w:p>
    <w:bookmarkEnd w:id="746"/>
    <w:bookmarkStart w:id="74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747"/>
    <w:bookmarkEnd w:id="748"/>
    <w:bookmarkStart w:id="750" w:name="appendix-sys-rev-tools"/>
    <w:p>
      <w:pPr>
        <w:pStyle w:val="Heading2"/>
      </w:pPr>
      <w:r>
        <w:t xml:space="preserve">Chapter</w:t>
      </w:r>
      <w:r>
        <w:t xml:space="preserve"> </w:t>
      </w:r>
      <w:r>
        <w:t xml:space="preserve">2</w:t>
      </w:r>
    </w:p>
    <w:bookmarkStart w:id="749"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749"/>
    <w:bookmarkEnd w:id="750"/>
    <w:bookmarkStart w:id="757" w:name="appendix-sys-rev"/>
    <w:p>
      <w:pPr>
        <w:pStyle w:val="Heading2"/>
      </w:pPr>
      <w:r>
        <w:t xml:space="preserve">Chapter</w:t>
      </w:r>
      <w:r>
        <w:t xml:space="preserve"> </w:t>
      </w:r>
      <w:r>
        <w:t xml:space="preserve">3</w:t>
      </w:r>
    </w:p>
    <w:bookmarkStart w:id="751" w:name="deviations-from-protocol"/>
    <w:p>
      <w:pPr>
        <w:pStyle w:val="Heading3"/>
      </w:pPr>
      <w:r>
        <w:t xml:space="preserve">Deviations from protocol</w:t>
      </w:r>
    </w:p>
    <w:p>
      <w:pPr>
        <w:numPr>
          <w:ilvl w:val="0"/>
          <w:numId w:val="1028"/>
        </w:numPr>
      </w:pPr>
      <w:r>
        <w:t xml:space="preserve">MR tool, actually used Mamluk</w:t>
      </w:r>
    </w:p>
    <w:p>
      <w:pPr>
        <w:numPr>
          <w:ilvl w:val="0"/>
          <w:numId w:val="1028"/>
        </w:numPr>
      </w:pPr>
      <w:r>
        <w:t xml:space="preserve">ROB-ME</w:t>
      </w:r>
    </w:p>
    <w:p>
      <w:pPr>
        <w:numPr>
          <w:ilvl w:val="0"/>
          <w:numId w:val="1028"/>
        </w:numPr>
      </w:pPr>
      <w:r>
        <w:t xml:space="preserve">No MCI, given size of dementia findings</w:t>
      </w:r>
    </w:p>
    <w:p>
      <w:pPr>
        <w:numPr>
          <w:ilvl w:val="0"/>
          <w:numId w:val="1028"/>
        </w:numPr>
      </w:pPr>
      <w:r>
        <w:t xml:space="preserve">Sources of funding: Given that any bias introduced by sources of funding would operate , conflicts of interest and bias were considered separate things here.</w:t>
      </w:r>
      <w:hyperlink w:anchor="ref-sterne2013">
        <w:r>
          <w:rPr>
            <w:rStyle w:val="Hyperlink"/>
            <w:vertAlign w:val="superscript"/>
          </w:rPr>
          <w:t xml:space="preserve">358</w:t>
        </w:r>
      </w:hyperlink>
    </w:p>
    <w:p>
      <w:pPr>
        <w:numPr>
          <w:ilvl w:val="0"/>
          <w:numId w:val="1028"/>
        </w:numPr>
      </w:pPr>
      <w:r>
        <w:t xml:space="preserve">Dose response</w:t>
      </w:r>
    </w:p>
    <w:bookmarkEnd w:id="751"/>
    <w:bookmarkStart w:id="752" w:name="appendix-search-strategy"/>
    <w:p>
      <w:pPr>
        <w:pStyle w:val="Heading3"/>
      </w:pPr>
      <w:r>
        <w:t xml:space="preserve">Search strategy</w:t>
      </w:r>
    </w:p>
    <w:p>
      <w:pPr>
        <w:pStyle w:val="FirstParagraph"/>
      </w:pPr>
      <w:r>
        <w:t xml:space="preserve"> </w:t>
      </w:r>
    </w:p>
    <w:p>
      <w:pPr>
        <w:pStyle w:val="TableCaption"/>
      </w:pPr>
      <w:r>
        <w:t xml:space="preserve">Table 24:</w:t>
      </w:r>
      <w:r>
        <w:t xml:space="preserve"> </w:t>
      </w:r>
      <w:bookmarkStart w:id="b54d7848-9f47-4bf1-acd0-768f024e0c6b" w:name="tab:searchHits-table"/>
      <w:r>
        <w:t xml:space="preserve">Overview of the full Medline search strategy.</w:t>
      </w:r>
      <w:bookmarkEnd w:id="b54d7848-9f47-4bf1-acd0-768f024e0c6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752"/>
    <w:bookmarkStart w:id="753" w:name="appendix-wos-databases"/>
    <w:p>
      <w:pPr>
        <w:pStyle w:val="Heading3"/>
      </w:pPr>
      <w:r>
        <w:t xml:space="preserve">Web of Science Databases Searched</w:t>
      </w:r>
    </w:p>
    <w:p>
      <w:pPr>
        <w:pStyle w:val="FirstParagraph"/>
      </w:pPr>
      <w:r>
        <w:t xml:space="preserve"> </w:t>
      </w:r>
    </w:p>
    <w:p>
      <w:pPr>
        <w:pStyle w:val="BodyText"/>
      </w:pPr>
      <w:r>
        <w:t xml:space="preserve">Table 25: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753"/>
    <w:bookmarkStart w:id="754"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754"/>
    <w:bookmarkStart w:id="755"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13</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14</m:t>
          </m:r>
          <m:r>
            <m:rPr>
              <m:sty m:val="p"/>
            </m:rPr>
            <m:t>)</m:t>
          </m:r>
        </m:oMath>
      </m:oMathPara>
    </w:p>
    <w:bookmarkEnd w:id="755"/>
    <w:bookmarkStart w:id="756" w:name="appendix-mr-rob"/>
    <w:p>
      <w:pPr>
        <w:pStyle w:val="Heading3"/>
      </w:pPr>
      <w:r>
        <w:t xml:space="preserve">MR risk of bias tool</w:t>
      </w:r>
    </w:p>
    <w:p>
      <w:pPr>
        <w:pStyle w:val="FirstParagraph"/>
      </w:pPr>
      <w:r>
        <w:t xml:space="preserve">Table 26: Tool used to assess risk of bias in Mendelian randomisation studies, adapted from that developed by Mamluk et al.</w:t>
      </w:r>
      <w:hyperlink w:anchor="ref-mamluk2020">
        <w:r>
          <w:rPr>
            <w:rStyle w:val="Hyperlink"/>
            <w:vertAlign w:val="superscript"/>
          </w:rPr>
          <w:t xml:space="preserve">162</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756"/>
    <w:bookmarkEnd w:id="757"/>
    <w:bookmarkStart w:id="761" w:name="chapter-4"/>
    <w:p>
      <w:pPr>
        <w:pStyle w:val="Heading2"/>
      </w:pPr>
      <w:r>
        <w:t xml:space="preserve">Chapter</w:t>
      </w:r>
      <w:r>
        <w:t xml:space="preserve"> </w:t>
      </w:r>
      <w:r>
        <w:t xml:space="preserve">4</w:t>
      </w:r>
    </w:p>
    <w:bookmarkStart w:id="760" w:name="dose-response-plots-by-fraction"/>
    <w:p>
      <w:pPr>
        <w:pStyle w:val="Heading3"/>
      </w:pPr>
      <w:r>
        <w:t xml:space="preserve">Dose response plots by fraction</w:t>
      </w:r>
    </w:p>
    <w:p>
      <w:pPr>
        <w:pStyle w:val="FirstParagraph"/>
      </w:pPr>
      <w:r>
        <w:drawing>
          <wp:inline>
            <wp:extent cx="5943600" cy="5943600"/>
            <wp:effectExtent b="0" l="0" r="0" t="0"/>
            <wp:docPr descr="Figure 49: Dose-response meta-analysis of total cholesterol on all-cause dementia" title="" id="1" name="Picture"/>
            <a:graphic>
              <a:graphicData uri="http://schemas.openxmlformats.org/drawingml/2006/picture">
                <pic:pic>
                  <pic:nvPicPr>
                    <pic:cNvPr descr="figures/sys-rev/dr_Dementia_TC.png" id="0" name="Picture"/>
                    <pic:cNvPicPr>
                      <a:picLocks noChangeArrowheads="1" noChangeAspect="1"/>
                    </pic:cNvPicPr>
                  </pic:nvPicPr>
                  <pic:blipFill>
                    <a:blip r:embed="rId75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drawing>
          <wp:inline>
            <wp:extent cx="5943600" cy="5943600"/>
            <wp:effectExtent b="0" l="0" r="0" t="0"/>
            <wp:docPr descr="Figure 50: Dose-response meta-analysis of low-density lipoprotein cholesterol on Alzheimer’s disease" title="" id="1" name="Picture"/>
            <a:graphic>
              <a:graphicData uri="http://schemas.openxmlformats.org/drawingml/2006/picture">
                <pic:pic>
                  <pic:nvPicPr>
                    <pic:cNvPr descr="figures/sys-rev/dr_AD_LDL.png" id="0" name="Picture"/>
                    <pic:cNvPicPr>
                      <a:picLocks noChangeArrowheads="1" noChangeAspect="1"/>
                    </pic:cNvPicPr>
                  </pic:nvPicPr>
                  <pic:blipFill>
                    <a:blip r:embed="rId75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bookmarkEnd w:id="760"/>
    <w:bookmarkEnd w:id="761"/>
    <w:bookmarkStart w:id="764" w:name="appendix-cprd-analysis"/>
    <w:p>
      <w:pPr>
        <w:pStyle w:val="Heading2"/>
      </w:pPr>
      <w:r>
        <w:t xml:space="preserve">Chapter</w:t>
      </w:r>
      <w:r>
        <w:t xml:space="preserve"> </w:t>
      </w:r>
      <w:r>
        <w:t xml:space="preserve">5</w:t>
      </w:r>
    </w:p>
    <w:bookmarkStart w:id="762" w:name="appendix-cprd-amendments"/>
    <w:p>
      <w:pPr>
        <w:pStyle w:val="Heading3"/>
      </w:pPr>
      <w:r>
        <w:t xml:space="preserve">Amendments to protocol</w:t>
      </w:r>
    </w:p>
    <w:bookmarkEnd w:id="762"/>
    <w:bookmarkStart w:id="763" w:name="code-lists"/>
    <w:p>
      <w:pPr>
        <w:pStyle w:val="Heading3"/>
      </w:pPr>
      <w:r>
        <w:t xml:space="preserve">Code lists</w:t>
      </w:r>
    </w:p>
    <w:bookmarkEnd w:id="763"/>
    <w:bookmarkEnd w:id="764"/>
    <w:bookmarkStart w:id="766" w:name="appendix-ipd-analysis"/>
    <w:p>
      <w:pPr>
        <w:pStyle w:val="Heading2"/>
      </w:pPr>
      <w:r>
        <w:t xml:space="preserve">Chapter</w:t>
      </w:r>
      <w:r>
        <w:t xml:space="preserve"> </w:t>
      </w:r>
      <w:r>
        <w:t xml:space="preserve">6</w:t>
      </w:r>
    </w:p>
    <w:bookmarkStart w:id="765" w:name="ipd-email-collab"/>
    <w:p>
      <w:pPr>
        <w:pStyle w:val="Heading3"/>
      </w:pPr>
      <w:r>
        <w:t xml:space="preserve">Email and documents sent to potental collaborators</w:t>
      </w:r>
    </w:p>
    <w:bookmarkEnd w:id="765"/>
    <w:bookmarkEnd w:id="766"/>
    <w:bookmarkStart w:id="772" w:name="appendix-tri-analysis"/>
    <w:p>
      <w:pPr>
        <w:pStyle w:val="Heading2"/>
      </w:pPr>
      <w:r>
        <w:t xml:space="preserve">Chapter</w:t>
      </w:r>
      <w:r>
        <w:t xml:space="preserve"> </w:t>
      </w:r>
      <w:r>
        <w:t xml:space="preserve">7</w:t>
      </w:r>
    </w:p>
    <w:bookmarkStart w:id="767" w:name="X9e92eeae05a353be19236349a0611371c7c7944"/>
    <w:p>
      <w:pPr>
        <w:pStyle w:val="Heading3"/>
      </w:pPr>
      <w:r>
        <w:t xml:space="preserve">Calculation of average adjustment from expert elicitation</w:t>
      </w:r>
    </w:p>
    <w:bookmarkEnd w:id="767"/>
    <w:bookmarkStart w:id="768" w:name="code-lists-1"/>
    <w:p>
      <w:pPr>
        <w:pStyle w:val="Heading3"/>
      </w:pPr>
      <w:r>
        <w:t xml:space="preserve">Code lists</w:t>
      </w:r>
    </w:p>
    <w:bookmarkEnd w:id="768"/>
    <w:bookmarkStart w:id="771" w:name="comparison-of-two-scenarios-of-bias"/>
    <w:p>
      <w:pPr>
        <w:pStyle w:val="Heading3"/>
      </w:pPr>
      <w:r>
        <w:t xml:space="preserve">Comparison of two scenarios of bias</w:t>
      </w:r>
    </w:p>
    <w:p>
      <w:pPr>
        <w:pStyle w:val="FirstParagraph"/>
      </w:pPr>
      <w:r>
        <w:t xml:space="preserve">(ref:fpLdlAdComparison-cap) Comparison of bias-/indirectness-adjusted meta-analyses of LDL-c/Alzheimer’s disease,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51: (ref:fpLdlAdComparison-cap)" title="" id="1" name="Picture"/>
            <a:graphic>
              <a:graphicData uri="http://schemas.openxmlformats.org/drawingml/2006/picture">
                <pic:pic>
                  <pic:nvPicPr>
                    <pic:cNvPr descr="figures/tri/fp_paired_midlife_ldl_ad_scenarios.png" id="0" name="Picture"/>
                    <pic:cNvPicPr>
                      <a:picLocks noChangeArrowheads="1" noChangeAspect="1"/>
                    </pic:cNvPicPr>
                  </pic:nvPicPr>
                  <pic:blipFill>
                    <a:blip r:embed="rId769"/>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(ref:fpTgVaDComparison-cap) Comparison of bias-/indirectness-adjusted meta-analyses of triglycerides/vascular dementia,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52: (ref:fpTgVaDComparison-cap)" title="" id="1" name="Picture"/>
            <a:graphic>
              <a:graphicData uri="http://schemas.openxmlformats.org/drawingml/2006/picture">
                <pic:pic>
                  <pic:nvPicPr>
                    <pic:cNvPr descr="figures/tri/fp_paired_midlife_tg_vad_scenarios.png" id="0" name="Picture"/>
                    <pic:cNvPicPr>
                      <a:picLocks noChangeArrowheads="1" noChangeAspect="1"/>
                    </pic:cNvPicPr>
                  </pic:nvPicPr>
                  <pic:blipFill>
                    <a:blip r:embed="rId770"/>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bookmarkEnd w:id="771"/>
    <w:bookmarkEnd w:id="772"/>
    <w:bookmarkStart w:id="775" w:name="chapter-8"/>
    <w:p>
      <w:pPr>
        <w:pStyle w:val="Heading2"/>
      </w:pPr>
      <w:r>
        <w:t xml:space="preserve">Chapter</w:t>
      </w:r>
      <w:r>
        <w:t xml:space="preserve"> </w:t>
      </w:r>
      <w:r>
        <w:t xml:space="preserve">8</w:t>
      </w:r>
    </w:p>
    <w:bookmarkStart w:id="773" w:name="disc-repro-research"/>
    <w:p>
      <w:pPr>
        <w:pStyle w:val="Heading3"/>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Unfortunately, given the. However, as discussed in other chapters of this thesis and elsewhere, sharing of analysis code is a useful step towards transparency when the underlying datasets are not readily available.</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773"/>
    <w:bookmarkStart w:id="774" w:name="appendix-catalogue-failures"/>
    <w:p>
      <w:pPr>
        <w:pStyle w:val="Heading3"/>
      </w:pPr>
      <w:r>
        <w:t xml:space="preserve">Catalogue of failures</w:t>
      </w:r>
    </w:p>
    <w:p>
      <w:pPr>
        <w:pStyle w:val="FirstParagraph"/>
      </w:pPr>
      <w:r>
        <w:t xml:space="preserve">Short section detailing the things I tried to do but which did not work:</w:t>
      </w:r>
    </w:p>
    <w:p>
      <w:pPr>
        <w:numPr>
          <w:ilvl w:val="0"/>
          <w:numId w:val="1029"/>
        </w:numPr>
      </w:pPr>
      <w:r>
        <w:t xml:space="preserve">Failed to properly scope the literature and correctly estimate the number of studies returned by the search</w:t>
      </w:r>
    </w:p>
    <w:p>
      <w:pPr>
        <w:numPr>
          <w:ilvl w:val="0"/>
          <w:numId w:val="1029"/>
        </w:numPr>
      </w:pPr>
      <w:r>
        <w:t xml:space="preserve">Failed IV analysis of anti-HC drugs because of low numbers of non-statins.</w:t>
      </w:r>
    </w:p>
    <w:p>
      <w:pPr>
        <w:numPr>
          <w:ilvl w:val="0"/>
          <w:numId w:val="1029"/>
        </w:numPr>
      </w:pPr>
      <w:r>
        <w:t xml:space="preserve">Failed to realise that the initial code list used for the positive control outcome of IHD in the CPRD analysis (Chapter</w:t>
      </w:r>
      <w:r>
        <w:t xml:space="preserve"> </w:t>
      </w:r>
      <w:r>
        <w:t xml:space="preserve">??</w:t>
      </w:r>
      <w:r>
        <w:t xml:space="preserve">)</w:t>
      </w:r>
    </w:p>
    <w:p>
      <w:pPr>
        <w:numPr>
          <w:ilvl w:val="0"/>
          <w:numId w:val="1029"/>
        </w:numPr>
      </w:pPr>
      <w:r>
        <w:t xml:space="preserve">Unsuccessful grant application with Andy</w:t>
      </w:r>
    </w:p>
    <w:p>
      <w:pPr>
        <w:numPr>
          <w:ilvl w:val="0"/>
          <w:numId w:val="1029"/>
        </w:numPr>
      </w:pPr>
      <w:r>
        <w:t xml:space="preserve">Unsuccessful grant application with Chris Penfold</w:t>
      </w:r>
    </w:p>
    <w:p>
      <w:pPr>
        <w:numPr>
          <w:ilvl w:val="0"/>
          <w:numId w:val="1029"/>
        </w:numPr>
      </w:pPr>
      <w:r>
        <w:t xml:space="preserve">Unsuccessful grant application with Matt</w:t>
      </w:r>
    </w:p>
    <w:p>
      <w:pPr>
        <w:numPr>
          <w:ilvl w:val="0"/>
          <w:numId w:val="1029"/>
        </w:numPr>
      </w:pPr>
      <w:r>
        <w:t xml:space="preserve">Instrumental variable analysis of lipid regulation use using physicians prescribing preference.</w:t>
      </w:r>
    </w:p>
    <w:p>
      <w:pPr>
        <w:numPr>
          <w:ilvl w:val="0"/>
          <w:numId w:val="1029"/>
        </w:numPr>
      </w:pPr>
      <w:r>
        <w:t xml:space="preserve">2 x unsuccessful conference abstracts</w:t>
      </w:r>
    </w:p>
    <w:bookmarkEnd w:id="774"/>
    <w:bookmarkEnd w:id="775"/>
    <w:bookmarkEnd w:id="776"/>
    <w:bookmarkStart w:id="780" w:name="other-appendix-heading"/>
    <w:p>
      <w:pPr>
        <w:pStyle w:val="Heading1"/>
      </w:pPr>
      <w:r>
        <w:t xml:space="preserve">Other Appendices</w:t>
      </w:r>
    </w:p>
    <w:bookmarkStart w:id="777"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metafor">
        <w:r>
          <w:rPr>
            <w:rStyle w:val="Hyperlink"/>
            <w:vertAlign w:val="superscript"/>
          </w:rPr>
          <w:t xml:space="preserve">170</w:t>
        </w:r>
      </w:hyperlink>
      <w:r>
        <w:rPr>
          <w:vertAlign w:val="superscript"/>
        </w:rPr>
        <w:t xml:space="preserve">,</w:t>
      </w:r>
      <w:hyperlink w:anchor="ref-R-base">
        <w:r>
          <w:rPr>
            <w:rStyle w:val="Hyperlink"/>
            <w:vertAlign w:val="superscript"/>
          </w:rPr>
          <w:t xml:space="preserve">359</w:t>
        </w:r>
      </w:hyperlink>
      <w:r>
        <w:rPr>
          <w:vertAlign w:val="superscript"/>
        </w:rPr>
        <w:t xml:space="preserve">–</w:t>
      </w:r>
      <w:hyperlink w:anchor="ref-sf2018">
        <w:r>
          <w:rPr>
            <w:rStyle w:val="Hyperlink"/>
            <w:vertAlign w:val="superscript"/>
          </w:rPr>
          <w:t xml:space="preserve">387</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388</w:t>
        </w:r>
      </w:hyperlink>
      <w:r>
        <w:rPr>
          <w:vertAlign w:val="superscript"/>
        </w:rPr>
        <w:t xml:space="preserve">,</w:t>
      </w:r>
      <w:hyperlink w:anchor="ref-wilson2017">
        <w:r>
          <w:rPr>
            <w:rStyle w:val="Hyperlink"/>
            <w:vertAlign w:val="superscript"/>
          </w:rPr>
          <w:t xml:space="preserve">389</w:t>
        </w:r>
      </w:hyperlink>
    </w:p>
    <w:bookmarkEnd w:id="777"/>
    <w:bookmarkStart w:id="778" w:name="appendix-robvis"/>
    <w:p>
      <w:pPr>
        <w:pStyle w:val="Heading2"/>
      </w:pPr>
      <w:r>
        <w:t xml:space="preserve">Producing risk-of-bias visualisations with</w:t>
      </w:r>
      <w:r>
        <w:t xml:space="preserve"> </w:t>
      </w:r>
      <w:r>
        <w:rPr>
          <w:rStyle w:val="VerbatimChar"/>
        </w:rPr>
        <w:t xml:space="preserve">robvis</w:t>
      </w:r>
    </w:p>
    <w:p>
      <w:pPr>
        <w:pStyle w:val="FirstParagraph"/>
      </w:pPr>
      <w:r>
        <w:rPr>
          <w:iCs/>
          <w:i/>
        </w:rPr>
        <w:t xml:space="preserve">TBC</w:t>
      </w:r>
    </w:p>
    <w:p>
      <w:r>
        <w:br w:type="page"/>
      </w:r>
    </w:p>
    <w:bookmarkEnd w:id="778"/>
    <w:bookmarkStart w:id="779"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79"/>
    <w:bookmarkEnd w:id="780"/>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187" Target="media/rId187.png" /><Relationship Type="http://schemas.openxmlformats.org/officeDocument/2006/relationships/image" Id="rId170" Target="media/rId170.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190" Target="media/rId190.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199" Target="media/rId199.png" /><Relationship Type="http://schemas.openxmlformats.org/officeDocument/2006/relationships/image" Id="rId175" Target="media/rId175.png" /><Relationship Type="http://schemas.openxmlformats.org/officeDocument/2006/relationships/image" Id="rId211" Target="media/rId211.png" /><Relationship Type="http://schemas.openxmlformats.org/officeDocument/2006/relationships/image" Id="rId179" Target="media/rId179.png" /><Relationship Type="http://schemas.openxmlformats.org/officeDocument/2006/relationships/image" Id="rId214" Target="media/rId214.png" /><Relationship Type="http://schemas.openxmlformats.org/officeDocument/2006/relationships/image" Id="rId259" Target="media/rId259.png" /><Relationship Type="http://schemas.openxmlformats.org/officeDocument/2006/relationships/image" Id="rId237" Target="media/rId237.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0" Target="media/rId250.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117" Target="media/rId117.png" /><Relationship Type="http://schemas.openxmlformats.org/officeDocument/2006/relationships/image" Id="rId759" Target="media/rId759.png" /><Relationship Type="http://schemas.openxmlformats.org/officeDocument/2006/relationships/image" Id="rId145" Target="media/rId145.png" /><Relationship Type="http://schemas.openxmlformats.org/officeDocument/2006/relationships/image" Id="rId758" Target="media/rId758.png" /><Relationship Type="http://schemas.openxmlformats.org/officeDocument/2006/relationships/image" Id="rId130" Target="media/rId130.png" /><Relationship Type="http://schemas.openxmlformats.org/officeDocument/2006/relationships/image" Id="rId133" Target="media/rId133.pdf" /><Relationship Type="http://schemas.openxmlformats.org/officeDocument/2006/relationships/image" Id="rId126" Target="media/rId126.pdf"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21" Target="media/rId121.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32" Target="media/rId132.png" /><Relationship Type="http://schemas.openxmlformats.org/officeDocument/2006/relationships/image" Id="rId125" Target="media/rId125.png" /><Relationship Type="http://schemas.openxmlformats.org/officeDocument/2006/relationships/image" Id="rId139" Target="media/rId139.png" /><Relationship Type="http://schemas.openxmlformats.org/officeDocument/2006/relationships/image" Id="rId120" Target="media/rId120.png" /><Relationship Type="http://schemas.openxmlformats.org/officeDocument/2006/relationships/image" Id="rId153" Target="media/rId153.png" /><Relationship Type="http://schemas.openxmlformats.org/officeDocument/2006/relationships/image" Id="rId134" Target="media/rId134.png" /><Relationship Type="http://schemas.openxmlformats.org/officeDocument/2006/relationships/image" Id="rId155" Target="media/rId155.png" /><Relationship Type="http://schemas.openxmlformats.org/officeDocument/2006/relationships/image" Id="rId114" Target="media/rId114.png" /><Relationship Type="http://schemas.openxmlformats.org/officeDocument/2006/relationships/image" Id="rId150" Target="media/rId150.png" /><Relationship Type="http://schemas.openxmlformats.org/officeDocument/2006/relationships/image" Id="rId278" Target="media/rId278.png" /><Relationship Type="http://schemas.openxmlformats.org/officeDocument/2006/relationships/image" Id="rId288" Target="media/rId288.png" /><Relationship Type="http://schemas.openxmlformats.org/officeDocument/2006/relationships/image" Id="rId769" Target="media/rId769.png" /><Relationship Type="http://schemas.openxmlformats.org/officeDocument/2006/relationships/image" Id="rId291" Target="media/rId291.png" /><Relationship Type="http://schemas.openxmlformats.org/officeDocument/2006/relationships/image" Id="rId770" Target="media/rId770.png" /><Relationship Type="http://schemas.openxmlformats.org/officeDocument/2006/relationships/image" Id="rId287" Target="media/rId287.png" /><Relationship Type="http://schemas.openxmlformats.org/officeDocument/2006/relationships/image" Id="rId285" Target="media/rId285.png" /><Relationship Type="http://schemas.openxmlformats.org/officeDocument/2006/relationships/image" Id="rId290" Target="media/rId290.png" /><Relationship Type="http://schemas.openxmlformats.org/officeDocument/2006/relationships/hyperlink" Id="rId58" Target="https://docs.ropensci.org/medrxivr/" TargetMode="External" /><Relationship Type="http://schemas.openxmlformats.org/officeDocument/2006/relationships/hyperlink" Id="rId395" Target="https://doi.org/10.1002/14651858.CD003160.pub3" TargetMode="External" /><Relationship Type="http://schemas.openxmlformats.org/officeDocument/2006/relationships/hyperlink" Id="rId710" Target="https://doi.org/10.1002/14651858.ED000076" TargetMode="External" /><Relationship Type="http://schemas.openxmlformats.org/officeDocument/2006/relationships/hyperlink" Id="rId412"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352" Target="https://doi.org/10.1016/j.neuropharm.2020.108352" TargetMode="External" /><Relationship Type="http://schemas.openxmlformats.org/officeDocument/2006/relationships/hyperlink" Id="rId484" Target="https://doi.org/10.1093/ije/dyab050" TargetMode="External" /><Relationship Type="http://schemas.openxmlformats.org/officeDocument/2006/relationships/hyperlink" Id="rId602" Target="https://doi.org/10.1101/168674" TargetMode="External" /><Relationship Type="http://schemas.openxmlformats.org/officeDocument/2006/relationships/hyperlink" Id="rId597" Target="https://doi.org/10.1101/170241" TargetMode="External" /><Relationship Type="http://schemas.openxmlformats.org/officeDocument/2006/relationships/hyperlink" Id="rId472" Target="https://doi.org/10.1101/19000265" TargetMode="External" /><Relationship Type="http://schemas.openxmlformats.org/officeDocument/2006/relationships/hyperlink" Id="rId417" Target="https://doi.org/10.1101/2020.05.22.111294" TargetMode="External" /><Relationship Type="http://schemas.openxmlformats.org/officeDocument/2006/relationships/hyperlink" Id="rId462" Target="https://doi.org/10.1101/2020.11.23.394577" TargetMode="External" /><Relationship Type="http://schemas.openxmlformats.org/officeDocument/2006/relationships/hyperlink" Id="rId425" Target="https://doi.org/10.1101/2021.03.04.433874" TargetMode="External" /><Relationship Type="http://schemas.openxmlformats.org/officeDocument/2006/relationships/hyperlink" Id="rId510"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0" Target="https://doi.org/10.1101/689752" TargetMode="External" /><Relationship Type="http://schemas.openxmlformats.org/officeDocument/2006/relationships/hyperlink" Id="rId447" Target="https://doi.org/10.1101/833400" TargetMode="External" /><Relationship Type="http://schemas.openxmlformats.org/officeDocument/2006/relationships/hyperlink" Id="rId608" Target="https://doi.org/10.1111/j.1447-0594.2009.00579.x" TargetMode="External" /><Relationship Type="http://schemas.openxmlformats.org/officeDocument/2006/relationships/hyperlink" Id="rId408" Target="https://doi.org/10.1111/jebm.12265" TargetMode="External" /><Relationship Type="http://schemas.openxmlformats.org/officeDocument/2006/relationships/hyperlink" Id="rId475" Target="https://doi.org/10.1136/bmj.l6365" TargetMode="External" /><Relationship Type="http://schemas.openxmlformats.org/officeDocument/2006/relationships/hyperlink" Id="rId487" Target="https://doi.org/10.1145/2601248.2601268" TargetMode="External" /><Relationship Type="http://schemas.openxmlformats.org/officeDocument/2006/relationships/hyperlink" Id="rId456" Target="https://doi.org/10.1145/582128.582152" TargetMode="External" /><Relationship Type="http://schemas.openxmlformats.org/officeDocument/2006/relationships/hyperlink" Id="rId49" Target="https://doi.org/10.1371/journal.pone.0250887" TargetMode="External" /><Relationship Type="http://schemas.openxmlformats.org/officeDocument/2006/relationships/hyperlink" Id="rId481"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6" Target="https://doi.org/10.31222/osf.io/p75xe" TargetMode="External" /><Relationship Type="http://schemas.openxmlformats.org/officeDocument/2006/relationships/hyperlink" Id="rId479" Target="https://doi.org/10.3758/s13428-020-01436-x" TargetMode="External" /><Relationship Type="http://schemas.openxmlformats.org/officeDocument/2006/relationships/hyperlink" Id="rId57" Target="https://github.com/ropensci/medrxivr" TargetMode="External" /></Relationships>
</file>

<file path=word/_rels/footnotes.xml.rels><?xml version="1.0" encoding="UTF-8"?>
<Relationships xmlns="http://schemas.openxmlformats.org/package/2006/relationships"><Relationship Type="http://schemas.openxmlformats.org/officeDocument/2006/relationships/hyperlink" Id="rId58" Target="https://docs.ropensci.org/medrxivr/" TargetMode="External" /><Relationship Type="http://schemas.openxmlformats.org/officeDocument/2006/relationships/hyperlink" Id="rId395" Target="https://doi.org/10.1002/14651858.CD003160.pub3" TargetMode="External" /><Relationship Type="http://schemas.openxmlformats.org/officeDocument/2006/relationships/hyperlink" Id="rId710" Target="https://doi.org/10.1002/14651858.ED000076" TargetMode="External" /><Relationship Type="http://schemas.openxmlformats.org/officeDocument/2006/relationships/hyperlink" Id="rId412"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352" Target="https://doi.org/10.1016/j.neuropharm.2020.108352" TargetMode="External" /><Relationship Type="http://schemas.openxmlformats.org/officeDocument/2006/relationships/hyperlink" Id="rId484" Target="https://doi.org/10.1093/ije/dyab050" TargetMode="External" /><Relationship Type="http://schemas.openxmlformats.org/officeDocument/2006/relationships/hyperlink" Id="rId602" Target="https://doi.org/10.1101/168674" TargetMode="External" /><Relationship Type="http://schemas.openxmlformats.org/officeDocument/2006/relationships/hyperlink" Id="rId597" Target="https://doi.org/10.1101/170241" TargetMode="External" /><Relationship Type="http://schemas.openxmlformats.org/officeDocument/2006/relationships/hyperlink" Id="rId472" Target="https://doi.org/10.1101/19000265" TargetMode="External" /><Relationship Type="http://schemas.openxmlformats.org/officeDocument/2006/relationships/hyperlink" Id="rId417" Target="https://doi.org/10.1101/2020.05.22.111294" TargetMode="External" /><Relationship Type="http://schemas.openxmlformats.org/officeDocument/2006/relationships/hyperlink" Id="rId462" Target="https://doi.org/10.1101/2020.11.23.394577" TargetMode="External" /><Relationship Type="http://schemas.openxmlformats.org/officeDocument/2006/relationships/hyperlink" Id="rId425" Target="https://doi.org/10.1101/2021.03.04.433874" TargetMode="External" /><Relationship Type="http://schemas.openxmlformats.org/officeDocument/2006/relationships/hyperlink" Id="rId510"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0" Target="https://doi.org/10.1101/689752" TargetMode="External" /><Relationship Type="http://schemas.openxmlformats.org/officeDocument/2006/relationships/hyperlink" Id="rId447" Target="https://doi.org/10.1101/833400" TargetMode="External" /><Relationship Type="http://schemas.openxmlformats.org/officeDocument/2006/relationships/hyperlink" Id="rId608" Target="https://doi.org/10.1111/j.1447-0594.2009.00579.x" TargetMode="External" /><Relationship Type="http://schemas.openxmlformats.org/officeDocument/2006/relationships/hyperlink" Id="rId408" Target="https://doi.org/10.1111/jebm.12265" TargetMode="External" /><Relationship Type="http://schemas.openxmlformats.org/officeDocument/2006/relationships/hyperlink" Id="rId475" Target="https://doi.org/10.1136/bmj.l6365" TargetMode="External" /><Relationship Type="http://schemas.openxmlformats.org/officeDocument/2006/relationships/hyperlink" Id="rId487" Target="https://doi.org/10.1145/2601248.2601268" TargetMode="External" /><Relationship Type="http://schemas.openxmlformats.org/officeDocument/2006/relationships/hyperlink" Id="rId456" Target="https://doi.org/10.1145/582128.582152" TargetMode="External" /><Relationship Type="http://schemas.openxmlformats.org/officeDocument/2006/relationships/hyperlink" Id="rId49" Target="https://doi.org/10.1371/journal.pone.0250887" TargetMode="External" /><Relationship Type="http://schemas.openxmlformats.org/officeDocument/2006/relationships/hyperlink" Id="rId481"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6" Target="https://doi.org/10.31222/osf.io/p75xe" TargetMode="External" /><Relationship Type="http://schemas.openxmlformats.org/officeDocument/2006/relationships/hyperlink" Id="rId479" Target="https://doi.org/10.3758/s13428-020-01436-x" TargetMode="External" /><Relationship Type="http://schemas.openxmlformats.org/officeDocument/2006/relationships/hyperlink" Id="rId57" Target="https://github.com/ropensci/medrxiv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2021-12-06T03:12:05Z</dcterms:created>
  <dcterms:modified xsi:type="dcterms:W3CDTF">2021-12-06T03:12:05Z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Identification of causal relationships between modifiable targets and risk of dementia is central to the development of evidence-based prevention strategies. Blood lipid levels have been implicated in the aetiology of dementia by genetic linkage and functional cell biology studies, but current epidemiological evidence has yet to reach a consensus on their role in dementia risk. This thesis sought to triangulate the causal effects of lipid levels (total cholesterol, LDL-c, HDL-c, and triglycerides) on risk of incident dementia (all-cause dementia, Alzheimer’s disease, and vascular dementia) using existing and new evidence. Methods: Four distinct analyses were conducted. Firstly, a systematic review of 81 published and preprinted studies was used to summarise the existing evidence base. Preprints were searched using a new research tool created as part of this thesis. The existing evidence was then supplemented via two primary studies: i) a cohort study of the association of lipid regulating agents and dementia incidence in the Clinical Practice Research Datalink (CPRD); and ii) an individual participant data meta-analysis of the association of blood lipids with dementia incidence in previously unanalysed cohorts accessed through the Dementia Platform UK. Finally, a novel quantitative triangulation framework was proposed, building on recent developments in risk-of-bias assessment and bias-/indirectness-adjusted meta-analyses. This framework was then used to quantitatively triangulate the evidence identified and produced by this thesis. Results: The systematic review did not identify a consistent effect of blood lipids on any dementia outcome across study designs, through there was some suggestion of a protective effect of LDL-c lowering on all-cause dementia and Alzheimerâ€™s disease in observational studies of statin use. The analysis of lipid regulating agents in the CPRD provided weak evidence for a protective effect of statins on all-cause dementia and Alzheimer’s disease but suggested a harmful association with vascular dementia. However, the use of control outcomes illustrated this finding was likely due to confounding by indication related to vascular factors. The individual participant data meta-analysis suffered from a low response rate to data access requests, but in the three cohorts analysed, there was some evidence only for the association of triglycerides and vascular dementia. Finally, the triangulation analysis integrating the results of the previous three studies did not provide strong evidence for the causal effect of blood lipids on dementia outcomes. Conclusions: This thesis provides new evidence concerning the role of blood lipids as a modifiable risk factor for dementia and highlights the uncertainty that still remains in relation to this causal question. In addition, it has developed new evidence synthesis methods and tools, specifically around the inclusion of preprints in systematic reviews and the quantitative triangulation of evidence sources.</vt:lpwstr>
  </property>
  <property fmtid="{D5CDD505-2E9C-101B-9397-08002B2CF9AE}" pid="4" name="abstractseparate">
    <vt:lpwstr>True</vt:lpwstr>
  </property>
  <property fmtid="{D5CDD505-2E9C-101B-9397-08002B2CF9AE}" pid="5" name="acknowledgements">
    <vt:lpwstr>ProfessionalThere are so many people without those input this work would have been severly diminised:SupervisorsSharen O’Keffe, Neal Haddaway, Martin Westgate, Emily Hennessy, Randall Boyes, Alex J Fowler,robvis contributors: (there are at least 3)Annual reviewers: Rupert Payne and Emma AndersonThose who contributed their time to dual marking papers and data extracting with me,Thanks to those researchers, namely Francesca for sharing advance copy of her review of tools to assess Mendelian randomisation studies, and Rebecca Turner for pointing me towards the code underpinning the quantitative triangulation framework.I am a NIHR Doctoral Research Fellow, supported by grant TBC. The funding source had no role in the design, conduct of the study, collection, management, analysis and interpretation or preparation, review, or approval of the thesis. The opinions in this thesis are my own and do not necessarily reflect the views of any of the funder.Thanks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GourlayPersonalThanks to the Canygne hall crew, for keeping me sane during write-up.Finally,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December 2021</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48351</vt:lpwstr>
  </property>
</Properties>
</file>