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58D6" w14:textId="77777777" w:rsidR="00381D4B" w:rsidRDefault="00482E76">
      <w:pPr>
        <w:pStyle w:val="Date"/>
      </w:pPr>
      <w:r>
        <w:t>Manuscript last updated: 13 October, 2021</w:t>
      </w:r>
    </w:p>
    <w:p w14:paraId="161858D7" w14:textId="77777777" w:rsidR="00381D4B" w:rsidRDefault="00482E76">
      <w:pPr>
        <w:pStyle w:val="Heading1"/>
      </w:pPr>
      <w:bookmarkStart w:id="0" w:name="front-matter"/>
      <w:r>
        <w:t>Front matter</w:t>
      </w:r>
    </w:p>
    <w:p w14:paraId="161858D8" w14:textId="77777777" w:rsidR="00381D4B" w:rsidRDefault="00482E76">
      <w:pPr>
        <w:pStyle w:val="FirstParagraph"/>
      </w:pPr>
      <w:r>
        <w:rPr>
          <w:b/>
          <w:bCs/>
        </w:rPr>
        <w:t>Type of manuscript:</w:t>
      </w:r>
    </w:p>
    <w:p w14:paraId="161858D9" w14:textId="77777777" w:rsidR="00381D4B" w:rsidRDefault="00482E76">
      <w:pPr>
        <w:pStyle w:val="BodyText"/>
      </w:pPr>
      <w:r>
        <w:t>Original Research Article</w:t>
      </w:r>
    </w:p>
    <w:p w14:paraId="161858DA" w14:textId="77777777" w:rsidR="00381D4B" w:rsidRDefault="00482E76">
      <w:pPr>
        <w:pStyle w:val="BodyText"/>
      </w:pPr>
      <w:r>
        <w:t> </w:t>
      </w:r>
    </w:p>
    <w:p w14:paraId="161858DB" w14:textId="77777777" w:rsidR="00381D4B" w:rsidRDefault="00482E76">
      <w:pPr>
        <w:pStyle w:val="BodyText"/>
      </w:pPr>
      <w:r>
        <w:rPr>
          <w:b/>
          <w:bCs/>
        </w:rPr>
        <w:t xml:space="preserve">Title: </w:t>
      </w:r>
    </w:p>
    <w:p w14:paraId="161858DC" w14:textId="77777777" w:rsidR="00381D4B" w:rsidRDefault="00482E76">
      <w:pPr>
        <w:pStyle w:val="BodyText"/>
      </w:pPr>
      <w:r>
        <w:t>Association of lipid-regulating drugs with dementia and related conditions: an observational study of data from the Clinical Practice Research Datalink</w:t>
      </w:r>
    </w:p>
    <w:p w14:paraId="161858DD" w14:textId="77777777" w:rsidR="00381D4B" w:rsidRDefault="00482E76">
      <w:pPr>
        <w:pStyle w:val="BodyText"/>
      </w:pPr>
      <w:r>
        <w:t> </w:t>
      </w:r>
    </w:p>
    <w:p w14:paraId="161858DE" w14:textId="77777777" w:rsidR="00381D4B" w:rsidRDefault="00482E76">
      <w:pPr>
        <w:pStyle w:val="BodyText"/>
      </w:pPr>
      <w:r>
        <w:rPr>
          <w:b/>
          <w:bCs/>
        </w:rPr>
        <w:t>Authors and affiliations:</w:t>
      </w:r>
    </w:p>
    <w:p w14:paraId="161858DF" w14:textId="77777777" w:rsidR="00381D4B" w:rsidRDefault="00482E76">
      <w:pPr>
        <w:pStyle w:val="BodyText"/>
      </w:pPr>
      <w:r>
        <w:t>Luke A McGuinness</w:t>
      </w:r>
      <w:r>
        <w:rPr>
          <w:vertAlign w:val="superscript"/>
        </w:rPr>
        <w:t>1,2,*</w:t>
      </w:r>
      <w:r>
        <w:t>, Julian PT Higgins</w:t>
      </w:r>
      <w:r>
        <w:rPr>
          <w:vertAlign w:val="superscript"/>
        </w:rPr>
        <w:t>1,2,3</w:t>
      </w:r>
      <w:r>
        <w:t>, Venexia M Walker</w:t>
      </w:r>
      <w:r>
        <w:rPr>
          <w:vertAlign w:val="superscript"/>
        </w:rPr>
        <w:t>1,2,4</w:t>
      </w:r>
      <w:r>
        <w:t xml:space="preserve">, Neil </w:t>
      </w:r>
      <w:r>
        <w:t>M Davies</w:t>
      </w:r>
      <w:r>
        <w:rPr>
          <w:vertAlign w:val="superscript"/>
        </w:rPr>
        <w:t>1,2</w:t>
      </w:r>
      <w:r>
        <w:t>, Richard M Martin</w:t>
      </w:r>
      <w:r>
        <w:rPr>
          <w:vertAlign w:val="superscript"/>
        </w:rPr>
        <w:t>1,2,3</w:t>
      </w:r>
      <w:r>
        <w:t>, Elizabeth Coulthard</w:t>
      </w:r>
      <w:r>
        <w:rPr>
          <w:vertAlign w:val="superscript"/>
        </w:rPr>
        <w:t>5</w:t>
      </w:r>
      <w:r>
        <w:t>, George Davey-Smith</w:t>
      </w:r>
      <w:r>
        <w:rPr>
          <w:vertAlign w:val="superscript"/>
        </w:rPr>
        <w:t>1,2,3</w:t>
      </w:r>
      <w:r>
        <w:t>, Patrick G Kehoe</w:t>
      </w:r>
      <w:r>
        <w:rPr>
          <w:vertAlign w:val="superscript"/>
        </w:rPr>
        <w:t>5</w:t>
      </w:r>
      <w:r>
        <w:t xml:space="preserve"> and Yoav Ben-Shlomo</w:t>
      </w:r>
      <w:r>
        <w:rPr>
          <w:vertAlign w:val="superscript"/>
        </w:rPr>
        <w:t>2</w:t>
      </w:r>
    </w:p>
    <w:p w14:paraId="161858E0" w14:textId="77777777" w:rsidR="00381D4B" w:rsidRDefault="00482E76">
      <w:pPr>
        <w:pStyle w:val="Compact"/>
        <w:numPr>
          <w:ilvl w:val="0"/>
          <w:numId w:val="26"/>
        </w:numPr>
      </w:pPr>
      <w:r>
        <w:t>MRC University of Bristol Integrative Epidemiology Unit, Bristol, UK</w:t>
      </w:r>
    </w:p>
    <w:p w14:paraId="161858E1" w14:textId="77777777" w:rsidR="00381D4B" w:rsidRDefault="00482E76">
      <w:pPr>
        <w:pStyle w:val="Compact"/>
        <w:numPr>
          <w:ilvl w:val="0"/>
          <w:numId w:val="26"/>
        </w:numPr>
      </w:pPr>
      <w:r>
        <w:t xml:space="preserve">Bristol Medical School: Population Health Sciences, University of </w:t>
      </w:r>
      <w:r>
        <w:t>Bristol, Bristol, UK</w:t>
      </w:r>
    </w:p>
    <w:p w14:paraId="161858E2" w14:textId="77777777" w:rsidR="00381D4B" w:rsidRDefault="00482E76">
      <w:pPr>
        <w:pStyle w:val="Compact"/>
        <w:numPr>
          <w:ilvl w:val="0"/>
          <w:numId w:val="26"/>
        </w:numPr>
      </w:pPr>
      <w:r>
        <w:t>NIHR Biomedical Research Centre at University Hospitals Bristol and Weston NHS Foundation Trust and the University of Bristol.</w:t>
      </w:r>
    </w:p>
    <w:p w14:paraId="161858E3" w14:textId="77777777" w:rsidR="00381D4B" w:rsidRDefault="00482E76">
      <w:pPr>
        <w:pStyle w:val="Compact"/>
        <w:numPr>
          <w:ilvl w:val="0"/>
          <w:numId w:val="26"/>
        </w:numPr>
      </w:pPr>
      <w:r>
        <w:t>Department of Surgery, University of Pennsylvania Perelman School of Medicine, Philadelphia, USA</w:t>
      </w:r>
    </w:p>
    <w:p w14:paraId="161858E4" w14:textId="77777777" w:rsidR="00381D4B" w:rsidRDefault="00482E76">
      <w:pPr>
        <w:pStyle w:val="Compact"/>
        <w:numPr>
          <w:ilvl w:val="0"/>
          <w:numId w:val="26"/>
        </w:numPr>
      </w:pPr>
      <w:r>
        <w:t>Bristol Med</w:t>
      </w:r>
      <w:r>
        <w:t>ical School: Translational Health Sciences, University of Bristol, Bristol, UK</w:t>
      </w:r>
    </w:p>
    <w:p w14:paraId="161858E5" w14:textId="77777777" w:rsidR="00381D4B" w:rsidRDefault="00482E76">
      <w:pPr>
        <w:pStyle w:val="FirstParagraph"/>
      </w:pPr>
      <w:r>
        <w:t> </w:t>
      </w:r>
    </w:p>
    <w:p w14:paraId="161858E6" w14:textId="77777777" w:rsidR="00381D4B" w:rsidRDefault="00482E76">
      <w:pPr>
        <w:pStyle w:val="BodyText"/>
      </w:pPr>
      <w:r>
        <w:rPr>
          <w:b/>
          <w:bCs/>
        </w:rPr>
        <w:t>Corresponding author:</w:t>
      </w:r>
    </w:p>
    <w:p w14:paraId="161858E7" w14:textId="77777777" w:rsidR="00381D4B" w:rsidRDefault="00482E76">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161858E8" w14:textId="77777777" w:rsidR="00381D4B" w:rsidRDefault="00482E76">
      <w:pPr>
        <w:pStyle w:val="BodyText"/>
      </w:pPr>
      <w:r>
        <w:t> </w:t>
      </w:r>
    </w:p>
    <w:p w14:paraId="161858E9" w14:textId="77777777" w:rsidR="00381D4B" w:rsidRDefault="00482E76">
      <w:pPr>
        <w:pStyle w:val="BodyText"/>
      </w:pPr>
      <w:r>
        <w:rPr>
          <w:b/>
          <w:bCs/>
        </w:rPr>
        <w:t>Word counts</w:t>
      </w:r>
    </w:p>
    <w:p w14:paraId="161858EA" w14:textId="3860FE7A" w:rsidR="00381D4B" w:rsidRDefault="00482E76">
      <w:pPr>
        <w:pStyle w:val="Compact"/>
        <w:numPr>
          <w:ilvl w:val="0"/>
          <w:numId w:val="27"/>
        </w:numPr>
      </w:pPr>
      <w:r>
        <w:t>Main text word count (max 4000): 3</w:t>
      </w:r>
      <w:r w:rsidR="00F55127">
        <w:t>398</w:t>
      </w:r>
    </w:p>
    <w:p w14:paraId="161858EB" w14:textId="4D026B31" w:rsidR="00381D4B" w:rsidRDefault="00482E76">
      <w:pPr>
        <w:pStyle w:val="Compact"/>
        <w:numPr>
          <w:ilvl w:val="0"/>
          <w:numId w:val="27"/>
        </w:numPr>
      </w:pPr>
      <w:r>
        <w:t>Abstract word count (max 250): 2</w:t>
      </w:r>
      <w:r w:rsidR="00F55127">
        <w:t>48</w:t>
      </w:r>
    </w:p>
    <w:p w14:paraId="161858EC" w14:textId="77777777" w:rsidR="00381D4B" w:rsidRDefault="00482E76">
      <w:r>
        <w:br w:type="page"/>
      </w:r>
    </w:p>
    <w:p w14:paraId="161858ED" w14:textId="77777777" w:rsidR="00381D4B" w:rsidRDefault="00482E76">
      <w:pPr>
        <w:pStyle w:val="Heading1"/>
      </w:pPr>
      <w:bookmarkStart w:id="1" w:name="abstract"/>
      <w:bookmarkEnd w:id="0"/>
      <w:r>
        <w:lastRenderedPageBreak/>
        <w:t>Abstract</w:t>
      </w:r>
    </w:p>
    <w:p w14:paraId="161858EE" w14:textId="77777777" w:rsidR="00381D4B" w:rsidRDefault="00482E76">
      <w:pPr>
        <w:pStyle w:val="FirstParagraph"/>
      </w:pPr>
      <w:r>
        <w:rPr>
          <w:b/>
          <w:bCs/>
        </w:rPr>
        <w:t>Background:</w:t>
      </w:r>
      <w:r>
        <w:t xml:space="preserve"> There is some evidence that circulating blood lipids play a role in the development</w:t>
      </w:r>
      <w:r>
        <w:t xml:space="preserve"> of Alzheimer’s disease (AD) and dementia. These modifiable risk factors could be targeted by existing lipid-regulating agents, including statins, for dementia prevention. Here, we test the association between lipid-regulating agents and incidence of demen</w:t>
      </w:r>
      <w:r>
        <w:t>tia and related conditions in the Clinical Practice Research Datalink (CPRD), an United Kingdom-based electronic health record database.</w:t>
      </w:r>
    </w:p>
    <w:p w14:paraId="161858EF" w14:textId="77777777" w:rsidR="00381D4B" w:rsidRDefault="00482E76">
      <w:pPr>
        <w:pStyle w:val="BodyText"/>
      </w:pPr>
      <w:r>
        <w:rPr>
          <w:b/>
          <w:bCs/>
        </w:rPr>
        <w:t>Methods:</w:t>
      </w:r>
      <w:r>
        <w:t xml:space="preserve"> A retrospective cohort study was performed using routinely collected CPRD data (January 1995 and March 2016). </w:t>
      </w:r>
      <w:r>
        <w:t>Multivariable Cox proportional hazard models, allowing for a time-varying treatment indicator, were used to estimate the association between seven lipid-regulating drug classes (vs. no drug) and five dementia outcomes (all-cause, vascular and other dementi</w:t>
      </w:r>
      <w:r>
        <w:t>as, and probable and possible Alzheimer’s disease).</w:t>
      </w:r>
    </w:p>
    <w:p w14:paraId="161858F0" w14:textId="77777777" w:rsidR="00381D4B" w:rsidRDefault="00482E76">
      <w:pPr>
        <w:pStyle w:val="BodyText"/>
      </w:pPr>
      <w:r>
        <w:rPr>
          <w:b/>
          <w:bCs/>
        </w:rPr>
        <w:t>Results:</w:t>
      </w:r>
      <w:r>
        <w:t xml:space="preserve"> We analyzed 1,684,564 participants with a total follow-up of 10,835,685 patient-years (median: 5.9 years (IQR:2.7-9.7)). We found little evidence that lipid-regulating agents were associated with</w:t>
      </w:r>
      <w:r>
        <w:t xml:space="preserve"> incidence of Alzheimer’s disease (probable HR:0.98, 95%CI:0.94-1.01; possible HR:0.97, 95%CI:0.93-1.01), but there was evidence of an increased risk of all-cause (HR:1.17, 95%CI:1.14-1.19), vascular (HR:1.81, 95%CI:1.73-1.89) and other dementias (HR:1.19,</w:t>
      </w:r>
      <w:r>
        <w:t xml:space="preserve"> 95%CI:1.15-1.24). Evidence from a number of control outcomes indicated the presence of substantial residual confounding by indication (ischaemic heart disease HR: 1.62, 95%CI: 1.59-1.64; backpain HR: 1.04, 95%CI: 1.03-1.05; and Type 2 diabetes HR: 1.50, 9</w:t>
      </w:r>
      <w:r>
        <w:t>5%CI: 1.48-1.51).</w:t>
      </w:r>
    </w:p>
    <w:p w14:paraId="161858F1" w14:textId="77777777" w:rsidR="00381D4B" w:rsidRDefault="00482E76">
      <w:pPr>
        <w:pStyle w:val="BodyText"/>
      </w:pPr>
      <w:r>
        <w:rPr>
          <w:b/>
          <w:bCs/>
        </w:rPr>
        <w:t>Conclusion:</w:t>
      </w:r>
      <w:r>
        <w:t xml:space="preserve"> </w:t>
      </w:r>
      <w:r>
        <w:t>Lipid-regulating agents were not associated with reduced Alzheimer’s disease risk. There was some evidence of an increased the risk of all-cause, vascular and other dementias, likely due to residual confounding by indication.</w:t>
      </w:r>
    </w:p>
    <w:p w14:paraId="161858F2" w14:textId="77777777" w:rsidR="00381D4B" w:rsidRDefault="00482E76">
      <w:pPr>
        <w:pStyle w:val="BodyText"/>
      </w:pPr>
      <w:r>
        <w:rPr>
          <w:b/>
          <w:bCs/>
        </w:rPr>
        <w:t>Keywords:</w:t>
      </w:r>
      <w:r>
        <w:t xml:space="preserve"> Dementia; Alzheimer’</w:t>
      </w:r>
      <w:r>
        <w:t>s disease; Lipids; Statins; Cohort study; Observational study; Electronic health records</w:t>
      </w:r>
    </w:p>
    <w:p w14:paraId="161858F3" w14:textId="77777777" w:rsidR="00381D4B" w:rsidRDefault="00482E76">
      <w:r>
        <w:br w:type="page"/>
      </w:r>
    </w:p>
    <w:p w14:paraId="161858F4" w14:textId="77777777" w:rsidR="00381D4B" w:rsidRDefault="00482E76">
      <w:pPr>
        <w:pStyle w:val="Heading1"/>
      </w:pPr>
      <w:bookmarkStart w:id="2" w:name="key-messages"/>
      <w:bookmarkEnd w:id="1"/>
      <w:r>
        <w:lastRenderedPageBreak/>
        <w:t>Key messages</w:t>
      </w:r>
    </w:p>
    <w:p w14:paraId="161858F5" w14:textId="77777777" w:rsidR="00381D4B" w:rsidRDefault="00482E76">
      <w:pPr>
        <w:numPr>
          <w:ilvl w:val="0"/>
          <w:numId w:val="28"/>
        </w:numPr>
      </w:pPr>
      <w:r>
        <w:t>A large cohort of patients from the Clinical Practice Research Datalink (CPRD) electronic health record database was assembled to examine the associatio</w:t>
      </w:r>
      <w:r>
        <w:t>n of lipid-regulating agents, such as statins, with dementia outcomes.</w:t>
      </w:r>
    </w:p>
    <w:p w14:paraId="161858F6" w14:textId="77777777" w:rsidR="00381D4B" w:rsidRDefault="00482E76">
      <w:pPr>
        <w:numPr>
          <w:ilvl w:val="0"/>
          <w:numId w:val="28"/>
        </w:numPr>
      </w:pPr>
      <w:r>
        <w:t>There was little evidence that lipid-regulating agents were associated with Alzheimer’s disease, but there was some evidence for a harmful association with all-cause, vascular and other</w:t>
      </w:r>
      <w:r>
        <w:t xml:space="preserve"> dementias. In all cases, the estimated associations were driven by the any statin subgroup, which comprised most participants in our cohort.</w:t>
      </w:r>
    </w:p>
    <w:p w14:paraId="161858F7" w14:textId="77777777" w:rsidR="00381D4B" w:rsidRDefault="00482E76">
      <w:pPr>
        <w:numPr>
          <w:ilvl w:val="0"/>
          <w:numId w:val="28"/>
        </w:numPr>
      </w:pPr>
      <w:r>
        <w:t>Evidence from the control outcome analyses indicated strong residual confounding by indication, mostly likely rela</w:t>
      </w:r>
      <w:r>
        <w:t>ted to vascular factors.</w:t>
      </w:r>
    </w:p>
    <w:p w14:paraId="161858F8" w14:textId="77777777" w:rsidR="00381D4B" w:rsidRDefault="00482E76">
      <w:r>
        <w:br w:type="page"/>
      </w:r>
    </w:p>
    <w:p w14:paraId="161858F9" w14:textId="77777777" w:rsidR="00381D4B" w:rsidRDefault="00482E76">
      <w:pPr>
        <w:pStyle w:val="Heading1"/>
      </w:pPr>
      <w:bookmarkStart w:id="3" w:name="introduction"/>
      <w:bookmarkEnd w:id="2"/>
      <w:r>
        <w:lastRenderedPageBreak/>
        <w:t>Introduction</w:t>
      </w:r>
    </w:p>
    <w:p w14:paraId="161858FA" w14:textId="77777777" w:rsidR="00381D4B" w:rsidRDefault="00482E76">
      <w:pPr>
        <w:pStyle w:val="FirstParagraph"/>
      </w:pPr>
      <w:r>
        <w:t>Dementia is a major progressive neurocognitive disorder, the most common types of which are Alzheimer’s disease, vascular dementia and Lewy Body dementia.(1) Despite an increasing number of cases globally and decades of research, there remains much unknown</w:t>
      </w:r>
      <w:r>
        <w:t xml:space="preserve"> about the pathogenesis and progression of the disease, and, at present, no effective treatment exists to arrest, slow or reverse the cognitive decline associated with the condition.(2) Drug repurposing, the identification of new applications for previousl</w:t>
      </w:r>
      <w:r>
        <w:t>y approved drugs, may provide an efficient mechanism to discover new effective preventative and therapeutic treatments for dementia.(3,4)</w:t>
      </w:r>
    </w:p>
    <w:p w14:paraId="161858FB" w14:textId="77777777" w:rsidR="00381D4B" w:rsidRDefault="00482E76">
      <w:pPr>
        <w:pStyle w:val="BodyText"/>
      </w:pPr>
      <w:r>
        <w:t>Several cardiovascular factors have been identified as potential risk factors for dementia,(5) and of these, circulati</w:t>
      </w:r>
      <w:r>
        <w:t>ng lipid levels represent a promising target for intervention due to the ready availability of lipid-modifying treatments. In this context, determining whether lipid-regulating agents (LRA) could be repurposed for the prevention of dementia and related dis</w:t>
      </w:r>
      <w:r>
        <w:t>eases would be helpful in the development of evidence-based prevention policy. Several existing prospective studies have examined the association of LRA use with dementia.(6–10) However, many of these studies are small, record few outcomes, and had limited</w:t>
      </w:r>
      <w:r>
        <w:t xml:space="preserve"> follow-up.</w:t>
      </w:r>
    </w:p>
    <w:p w14:paraId="161858FC" w14:textId="77777777" w:rsidR="00381D4B" w:rsidRDefault="00482E76">
      <w:pPr>
        <w:pStyle w:val="BodyText"/>
      </w:pPr>
      <w:r>
        <w:t>The use of electronic health data for epidemiological research has several advantages.(11) As the data are collected through the routine care of a large cohort, they allow for nested cohort studies using sample sizes and time-scales which would</w:t>
      </w:r>
      <w:r>
        <w:t xml:space="preserve"> be infeasible using traditional methods. In addition, data are collected for care provision and without a specific research question in mind, providing a holistic picture of a patient and their health experience. While they may not contain information on </w:t>
      </w:r>
      <w:r>
        <w:t>all potentially important confounders,(12) electronic health records provide routine data on common covariates for millions of participants.</w:t>
      </w:r>
    </w:p>
    <w:p w14:paraId="161858FD" w14:textId="77777777" w:rsidR="00381D4B" w:rsidRDefault="00482E76">
      <w:pPr>
        <w:pStyle w:val="BodyText"/>
      </w:pPr>
      <w:r>
        <w:t>We therefore aimed to test the association between several major classes of LRA and all-cause dementia, Alzheimer’s</w:t>
      </w:r>
      <w:r>
        <w:t xml:space="preserve"> disease, vascular dementia and other dementias, in the Clinical Practice Research Datalink (CPRD), a large, population-based electronic health record (EHR) database from the United Kingdom.(13)</w:t>
      </w:r>
    </w:p>
    <w:p w14:paraId="161858FE" w14:textId="77777777" w:rsidR="00381D4B" w:rsidRDefault="00482E76">
      <w:r>
        <w:br w:type="page"/>
      </w:r>
    </w:p>
    <w:p w14:paraId="161858FF" w14:textId="77777777" w:rsidR="00381D4B" w:rsidRDefault="00482E76">
      <w:pPr>
        <w:pStyle w:val="Heading1"/>
      </w:pPr>
      <w:bookmarkStart w:id="4" w:name="methods"/>
      <w:bookmarkEnd w:id="3"/>
      <w:r>
        <w:lastRenderedPageBreak/>
        <w:t>Methods</w:t>
      </w:r>
    </w:p>
    <w:p w14:paraId="16185900" w14:textId="77777777" w:rsidR="00381D4B" w:rsidRDefault="00482E76">
      <w:pPr>
        <w:pStyle w:val="Heading2"/>
      </w:pPr>
      <w:bookmarkStart w:id="5" w:name="study-design-and-protocol"/>
      <w:r>
        <w:t>Study design and protocol</w:t>
      </w:r>
    </w:p>
    <w:p w14:paraId="16185901" w14:textId="77777777" w:rsidR="00381D4B" w:rsidRDefault="00482E76">
      <w:pPr>
        <w:pStyle w:val="FirstParagraph"/>
      </w:pPr>
      <w:r>
        <w:t>We defined a longitudinal</w:t>
      </w:r>
      <w:r>
        <w:t xml:space="preserve"> cohort using data from the CPRD. Our initial sample included all participants registered at a participating practice between 1 January 1995 and 29 February 2016 who had a flag for “research quality” data. Records pre-dating the 1995 cut-off were excluded </w:t>
      </w:r>
      <w:r>
        <w:t xml:space="preserve">from the analysis as data quality and reliability are thought to be higher after this date.(14) All events of interest were identified using predetermined code lists, which are available for inspection (see </w:t>
      </w:r>
      <w:hyperlink w:anchor="data-code-avail">
        <w:r>
          <w:rPr>
            <w:rStyle w:val="Hyperlink"/>
          </w:rPr>
          <w:t>Data/code a</w:t>
        </w:r>
        <w:r>
          <w:rPr>
            <w:rStyle w:val="Hyperlink"/>
          </w:rPr>
          <w:t>vailability</w:t>
        </w:r>
      </w:hyperlink>
      <w:r>
        <w:t>).</w:t>
      </w:r>
    </w:p>
    <w:p w14:paraId="16185902" w14:textId="77777777" w:rsidR="00381D4B" w:rsidRDefault="00482E76">
      <w:pPr>
        <w:pStyle w:val="BodyText"/>
      </w:pPr>
      <w:r>
        <w:t xml:space="preserve">An </w:t>
      </w:r>
      <w:r>
        <w:rPr>
          <w:i/>
          <w:iCs/>
        </w:rPr>
        <w:t>a priori</w:t>
      </w:r>
      <w:r>
        <w:t xml:space="preserve"> protocol for this study was published,(15) and amendments to this are recorded in Supplementary Materials 1. This study was reported in line with the RECORD guidelines (Supplementary Materials 2).(16)</w:t>
      </w:r>
    </w:p>
    <w:p w14:paraId="16185903" w14:textId="77777777" w:rsidR="00381D4B" w:rsidRDefault="00482E76">
      <w:pPr>
        <w:pStyle w:val="BodyText"/>
      </w:pPr>
      <w:r>
        <w:t> </w:t>
      </w:r>
    </w:p>
    <w:p w14:paraId="16185904" w14:textId="77777777" w:rsidR="00381D4B" w:rsidRDefault="00482E76">
      <w:pPr>
        <w:pStyle w:val="Heading2"/>
      </w:pPr>
      <w:bookmarkStart w:id="6" w:name="study-cohort"/>
      <w:bookmarkEnd w:id="5"/>
      <w:r>
        <w:t>Study Cohort</w:t>
      </w:r>
    </w:p>
    <w:p w14:paraId="16185905" w14:textId="71ECC06A" w:rsidR="00381D4B" w:rsidRDefault="00482E76">
      <w:pPr>
        <w:pStyle w:val="FirstParagraph"/>
      </w:pPr>
      <w:r>
        <w:t>Participants w</w:t>
      </w:r>
      <w:r>
        <w:t xml:space="preserve">ere included in our study cohort if their record contained any of the following index events: (a) a </w:t>
      </w:r>
      <w:r>
        <w:t xml:space="preserve">code for a diagnosis of hypercholesterolemia or related condition; (b) a </w:t>
      </w:r>
      <w:r>
        <w:t>code for prescription of a LRA (such as statins); (c) a total cholesterol</w:t>
      </w:r>
      <w:r>
        <w:t xml:space="preserve"> test result of &gt;4mmol/L; (d) or a low-density lipoprotein cholesterol (LDL-c) test result of &gt;2mmol/L.</w:t>
      </w:r>
    </w:p>
    <w:p w14:paraId="16185906" w14:textId="77777777" w:rsidR="00381D4B" w:rsidRDefault="00482E76">
      <w:pPr>
        <w:pStyle w:val="BodyText"/>
      </w:pPr>
      <w:r>
        <w:t>These index events allowed us to define a population of participants who were either at risk of hypercholesterolemia, as indicated by the elevated total</w:t>
      </w:r>
      <w:r>
        <w:t xml:space="preserve"> or LDL-c test results, or had already been diagnosed with it, as indicated by a diagnostic code or related prescription. This approach, conditioning entry into the study on being either “at-risk” or already diagnosed with hypercholesterolemia, was employe</w:t>
      </w:r>
      <w:r>
        <w:t>d to reduce the “confounding by indication” that we would expect to observe if we had used a general population cohort.</w:t>
      </w:r>
    </w:p>
    <w:p w14:paraId="16185907" w14:textId="77777777" w:rsidR="00381D4B" w:rsidRDefault="00482E76">
      <w:pPr>
        <w:pStyle w:val="BodyText"/>
      </w:pPr>
      <w:r>
        <w:t xml:space="preserve">An index date for each participant was defined as the date when the first relevant code or test result (as detailed above) was recorded </w:t>
      </w:r>
      <w:r>
        <w:t xml:space="preserve">on their clinical record. Participants were followed up until the earliest of (a) an outcome of interest; (b) death; (c) end of follow-up (29 February 2016); (d) last registration date with their GP practice; or (e) the last CPRD collection date for their </w:t>
      </w:r>
      <w:r>
        <w:t>practice. Participants were removed from our sample if they were less than 40 years of age at entry (as these patients are less likely to be prescribed a LRA), had less than 12 months of “research quality” data prior to their index date, were simultaneousl</w:t>
      </w:r>
      <w:r>
        <w:t>y prescribed more than one LRA (due to the difficulty of assigning these patients to a single exposure group), or were diagnosed with dementia before or on the date of the index event.</w:t>
      </w:r>
    </w:p>
    <w:p w14:paraId="16185908" w14:textId="77777777" w:rsidR="00381D4B" w:rsidRDefault="00482E76">
      <w:pPr>
        <w:pStyle w:val="BodyText"/>
      </w:pPr>
      <w:r>
        <w:t> </w:t>
      </w:r>
    </w:p>
    <w:p w14:paraId="16185909" w14:textId="77777777" w:rsidR="00381D4B" w:rsidRDefault="00482E76">
      <w:pPr>
        <w:pStyle w:val="Heading2"/>
      </w:pPr>
      <w:bookmarkStart w:id="7" w:name="exposures"/>
      <w:bookmarkEnd w:id="6"/>
      <w:r>
        <w:lastRenderedPageBreak/>
        <w:t>Exposures</w:t>
      </w:r>
    </w:p>
    <w:p w14:paraId="1618590A" w14:textId="77777777" w:rsidR="00381D4B" w:rsidRDefault="00482E76">
      <w:pPr>
        <w:pStyle w:val="FirstParagraph"/>
      </w:pPr>
      <w:r>
        <w:t xml:space="preserve">We considered seven lipid-regulating drug classes based on </w:t>
      </w:r>
      <w:r>
        <w:t>groupings in the British National Formulary (BNF)(17), namely: statins, fibrates, bile acid sequestrants, ezetimibe, nicotinic acid groups, ezetimibe and statin (representing one treatment containing both drugs, rather than the two classes being prescribed</w:t>
      </w:r>
      <w:r>
        <w:t xml:space="preserve"> concurrently), and omega-3 fatty acid groups.</w:t>
      </w:r>
    </w:p>
    <w:p w14:paraId="1618590B" w14:textId="77777777" w:rsidR="00381D4B" w:rsidRDefault="00482E76">
      <w:pPr>
        <w:pStyle w:val="BodyText"/>
      </w:pPr>
      <w:r>
        <w:t>To address the potential for immortal time bias, we employed a time-varying indicator of treatment status to correctly allocate time-at-risk to the exposed and unexposed groups.(18) Under this model, all parti</w:t>
      </w:r>
      <w:r>
        <w:t xml:space="preserve">cipants entered the unexposed group on their index date and were moved into the exposed group on the date they were first prescribed an eligible LRA. Participants whose index event was a LRA prescription entered the study and the exposed group on the same </w:t>
      </w:r>
      <w:r>
        <w:t>day, and so contributed no time-at-risk to the unexposed group.</w:t>
      </w:r>
    </w:p>
    <w:p w14:paraId="1618590C" w14:textId="77777777" w:rsidR="00381D4B" w:rsidRDefault="00482E76">
      <w:pPr>
        <w:pStyle w:val="BodyText"/>
      </w:pPr>
      <w:r>
        <w:t>A participant’s drug class was assigned based on their first recorded prescription, and any drug switching was ignored to mimic an intention-to-treat approach. We did however tabulate how ofte</w:t>
      </w:r>
      <w:r>
        <w:t xml:space="preserve">n the initial drug class was stopped (defined as last prescription of the primary class being followed by at least six months of observation), added to (defined as a second drug class being prescribed before the last prescription of the initial class), or </w:t>
      </w:r>
      <w:r>
        <w:t>switched (defined as a second drug class being prescribed after the last prescription of the initial class).</w:t>
      </w:r>
    </w:p>
    <w:p w14:paraId="1618590D" w14:textId="77777777" w:rsidR="00381D4B" w:rsidRDefault="00482E76">
      <w:pPr>
        <w:pStyle w:val="BodyText"/>
      </w:pPr>
      <w:r>
        <w:t> </w:t>
      </w:r>
    </w:p>
    <w:p w14:paraId="1618590E" w14:textId="77777777" w:rsidR="00381D4B" w:rsidRDefault="00482E76">
      <w:pPr>
        <w:pStyle w:val="Heading2"/>
      </w:pPr>
      <w:bookmarkStart w:id="8" w:name="outcomes"/>
      <w:bookmarkEnd w:id="7"/>
      <w:r>
        <w:t>Outcomes</w:t>
      </w:r>
    </w:p>
    <w:p w14:paraId="1618590F" w14:textId="77777777" w:rsidR="00381D4B" w:rsidRDefault="00482E76">
      <w:pPr>
        <w:pStyle w:val="FirstParagraph"/>
      </w:pPr>
      <w:r>
        <w:t>We considered five outcomes as part of this analysis: probable Alzheimer’s disease, possible Alzheimer’s disease, vascular dementia, other dementias, and a composite all-cause dementia outcome. When two or more outcomes were coded in a participant’s clinic</w:t>
      </w:r>
      <w:r>
        <w:t>al record, a decision tree was used to differentiate between them (Supplementary Figure 1). The diagnosis date of the outcome was determined by the first record of a relevant code.</w:t>
      </w:r>
    </w:p>
    <w:p w14:paraId="16185910" w14:textId="77777777" w:rsidR="00381D4B" w:rsidRDefault="00482E76">
      <w:pPr>
        <w:pStyle w:val="BodyText"/>
      </w:pPr>
      <w:r>
        <w:t> </w:t>
      </w:r>
    </w:p>
    <w:p w14:paraId="16185911" w14:textId="77777777" w:rsidR="00381D4B" w:rsidRDefault="00482E76">
      <w:pPr>
        <w:pStyle w:val="Heading2"/>
      </w:pPr>
      <w:bookmarkStart w:id="9" w:name="covariates"/>
      <w:bookmarkEnd w:id="8"/>
      <w:r>
        <w:t>Covariates</w:t>
      </w:r>
    </w:p>
    <w:p w14:paraId="16185912" w14:textId="77777777" w:rsidR="00381D4B" w:rsidRDefault="00482E76">
      <w:pPr>
        <w:pStyle w:val="FirstParagraph"/>
      </w:pPr>
      <w:r>
        <w:t>The analysis was adjusted for a range of baseline covariates i</w:t>
      </w:r>
      <w:r>
        <w:t>ncluding sex, grouped year of entry into the cohort (&lt;=2000, 2001-2005, 2006-2010, &gt;2010), Charlson co-morbidity index, Index of Multiple Deprivation (IMD), consultation rate, alcohol use (current, former, never), smoking (current, former, never), BMI, bas</w:t>
      </w:r>
      <w:r>
        <w:t xml:space="preserve">eline total cholesterol, and history of cardiovascular disease, coronary bypass surgery, coronary artery disease, peripheral arterial disease, hypertension, chronic kidney disease, and Type 1 and Type 2 diabetes. These variables were selected as potential </w:t>
      </w:r>
      <w:r>
        <w:t>confounders between dementia outcomes and use of a LRA. All covariates were determined at the index date and definitions for each can be found in Supplementary Table 1.</w:t>
      </w:r>
    </w:p>
    <w:p w14:paraId="16185913" w14:textId="77777777" w:rsidR="00381D4B" w:rsidRDefault="00482E76">
      <w:pPr>
        <w:pStyle w:val="BodyText"/>
      </w:pPr>
      <w:r>
        <w:lastRenderedPageBreak/>
        <w:t> </w:t>
      </w:r>
    </w:p>
    <w:p w14:paraId="16185914" w14:textId="77777777" w:rsidR="00381D4B" w:rsidRDefault="00482E76">
      <w:pPr>
        <w:pStyle w:val="Heading2"/>
      </w:pPr>
      <w:bookmarkStart w:id="10" w:name="analysis-plan"/>
      <w:bookmarkEnd w:id="9"/>
      <w:r>
        <w:t>Analysis plan</w:t>
      </w:r>
    </w:p>
    <w:p w14:paraId="16185915" w14:textId="77777777" w:rsidR="00381D4B" w:rsidRDefault="00482E76">
      <w:pPr>
        <w:pStyle w:val="FirstParagraph"/>
      </w:pPr>
      <w:r>
        <w:t>All analyses were performed in STATA (V16, StataCorp LLC, College Stati</w:t>
      </w:r>
      <w:r>
        <w:t xml:space="preserve">on, TX). Cox proportional hazard models with a time-varying treatment indicator were used to estimate the hazard ratio and corresponding 95% confidence intervals, allowing for potential clustering of outcomes by practice. Participant’s age was used as the </w:t>
      </w:r>
      <w:r>
        <w:t>time axis for all models.(19–21) To observe the effect of adjusting for additional covariates, we compared models adjusted for age only and age and sex with the fully adjusted model. Additional analyses stratified by outcome and drug class were also perfor</w:t>
      </w:r>
      <w:r>
        <w:t>med.</w:t>
      </w:r>
    </w:p>
    <w:p w14:paraId="16185916" w14:textId="77777777" w:rsidR="00381D4B" w:rsidRDefault="00482E76">
      <w:pPr>
        <w:pStyle w:val="BodyText"/>
      </w:pPr>
      <w:r>
        <w:t>In the case of missing data, we used multiple imputation by chained equations (MICE) in STATA to create 20 imputed datasets.(22) All covariates included in the analytic model were also included in the imputation model.(23) The full imputation model is</w:t>
      </w:r>
      <w:r>
        <w:t xml:space="preserve"> available for inspection (See </w:t>
      </w:r>
      <w:hyperlink w:anchor="data-code-avail">
        <w:r>
          <w:rPr>
            <w:rStyle w:val="Hyperlink"/>
          </w:rPr>
          <w:t>Data/Code availability</w:t>
        </w:r>
      </w:hyperlink>
      <w:r>
        <w:t xml:space="preserve"> section).</w:t>
      </w:r>
    </w:p>
    <w:p w14:paraId="16185917" w14:textId="77777777" w:rsidR="00381D4B" w:rsidRDefault="00482E76">
      <w:pPr>
        <w:pStyle w:val="BodyText"/>
      </w:pPr>
      <w:r>
        <w:t> </w:t>
      </w:r>
    </w:p>
    <w:p w14:paraId="16185918" w14:textId="77777777" w:rsidR="00381D4B" w:rsidRDefault="00482E76">
      <w:pPr>
        <w:pStyle w:val="Heading2"/>
      </w:pPr>
      <w:bookmarkStart w:id="11" w:name="sensitivity-analyses"/>
      <w:bookmarkEnd w:id="10"/>
      <w:r>
        <w:t>Sensitivity analyses</w:t>
      </w:r>
    </w:p>
    <w:p w14:paraId="16185919" w14:textId="77777777" w:rsidR="00381D4B" w:rsidRDefault="00482E76">
      <w:pPr>
        <w:pStyle w:val="FirstParagraph"/>
      </w:pPr>
      <w:r>
        <w:t>We performed several sensitivity analyses. As statins are contraindicated in pregnancy,(24) we ran the models described above but e</w:t>
      </w:r>
      <w:r>
        <w:t>xcluding participants below the age of 55. Given the different ability of lipophilic statins to cross the blood-brain barrier,(25) we further stratified the statin exposure group into lipophilic (Atorvastatin, Lovastatin, Simvastatin, Cerivastatin) and hyd</w:t>
      </w:r>
      <w:r>
        <w:t>rophilic (Pravastatin, Rosuvastatin, Fluvastatin) statins. Finally, we included three alternative outcomes with known associations with statin use as positive or negative controls using the fully adjusted model: back pain (negative control), ischaemic hear</w:t>
      </w:r>
      <w:r>
        <w:t>t disease (positive protective control), and Type 2 diabetes (positive harmful control).(26,27)</w:t>
      </w:r>
    </w:p>
    <w:p w14:paraId="1618591A" w14:textId="77777777" w:rsidR="00381D4B" w:rsidRDefault="00482E76">
      <w:pPr>
        <w:pStyle w:val="BodyText"/>
      </w:pPr>
      <w:r>
        <w:t> </w:t>
      </w:r>
    </w:p>
    <w:p w14:paraId="1618591B" w14:textId="77777777" w:rsidR="00381D4B" w:rsidRDefault="00482E76">
      <w:r>
        <w:br w:type="page"/>
      </w:r>
    </w:p>
    <w:p w14:paraId="1618591C" w14:textId="77777777" w:rsidR="00381D4B" w:rsidRDefault="00482E76">
      <w:pPr>
        <w:pStyle w:val="Heading1"/>
      </w:pPr>
      <w:bookmarkStart w:id="12" w:name="results"/>
      <w:bookmarkEnd w:id="11"/>
      <w:bookmarkEnd w:id="4"/>
      <w:r>
        <w:lastRenderedPageBreak/>
        <w:t>Results</w:t>
      </w:r>
    </w:p>
    <w:p w14:paraId="1618591D" w14:textId="77777777" w:rsidR="00381D4B" w:rsidRDefault="00482E76">
      <w:pPr>
        <w:pStyle w:val="Heading2"/>
      </w:pPr>
      <w:bookmarkStart w:id="13" w:name="patient-characteristics"/>
      <w:r>
        <w:t>Patient characteristics</w:t>
      </w:r>
    </w:p>
    <w:p w14:paraId="1618591E" w14:textId="77777777" w:rsidR="00381D4B" w:rsidRDefault="00482E76">
      <w:pPr>
        <w:pStyle w:val="FirstParagraph"/>
      </w:pPr>
      <w:r>
        <w:t>A total of 1,684,564 participants met the inclusion criteria for our cohort (see Supplementary Figure 2 for the attrition fl</w:t>
      </w:r>
      <w:r>
        <w:t>owchart), with a total follow-up of 10,835,685 patient years at risk. Most participants were included in the cohort due to an elevated test result (elevated cholesterol test result: 93%, prescription of LRA: 5.6%, code for hypercholesterolemia: 1%). The me</w:t>
      </w:r>
      <w:r>
        <w:t>dian age at the index date was 57 years (inter-quartile range (IQR):48-67) and participants were followed up for a median of 5.9 years (IQR:2.7-9.7). During follow-up, an all-cause dementia diagnosis was recorded for 41,830 patients (12,647 probable Alzhei</w:t>
      </w:r>
      <w:r>
        <w:t>mer’s disease, 9,954 possible Alzheimer’s disease, 8,466 vascular dementia, 10,763 other dementia).</w:t>
      </w:r>
    </w:p>
    <w:p w14:paraId="1618591F" w14:textId="77777777" w:rsidR="00381D4B" w:rsidRDefault="00482E76">
      <w:pPr>
        <w:pStyle w:val="BodyText"/>
      </w:pPr>
      <w:r>
        <w:t>The number of events, time-at-risk and crude rates for each drug class, tabulated by dementia outcome, are shown in Table 1. Most participants (98.1%) presc</w:t>
      </w:r>
      <w:r>
        <w:t>ribed a lipid-regulating agent were prescribed a statin. We excluded the “Ezetimibe and statins” and “Nicotinic acid groups” drug classes from subsequent subgroup analyses based on the extremely small number of participants in these groups (Table 1). The d</w:t>
      </w:r>
      <w:r>
        <w:t>istribution of baseline characteristics across the remaining seven drug classes can be seen in Table 2. The stopping, addition and switching of drug classes was common across all exposure groups (Supplementary Table 2).</w:t>
      </w:r>
    </w:p>
    <w:p w14:paraId="16185920" w14:textId="77777777" w:rsidR="00381D4B" w:rsidRDefault="00482E76">
      <w:pPr>
        <w:pStyle w:val="BodyText"/>
      </w:pPr>
      <w:r>
        <w:t> </w:t>
      </w:r>
    </w:p>
    <w:p w14:paraId="16185921" w14:textId="77777777" w:rsidR="00381D4B" w:rsidRDefault="00482E76">
      <w:pPr>
        <w:pStyle w:val="Heading2"/>
      </w:pPr>
      <w:bookmarkStart w:id="14" w:name="missing-data"/>
      <w:bookmarkEnd w:id="13"/>
      <w:r>
        <w:t>Missing data</w:t>
      </w:r>
    </w:p>
    <w:p w14:paraId="16185922" w14:textId="77777777" w:rsidR="00381D4B" w:rsidRDefault="00482E76">
      <w:pPr>
        <w:pStyle w:val="FirstParagraph"/>
      </w:pPr>
      <w:r>
        <w:t>Full covariate information was available for 450,234 participants (26.7%). Five key variables had some missing data: IMD 2010 score, a proxy for socioeconomic position that is measured as twentiles with 1 indicating the least deprived and 20 indicating the</w:t>
      </w:r>
      <w:r>
        <w:t xml:space="preserve"> most deprived, was missing for 625,788 participants (37.1%), because it is only recorded for selected English practices; alcohol status was missing for 269,526 participants (16%); smoking status was missing for 84,424 participants (5%); BMI, or a calculat</w:t>
      </w:r>
      <w:r>
        <w:t>ed BMI from height and weight measurements, was missing for 266,672 participants (15.8%); baseline total cholesterol was missing for 119,675 participants (7.1%); and baseline LDL cholesterol was missing for 787,289 participants (46.7%).</w:t>
      </w:r>
    </w:p>
    <w:p w14:paraId="16185923" w14:textId="77777777" w:rsidR="00381D4B" w:rsidRDefault="00482E76">
      <w:pPr>
        <w:pStyle w:val="BodyText"/>
      </w:pPr>
      <w:r>
        <w:t> </w:t>
      </w:r>
    </w:p>
    <w:p w14:paraId="16185924" w14:textId="77777777" w:rsidR="00381D4B" w:rsidRDefault="00482E76">
      <w:pPr>
        <w:pStyle w:val="Heading2"/>
      </w:pPr>
      <w:bookmarkStart w:id="15" w:name="primary-analysis"/>
      <w:bookmarkEnd w:id="14"/>
      <w:r>
        <w:t>Primary analysis</w:t>
      </w:r>
    </w:p>
    <w:p w14:paraId="16185925" w14:textId="77777777" w:rsidR="00381D4B" w:rsidRDefault="00482E76">
      <w:pPr>
        <w:pStyle w:val="FirstParagraph"/>
      </w:pPr>
      <w:r>
        <w:rPr>
          <w:b/>
          <w:bCs/>
        </w:rPr>
        <w:t>Alzheimer’s disease</w:t>
      </w:r>
    </w:p>
    <w:p w14:paraId="16185926" w14:textId="77777777" w:rsidR="00381D4B" w:rsidRDefault="00482E76">
      <w:pPr>
        <w:pStyle w:val="BodyText"/>
      </w:pPr>
      <w:r>
        <w:t>As shown in Figure 1, our results show little evidence of an association between lipid-regulating agents and probable (HR:0.98, 95%CI:0.94-1.01) or possible (HR:0.97, 95%CI:0.93-1.01) Alzheimer’s disease when compared with no treatment,</w:t>
      </w:r>
      <w:r>
        <w:t xml:space="preserve"> except for an adverse association between fibrates and probable Alzheimer’s disease (HR:1.52, 95%CI:1.13-2.03).</w:t>
      </w:r>
    </w:p>
    <w:p w14:paraId="16185927" w14:textId="77777777" w:rsidR="00381D4B" w:rsidRDefault="00482E76">
      <w:pPr>
        <w:pStyle w:val="BodyText"/>
      </w:pPr>
      <w:r>
        <w:lastRenderedPageBreak/>
        <w:t> </w:t>
      </w:r>
    </w:p>
    <w:p w14:paraId="16185928" w14:textId="77777777" w:rsidR="00381D4B" w:rsidRDefault="00482E76">
      <w:pPr>
        <w:pStyle w:val="BodyText"/>
      </w:pPr>
      <w:r>
        <w:rPr>
          <w:b/>
          <w:bCs/>
        </w:rPr>
        <w:t>Non-Alzheimer’s disease dementias</w:t>
      </w:r>
    </w:p>
    <w:p w14:paraId="16185929" w14:textId="77777777" w:rsidR="00381D4B" w:rsidRDefault="00482E76">
      <w:pPr>
        <w:pStyle w:val="BodyText"/>
      </w:pPr>
      <w:r>
        <w:t>In contrast to the findings for Alzheimer’s disease outcomes, lipid-regulating agents were associated with an increased risk of a subsequent diagnosis of vascular dementia (HR:1.81, 95%CI:1.73-1.89) or other dementias (HR:1.19, 95%CI:1.15-1.24). Again, the</w:t>
      </w:r>
      <w:r>
        <w:t xml:space="preserve"> observed estimate was driven mainly by the any statin subgroup, but there was some evidence that ezetimibe was associated with an increased risk of vascular (HR:2.33, 95%CI:1.11-4.89) and other (HR:1.88, 95%CI:1.01-3.5) dementias.</w:t>
      </w:r>
    </w:p>
    <w:p w14:paraId="1618592A" w14:textId="77777777" w:rsidR="00381D4B" w:rsidRDefault="00482E76">
      <w:pPr>
        <w:pStyle w:val="BodyText"/>
      </w:pPr>
      <w:r>
        <w:t> </w:t>
      </w:r>
    </w:p>
    <w:p w14:paraId="1618592B" w14:textId="77777777" w:rsidR="00381D4B" w:rsidRDefault="00482E76">
      <w:pPr>
        <w:pStyle w:val="BodyText"/>
      </w:pPr>
      <w:r>
        <w:rPr>
          <w:b/>
          <w:bCs/>
        </w:rPr>
        <w:t>All-cause dementia</w:t>
      </w:r>
    </w:p>
    <w:p w14:paraId="1618592C" w14:textId="77777777" w:rsidR="00381D4B" w:rsidRDefault="00482E76">
      <w:pPr>
        <w:pStyle w:val="BodyText"/>
      </w:pPr>
      <w:r>
        <w:t>For</w:t>
      </w:r>
      <w:r>
        <w:t xml:space="preserve"> the composite all-cause dementia outcome, we found treatment with a lipid-regulating agent was associated with a slightly increased risk (HR:1.17, 95%CI:1.14-1.19), which lies between the associations for the Alzheimer and non-Alzheimer dementia outcomes </w:t>
      </w:r>
      <w:r>
        <w:t>as would be expected. There was also some evidence that fibrates were associated with increased risk of all-cause dementia (HR:1.28, 95%CI:1.08-1.52).</w:t>
      </w:r>
    </w:p>
    <w:p w14:paraId="1618592D" w14:textId="77777777" w:rsidR="00381D4B" w:rsidRDefault="00482E76">
      <w:pPr>
        <w:pStyle w:val="BodyText"/>
      </w:pPr>
      <w:r>
        <w:t> </w:t>
      </w:r>
    </w:p>
    <w:p w14:paraId="1618592E" w14:textId="77777777" w:rsidR="00381D4B" w:rsidRDefault="00482E76">
      <w:pPr>
        <w:pStyle w:val="Heading2"/>
      </w:pPr>
      <w:bookmarkStart w:id="16" w:name="sensitivity-analyses-1"/>
      <w:bookmarkEnd w:id="15"/>
      <w:r>
        <w:t>Sensitivity analyses</w:t>
      </w:r>
    </w:p>
    <w:p w14:paraId="1618592F" w14:textId="77777777" w:rsidR="00381D4B" w:rsidRDefault="00482E76">
      <w:pPr>
        <w:pStyle w:val="FirstParagraph"/>
      </w:pPr>
      <w:r>
        <w:t>Adjustment for additional covariates beyond age and sex had a limited impact (Supp</w:t>
      </w:r>
      <w:r>
        <w:t>lementary Figure 3), except for the probable Alzheimer’s disease outcome, where the full adjustment attenuated to the null the protective association observed when adjusting only for age and sex.</w:t>
      </w:r>
    </w:p>
    <w:p w14:paraId="16185930" w14:textId="77777777" w:rsidR="00381D4B" w:rsidRDefault="00482E76">
      <w:pPr>
        <w:pStyle w:val="BodyText"/>
      </w:pPr>
      <w:r>
        <w:t>Removing participants aged 55 and under at the index date fr</w:t>
      </w:r>
      <w:r>
        <w:t>om our analysis had minimal effect on our estimates (Supplementary Figure 4). When stratifying by statin properties, hydrophilic statins were less harmful in relation to the any, vascular and other dementias outcomes compared with lipophilic statins (Suppl</w:t>
      </w:r>
      <w:r>
        <w:t>ementary Figure 5). Similarly, hydrophilic statins were associated with a reduced incidence of Alzheimer’s disease, compared with the absence of evidence for an association with lipophilic statins.</w:t>
      </w:r>
    </w:p>
    <w:p w14:paraId="16185931" w14:textId="77777777" w:rsidR="00381D4B" w:rsidRDefault="00482E76">
      <w:pPr>
        <w:pStyle w:val="BodyText"/>
      </w:pPr>
      <w:r>
        <w:t>For our control outcomes (Supplementary Figure 6), there w</w:t>
      </w:r>
      <w:r>
        <w:t>as some evidence that patients prescribed a lipid-regulating agent had an increased risk of back pain (HR: 1.04, 95%CI: 1.03-1.05), ischaemic heart disease (HR: 1.62, 95%CI: 1.59-1.64) and Type 2 diabetes (HR: 1.50, 95%CI: 1.48-1.51).</w:t>
      </w:r>
    </w:p>
    <w:p w14:paraId="16185932" w14:textId="77777777" w:rsidR="00381D4B" w:rsidRDefault="00482E76">
      <w:r>
        <w:br w:type="page"/>
      </w:r>
    </w:p>
    <w:p w14:paraId="16185933" w14:textId="77777777" w:rsidR="00381D4B" w:rsidRDefault="00482E76">
      <w:pPr>
        <w:pStyle w:val="Heading1"/>
      </w:pPr>
      <w:bookmarkStart w:id="17" w:name="discussion"/>
      <w:bookmarkEnd w:id="16"/>
      <w:bookmarkEnd w:id="12"/>
      <w:r>
        <w:lastRenderedPageBreak/>
        <w:t>Discussion</w:t>
      </w:r>
    </w:p>
    <w:p w14:paraId="16185934" w14:textId="77777777" w:rsidR="00381D4B" w:rsidRDefault="00482E76">
      <w:pPr>
        <w:pStyle w:val="Heading2"/>
      </w:pPr>
      <w:bookmarkStart w:id="18" w:name="main-findings"/>
      <w:r>
        <w:t>Main fin</w:t>
      </w:r>
      <w:r>
        <w:t>dings</w:t>
      </w:r>
    </w:p>
    <w:p w14:paraId="16185935" w14:textId="77777777" w:rsidR="00381D4B" w:rsidRDefault="00482E76">
      <w:pPr>
        <w:pStyle w:val="FirstParagraph"/>
      </w:pPr>
      <w:r>
        <w:t>There was little evidence for an association between lipid-regulating agents and probable and possible Alzheimer’s when compared with no treatment, but some evidence they were associated with an increased risk of an all-cause dementia, secondary to t</w:t>
      </w:r>
      <w:r>
        <w:t>heir association with vascular and other dementias diagnoses. The association observed in each case was driven by the any statin subgroup, which included a substantial majority of participants. For the other drug classes, there was limited evidence of an a</w:t>
      </w:r>
      <w:r>
        <w:t>ssociation with any outcome, with two exceptions. Ezetimibe was associated with increased risk of vascular and other dementias, while fibrates were associated with increased risk of all-cause dementia and probable Alzheimer’s disease.</w:t>
      </w:r>
    </w:p>
    <w:p w14:paraId="16185936" w14:textId="77777777" w:rsidR="00381D4B" w:rsidRDefault="00482E76">
      <w:pPr>
        <w:pStyle w:val="BodyText"/>
      </w:pPr>
      <w:r>
        <w:t> </w:t>
      </w:r>
    </w:p>
    <w:p w14:paraId="16185937" w14:textId="77777777" w:rsidR="00381D4B" w:rsidRDefault="00482E76">
      <w:pPr>
        <w:pStyle w:val="Heading2"/>
      </w:pPr>
      <w:bookmarkStart w:id="19" w:name="comparison-with-other-literature"/>
      <w:bookmarkEnd w:id="18"/>
      <w:r>
        <w:t>Comparison with oth</w:t>
      </w:r>
      <w:r>
        <w:t>er literature</w:t>
      </w:r>
    </w:p>
    <w:p w14:paraId="16185938" w14:textId="77777777" w:rsidR="00381D4B" w:rsidRDefault="00482E76">
      <w:pPr>
        <w:pStyle w:val="FirstParagraph"/>
      </w:pPr>
      <w:r>
        <w:t>Much of the existing literature focuses on the association of statins alone with neurodegenerative outcomes, with other lipid-regulating agents being grouped as “non-statin cholesterol-lowering drugs,”(8) echoing the distribution of participa</w:t>
      </w:r>
      <w:r>
        <w:t>nts in our analysis.</w:t>
      </w:r>
    </w:p>
    <w:p w14:paraId="16185939" w14:textId="77777777" w:rsidR="00381D4B" w:rsidRDefault="00482E76">
      <w:pPr>
        <w:pStyle w:val="BodyText"/>
      </w:pPr>
      <w:r>
        <w:t> </w:t>
      </w:r>
    </w:p>
    <w:p w14:paraId="1618593A" w14:textId="77777777" w:rsidR="00381D4B" w:rsidRDefault="00482E76">
      <w:pPr>
        <w:pStyle w:val="BodyText"/>
      </w:pPr>
      <w:r>
        <w:rPr>
          <w:b/>
          <w:bCs/>
        </w:rPr>
        <w:t>Statins and all-cause dementia</w:t>
      </w:r>
    </w:p>
    <w:p w14:paraId="1618593B" w14:textId="77777777" w:rsidR="00381D4B" w:rsidRDefault="00482E76">
      <w:pPr>
        <w:pStyle w:val="BodyText"/>
      </w:pPr>
      <w:r>
        <w:t>A recent Cochrane Review identified two randomized trials comparing treatment with statins versus non-treatment for the prevention of dementia, only one of which presented information on the incidence o</w:t>
      </w:r>
      <w:r>
        <w:t>f dementia.(28) This study (Heart Protection Study) showed no effect of treatment with simvastatin on all-cause dementia risk (OR: 1.00, 95%CI:0.61-1.65),(29) but concerns were raised over the diagnostic criteria used. A meta-analysis of 30 observational s</w:t>
      </w:r>
      <w:r>
        <w:t>tudies found a reduced risk of all-cause dementia was associated with statin treatment (RR 0.83, 95%CI: 0.79–0.87).(30) This conflicts with the findings of our analysis, where statin use was associated with an increased risk of all-cause dementia (HR:1.17,</w:t>
      </w:r>
      <w:r>
        <w:t xml:space="preserve"> 95%CI:1.14-1.19). Some of the included studies in the meta-analysis specifically exclude vascular dementia from the definition of all-cause dementia,(31) which may limit the ability for comparison with our findings for the all-cause dementia outcome.</w:t>
      </w:r>
    </w:p>
    <w:p w14:paraId="1618593C" w14:textId="77777777" w:rsidR="00381D4B" w:rsidRDefault="00482E76">
      <w:pPr>
        <w:pStyle w:val="BodyText"/>
      </w:pPr>
      <w:r>
        <w:t>Addi</w:t>
      </w:r>
      <w:r>
        <w:t>tionally, a previous analysis of the THIN EHR database using a propensity-score matched analysis found a protective effect of statins on all-cause dementia (HR:0.81, 95%CI:0.69-0.96)(32). Differences in the code-lists used to define dementia outcomes, in a</w:t>
      </w:r>
      <w:r>
        <w:t>ddition an analytical approach that adjusted for covariates defined after the index date, may go some way to explaining the discrepancy.</w:t>
      </w:r>
    </w:p>
    <w:p w14:paraId="1618593D" w14:textId="77777777" w:rsidR="00381D4B" w:rsidRDefault="00482E76">
      <w:pPr>
        <w:pStyle w:val="BodyText"/>
      </w:pPr>
      <w:r>
        <w:t> </w:t>
      </w:r>
    </w:p>
    <w:p w14:paraId="1618593E" w14:textId="77777777" w:rsidR="00381D4B" w:rsidRDefault="00482E76">
      <w:pPr>
        <w:pStyle w:val="BodyText"/>
      </w:pPr>
      <w:r>
        <w:rPr>
          <w:b/>
          <w:bCs/>
        </w:rPr>
        <w:t>Statins and Alzheimer’s disease</w:t>
      </w:r>
    </w:p>
    <w:p w14:paraId="1618593F" w14:textId="77777777" w:rsidR="00381D4B" w:rsidRDefault="00482E76">
      <w:pPr>
        <w:pStyle w:val="BodyText"/>
      </w:pPr>
      <w:r>
        <w:lastRenderedPageBreak/>
        <w:t>Our results are broadly in line with the findings of two distinct approaches examinin</w:t>
      </w:r>
      <w:r>
        <w:t>g the effect of statin treatment on subsequent Alzheimer’s disease. No randomized trials of statins for the prevention of Alzheimer’s disease have been reported, but a recent meta-analysis of 20 observational studies found statins were associated with a re</w:t>
      </w:r>
      <w:r>
        <w:t>duced risk of Alzheimer’s disease (RR 0.69, 95% CI 0.60–0.80) with stronger evidence than observed in our analysis.(30) This review included case-control studies and analyses likely to be at risk of immortal time bias, which may account for the discrepancy</w:t>
      </w:r>
      <w:r>
        <w:t xml:space="preserve"> with our findings. Additionally, a recent Mendelian randomization study examining the effect of genetic inhibition of HMGCR on Alzheimer’s disease (a genetic proxy for statin treatment) provided equivocal evidence (OR: 0.91, 95%CI: 0.63-1.31) but was cons</w:t>
      </w:r>
      <w:r>
        <w:t>istent with our results.(33)</w:t>
      </w:r>
    </w:p>
    <w:p w14:paraId="16185940" w14:textId="77777777" w:rsidR="00381D4B" w:rsidRDefault="00482E76">
      <w:pPr>
        <w:pStyle w:val="BodyText"/>
      </w:pPr>
      <w:r>
        <w:t xml:space="preserve">Our additional analyses stratified by statin properties found little evidence of differences in associations of lipophilic and hydrophilic statins and incidence of Alzheimer’s disease, consistent with a recent meta-analysis of </w:t>
      </w:r>
      <w:r>
        <w:t>observational studies.(6)</w:t>
      </w:r>
    </w:p>
    <w:p w14:paraId="16185941" w14:textId="77777777" w:rsidR="00381D4B" w:rsidRDefault="00482E76">
      <w:pPr>
        <w:pStyle w:val="BodyText"/>
      </w:pPr>
      <w:r>
        <w:t> </w:t>
      </w:r>
    </w:p>
    <w:p w14:paraId="16185942" w14:textId="77777777" w:rsidR="00381D4B" w:rsidRDefault="00482E76">
      <w:pPr>
        <w:pStyle w:val="BodyText"/>
      </w:pPr>
      <w:r>
        <w:rPr>
          <w:b/>
          <w:bCs/>
        </w:rPr>
        <w:t>Statins and vascular/other dementia</w:t>
      </w:r>
    </w:p>
    <w:p w14:paraId="16185943" w14:textId="77777777" w:rsidR="00381D4B" w:rsidRDefault="00482E76">
      <w:pPr>
        <w:pStyle w:val="BodyText"/>
      </w:pPr>
      <w:r>
        <w:t>Far fewer studies have tested the association between lipid-regulating agents and vascular dementia or other dementias. A recent review found four observational studies examining the associati</w:t>
      </w:r>
      <w:r>
        <w:t>on of statins and vascular dementia found limited evidence for an effect (RR:0.93, 95% CI 0.74–1.16).(30) This contrasts with the harmful association found in our analysis (HR:1.81, 95%CI:1.73-1.89). When stratifying by lipid properties, lipophilic statins</w:t>
      </w:r>
      <w:r>
        <w:t xml:space="preserve"> were more harmful than hydrophilic statins in vascular dementia, potentially due to their ability to cross the blood brain barrier.</w:t>
      </w:r>
    </w:p>
    <w:p w14:paraId="16185944" w14:textId="77777777" w:rsidR="00381D4B" w:rsidRDefault="00482E76">
      <w:pPr>
        <w:pStyle w:val="BodyText"/>
      </w:pPr>
      <w:r>
        <w:t> </w:t>
      </w:r>
    </w:p>
    <w:p w14:paraId="16185945" w14:textId="77777777" w:rsidR="00381D4B" w:rsidRDefault="00482E76">
      <w:pPr>
        <w:pStyle w:val="BodyText"/>
      </w:pPr>
      <w:r>
        <w:rPr>
          <w:b/>
          <w:bCs/>
        </w:rPr>
        <w:t>Other drug classes</w:t>
      </w:r>
    </w:p>
    <w:p w14:paraId="16185946" w14:textId="77777777" w:rsidR="00381D4B" w:rsidRDefault="00482E76">
      <w:pPr>
        <w:pStyle w:val="BodyText"/>
      </w:pPr>
      <w:r>
        <w:t>Apart from statins, few studies examining a lipid-regulating agent have been reported. One of the few classes for which a previous analysis was available were fibrates, which found little evidence of an association with all-cause dementia was identified,(8</w:t>
      </w:r>
      <w:r>
        <w:t>) inconsistent with our finding that patients prescribed fibrates had higher all-cause dementia risk than those prescribed other lipid lowering agents.</w:t>
      </w:r>
    </w:p>
    <w:p w14:paraId="16185947" w14:textId="77777777" w:rsidR="00381D4B" w:rsidRDefault="00482E76">
      <w:pPr>
        <w:pStyle w:val="BodyText"/>
      </w:pPr>
      <w:r>
        <w:t>A previous Mendelian randomization study found little evidence that genetic variants that proxy for ezet</w:t>
      </w:r>
      <w:r>
        <w:t>imibe affect risk of Alzheimer’s disease (OR: 1.17, 95%CI: 0.73-1.87),(33) consistent with our findings. To our knowledge, there is no previous study of the effect of preventative treatment with ezetimibe on risk of vascular dementia.</w:t>
      </w:r>
    </w:p>
    <w:p w14:paraId="16185948" w14:textId="77777777" w:rsidR="00381D4B" w:rsidRDefault="00482E76">
      <w:pPr>
        <w:pStyle w:val="BodyText"/>
      </w:pPr>
      <w:r>
        <w:t> </w:t>
      </w:r>
    </w:p>
    <w:p w14:paraId="16185949" w14:textId="77777777" w:rsidR="00381D4B" w:rsidRDefault="00482E76">
      <w:pPr>
        <w:pStyle w:val="Heading2"/>
      </w:pPr>
      <w:bookmarkStart w:id="20" w:name="strengths-and-limitations"/>
      <w:bookmarkEnd w:id="19"/>
      <w:r>
        <w:t>Strengths and limit</w:t>
      </w:r>
      <w:r>
        <w:t>ations</w:t>
      </w:r>
    </w:p>
    <w:p w14:paraId="1618594A" w14:textId="77777777" w:rsidR="00381D4B" w:rsidRDefault="00482E76">
      <w:pPr>
        <w:pStyle w:val="FirstParagraph"/>
      </w:pPr>
      <w:r>
        <w:t>A major strength of our analysis is the size of the included cohort and the length of follow-up that the use of electronic health records allowed. In addition, we followed users and non-users from a common index date, using a time-updating treatment</w:t>
      </w:r>
      <w:r>
        <w:t xml:space="preserve"> indicator to correctly assign time-at-risk to the exposed and unexposed groups.</w:t>
      </w:r>
    </w:p>
    <w:p w14:paraId="1618594B" w14:textId="77777777" w:rsidR="00381D4B" w:rsidRDefault="00482E76">
      <w:pPr>
        <w:pStyle w:val="BodyText"/>
      </w:pPr>
      <w:r>
        <w:lastRenderedPageBreak/>
        <w:t>However, the findings of our analysis are subject to several limitations. Confounding by indication is a major bias in pharmacoepidemiological studies and could provide a pote</w:t>
      </w:r>
      <w:r>
        <w:t>ntial explanation for the observed increased risk of vascular and other dementias with lipid regulating agent use. Patients with vascular risk factors are more likely to receive a statin prescription and also to be diagnosed with vascular dementia. Support</w:t>
      </w:r>
      <w:r>
        <w:t>ing evidence for this interpretation comes from a variety of sources, including the results of the control outcome analyses. This would explain the increased risk for the ischaemic heart disease outcome, for which statins are known to be protective, whilst</w:t>
      </w:r>
      <w:r>
        <w:t xml:space="preserve"> almost no association was observed with the backpain outcome, indicating that most of the uncontrolled confounding is likely to be related to vascular factors. Additionally, we obtained the expected harmful result for Type 2 diabetes, where statins’ mecha</w:t>
      </w:r>
      <w:r>
        <w:t>nism of action on this outcome is unlikely to be vascular.(26,34,35) Further supporting evidence comes from the increasingly harmful association observed when moving from the probable and possible Alzheimer’s disease outcome to the other dementias outcome,</w:t>
      </w:r>
      <w:r>
        <w:t xml:space="preserve"> and finally to the vascular dementia outcomes. This pattern suggests that the strength of the residual confounding by indication increases as the proportion of cases with a vascular component in an outcome definition increases. A review of other available</w:t>
      </w:r>
      <w:r>
        <w:t xml:space="preserve"> literature suggests that this observation (a harmful effect of lipid regulating agents on vascular-related outcome due to confounding by indication) is not unusual. Using a conventional epidemiological technique, a previous analysis also found an increase</w:t>
      </w:r>
      <w:r>
        <w:t>d risk of coronary heart disease (analogous to the ischaemic heart disease outcome used in our analysis) in those taking statins (HR: 1.31, 95%CI: 1.04-1.66).(36) Control for confounding by indication in that study through the use of a trial emulation anal</w:t>
      </w:r>
      <w:r>
        <w:t>ysis gave an estimate of 0.89 (95%CI: 0.73-1.09), a comparable though less precise estimate to that observed in RCTs of statin use (0.73, 95%CI: 0.67-0.80).(37)</w:t>
      </w:r>
    </w:p>
    <w:p w14:paraId="1618594C" w14:textId="77777777" w:rsidR="00381D4B" w:rsidRDefault="00482E76">
      <w:pPr>
        <w:pStyle w:val="BodyText"/>
      </w:pPr>
      <w:r>
        <w:t>A secondary limitation is the potential for differential outcome misclassification based on the</w:t>
      </w:r>
      <w:r>
        <w:t xml:space="preserve"> exposure, as we cannot exclude the possibility that for people with memory complaints, a diagnosis of vascular dementia might be made more frequently than Alzheimer’s disease if their medical records contain prescriptions for lipid-regulating agents. Furt</w:t>
      </w:r>
      <w:r>
        <w:t>her, there is also the potential for non-differential misclassification of the outcome, based on the use of electronic health records to identify dementia cases.(38,39)</w:t>
      </w:r>
    </w:p>
    <w:p w14:paraId="1618594D" w14:textId="77777777" w:rsidR="00381D4B" w:rsidRDefault="00482E76">
      <w:pPr>
        <w:pStyle w:val="BodyText"/>
      </w:pPr>
      <w:r>
        <w:t>A further limitation stems from uncontrolled confounding due to genetic factors. Number</w:t>
      </w:r>
      <w:r>
        <w:t xml:space="preserve"> of ApoE </w:t>
      </w:r>
      <m:oMath>
        <m:r>
          <w:rPr>
            <w:rFonts w:ascii="Cambria Math" w:hAnsi="Cambria Math"/>
          </w:rPr>
          <m:t>ϵ</m:t>
        </m:r>
        <m:r>
          <w:rPr>
            <w:rFonts w:ascii="Cambria Math" w:hAnsi="Cambria Math"/>
          </w:rPr>
          <m:t>4</m:t>
        </m:r>
      </m:oMath>
      <w:r>
        <w:t xml:space="preserve"> alleles represents the strongest genetic risk factor for Alzheimer’s disease, but also substantially increases LDL-c levels,(40) potentially prompting treatment with a statin or other lipid regulating agent. We were unable to control for ApoE </w:t>
      </w:r>
      <w:r>
        <w:t>genotype in this analysis as we did not have access to genetic data on participants. As a result, any protective association between LRA use and the Alzheimer’s disease outcomes may be masked by residual negative confounding by ApoE.</w:t>
      </w:r>
    </w:p>
    <w:p w14:paraId="1618594E" w14:textId="77777777" w:rsidR="00381D4B" w:rsidRDefault="00482E76">
      <w:pPr>
        <w:pStyle w:val="BodyText"/>
      </w:pPr>
      <w:r>
        <w:t xml:space="preserve">Finally, as with many </w:t>
      </w:r>
      <w:r>
        <w:t>studies of dementia, there is a risk of reverse causation in our analysis. Dementia and associated conditions have a long prodromal period, during which preclinical disease could cause indications for the prescription of a lipid-regulating agent.</w:t>
      </w:r>
    </w:p>
    <w:p w14:paraId="1618594F" w14:textId="77777777" w:rsidR="00381D4B" w:rsidRDefault="00482E76">
      <w:r>
        <w:br w:type="page"/>
      </w:r>
    </w:p>
    <w:p w14:paraId="16185950" w14:textId="77777777" w:rsidR="00381D4B" w:rsidRDefault="00482E76">
      <w:pPr>
        <w:pStyle w:val="Heading1"/>
      </w:pPr>
      <w:bookmarkStart w:id="21" w:name="conclusion"/>
      <w:bookmarkEnd w:id="20"/>
      <w:bookmarkEnd w:id="17"/>
      <w:r>
        <w:lastRenderedPageBreak/>
        <w:t>Conclusions</w:t>
      </w:r>
    </w:p>
    <w:p w14:paraId="16185951" w14:textId="77777777" w:rsidR="00381D4B" w:rsidRDefault="00482E76">
      <w:pPr>
        <w:pStyle w:val="FirstParagraph"/>
      </w:pPr>
      <w:r>
        <w:t>We have provided new evidence on the association of lipid-regulating agent prescription, predominantly statins, with all-cause dementia, Alzheimer’s disease, vascular dementia, and other dementias. We found limited evidence that use of lipid-re</w:t>
      </w:r>
      <w:r>
        <w:t>gulating agents was associated with incidence of probable or possible Alzheimer’s disease, but they were associated with an increased risk of all-cause, vascular and other dementias. Despite our attempts to account for bias in our analysis, there is a stro</w:t>
      </w:r>
      <w:r>
        <w:t>ng potential for residual confounding, misclassification and reverse causation.</w:t>
      </w:r>
    </w:p>
    <w:p w14:paraId="16185952" w14:textId="77777777" w:rsidR="00381D4B" w:rsidRDefault="00482E76">
      <w:pPr>
        <w:pStyle w:val="BodyText"/>
      </w:pPr>
      <w:r>
        <w:t>This is likely to explain the unexpected increase in risk of vascular dementia associated with statin use. Future research should aim to address these biases using newer method</w:t>
      </w:r>
      <w:r>
        <w:t>s such as a trial emulation analysis.</w:t>
      </w:r>
    </w:p>
    <w:p w14:paraId="16185953" w14:textId="77777777" w:rsidR="00381D4B" w:rsidRDefault="00482E76">
      <w:r>
        <w:br w:type="page"/>
      </w:r>
    </w:p>
    <w:p w14:paraId="16185954" w14:textId="77777777" w:rsidR="00381D4B" w:rsidRDefault="00482E76">
      <w:pPr>
        <w:pStyle w:val="Heading1"/>
      </w:pPr>
      <w:bookmarkStart w:id="22" w:name="declarations"/>
      <w:bookmarkEnd w:id="21"/>
      <w:r>
        <w:lastRenderedPageBreak/>
        <w:t>Declarations</w:t>
      </w:r>
    </w:p>
    <w:p w14:paraId="16185955" w14:textId="77777777" w:rsidR="00381D4B" w:rsidRDefault="00482E76">
      <w:pPr>
        <w:pStyle w:val="FirstParagraph"/>
      </w:pPr>
      <w:r>
        <w:rPr>
          <w:b/>
          <w:bCs/>
        </w:rPr>
        <w:t>Ethics approval</w:t>
      </w:r>
    </w:p>
    <w:p w14:paraId="16185956" w14:textId="77777777" w:rsidR="00381D4B" w:rsidRDefault="00482E76">
      <w:pPr>
        <w:pStyle w:val="BodyText"/>
      </w:pPr>
      <w:r>
        <w:t>The protocol for this study was approved by the CPRD’s Independent Scientific Advisory Committee (ISAC 15_246R). This study did not directly involve patients, and so further ethical appro</w:t>
      </w:r>
      <w:r>
        <w:t>val was not required.</w:t>
      </w:r>
    </w:p>
    <w:p w14:paraId="16185957" w14:textId="77777777" w:rsidR="00381D4B" w:rsidRDefault="00482E76">
      <w:pPr>
        <w:pStyle w:val="BodyText"/>
      </w:pPr>
      <w:r>
        <w:t> </w:t>
      </w:r>
    </w:p>
    <w:p w14:paraId="36D804C6" w14:textId="77777777" w:rsidR="0099399C" w:rsidRDefault="00482E76">
      <w:pPr>
        <w:pStyle w:val="BodyText"/>
      </w:pPr>
      <w:r>
        <w:rPr>
          <w:b/>
          <w:bCs/>
        </w:rPr>
        <w:t>Data/code availability</w:t>
      </w:r>
      <w:r>
        <w:t xml:space="preserve"> </w:t>
      </w:r>
    </w:p>
    <w:p w14:paraId="16185958" w14:textId="183BF906" w:rsidR="00381D4B" w:rsidRDefault="00482E76">
      <w:pPr>
        <w:pStyle w:val="BodyText"/>
      </w:pPr>
      <w:r>
        <w:t>This analysis used the CPRD-GOLD primary care dataset March 2016 snapshot (ISAC 15_246R), which is available upon application to the CPRD Independent Scientific Advisory Committee. The code lists used to defin</w:t>
      </w:r>
      <w:r>
        <w:t>e the outcomes and covariates for this study, in addition to the cleaning and analysis scripts used to create the study cohort and perform the analyses, are available on GitHub (</w:t>
      </w:r>
      <w:hyperlink r:id="rId8">
        <w:r>
          <w:rPr>
            <w:rStyle w:val="Hyperlink"/>
          </w:rPr>
          <w:t>https://github.com/mcg</w:t>
        </w:r>
        <w:r>
          <w:rPr>
            <w:rStyle w:val="Hyperlink"/>
          </w:rPr>
          <w:t>uinlu/CPRD-LRA</w:t>
        </w:r>
      </w:hyperlink>
      <w:r>
        <w:t xml:space="preserve">), and were archived at the time of publication on Zenodo (DOI: </w:t>
      </w:r>
      <w:r>
        <w:rPr>
          <w:b/>
          <w:bCs/>
        </w:rPr>
        <w:t>TBC</w:t>
      </w:r>
      <w:r>
        <w:t>).</w:t>
      </w:r>
    </w:p>
    <w:p w14:paraId="16185959" w14:textId="77777777" w:rsidR="00381D4B" w:rsidRDefault="00482E76">
      <w:pPr>
        <w:pStyle w:val="BodyText"/>
      </w:pPr>
      <w:r>
        <w:t> </w:t>
      </w:r>
    </w:p>
    <w:p w14:paraId="1618595A" w14:textId="77777777" w:rsidR="00381D4B" w:rsidRDefault="00482E76">
      <w:pPr>
        <w:pStyle w:val="BodyText"/>
      </w:pPr>
      <w:r>
        <w:rPr>
          <w:b/>
          <w:bCs/>
        </w:rPr>
        <w:t>Supplementary data</w:t>
      </w:r>
    </w:p>
    <w:p w14:paraId="1618595B" w14:textId="77777777" w:rsidR="00381D4B" w:rsidRDefault="00482E76">
      <w:pPr>
        <w:pStyle w:val="BodyText"/>
      </w:pPr>
      <w:r>
        <w:t>Supplementary data are available at IJE online.</w:t>
      </w:r>
    </w:p>
    <w:p w14:paraId="1618595C" w14:textId="77777777" w:rsidR="00381D4B" w:rsidRDefault="00482E76">
      <w:pPr>
        <w:pStyle w:val="BodyText"/>
      </w:pPr>
      <w:r>
        <w:t> </w:t>
      </w:r>
    </w:p>
    <w:p w14:paraId="1618595D" w14:textId="77777777" w:rsidR="00381D4B" w:rsidRDefault="00482E76">
      <w:pPr>
        <w:pStyle w:val="BodyText"/>
      </w:pPr>
      <w:r>
        <w:rPr>
          <w:b/>
          <w:bCs/>
        </w:rPr>
        <w:t>Sources of funding</w:t>
      </w:r>
    </w:p>
    <w:p w14:paraId="1618595E" w14:textId="77777777" w:rsidR="00381D4B" w:rsidRDefault="00482E76">
      <w:pPr>
        <w:pStyle w:val="BodyText"/>
      </w:pPr>
      <w:r>
        <w:t>LAM is supported by an NIHR Doctoral Research Fellowship (DRF-2018-11-ST2-048). JP</w:t>
      </w:r>
      <w:r>
        <w:t xml:space="preserve">TH, RMM and GDS are supported by the NIHR Biomedical Research Centre at University Hospitals Bristol and Weston NHS Foundation Trust and the University of Bristol. The views expressed are those of the author(s) and not necessarily those of the NIHR or the </w:t>
      </w:r>
      <w:r>
        <w:t>Department of Health and Social Care. YBS and JPTH are supported by the NIHR Applied Research Collaboration West (ARC West) at University Hospitals Bristol NHS Foundation Trust. LAM, VMW, NMD, RMM, JPTH and GDS are members of the MRC Integrative Epidemiolo</w:t>
      </w:r>
      <w:r>
        <w:t>gy Unit at the University of Bristol (MC_UU_00011/1, MC_UU_00011/4). JPTH is a National Institute for Health Research (NIHR) Senior Investigator (NF-SI-0617-10145). The views expressed in this article are those of the authors and do not necessarily represe</w:t>
      </w:r>
      <w:r>
        <w:t>nt those of the NHS, the NIHR, MRC, or the Department of Health and Social Care. NMD is supported by a Norwegian Research Council Grant number 295989.</w:t>
      </w:r>
    </w:p>
    <w:p w14:paraId="1618595F" w14:textId="77777777" w:rsidR="00381D4B" w:rsidRDefault="00482E76">
      <w:pPr>
        <w:pStyle w:val="BodyText"/>
      </w:pPr>
      <w:r>
        <w:t> </w:t>
      </w:r>
    </w:p>
    <w:p w14:paraId="216202F8" w14:textId="77777777" w:rsidR="00873272" w:rsidRDefault="00482E76">
      <w:pPr>
        <w:pStyle w:val="BodyText"/>
      </w:pPr>
      <w:r>
        <w:rPr>
          <w:b/>
          <w:bCs/>
        </w:rPr>
        <w:t>Conflict of interest statement</w:t>
      </w:r>
      <w:r>
        <w:t xml:space="preserve"> </w:t>
      </w:r>
    </w:p>
    <w:p w14:paraId="16185960" w14:textId="5C617212" w:rsidR="00381D4B" w:rsidRDefault="00482E76">
      <w:pPr>
        <w:pStyle w:val="BodyText"/>
      </w:pPr>
      <w:r>
        <w:t>N</w:t>
      </w:r>
      <w:r>
        <w:t>one declared.</w:t>
      </w:r>
    </w:p>
    <w:p w14:paraId="16185961" w14:textId="77777777" w:rsidR="00381D4B" w:rsidRDefault="00482E76">
      <w:r>
        <w:br w:type="page"/>
      </w:r>
    </w:p>
    <w:p w14:paraId="16185962" w14:textId="77777777" w:rsidR="00381D4B" w:rsidRDefault="00482E76">
      <w:pPr>
        <w:pStyle w:val="Heading1"/>
      </w:pPr>
      <w:bookmarkStart w:id="23" w:name="tables"/>
      <w:bookmarkEnd w:id="22"/>
      <w:r>
        <w:lastRenderedPageBreak/>
        <w:t>Tables</w:t>
      </w:r>
    </w:p>
    <w:p w14:paraId="16185963" w14:textId="1E9670A9" w:rsidR="00381D4B" w:rsidRDefault="00482E76">
      <w:pPr>
        <w:pStyle w:val="TableCaption"/>
      </w:pPr>
      <w:r>
        <w:t xml:space="preserve">Table 1: </w:t>
      </w:r>
      <w:bookmarkStart w:id="24" w:name="tab:followUp-table"/>
      <w:r>
        <w:t xml:space="preserve">Summary of </w:t>
      </w:r>
      <w:r>
        <w:t>number of events</w:t>
      </w:r>
      <w:r w:rsidR="00AA595C">
        <w:t>, participant-time-at-risk and crude rates</w:t>
      </w:r>
      <w:r>
        <w:t xml:space="preserve"> by </w:t>
      </w:r>
      <w:bookmarkEnd w:id="24"/>
      <w:r w:rsidR="00B37CB7">
        <w:t>drug class</w:t>
      </w:r>
      <w:r w:rsidR="00AA595C">
        <w:t xml:space="preserve"> and dementia outcome.</w:t>
      </w:r>
    </w:p>
    <w:p w14:paraId="4B23C52E" w14:textId="77777777" w:rsidR="00CB5131" w:rsidRDefault="00CB5131">
      <w:pPr>
        <w:pStyle w:val="TableCaption"/>
      </w:pPr>
    </w:p>
    <w:tbl>
      <w:tblPr>
        <w:tblW w:w="11800" w:type="dxa"/>
        <w:jc w:val="center"/>
        <w:tblLook w:val="0420" w:firstRow="1" w:lastRow="0" w:firstColumn="0" w:lastColumn="0" w:noHBand="0" w:noVBand="1"/>
      </w:tblPr>
      <w:tblGrid>
        <w:gridCol w:w="1130"/>
        <w:gridCol w:w="670"/>
        <w:gridCol w:w="901"/>
        <w:gridCol w:w="564"/>
        <w:gridCol w:w="670"/>
        <w:gridCol w:w="901"/>
        <w:gridCol w:w="564"/>
        <w:gridCol w:w="670"/>
        <w:gridCol w:w="901"/>
        <w:gridCol w:w="564"/>
        <w:gridCol w:w="670"/>
        <w:gridCol w:w="901"/>
        <w:gridCol w:w="564"/>
        <w:gridCol w:w="670"/>
        <w:gridCol w:w="901"/>
        <w:gridCol w:w="559"/>
      </w:tblGrid>
      <w:tr w:rsidR="0099399C" w:rsidRPr="00CB5131" w14:paraId="1618596A" w14:textId="77777777" w:rsidTr="006821AC">
        <w:trPr>
          <w:cantSplit/>
          <w:trHeight w:val="254"/>
          <w:tblHeader/>
          <w:jc w:val="center"/>
        </w:trPr>
        <w:tc>
          <w:tcPr>
            <w:tcW w:w="1504" w:type="dxa"/>
            <w:vMerge w:val="restart"/>
            <w:tcBorders>
              <w:top w:val="single" w:sz="4" w:space="0" w:color="auto"/>
              <w:left w:val="single" w:sz="4" w:space="0" w:color="auto"/>
              <w:bottom w:val="single" w:sz="8" w:space="0" w:color="666666"/>
              <w:right w:val="single" w:sz="8" w:space="0" w:color="000000"/>
            </w:tcBorders>
            <w:shd w:val="clear" w:color="auto" w:fill="A6A6A6"/>
            <w:tcMar>
              <w:top w:w="0" w:type="dxa"/>
              <w:left w:w="0" w:type="dxa"/>
              <w:bottom w:w="0" w:type="dxa"/>
              <w:right w:w="0" w:type="dxa"/>
            </w:tcMar>
            <w:vAlign w:val="center"/>
          </w:tcPr>
          <w:p w14:paraId="16185964"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Exposure group</w:t>
            </w:r>
          </w:p>
        </w:tc>
        <w:tc>
          <w:tcPr>
            <w:tcW w:w="1761" w:type="dxa"/>
            <w:gridSpan w:val="3"/>
            <w:tcBorders>
              <w:top w:val="single" w:sz="4" w:space="0" w:color="auto"/>
              <w:bottom w:val="single" w:sz="8" w:space="0" w:color="666666"/>
            </w:tcBorders>
            <w:shd w:val="clear" w:color="auto" w:fill="A6A6A6"/>
            <w:tcMar>
              <w:top w:w="0" w:type="dxa"/>
              <w:left w:w="0" w:type="dxa"/>
              <w:bottom w:w="0" w:type="dxa"/>
              <w:right w:w="0" w:type="dxa"/>
            </w:tcMar>
            <w:vAlign w:val="center"/>
          </w:tcPr>
          <w:p w14:paraId="16185965"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Any dementia</w:t>
            </w:r>
          </w:p>
        </w:tc>
        <w:tc>
          <w:tcPr>
            <w:tcW w:w="0" w:type="auto"/>
            <w:gridSpan w:val="3"/>
            <w:tcBorders>
              <w:top w:val="single" w:sz="4" w:space="0" w:color="auto"/>
              <w:bottom w:val="single" w:sz="8" w:space="0" w:color="666666"/>
            </w:tcBorders>
            <w:shd w:val="clear" w:color="auto" w:fill="A6A6A6"/>
            <w:tcMar>
              <w:top w:w="0" w:type="dxa"/>
              <w:left w:w="0" w:type="dxa"/>
              <w:bottom w:w="0" w:type="dxa"/>
              <w:right w:w="0" w:type="dxa"/>
            </w:tcMar>
            <w:vAlign w:val="center"/>
          </w:tcPr>
          <w:p w14:paraId="16185966"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Probable AD</w:t>
            </w:r>
          </w:p>
        </w:tc>
        <w:tc>
          <w:tcPr>
            <w:tcW w:w="0" w:type="auto"/>
            <w:gridSpan w:val="3"/>
            <w:tcBorders>
              <w:top w:val="single" w:sz="4" w:space="0" w:color="auto"/>
              <w:bottom w:val="single" w:sz="8" w:space="0" w:color="666666"/>
            </w:tcBorders>
            <w:shd w:val="clear" w:color="auto" w:fill="A6A6A6"/>
            <w:tcMar>
              <w:top w:w="0" w:type="dxa"/>
              <w:left w:w="0" w:type="dxa"/>
              <w:bottom w:w="0" w:type="dxa"/>
              <w:right w:w="0" w:type="dxa"/>
            </w:tcMar>
            <w:vAlign w:val="center"/>
          </w:tcPr>
          <w:p w14:paraId="16185967"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Possible AD</w:t>
            </w:r>
          </w:p>
        </w:tc>
        <w:tc>
          <w:tcPr>
            <w:tcW w:w="0" w:type="auto"/>
            <w:gridSpan w:val="3"/>
            <w:tcBorders>
              <w:top w:val="single" w:sz="4" w:space="0" w:color="auto"/>
              <w:bottom w:val="single" w:sz="8" w:space="0" w:color="666666"/>
            </w:tcBorders>
            <w:shd w:val="clear" w:color="auto" w:fill="A6A6A6"/>
            <w:tcMar>
              <w:top w:w="0" w:type="dxa"/>
              <w:left w:w="0" w:type="dxa"/>
              <w:bottom w:w="0" w:type="dxa"/>
              <w:right w:w="0" w:type="dxa"/>
            </w:tcMar>
            <w:vAlign w:val="center"/>
          </w:tcPr>
          <w:p w14:paraId="16185968"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Vascular dementia</w:t>
            </w:r>
          </w:p>
        </w:tc>
        <w:tc>
          <w:tcPr>
            <w:tcW w:w="2130" w:type="dxa"/>
            <w:gridSpan w:val="3"/>
            <w:tcBorders>
              <w:top w:val="single" w:sz="4" w:space="0" w:color="auto"/>
              <w:bottom w:val="single" w:sz="8" w:space="0" w:color="666666"/>
              <w:right w:val="single" w:sz="4" w:space="0" w:color="auto"/>
            </w:tcBorders>
            <w:shd w:val="clear" w:color="auto" w:fill="A6A6A6"/>
            <w:tcMar>
              <w:top w:w="0" w:type="dxa"/>
              <w:left w:w="0" w:type="dxa"/>
              <w:bottom w:w="0" w:type="dxa"/>
              <w:right w:w="0" w:type="dxa"/>
            </w:tcMar>
            <w:vAlign w:val="center"/>
          </w:tcPr>
          <w:p w14:paraId="16185969" w14:textId="711549C0"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Other dementia</w:t>
            </w:r>
            <w:r w:rsidR="0099399C">
              <w:rPr>
                <w:rFonts w:ascii="Arial" w:eastAsia="Arial" w:hAnsi="Arial" w:cs="Arial"/>
                <w:b/>
                <w:color w:val="000000"/>
                <w:sz w:val="14"/>
                <w:szCs w:val="14"/>
              </w:rPr>
              <w:t>s</w:t>
            </w:r>
          </w:p>
        </w:tc>
      </w:tr>
      <w:tr w:rsidR="0099399C" w:rsidRPr="00CB5131" w14:paraId="1618597B" w14:textId="77777777" w:rsidTr="006821AC">
        <w:trPr>
          <w:cantSplit/>
          <w:trHeight w:val="382"/>
          <w:tblHeader/>
          <w:jc w:val="center"/>
        </w:trPr>
        <w:tc>
          <w:tcPr>
            <w:tcW w:w="1504" w:type="dxa"/>
            <w:vMerge/>
            <w:tcBorders>
              <w:top w:val="single" w:sz="8" w:space="0" w:color="666666"/>
              <w:left w:val="single" w:sz="4" w:space="0" w:color="auto"/>
              <w:bottom w:val="single" w:sz="8" w:space="0" w:color="666666"/>
              <w:right w:val="single" w:sz="8" w:space="0" w:color="000000"/>
            </w:tcBorders>
            <w:shd w:val="clear" w:color="auto" w:fill="A6A6A6"/>
            <w:tcMar>
              <w:top w:w="0" w:type="dxa"/>
              <w:left w:w="0" w:type="dxa"/>
              <w:bottom w:w="0" w:type="dxa"/>
              <w:right w:w="0" w:type="dxa"/>
            </w:tcMar>
            <w:vAlign w:val="center"/>
          </w:tcPr>
          <w:p w14:paraId="1618596B" w14:textId="77777777" w:rsidR="00381D4B" w:rsidRPr="00CB5131" w:rsidRDefault="00381D4B">
            <w:pPr>
              <w:spacing w:before="100" w:after="100"/>
              <w:ind w:left="100" w:right="100"/>
              <w:rPr>
                <w:sz w:val="14"/>
                <w:szCs w:val="14"/>
              </w:rPr>
            </w:pPr>
          </w:p>
        </w:tc>
        <w:tc>
          <w:tcPr>
            <w:tcW w:w="296" w:type="dxa"/>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6C"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Events</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6D"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PYAR</w:t>
            </w:r>
          </w:p>
        </w:tc>
        <w:tc>
          <w:tcPr>
            <w:tcW w:w="0" w:type="auto"/>
            <w:tcBorders>
              <w:top w:val="single" w:sz="8" w:space="0" w:color="666666"/>
              <w:bottom w:val="single" w:sz="8" w:space="0" w:color="666666"/>
              <w:right w:val="single" w:sz="8" w:space="0" w:color="000000"/>
            </w:tcBorders>
            <w:shd w:val="clear" w:color="auto" w:fill="A6A6A6"/>
            <w:tcMar>
              <w:top w:w="0" w:type="dxa"/>
              <w:left w:w="0" w:type="dxa"/>
              <w:bottom w:w="0" w:type="dxa"/>
              <w:right w:w="0" w:type="dxa"/>
            </w:tcMar>
            <w:vAlign w:val="center"/>
          </w:tcPr>
          <w:p w14:paraId="1618596E"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Rate</w:t>
            </w:r>
            <w:r w:rsidRPr="00CB5131">
              <w:rPr>
                <w:rFonts w:ascii="Arial" w:eastAsia="Arial" w:hAnsi="Arial" w:cs="Arial"/>
                <w:b/>
                <w:color w:val="000000"/>
                <w:sz w:val="14"/>
                <w:szCs w:val="14"/>
                <w:vertAlign w:val="superscript"/>
              </w:rPr>
              <w:t>a</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6F"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Events</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70"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PYAR</w:t>
            </w:r>
          </w:p>
        </w:tc>
        <w:tc>
          <w:tcPr>
            <w:tcW w:w="0" w:type="auto"/>
            <w:tcBorders>
              <w:top w:val="single" w:sz="8" w:space="0" w:color="666666"/>
              <w:bottom w:val="single" w:sz="8" w:space="0" w:color="666666"/>
              <w:right w:val="single" w:sz="8" w:space="0" w:color="000000"/>
            </w:tcBorders>
            <w:shd w:val="clear" w:color="auto" w:fill="A6A6A6"/>
            <w:tcMar>
              <w:top w:w="0" w:type="dxa"/>
              <w:left w:w="0" w:type="dxa"/>
              <w:bottom w:w="0" w:type="dxa"/>
              <w:right w:w="0" w:type="dxa"/>
            </w:tcMar>
            <w:vAlign w:val="center"/>
          </w:tcPr>
          <w:p w14:paraId="16185971"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Rate</w:t>
            </w:r>
            <w:r w:rsidRPr="00CB5131">
              <w:rPr>
                <w:rFonts w:ascii="Arial" w:eastAsia="Arial" w:hAnsi="Arial" w:cs="Arial"/>
                <w:b/>
                <w:color w:val="000000"/>
                <w:sz w:val="14"/>
                <w:szCs w:val="14"/>
                <w:vertAlign w:val="superscript"/>
              </w:rPr>
              <w:t>a</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72"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Events</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73"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PYAR</w:t>
            </w:r>
          </w:p>
        </w:tc>
        <w:tc>
          <w:tcPr>
            <w:tcW w:w="0" w:type="auto"/>
            <w:tcBorders>
              <w:top w:val="single" w:sz="8" w:space="0" w:color="666666"/>
              <w:bottom w:val="single" w:sz="8" w:space="0" w:color="666666"/>
              <w:right w:val="single" w:sz="8" w:space="0" w:color="000000"/>
            </w:tcBorders>
            <w:shd w:val="clear" w:color="auto" w:fill="A6A6A6"/>
            <w:tcMar>
              <w:top w:w="0" w:type="dxa"/>
              <w:left w:w="0" w:type="dxa"/>
              <w:bottom w:w="0" w:type="dxa"/>
              <w:right w:w="0" w:type="dxa"/>
            </w:tcMar>
            <w:vAlign w:val="center"/>
          </w:tcPr>
          <w:p w14:paraId="16185974"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Rate</w:t>
            </w:r>
            <w:r w:rsidRPr="00CB5131">
              <w:rPr>
                <w:rFonts w:ascii="Arial" w:eastAsia="Arial" w:hAnsi="Arial" w:cs="Arial"/>
                <w:b/>
                <w:color w:val="000000"/>
                <w:sz w:val="14"/>
                <w:szCs w:val="14"/>
                <w:vertAlign w:val="superscript"/>
              </w:rPr>
              <w:t>a</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75"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Events</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76"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PYAR</w:t>
            </w:r>
          </w:p>
        </w:tc>
        <w:tc>
          <w:tcPr>
            <w:tcW w:w="0" w:type="auto"/>
            <w:tcBorders>
              <w:top w:val="single" w:sz="8" w:space="0" w:color="666666"/>
              <w:bottom w:val="single" w:sz="8" w:space="0" w:color="666666"/>
              <w:right w:val="single" w:sz="8" w:space="0" w:color="000000"/>
            </w:tcBorders>
            <w:shd w:val="clear" w:color="auto" w:fill="A6A6A6"/>
            <w:tcMar>
              <w:top w:w="0" w:type="dxa"/>
              <w:left w:w="0" w:type="dxa"/>
              <w:bottom w:w="0" w:type="dxa"/>
              <w:right w:w="0" w:type="dxa"/>
            </w:tcMar>
            <w:vAlign w:val="center"/>
          </w:tcPr>
          <w:p w14:paraId="16185977"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Rate</w:t>
            </w:r>
            <w:r w:rsidRPr="00CB5131">
              <w:rPr>
                <w:rFonts w:ascii="Arial" w:eastAsia="Arial" w:hAnsi="Arial" w:cs="Arial"/>
                <w:b/>
                <w:color w:val="000000"/>
                <w:sz w:val="14"/>
                <w:szCs w:val="14"/>
                <w:vertAlign w:val="superscript"/>
              </w:rPr>
              <w:t>a</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78"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Events</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79"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PYAR</w:t>
            </w:r>
          </w:p>
        </w:tc>
        <w:tc>
          <w:tcPr>
            <w:tcW w:w="559" w:type="dxa"/>
            <w:tcBorders>
              <w:top w:val="single" w:sz="8" w:space="0" w:color="666666"/>
              <w:bottom w:val="single" w:sz="8" w:space="0" w:color="666666"/>
              <w:right w:val="single" w:sz="4" w:space="0" w:color="auto"/>
            </w:tcBorders>
            <w:shd w:val="clear" w:color="auto" w:fill="A6A6A6"/>
            <w:tcMar>
              <w:top w:w="0" w:type="dxa"/>
              <w:left w:w="0" w:type="dxa"/>
              <w:bottom w:w="0" w:type="dxa"/>
              <w:right w:w="0" w:type="dxa"/>
            </w:tcMar>
            <w:vAlign w:val="center"/>
          </w:tcPr>
          <w:p w14:paraId="1618597A"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Rate</w:t>
            </w:r>
            <w:r w:rsidRPr="00CB5131">
              <w:rPr>
                <w:rFonts w:ascii="Arial" w:eastAsia="Arial" w:hAnsi="Arial" w:cs="Arial"/>
                <w:b/>
                <w:color w:val="000000"/>
                <w:sz w:val="14"/>
                <w:szCs w:val="14"/>
                <w:vertAlign w:val="superscript"/>
              </w:rPr>
              <w:t>a</w:t>
            </w:r>
          </w:p>
        </w:tc>
      </w:tr>
      <w:tr w:rsidR="0099399C" w:rsidRPr="00CB5131" w14:paraId="1618598C" w14:textId="77777777" w:rsidTr="006821AC">
        <w:trPr>
          <w:cantSplit/>
          <w:trHeight w:val="488"/>
          <w:jc w:val="center"/>
        </w:trPr>
        <w:tc>
          <w:tcPr>
            <w:tcW w:w="1504" w:type="dxa"/>
            <w:tcBorders>
              <w:left w:val="single" w:sz="4" w:space="0" w:color="auto"/>
              <w:right w:val="single" w:sz="8" w:space="0" w:color="000000"/>
            </w:tcBorders>
            <w:shd w:val="clear" w:color="auto" w:fill="FFFFFF"/>
            <w:tcMar>
              <w:top w:w="0" w:type="dxa"/>
              <w:left w:w="0" w:type="dxa"/>
              <w:bottom w:w="0" w:type="dxa"/>
              <w:right w:w="0" w:type="dxa"/>
            </w:tcMar>
            <w:vAlign w:val="center"/>
          </w:tcPr>
          <w:p w14:paraId="1618597C" w14:textId="77777777" w:rsidR="00381D4B" w:rsidRPr="00CB5131" w:rsidRDefault="00482E76">
            <w:pPr>
              <w:spacing w:before="100" w:after="100"/>
              <w:ind w:left="100" w:right="100"/>
              <w:rPr>
                <w:sz w:val="14"/>
                <w:szCs w:val="14"/>
              </w:rPr>
            </w:pPr>
            <w:r w:rsidRPr="00CB5131">
              <w:rPr>
                <w:rFonts w:ascii="Arial" w:eastAsia="Arial" w:hAnsi="Arial" w:cs="Arial"/>
                <w:b/>
                <w:color w:val="000000"/>
                <w:sz w:val="14"/>
                <w:szCs w:val="14"/>
              </w:rPr>
              <w:t>No LRA (unexposed)</w:t>
            </w:r>
          </w:p>
        </w:tc>
        <w:tc>
          <w:tcPr>
            <w:tcW w:w="296" w:type="dxa"/>
            <w:shd w:val="clear" w:color="auto" w:fill="FFFFFF"/>
            <w:tcMar>
              <w:top w:w="0" w:type="dxa"/>
              <w:left w:w="0" w:type="dxa"/>
              <w:bottom w:w="0" w:type="dxa"/>
              <w:right w:w="0" w:type="dxa"/>
            </w:tcMar>
            <w:vAlign w:val="center"/>
          </w:tcPr>
          <w:p w14:paraId="1618597D"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18,608</w:t>
            </w:r>
          </w:p>
        </w:tc>
        <w:tc>
          <w:tcPr>
            <w:tcW w:w="0" w:type="auto"/>
            <w:shd w:val="clear" w:color="auto" w:fill="FFFFFF"/>
            <w:tcMar>
              <w:top w:w="0" w:type="dxa"/>
              <w:left w:w="0" w:type="dxa"/>
              <w:bottom w:w="0" w:type="dxa"/>
              <w:right w:w="0" w:type="dxa"/>
            </w:tcMar>
            <w:vAlign w:val="center"/>
          </w:tcPr>
          <w:p w14:paraId="1618597E"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5,872,717</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7F"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317</w:t>
            </w:r>
          </w:p>
        </w:tc>
        <w:tc>
          <w:tcPr>
            <w:tcW w:w="0" w:type="auto"/>
            <w:shd w:val="clear" w:color="auto" w:fill="FFFFFF"/>
            <w:tcMar>
              <w:top w:w="0" w:type="dxa"/>
              <w:left w:w="0" w:type="dxa"/>
              <w:bottom w:w="0" w:type="dxa"/>
              <w:right w:w="0" w:type="dxa"/>
            </w:tcMar>
            <w:vAlign w:val="center"/>
          </w:tcPr>
          <w:p w14:paraId="16185980"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6,368</w:t>
            </w:r>
          </w:p>
        </w:tc>
        <w:tc>
          <w:tcPr>
            <w:tcW w:w="0" w:type="auto"/>
            <w:shd w:val="clear" w:color="auto" w:fill="FFFFFF"/>
            <w:tcMar>
              <w:top w:w="0" w:type="dxa"/>
              <w:left w:w="0" w:type="dxa"/>
              <w:bottom w:w="0" w:type="dxa"/>
              <w:right w:w="0" w:type="dxa"/>
            </w:tcMar>
            <w:vAlign w:val="center"/>
          </w:tcPr>
          <w:p w14:paraId="16185981"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5,818,047</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82"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109</w:t>
            </w:r>
          </w:p>
        </w:tc>
        <w:tc>
          <w:tcPr>
            <w:tcW w:w="0" w:type="auto"/>
            <w:shd w:val="clear" w:color="auto" w:fill="FFFFFF"/>
            <w:tcMar>
              <w:top w:w="0" w:type="dxa"/>
              <w:left w:w="0" w:type="dxa"/>
              <w:bottom w:w="0" w:type="dxa"/>
              <w:right w:w="0" w:type="dxa"/>
            </w:tcMar>
            <w:vAlign w:val="center"/>
          </w:tcPr>
          <w:p w14:paraId="16185983"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2,637</w:t>
            </w:r>
          </w:p>
        </w:tc>
        <w:tc>
          <w:tcPr>
            <w:tcW w:w="0" w:type="auto"/>
            <w:shd w:val="clear" w:color="auto" w:fill="FFFFFF"/>
            <w:tcMar>
              <w:top w:w="0" w:type="dxa"/>
              <w:left w:w="0" w:type="dxa"/>
              <w:bottom w:w="0" w:type="dxa"/>
              <w:right w:w="0" w:type="dxa"/>
            </w:tcMar>
            <w:vAlign w:val="center"/>
          </w:tcPr>
          <w:p w14:paraId="16185984"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5,800,964</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85"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45</w:t>
            </w:r>
          </w:p>
        </w:tc>
        <w:tc>
          <w:tcPr>
            <w:tcW w:w="0" w:type="auto"/>
            <w:shd w:val="clear" w:color="auto" w:fill="FFFFFF"/>
            <w:tcMar>
              <w:top w:w="0" w:type="dxa"/>
              <w:left w:w="0" w:type="dxa"/>
              <w:bottom w:w="0" w:type="dxa"/>
              <w:right w:w="0" w:type="dxa"/>
            </w:tcMar>
            <w:vAlign w:val="center"/>
          </w:tcPr>
          <w:p w14:paraId="16185986"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4,813</w:t>
            </w:r>
          </w:p>
        </w:tc>
        <w:tc>
          <w:tcPr>
            <w:tcW w:w="0" w:type="auto"/>
            <w:shd w:val="clear" w:color="auto" w:fill="FFFFFF"/>
            <w:tcMar>
              <w:top w:w="0" w:type="dxa"/>
              <w:left w:w="0" w:type="dxa"/>
              <w:bottom w:w="0" w:type="dxa"/>
              <w:right w:w="0" w:type="dxa"/>
            </w:tcMar>
            <w:vAlign w:val="center"/>
          </w:tcPr>
          <w:p w14:paraId="16185987"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5,811,594</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88"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83</w:t>
            </w:r>
          </w:p>
        </w:tc>
        <w:tc>
          <w:tcPr>
            <w:tcW w:w="0" w:type="auto"/>
            <w:shd w:val="clear" w:color="auto" w:fill="FFFFFF"/>
            <w:tcMar>
              <w:top w:w="0" w:type="dxa"/>
              <w:left w:w="0" w:type="dxa"/>
              <w:bottom w:w="0" w:type="dxa"/>
              <w:right w:w="0" w:type="dxa"/>
            </w:tcMar>
            <w:vAlign w:val="center"/>
          </w:tcPr>
          <w:p w14:paraId="16185989"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4,790</w:t>
            </w:r>
          </w:p>
        </w:tc>
        <w:tc>
          <w:tcPr>
            <w:tcW w:w="0" w:type="auto"/>
            <w:shd w:val="clear" w:color="auto" w:fill="FFFFFF"/>
            <w:tcMar>
              <w:top w:w="0" w:type="dxa"/>
              <w:left w:w="0" w:type="dxa"/>
              <w:bottom w:w="0" w:type="dxa"/>
              <w:right w:w="0" w:type="dxa"/>
            </w:tcMar>
            <w:vAlign w:val="center"/>
          </w:tcPr>
          <w:p w14:paraId="1618598A"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5,808,285</w:t>
            </w:r>
          </w:p>
        </w:tc>
        <w:tc>
          <w:tcPr>
            <w:tcW w:w="559" w:type="dxa"/>
            <w:tcBorders>
              <w:right w:val="single" w:sz="4" w:space="0" w:color="auto"/>
            </w:tcBorders>
            <w:shd w:val="clear" w:color="auto" w:fill="FFFFFF"/>
            <w:tcMar>
              <w:top w:w="0" w:type="dxa"/>
              <w:left w:w="0" w:type="dxa"/>
              <w:bottom w:w="0" w:type="dxa"/>
              <w:right w:w="0" w:type="dxa"/>
            </w:tcMar>
            <w:vAlign w:val="center"/>
          </w:tcPr>
          <w:p w14:paraId="1618598B"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82</w:t>
            </w:r>
          </w:p>
        </w:tc>
      </w:tr>
      <w:tr w:rsidR="0099399C" w:rsidRPr="00CB5131" w14:paraId="1618599D" w14:textId="77777777" w:rsidTr="006821AC">
        <w:trPr>
          <w:cantSplit/>
          <w:trHeight w:val="370"/>
          <w:jc w:val="center"/>
        </w:trPr>
        <w:tc>
          <w:tcPr>
            <w:tcW w:w="1504" w:type="dxa"/>
            <w:tcBorders>
              <w:left w:val="single" w:sz="4" w:space="0" w:color="auto"/>
              <w:right w:val="single" w:sz="8" w:space="0" w:color="000000"/>
            </w:tcBorders>
            <w:shd w:val="clear" w:color="auto" w:fill="FFFFFF"/>
            <w:tcMar>
              <w:top w:w="0" w:type="dxa"/>
              <w:left w:w="0" w:type="dxa"/>
              <w:bottom w:w="0" w:type="dxa"/>
              <w:right w:w="0" w:type="dxa"/>
            </w:tcMar>
            <w:vAlign w:val="center"/>
          </w:tcPr>
          <w:p w14:paraId="1618598D" w14:textId="77777777" w:rsidR="00381D4B" w:rsidRPr="00CB5131" w:rsidRDefault="00482E76">
            <w:pPr>
              <w:spacing w:before="100" w:after="100"/>
              <w:ind w:left="100" w:right="100"/>
              <w:rPr>
                <w:sz w:val="14"/>
                <w:szCs w:val="14"/>
              </w:rPr>
            </w:pPr>
            <w:r w:rsidRPr="00CB5131">
              <w:rPr>
                <w:rFonts w:ascii="Arial" w:eastAsia="Arial" w:hAnsi="Arial" w:cs="Arial"/>
                <w:b/>
                <w:color w:val="000000"/>
                <w:sz w:val="14"/>
                <w:szCs w:val="14"/>
              </w:rPr>
              <w:t>By drug class</w:t>
            </w:r>
          </w:p>
        </w:tc>
        <w:tc>
          <w:tcPr>
            <w:tcW w:w="296" w:type="dxa"/>
            <w:shd w:val="clear" w:color="auto" w:fill="FFFFFF"/>
            <w:tcMar>
              <w:top w:w="0" w:type="dxa"/>
              <w:left w:w="0" w:type="dxa"/>
              <w:bottom w:w="0" w:type="dxa"/>
              <w:right w:w="0" w:type="dxa"/>
            </w:tcMar>
            <w:vAlign w:val="center"/>
          </w:tcPr>
          <w:p w14:paraId="1618598E" w14:textId="77777777" w:rsidR="00381D4B" w:rsidRPr="00CB5131" w:rsidRDefault="00381D4B">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1618598F" w14:textId="77777777" w:rsidR="00381D4B" w:rsidRPr="00CB5131" w:rsidRDefault="00381D4B">
            <w:pPr>
              <w:spacing w:before="100" w:after="100"/>
              <w:ind w:left="100" w:right="100"/>
              <w:jc w:val="center"/>
              <w:rPr>
                <w:sz w:val="14"/>
                <w:szCs w:val="14"/>
              </w:rPr>
            </w:pPr>
          </w:p>
        </w:tc>
        <w:tc>
          <w:tcPr>
            <w:tcW w:w="0" w:type="auto"/>
            <w:tcBorders>
              <w:right w:val="single" w:sz="8" w:space="0" w:color="000000"/>
            </w:tcBorders>
            <w:shd w:val="clear" w:color="auto" w:fill="FFFFFF"/>
            <w:tcMar>
              <w:top w:w="0" w:type="dxa"/>
              <w:left w:w="0" w:type="dxa"/>
              <w:bottom w:w="0" w:type="dxa"/>
              <w:right w:w="0" w:type="dxa"/>
            </w:tcMar>
            <w:vAlign w:val="center"/>
          </w:tcPr>
          <w:p w14:paraId="16185990" w14:textId="77777777" w:rsidR="00381D4B" w:rsidRPr="00CB5131" w:rsidRDefault="00381D4B">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16185991" w14:textId="77777777" w:rsidR="00381D4B" w:rsidRPr="00CB5131" w:rsidRDefault="00381D4B">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16185992" w14:textId="77777777" w:rsidR="00381D4B" w:rsidRPr="00CB5131" w:rsidRDefault="00381D4B">
            <w:pPr>
              <w:spacing w:before="100" w:after="100"/>
              <w:ind w:left="100" w:right="100"/>
              <w:jc w:val="center"/>
              <w:rPr>
                <w:sz w:val="14"/>
                <w:szCs w:val="14"/>
              </w:rPr>
            </w:pPr>
          </w:p>
        </w:tc>
        <w:tc>
          <w:tcPr>
            <w:tcW w:w="0" w:type="auto"/>
            <w:tcBorders>
              <w:right w:val="single" w:sz="8" w:space="0" w:color="000000"/>
            </w:tcBorders>
            <w:shd w:val="clear" w:color="auto" w:fill="FFFFFF"/>
            <w:tcMar>
              <w:top w:w="0" w:type="dxa"/>
              <w:left w:w="0" w:type="dxa"/>
              <w:bottom w:w="0" w:type="dxa"/>
              <w:right w:w="0" w:type="dxa"/>
            </w:tcMar>
            <w:vAlign w:val="center"/>
          </w:tcPr>
          <w:p w14:paraId="16185993" w14:textId="77777777" w:rsidR="00381D4B" w:rsidRPr="00CB5131" w:rsidRDefault="00381D4B">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16185994" w14:textId="77777777" w:rsidR="00381D4B" w:rsidRPr="00CB5131" w:rsidRDefault="00381D4B">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16185995" w14:textId="77777777" w:rsidR="00381D4B" w:rsidRPr="00CB5131" w:rsidRDefault="00381D4B">
            <w:pPr>
              <w:spacing w:before="100" w:after="100"/>
              <w:ind w:left="100" w:right="100"/>
              <w:jc w:val="center"/>
              <w:rPr>
                <w:sz w:val="14"/>
                <w:szCs w:val="14"/>
              </w:rPr>
            </w:pPr>
          </w:p>
        </w:tc>
        <w:tc>
          <w:tcPr>
            <w:tcW w:w="0" w:type="auto"/>
            <w:tcBorders>
              <w:right w:val="single" w:sz="8" w:space="0" w:color="000000"/>
            </w:tcBorders>
            <w:shd w:val="clear" w:color="auto" w:fill="FFFFFF"/>
            <w:tcMar>
              <w:top w:w="0" w:type="dxa"/>
              <w:left w:w="0" w:type="dxa"/>
              <w:bottom w:w="0" w:type="dxa"/>
              <w:right w:w="0" w:type="dxa"/>
            </w:tcMar>
            <w:vAlign w:val="center"/>
          </w:tcPr>
          <w:p w14:paraId="16185996" w14:textId="77777777" w:rsidR="00381D4B" w:rsidRPr="00CB5131" w:rsidRDefault="00381D4B">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16185997" w14:textId="77777777" w:rsidR="00381D4B" w:rsidRPr="00CB5131" w:rsidRDefault="00381D4B">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16185998" w14:textId="77777777" w:rsidR="00381D4B" w:rsidRPr="00CB5131" w:rsidRDefault="00381D4B">
            <w:pPr>
              <w:spacing w:before="100" w:after="100"/>
              <w:ind w:left="100" w:right="100"/>
              <w:jc w:val="center"/>
              <w:rPr>
                <w:sz w:val="14"/>
                <w:szCs w:val="14"/>
              </w:rPr>
            </w:pPr>
          </w:p>
        </w:tc>
        <w:tc>
          <w:tcPr>
            <w:tcW w:w="0" w:type="auto"/>
            <w:tcBorders>
              <w:right w:val="single" w:sz="8" w:space="0" w:color="000000"/>
            </w:tcBorders>
            <w:shd w:val="clear" w:color="auto" w:fill="FFFFFF"/>
            <w:tcMar>
              <w:top w:w="0" w:type="dxa"/>
              <w:left w:w="0" w:type="dxa"/>
              <w:bottom w:w="0" w:type="dxa"/>
              <w:right w:w="0" w:type="dxa"/>
            </w:tcMar>
            <w:vAlign w:val="center"/>
          </w:tcPr>
          <w:p w14:paraId="16185999" w14:textId="77777777" w:rsidR="00381D4B" w:rsidRPr="00CB5131" w:rsidRDefault="00381D4B">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1618599A" w14:textId="77777777" w:rsidR="00381D4B" w:rsidRPr="00CB5131" w:rsidRDefault="00381D4B">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1618599B" w14:textId="77777777" w:rsidR="00381D4B" w:rsidRPr="00CB5131" w:rsidRDefault="00381D4B">
            <w:pPr>
              <w:spacing w:before="100" w:after="100"/>
              <w:ind w:left="100" w:right="100"/>
              <w:jc w:val="center"/>
              <w:rPr>
                <w:sz w:val="14"/>
                <w:szCs w:val="14"/>
              </w:rPr>
            </w:pPr>
          </w:p>
        </w:tc>
        <w:tc>
          <w:tcPr>
            <w:tcW w:w="559" w:type="dxa"/>
            <w:tcBorders>
              <w:right w:val="single" w:sz="4" w:space="0" w:color="auto"/>
            </w:tcBorders>
            <w:shd w:val="clear" w:color="auto" w:fill="FFFFFF"/>
            <w:tcMar>
              <w:top w:w="0" w:type="dxa"/>
              <w:left w:w="0" w:type="dxa"/>
              <w:bottom w:w="0" w:type="dxa"/>
              <w:right w:w="0" w:type="dxa"/>
            </w:tcMar>
            <w:vAlign w:val="center"/>
          </w:tcPr>
          <w:p w14:paraId="1618599C" w14:textId="77777777" w:rsidR="00381D4B" w:rsidRPr="00CB5131" w:rsidRDefault="00381D4B">
            <w:pPr>
              <w:spacing w:before="100" w:after="100"/>
              <w:ind w:left="100" w:right="100"/>
              <w:jc w:val="center"/>
              <w:rPr>
                <w:sz w:val="14"/>
                <w:szCs w:val="14"/>
              </w:rPr>
            </w:pPr>
          </w:p>
        </w:tc>
      </w:tr>
      <w:tr w:rsidR="0099399C" w:rsidRPr="00CB5131" w14:paraId="161859AE" w14:textId="77777777" w:rsidTr="006821AC">
        <w:trPr>
          <w:cantSplit/>
          <w:trHeight w:val="477"/>
          <w:jc w:val="center"/>
        </w:trPr>
        <w:tc>
          <w:tcPr>
            <w:tcW w:w="1504" w:type="dxa"/>
            <w:tcBorders>
              <w:left w:val="single" w:sz="4" w:space="0" w:color="auto"/>
              <w:right w:val="single" w:sz="8" w:space="0" w:color="000000"/>
            </w:tcBorders>
            <w:shd w:val="clear" w:color="auto" w:fill="FFFFFF"/>
            <w:tcMar>
              <w:top w:w="0" w:type="dxa"/>
              <w:left w:w="0" w:type="dxa"/>
              <w:bottom w:w="0" w:type="dxa"/>
              <w:right w:w="0" w:type="dxa"/>
            </w:tcMar>
            <w:vAlign w:val="center"/>
          </w:tcPr>
          <w:p w14:paraId="1618599E" w14:textId="2F344EF4" w:rsidR="00381D4B" w:rsidRPr="00CB5131" w:rsidRDefault="00482E76">
            <w:pPr>
              <w:spacing w:before="100" w:after="100"/>
              <w:ind w:left="400" w:right="100"/>
              <w:rPr>
                <w:sz w:val="14"/>
                <w:szCs w:val="14"/>
              </w:rPr>
            </w:pPr>
            <w:r w:rsidRPr="00CB5131">
              <w:rPr>
                <w:rFonts w:ascii="Arial" w:eastAsia="Arial" w:hAnsi="Arial" w:cs="Arial"/>
                <w:color w:val="000000"/>
                <w:sz w:val="14"/>
                <w:szCs w:val="14"/>
              </w:rPr>
              <w:t>Statins</w:t>
            </w:r>
          </w:p>
        </w:tc>
        <w:tc>
          <w:tcPr>
            <w:tcW w:w="296" w:type="dxa"/>
            <w:shd w:val="clear" w:color="auto" w:fill="FFFFFF"/>
            <w:tcMar>
              <w:top w:w="0" w:type="dxa"/>
              <w:left w:w="0" w:type="dxa"/>
              <w:bottom w:w="0" w:type="dxa"/>
              <w:right w:w="0" w:type="dxa"/>
            </w:tcMar>
            <w:vAlign w:val="center"/>
          </w:tcPr>
          <w:p w14:paraId="1618599F"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22,920</w:t>
            </w:r>
          </w:p>
        </w:tc>
        <w:tc>
          <w:tcPr>
            <w:tcW w:w="0" w:type="auto"/>
            <w:shd w:val="clear" w:color="auto" w:fill="FFFFFF"/>
            <w:tcMar>
              <w:top w:w="0" w:type="dxa"/>
              <w:left w:w="0" w:type="dxa"/>
              <w:bottom w:w="0" w:type="dxa"/>
              <w:right w:w="0" w:type="dxa"/>
            </w:tcMar>
            <w:vAlign w:val="center"/>
          </w:tcPr>
          <w:p w14:paraId="161859A0"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4,871,568</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A1"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470</w:t>
            </w:r>
          </w:p>
        </w:tc>
        <w:tc>
          <w:tcPr>
            <w:tcW w:w="0" w:type="auto"/>
            <w:shd w:val="clear" w:color="auto" w:fill="FFFFFF"/>
            <w:tcMar>
              <w:top w:w="0" w:type="dxa"/>
              <w:left w:w="0" w:type="dxa"/>
              <w:bottom w:w="0" w:type="dxa"/>
              <w:right w:w="0" w:type="dxa"/>
            </w:tcMar>
            <w:vAlign w:val="center"/>
          </w:tcPr>
          <w:p w14:paraId="161859A2"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6,190</w:t>
            </w:r>
          </w:p>
        </w:tc>
        <w:tc>
          <w:tcPr>
            <w:tcW w:w="0" w:type="auto"/>
            <w:shd w:val="clear" w:color="auto" w:fill="FFFFFF"/>
            <w:tcMar>
              <w:top w:w="0" w:type="dxa"/>
              <w:left w:w="0" w:type="dxa"/>
              <w:bottom w:w="0" w:type="dxa"/>
              <w:right w:w="0" w:type="dxa"/>
            </w:tcMar>
            <w:vAlign w:val="center"/>
          </w:tcPr>
          <w:p w14:paraId="161859A3"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4,758,526</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A4"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130</w:t>
            </w:r>
          </w:p>
        </w:tc>
        <w:tc>
          <w:tcPr>
            <w:tcW w:w="0" w:type="auto"/>
            <w:shd w:val="clear" w:color="auto" w:fill="FFFFFF"/>
            <w:tcMar>
              <w:top w:w="0" w:type="dxa"/>
              <w:left w:w="0" w:type="dxa"/>
              <w:bottom w:w="0" w:type="dxa"/>
              <w:right w:w="0" w:type="dxa"/>
            </w:tcMar>
            <w:vAlign w:val="center"/>
          </w:tcPr>
          <w:p w14:paraId="161859A5"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5,773</w:t>
            </w:r>
          </w:p>
        </w:tc>
        <w:tc>
          <w:tcPr>
            <w:tcW w:w="0" w:type="auto"/>
            <w:shd w:val="clear" w:color="auto" w:fill="FFFFFF"/>
            <w:tcMar>
              <w:top w:w="0" w:type="dxa"/>
              <w:left w:w="0" w:type="dxa"/>
              <w:bottom w:w="0" w:type="dxa"/>
              <w:right w:w="0" w:type="dxa"/>
            </w:tcMar>
            <w:vAlign w:val="center"/>
          </w:tcPr>
          <w:p w14:paraId="161859A6"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4,753,437</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A7"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121</w:t>
            </w:r>
          </w:p>
        </w:tc>
        <w:tc>
          <w:tcPr>
            <w:tcW w:w="0" w:type="auto"/>
            <w:shd w:val="clear" w:color="auto" w:fill="FFFFFF"/>
            <w:tcMar>
              <w:top w:w="0" w:type="dxa"/>
              <w:left w:w="0" w:type="dxa"/>
              <w:bottom w:w="0" w:type="dxa"/>
              <w:right w:w="0" w:type="dxa"/>
            </w:tcMar>
            <w:vAlign w:val="center"/>
          </w:tcPr>
          <w:p w14:paraId="161859A8"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5,871</w:t>
            </w:r>
          </w:p>
        </w:tc>
        <w:tc>
          <w:tcPr>
            <w:tcW w:w="0" w:type="auto"/>
            <w:shd w:val="clear" w:color="auto" w:fill="FFFFFF"/>
            <w:tcMar>
              <w:top w:w="0" w:type="dxa"/>
              <w:left w:w="0" w:type="dxa"/>
              <w:bottom w:w="0" w:type="dxa"/>
              <w:right w:w="0" w:type="dxa"/>
            </w:tcMar>
            <w:vAlign w:val="center"/>
          </w:tcPr>
          <w:p w14:paraId="161859A9"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4,755,258</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AA"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123</w:t>
            </w:r>
          </w:p>
        </w:tc>
        <w:tc>
          <w:tcPr>
            <w:tcW w:w="0" w:type="auto"/>
            <w:shd w:val="clear" w:color="auto" w:fill="FFFFFF"/>
            <w:tcMar>
              <w:top w:w="0" w:type="dxa"/>
              <w:left w:w="0" w:type="dxa"/>
              <w:bottom w:w="0" w:type="dxa"/>
              <w:right w:w="0" w:type="dxa"/>
            </w:tcMar>
            <w:vAlign w:val="center"/>
          </w:tcPr>
          <w:p w14:paraId="161859AB"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5,086</w:t>
            </w:r>
          </w:p>
        </w:tc>
        <w:tc>
          <w:tcPr>
            <w:tcW w:w="0" w:type="auto"/>
            <w:shd w:val="clear" w:color="auto" w:fill="FFFFFF"/>
            <w:tcMar>
              <w:top w:w="0" w:type="dxa"/>
              <w:left w:w="0" w:type="dxa"/>
              <w:bottom w:w="0" w:type="dxa"/>
              <w:right w:w="0" w:type="dxa"/>
            </w:tcMar>
            <w:vAlign w:val="center"/>
          </w:tcPr>
          <w:p w14:paraId="161859AC"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4,747,237</w:t>
            </w:r>
          </w:p>
        </w:tc>
        <w:tc>
          <w:tcPr>
            <w:tcW w:w="559" w:type="dxa"/>
            <w:tcBorders>
              <w:right w:val="single" w:sz="4" w:space="0" w:color="auto"/>
            </w:tcBorders>
            <w:shd w:val="clear" w:color="auto" w:fill="FFFFFF"/>
            <w:tcMar>
              <w:top w:w="0" w:type="dxa"/>
              <w:left w:w="0" w:type="dxa"/>
              <w:bottom w:w="0" w:type="dxa"/>
              <w:right w:w="0" w:type="dxa"/>
            </w:tcMar>
            <w:vAlign w:val="center"/>
          </w:tcPr>
          <w:p w14:paraId="161859AD"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107</w:t>
            </w:r>
          </w:p>
        </w:tc>
      </w:tr>
      <w:tr w:rsidR="0099399C" w:rsidRPr="00CB5131" w14:paraId="161859BF" w14:textId="77777777" w:rsidTr="006821AC">
        <w:trPr>
          <w:cantSplit/>
          <w:trHeight w:val="604"/>
          <w:jc w:val="center"/>
        </w:trPr>
        <w:tc>
          <w:tcPr>
            <w:tcW w:w="1504" w:type="dxa"/>
            <w:tcBorders>
              <w:left w:val="single" w:sz="4" w:space="0" w:color="auto"/>
              <w:right w:val="single" w:sz="8" w:space="0" w:color="000000"/>
            </w:tcBorders>
            <w:shd w:val="clear" w:color="auto" w:fill="FFFFFF"/>
            <w:tcMar>
              <w:top w:w="0" w:type="dxa"/>
              <w:left w:w="0" w:type="dxa"/>
              <w:bottom w:w="0" w:type="dxa"/>
              <w:right w:w="0" w:type="dxa"/>
            </w:tcMar>
            <w:vAlign w:val="center"/>
          </w:tcPr>
          <w:p w14:paraId="161859AF" w14:textId="2E24BBA3" w:rsidR="00381D4B" w:rsidRPr="00CB5131" w:rsidRDefault="00482E76">
            <w:pPr>
              <w:spacing w:before="100" w:after="100"/>
              <w:ind w:left="400" w:right="100"/>
              <w:rPr>
                <w:sz w:val="14"/>
                <w:szCs w:val="14"/>
              </w:rPr>
            </w:pPr>
            <w:r w:rsidRPr="00CB5131">
              <w:rPr>
                <w:rFonts w:ascii="Arial" w:eastAsia="Arial" w:hAnsi="Arial" w:cs="Arial"/>
                <w:color w:val="000000"/>
                <w:sz w:val="14"/>
                <w:szCs w:val="14"/>
              </w:rPr>
              <w:t>Omega-</w:t>
            </w:r>
            <w:r w:rsidRPr="00CB5131">
              <w:rPr>
                <w:rFonts w:ascii="Arial" w:eastAsia="Arial" w:hAnsi="Arial" w:cs="Arial"/>
                <w:color w:val="000000"/>
                <w:sz w:val="14"/>
                <w:szCs w:val="14"/>
              </w:rPr>
              <w:t>3</w:t>
            </w:r>
            <w:r w:rsidRPr="00CB5131">
              <w:rPr>
                <w:rFonts w:ascii="Arial" w:eastAsia="Arial" w:hAnsi="Arial" w:cs="Arial"/>
                <w:color w:val="000000"/>
                <w:sz w:val="14"/>
                <w:szCs w:val="14"/>
              </w:rPr>
              <w:t xml:space="preserve"> FAGs</w:t>
            </w:r>
          </w:p>
        </w:tc>
        <w:tc>
          <w:tcPr>
            <w:tcW w:w="296" w:type="dxa"/>
            <w:shd w:val="clear" w:color="auto" w:fill="FFFFFF"/>
            <w:tcMar>
              <w:top w:w="0" w:type="dxa"/>
              <w:left w:w="0" w:type="dxa"/>
              <w:bottom w:w="0" w:type="dxa"/>
              <w:right w:w="0" w:type="dxa"/>
            </w:tcMar>
            <w:vAlign w:val="center"/>
          </w:tcPr>
          <w:p w14:paraId="161859B0"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19</w:t>
            </w:r>
          </w:p>
        </w:tc>
        <w:tc>
          <w:tcPr>
            <w:tcW w:w="0" w:type="auto"/>
            <w:shd w:val="clear" w:color="auto" w:fill="FFFFFF"/>
            <w:tcMar>
              <w:top w:w="0" w:type="dxa"/>
              <w:left w:w="0" w:type="dxa"/>
              <w:bottom w:w="0" w:type="dxa"/>
              <w:right w:w="0" w:type="dxa"/>
            </w:tcMar>
            <w:vAlign w:val="center"/>
          </w:tcPr>
          <w:p w14:paraId="161859B1"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8,034</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B2"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236</w:t>
            </w:r>
          </w:p>
        </w:tc>
        <w:tc>
          <w:tcPr>
            <w:tcW w:w="0" w:type="auto"/>
            <w:shd w:val="clear" w:color="auto" w:fill="FFFFFF"/>
            <w:tcMar>
              <w:top w:w="0" w:type="dxa"/>
              <w:left w:w="0" w:type="dxa"/>
              <w:bottom w:w="0" w:type="dxa"/>
              <w:right w:w="0" w:type="dxa"/>
            </w:tcMar>
            <w:vAlign w:val="center"/>
          </w:tcPr>
          <w:p w14:paraId="161859B3"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4</w:t>
            </w:r>
          </w:p>
        </w:tc>
        <w:tc>
          <w:tcPr>
            <w:tcW w:w="0" w:type="auto"/>
            <w:shd w:val="clear" w:color="auto" w:fill="FFFFFF"/>
            <w:tcMar>
              <w:top w:w="0" w:type="dxa"/>
              <w:left w:w="0" w:type="dxa"/>
              <w:bottom w:w="0" w:type="dxa"/>
              <w:right w:w="0" w:type="dxa"/>
            </w:tcMar>
            <w:vAlign w:val="center"/>
          </w:tcPr>
          <w:p w14:paraId="161859B4"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7,927</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B5"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50</w:t>
            </w:r>
          </w:p>
        </w:tc>
        <w:tc>
          <w:tcPr>
            <w:tcW w:w="0" w:type="auto"/>
            <w:shd w:val="clear" w:color="auto" w:fill="FFFFFF"/>
            <w:tcMar>
              <w:top w:w="0" w:type="dxa"/>
              <w:left w:w="0" w:type="dxa"/>
              <w:bottom w:w="0" w:type="dxa"/>
              <w:right w:w="0" w:type="dxa"/>
            </w:tcMar>
            <w:vAlign w:val="center"/>
          </w:tcPr>
          <w:p w14:paraId="161859B6"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7</w:t>
            </w:r>
          </w:p>
        </w:tc>
        <w:tc>
          <w:tcPr>
            <w:tcW w:w="0" w:type="auto"/>
            <w:shd w:val="clear" w:color="auto" w:fill="FFFFFF"/>
            <w:tcMar>
              <w:top w:w="0" w:type="dxa"/>
              <w:left w:w="0" w:type="dxa"/>
              <w:bottom w:w="0" w:type="dxa"/>
              <w:right w:w="0" w:type="dxa"/>
            </w:tcMar>
            <w:vAlign w:val="center"/>
          </w:tcPr>
          <w:p w14:paraId="161859B7"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7,950</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B8"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88</w:t>
            </w:r>
          </w:p>
        </w:tc>
        <w:tc>
          <w:tcPr>
            <w:tcW w:w="0" w:type="auto"/>
            <w:shd w:val="clear" w:color="auto" w:fill="FFFFFF"/>
            <w:tcMar>
              <w:top w:w="0" w:type="dxa"/>
              <w:left w:w="0" w:type="dxa"/>
              <w:bottom w:w="0" w:type="dxa"/>
              <w:right w:w="0" w:type="dxa"/>
            </w:tcMar>
            <w:vAlign w:val="center"/>
          </w:tcPr>
          <w:p w14:paraId="161859B9"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4</w:t>
            </w:r>
          </w:p>
        </w:tc>
        <w:tc>
          <w:tcPr>
            <w:tcW w:w="0" w:type="auto"/>
            <w:shd w:val="clear" w:color="auto" w:fill="FFFFFF"/>
            <w:tcMar>
              <w:top w:w="0" w:type="dxa"/>
              <w:left w:w="0" w:type="dxa"/>
              <w:bottom w:w="0" w:type="dxa"/>
              <w:right w:w="0" w:type="dxa"/>
            </w:tcMar>
            <w:vAlign w:val="center"/>
          </w:tcPr>
          <w:p w14:paraId="161859BA"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7,938</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BB"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50</w:t>
            </w:r>
          </w:p>
        </w:tc>
        <w:tc>
          <w:tcPr>
            <w:tcW w:w="0" w:type="auto"/>
            <w:shd w:val="clear" w:color="auto" w:fill="FFFFFF"/>
            <w:tcMar>
              <w:top w:w="0" w:type="dxa"/>
              <w:left w:w="0" w:type="dxa"/>
              <w:bottom w:w="0" w:type="dxa"/>
              <w:right w:w="0" w:type="dxa"/>
            </w:tcMar>
            <w:vAlign w:val="center"/>
          </w:tcPr>
          <w:p w14:paraId="161859BC"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4</w:t>
            </w:r>
          </w:p>
        </w:tc>
        <w:tc>
          <w:tcPr>
            <w:tcW w:w="0" w:type="auto"/>
            <w:shd w:val="clear" w:color="auto" w:fill="FFFFFF"/>
            <w:tcMar>
              <w:top w:w="0" w:type="dxa"/>
              <w:left w:w="0" w:type="dxa"/>
              <w:bottom w:w="0" w:type="dxa"/>
              <w:right w:w="0" w:type="dxa"/>
            </w:tcMar>
            <w:vAlign w:val="center"/>
          </w:tcPr>
          <w:p w14:paraId="161859BD"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7,925</w:t>
            </w:r>
          </w:p>
        </w:tc>
        <w:tc>
          <w:tcPr>
            <w:tcW w:w="559" w:type="dxa"/>
            <w:tcBorders>
              <w:right w:val="single" w:sz="4" w:space="0" w:color="auto"/>
            </w:tcBorders>
            <w:shd w:val="clear" w:color="auto" w:fill="FFFFFF"/>
            <w:tcMar>
              <w:top w:w="0" w:type="dxa"/>
              <w:left w:w="0" w:type="dxa"/>
              <w:bottom w:w="0" w:type="dxa"/>
              <w:right w:w="0" w:type="dxa"/>
            </w:tcMar>
            <w:vAlign w:val="center"/>
          </w:tcPr>
          <w:p w14:paraId="161859BE"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50</w:t>
            </w:r>
          </w:p>
        </w:tc>
      </w:tr>
      <w:tr w:rsidR="0099399C" w:rsidRPr="00CB5131" w14:paraId="161859D0" w14:textId="77777777" w:rsidTr="006821AC">
        <w:trPr>
          <w:cantSplit/>
          <w:trHeight w:val="477"/>
          <w:jc w:val="center"/>
        </w:trPr>
        <w:tc>
          <w:tcPr>
            <w:tcW w:w="1504" w:type="dxa"/>
            <w:tcBorders>
              <w:left w:val="single" w:sz="4" w:space="0" w:color="auto"/>
              <w:right w:val="single" w:sz="8" w:space="0" w:color="000000"/>
            </w:tcBorders>
            <w:shd w:val="clear" w:color="auto" w:fill="FFFFFF"/>
            <w:tcMar>
              <w:top w:w="0" w:type="dxa"/>
              <w:left w:w="0" w:type="dxa"/>
              <w:bottom w:w="0" w:type="dxa"/>
              <w:right w:w="0" w:type="dxa"/>
            </w:tcMar>
            <w:vAlign w:val="center"/>
          </w:tcPr>
          <w:p w14:paraId="161859C0" w14:textId="598BBC7D" w:rsidR="00381D4B" w:rsidRPr="00CB5131" w:rsidRDefault="00482E76">
            <w:pPr>
              <w:spacing w:before="100" w:after="100"/>
              <w:ind w:left="400" w:right="100"/>
              <w:rPr>
                <w:sz w:val="14"/>
                <w:szCs w:val="14"/>
              </w:rPr>
            </w:pPr>
            <w:r w:rsidRPr="00CB5131">
              <w:rPr>
                <w:rFonts w:ascii="Arial" w:eastAsia="Arial" w:hAnsi="Arial" w:cs="Arial"/>
                <w:color w:val="000000"/>
                <w:sz w:val="14"/>
                <w:szCs w:val="14"/>
              </w:rPr>
              <w:t>Fibrates</w:t>
            </w:r>
          </w:p>
        </w:tc>
        <w:tc>
          <w:tcPr>
            <w:tcW w:w="296" w:type="dxa"/>
            <w:shd w:val="clear" w:color="auto" w:fill="FFFFFF"/>
            <w:tcMar>
              <w:top w:w="0" w:type="dxa"/>
              <w:left w:w="0" w:type="dxa"/>
              <w:bottom w:w="0" w:type="dxa"/>
              <w:right w:w="0" w:type="dxa"/>
            </w:tcMar>
            <w:vAlign w:val="center"/>
          </w:tcPr>
          <w:p w14:paraId="161859C1"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141</w:t>
            </w:r>
          </w:p>
        </w:tc>
        <w:tc>
          <w:tcPr>
            <w:tcW w:w="0" w:type="auto"/>
            <w:shd w:val="clear" w:color="auto" w:fill="FFFFFF"/>
            <w:tcMar>
              <w:top w:w="0" w:type="dxa"/>
              <w:left w:w="0" w:type="dxa"/>
              <w:bottom w:w="0" w:type="dxa"/>
              <w:right w:w="0" w:type="dxa"/>
            </w:tcMar>
            <w:vAlign w:val="center"/>
          </w:tcPr>
          <w:p w14:paraId="161859C2"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38,003</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C3"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371</w:t>
            </w:r>
          </w:p>
        </w:tc>
        <w:tc>
          <w:tcPr>
            <w:tcW w:w="0" w:type="auto"/>
            <w:shd w:val="clear" w:color="auto" w:fill="FFFFFF"/>
            <w:tcMar>
              <w:top w:w="0" w:type="dxa"/>
              <w:left w:w="0" w:type="dxa"/>
              <w:bottom w:w="0" w:type="dxa"/>
              <w:right w:w="0" w:type="dxa"/>
            </w:tcMar>
            <w:vAlign w:val="center"/>
          </w:tcPr>
          <w:p w14:paraId="161859C4"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49</w:t>
            </w:r>
          </w:p>
        </w:tc>
        <w:tc>
          <w:tcPr>
            <w:tcW w:w="0" w:type="auto"/>
            <w:shd w:val="clear" w:color="auto" w:fill="FFFFFF"/>
            <w:tcMar>
              <w:top w:w="0" w:type="dxa"/>
              <w:left w:w="0" w:type="dxa"/>
              <w:bottom w:w="0" w:type="dxa"/>
              <w:right w:w="0" w:type="dxa"/>
            </w:tcMar>
            <w:vAlign w:val="center"/>
          </w:tcPr>
          <w:p w14:paraId="161859C5"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37,102</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C6"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132</w:t>
            </w:r>
          </w:p>
        </w:tc>
        <w:tc>
          <w:tcPr>
            <w:tcW w:w="0" w:type="auto"/>
            <w:shd w:val="clear" w:color="auto" w:fill="FFFFFF"/>
            <w:tcMar>
              <w:top w:w="0" w:type="dxa"/>
              <w:left w:w="0" w:type="dxa"/>
              <w:bottom w:w="0" w:type="dxa"/>
              <w:right w:w="0" w:type="dxa"/>
            </w:tcMar>
            <w:vAlign w:val="center"/>
          </w:tcPr>
          <w:p w14:paraId="161859C7"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21</w:t>
            </w:r>
          </w:p>
        </w:tc>
        <w:tc>
          <w:tcPr>
            <w:tcW w:w="0" w:type="auto"/>
            <w:shd w:val="clear" w:color="auto" w:fill="FFFFFF"/>
            <w:tcMar>
              <w:top w:w="0" w:type="dxa"/>
              <w:left w:w="0" w:type="dxa"/>
              <w:bottom w:w="0" w:type="dxa"/>
              <w:right w:w="0" w:type="dxa"/>
            </w:tcMar>
            <w:vAlign w:val="center"/>
          </w:tcPr>
          <w:p w14:paraId="161859C8"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36,835</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C9"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57</w:t>
            </w:r>
          </w:p>
        </w:tc>
        <w:tc>
          <w:tcPr>
            <w:tcW w:w="0" w:type="auto"/>
            <w:shd w:val="clear" w:color="auto" w:fill="FFFFFF"/>
            <w:tcMar>
              <w:top w:w="0" w:type="dxa"/>
              <w:left w:w="0" w:type="dxa"/>
              <w:bottom w:w="0" w:type="dxa"/>
              <w:right w:w="0" w:type="dxa"/>
            </w:tcMar>
            <w:vAlign w:val="center"/>
          </w:tcPr>
          <w:p w14:paraId="161859CA"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36</w:t>
            </w:r>
          </w:p>
        </w:tc>
        <w:tc>
          <w:tcPr>
            <w:tcW w:w="0" w:type="auto"/>
            <w:shd w:val="clear" w:color="auto" w:fill="FFFFFF"/>
            <w:tcMar>
              <w:top w:w="0" w:type="dxa"/>
              <w:left w:w="0" w:type="dxa"/>
              <w:bottom w:w="0" w:type="dxa"/>
              <w:right w:w="0" w:type="dxa"/>
            </w:tcMar>
            <w:vAlign w:val="center"/>
          </w:tcPr>
          <w:p w14:paraId="161859CB"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37,001</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CC"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97</w:t>
            </w:r>
          </w:p>
        </w:tc>
        <w:tc>
          <w:tcPr>
            <w:tcW w:w="0" w:type="auto"/>
            <w:shd w:val="clear" w:color="auto" w:fill="FFFFFF"/>
            <w:tcMar>
              <w:top w:w="0" w:type="dxa"/>
              <w:left w:w="0" w:type="dxa"/>
              <w:bottom w:w="0" w:type="dxa"/>
              <w:right w:w="0" w:type="dxa"/>
            </w:tcMar>
            <w:vAlign w:val="center"/>
          </w:tcPr>
          <w:p w14:paraId="161859CD"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35</w:t>
            </w:r>
          </w:p>
        </w:tc>
        <w:tc>
          <w:tcPr>
            <w:tcW w:w="0" w:type="auto"/>
            <w:shd w:val="clear" w:color="auto" w:fill="FFFFFF"/>
            <w:tcMar>
              <w:top w:w="0" w:type="dxa"/>
              <w:left w:w="0" w:type="dxa"/>
              <w:bottom w:w="0" w:type="dxa"/>
              <w:right w:w="0" w:type="dxa"/>
            </w:tcMar>
            <w:vAlign w:val="center"/>
          </w:tcPr>
          <w:p w14:paraId="161859CE"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36,983</w:t>
            </w:r>
          </w:p>
        </w:tc>
        <w:tc>
          <w:tcPr>
            <w:tcW w:w="559" w:type="dxa"/>
            <w:tcBorders>
              <w:right w:val="single" w:sz="4" w:space="0" w:color="auto"/>
            </w:tcBorders>
            <w:shd w:val="clear" w:color="auto" w:fill="FFFFFF"/>
            <w:tcMar>
              <w:top w:w="0" w:type="dxa"/>
              <w:left w:w="0" w:type="dxa"/>
              <w:bottom w:w="0" w:type="dxa"/>
              <w:right w:w="0" w:type="dxa"/>
            </w:tcMar>
            <w:vAlign w:val="center"/>
          </w:tcPr>
          <w:p w14:paraId="161859CF"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95</w:t>
            </w:r>
          </w:p>
        </w:tc>
      </w:tr>
      <w:tr w:rsidR="0099399C" w:rsidRPr="00CB5131" w14:paraId="161859E1" w14:textId="77777777" w:rsidTr="006821AC">
        <w:trPr>
          <w:cantSplit/>
          <w:trHeight w:val="488"/>
          <w:jc w:val="center"/>
        </w:trPr>
        <w:tc>
          <w:tcPr>
            <w:tcW w:w="1504" w:type="dxa"/>
            <w:tcBorders>
              <w:left w:val="single" w:sz="4" w:space="0" w:color="auto"/>
              <w:right w:val="single" w:sz="8" w:space="0" w:color="000000"/>
            </w:tcBorders>
            <w:shd w:val="clear" w:color="auto" w:fill="FFFFFF"/>
            <w:tcMar>
              <w:top w:w="0" w:type="dxa"/>
              <w:left w:w="0" w:type="dxa"/>
              <w:bottom w:w="0" w:type="dxa"/>
              <w:right w:w="0" w:type="dxa"/>
            </w:tcMar>
            <w:vAlign w:val="center"/>
          </w:tcPr>
          <w:p w14:paraId="161859D1" w14:textId="77777777" w:rsidR="00381D4B" w:rsidRPr="00CB5131" w:rsidRDefault="00482E76">
            <w:pPr>
              <w:spacing w:before="100" w:after="100"/>
              <w:ind w:left="400" w:right="100"/>
              <w:rPr>
                <w:sz w:val="14"/>
                <w:szCs w:val="14"/>
              </w:rPr>
            </w:pPr>
            <w:r w:rsidRPr="00CB5131">
              <w:rPr>
                <w:rFonts w:ascii="Arial" w:eastAsia="Arial" w:hAnsi="Arial" w:cs="Arial"/>
                <w:color w:val="000000"/>
                <w:sz w:val="14"/>
                <w:szCs w:val="14"/>
              </w:rPr>
              <w:t xml:space="preserve">  Ezetimibe</w:t>
            </w:r>
          </w:p>
        </w:tc>
        <w:tc>
          <w:tcPr>
            <w:tcW w:w="296" w:type="dxa"/>
            <w:shd w:val="clear" w:color="auto" w:fill="FFFFFF"/>
            <w:tcMar>
              <w:top w:w="0" w:type="dxa"/>
              <w:left w:w="0" w:type="dxa"/>
              <w:bottom w:w="0" w:type="dxa"/>
              <w:right w:w="0" w:type="dxa"/>
            </w:tcMar>
            <w:vAlign w:val="center"/>
          </w:tcPr>
          <w:p w14:paraId="161859D2"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32</w:t>
            </w:r>
          </w:p>
        </w:tc>
        <w:tc>
          <w:tcPr>
            <w:tcW w:w="0" w:type="auto"/>
            <w:shd w:val="clear" w:color="auto" w:fill="FFFFFF"/>
            <w:tcMar>
              <w:top w:w="0" w:type="dxa"/>
              <w:left w:w="0" w:type="dxa"/>
              <w:bottom w:w="0" w:type="dxa"/>
              <w:right w:w="0" w:type="dxa"/>
            </w:tcMar>
            <w:vAlign w:val="center"/>
          </w:tcPr>
          <w:p w14:paraId="161859D3"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6,604</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D4"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485</w:t>
            </w:r>
          </w:p>
        </w:tc>
        <w:tc>
          <w:tcPr>
            <w:tcW w:w="0" w:type="auto"/>
            <w:shd w:val="clear" w:color="auto" w:fill="FFFFFF"/>
            <w:tcMar>
              <w:top w:w="0" w:type="dxa"/>
              <w:left w:w="0" w:type="dxa"/>
              <w:bottom w:w="0" w:type="dxa"/>
              <w:right w:w="0" w:type="dxa"/>
            </w:tcMar>
            <w:vAlign w:val="center"/>
          </w:tcPr>
          <w:p w14:paraId="161859D5"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8</w:t>
            </w:r>
          </w:p>
        </w:tc>
        <w:tc>
          <w:tcPr>
            <w:tcW w:w="0" w:type="auto"/>
            <w:shd w:val="clear" w:color="auto" w:fill="FFFFFF"/>
            <w:tcMar>
              <w:top w:w="0" w:type="dxa"/>
              <w:left w:w="0" w:type="dxa"/>
              <w:bottom w:w="0" w:type="dxa"/>
              <w:right w:w="0" w:type="dxa"/>
            </w:tcMar>
            <w:vAlign w:val="center"/>
          </w:tcPr>
          <w:p w14:paraId="161859D6"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6,429</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D7"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124</w:t>
            </w:r>
          </w:p>
        </w:tc>
        <w:tc>
          <w:tcPr>
            <w:tcW w:w="0" w:type="auto"/>
            <w:shd w:val="clear" w:color="auto" w:fill="FFFFFF"/>
            <w:tcMar>
              <w:top w:w="0" w:type="dxa"/>
              <w:left w:w="0" w:type="dxa"/>
              <w:bottom w:w="0" w:type="dxa"/>
              <w:right w:w="0" w:type="dxa"/>
            </w:tcMar>
            <w:vAlign w:val="center"/>
          </w:tcPr>
          <w:p w14:paraId="161859D8"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7</w:t>
            </w:r>
          </w:p>
        </w:tc>
        <w:tc>
          <w:tcPr>
            <w:tcW w:w="0" w:type="auto"/>
            <w:shd w:val="clear" w:color="auto" w:fill="FFFFFF"/>
            <w:tcMar>
              <w:top w:w="0" w:type="dxa"/>
              <w:left w:w="0" w:type="dxa"/>
              <w:bottom w:w="0" w:type="dxa"/>
              <w:right w:w="0" w:type="dxa"/>
            </w:tcMar>
            <w:vAlign w:val="center"/>
          </w:tcPr>
          <w:p w14:paraId="161859D9"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6,425</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DA"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109</w:t>
            </w:r>
          </w:p>
        </w:tc>
        <w:tc>
          <w:tcPr>
            <w:tcW w:w="0" w:type="auto"/>
            <w:shd w:val="clear" w:color="auto" w:fill="FFFFFF"/>
            <w:tcMar>
              <w:top w:w="0" w:type="dxa"/>
              <w:left w:w="0" w:type="dxa"/>
              <w:bottom w:w="0" w:type="dxa"/>
              <w:right w:w="0" w:type="dxa"/>
            </w:tcMar>
            <w:vAlign w:val="center"/>
          </w:tcPr>
          <w:p w14:paraId="161859DB"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12</w:t>
            </w:r>
          </w:p>
        </w:tc>
        <w:tc>
          <w:tcPr>
            <w:tcW w:w="0" w:type="auto"/>
            <w:shd w:val="clear" w:color="auto" w:fill="FFFFFF"/>
            <w:tcMar>
              <w:top w:w="0" w:type="dxa"/>
              <w:left w:w="0" w:type="dxa"/>
              <w:bottom w:w="0" w:type="dxa"/>
              <w:right w:w="0" w:type="dxa"/>
            </w:tcMar>
            <w:vAlign w:val="center"/>
          </w:tcPr>
          <w:p w14:paraId="161859DC"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6,444</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DD"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186</w:t>
            </w:r>
          </w:p>
        </w:tc>
        <w:tc>
          <w:tcPr>
            <w:tcW w:w="0" w:type="auto"/>
            <w:shd w:val="clear" w:color="auto" w:fill="FFFFFF"/>
            <w:tcMar>
              <w:top w:w="0" w:type="dxa"/>
              <w:left w:w="0" w:type="dxa"/>
              <w:bottom w:w="0" w:type="dxa"/>
              <w:right w:w="0" w:type="dxa"/>
            </w:tcMar>
            <w:vAlign w:val="center"/>
          </w:tcPr>
          <w:p w14:paraId="161859DE"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5</w:t>
            </w:r>
          </w:p>
        </w:tc>
        <w:tc>
          <w:tcPr>
            <w:tcW w:w="0" w:type="auto"/>
            <w:shd w:val="clear" w:color="auto" w:fill="FFFFFF"/>
            <w:tcMar>
              <w:top w:w="0" w:type="dxa"/>
              <w:left w:w="0" w:type="dxa"/>
              <w:bottom w:w="0" w:type="dxa"/>
              <w:right w:w="0" w:type="dxa"/>
            </w:tcMar>
            <w:vAlign w:val="center"/>
          </w:tcPr>
          <w:p w14:paraId="161859DF"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6,393</w:t>
            </w:r>
          </w:p>
        </w:tc>
        <w:tc>
          <w:tcPr>
            <w:tcW w:w="559" w:type="dxa"/>
            <w:tcBorders>
              <w:right w:val="single" w:sz="4" w:space="0" w:color="auto"/>
            </w:tcBorders>
            <w:shd w:val="clear" w:color="auto" w:fill="FFFFFF"/>
            <w:tcMar>
              <w:top w:w="0" w:type="dxa"/>
              <w:left w:w="0" w:type="dxa"/>
              <w:bottom w:w="0" w:type="dxa"/>
              <w:right w:w="0" w:type="dxa"/>
            </w:tcMar>
            <w:vAlign w:val="center"/>
          </w:tcPr>
          <w:p w14:paraId="161859E0"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78</w:t>
            </w:r>
          </w:p>
        </w:tc>
      </w:tr>
      <w:tr w:rsidR="0099399C" w:rsidRPr="00CB5131" w14:paraId="161859F2" w14:textId="77777777" w:rsidTr="006821AC">
        <w:trPr>
          <w:cantSplit/>
          <w:trHeight w:val="370"/>
          <w:jc w:val="center"/>
        </w:trPr>
        <w:tc>
          <w:tcPr>
            <w:tcW w:w="1504" w:type="dxa"/>
            <w:tcBorders>
              <w:left w:val="single" w:sz="4" w:space="0" w:color="auto"/>
              <w:right w:val="single" w:sz="8" w:space="0" w:color="000000"/>
            </w:tcBorders>
            <w:shd w:val="clear" w:color="auto" w:fill="FFFFFF"/>
            <w:tcMar>
              <w:top w:w="0" w:type="dxa"/>
              <w:left w:w="0" w:type="dxa"/>
              <w:bottom w:w="0" w:type="dxa"/>
              <w:right w:w="0" w:type="dxa"/>
            </w:tcMar>
            <w:vAlign w:val="center"/>
          </w:tcPr>
          <w:p w14:paraId="161859E2" w14:textId="61F0E8C4" w:rsidR="00381D4B" w:rsidRPr="00CB5131" w:rsidRDefault="00482E76">
            <w:pPr>
              <w:spacing w:before="100" w:after="100"/>
              <w:ind w:left="400" w:right="100"/>
              <w:rPr>
                <w:sz w:val="14"/>
                <w:szCs w:val="14"/>
              </w:rPr>
            </w:pPr>
            <w:r w:rsidRPr="00CB5131">
              <w:rPr>
                <w:rFonts w:ascii="Arial" w:eastAsia="Arial" w:hAnsi="Arial" w:cs="Arial"/>
                <w:color w:val="000000"/>
                <w:sz w:val="14"/>
                <w:szCs w:val="14"/>
              </w:rPr>
              <w:t>BAS</w:t>
            </w:r>
          </w:p>
        </w:tc>
        <w:tc>
          <w:tcPr>
            <w:tcW w:w="296" w:type="dxa"/>
            <w:shd w:val="clear" w:color="auto" w:fill="FFFFFF"/>
            <w:tcMar>
              <w:top w:w="0" w:type="dxa"/>
              <w:left w:w="0" w:type="dxa"/>
              <w:bottom w:w="0" w:type="dxa"/>
              <w:right w:w="0" w:type="dxa"/>
            </w:tcMar>
            <w:vAlign w:val="center"/>
          </w:tcPr>
          <w:p w14:paraId="161859E3"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106</w:t>
            </w:r>
          </w:p>
        </w:tc>
        <w:tc>
          <w:tcPr>
            <w:tcW w:w="0" w:type="auto"/>
            <w:shd w:val="clear" w:color="auto" w:fill="FFFFFF"/>
            <w:tcMar>
              <w:top w:w="0" w:type="dxa"/>
              <w:left w:w="0" w:type="dxa"/>
              <w:bottom w:w="0" w:type="dxa"/>
              <w:right w:w="0" w:type="dxa"/>
            </w:tcMar>
            <w:vAlign w:val="center"/>
          </w:tcPr>
          <w:p w14:paraId="161859E4"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36,370</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E5"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291</w:t>
            </w:r>
          </w:p>
        </w:tc>
        <w:tc>
          <w:tcPr>
            <w:tcW w:w="0" w:type="auto"/>
            <w:shd w:val="clear" w:color="auto" w:fill="FFFFFF"/>
            <w:tcMar>
              <w:top w:w="0" w:type="dxa"/>
              <w:left w:w="0" w:type="dxa"/>
              <w:bottom w:w="0" w:type="dxa"/>
              <w:right w:w="0" w:type="dxa"/>
            </w:tcMar>
            <w:vAlign w:val="center"/>
          </w:tcPr>
          <w:p w14:paraId="161859E6"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28</w:t>
            </w:r>
          </w:p>
        </w:tc>
        <w:tc>
          <w:tcPr>
            <w:tcW w:w="0" w:type="auto"/>
            <w:shd w:val="clear" w:color="auto" w:fill="FFFFFF"/>
            <w:tcMar>
              <w:top w:w="0" w:type="dxa"/>
              <w:left w:w="0" w:type="dxa"/>
              <w:bottom w:w="0" w:type="dxa"/>
              <w:right w:w="0" w:type="dxa"/>
            </w:tcMar>
            <w:vAlign w:val="center"/>
          </w:tcPr>
          <w:p w14:paraId="161859E7"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35,808</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E8"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78</w:t>
            </w:r>
          </w:p>
        </w:tc>
        <w:tc>
          <w:tcPr>
            <w:tcW w:w="0" w:type="auto"/>
            <w:shd w:val="clear" w:color="auto" w:fill="FFFFFF"/>
            <w:tcMar>
              <w:top w:w="0" w:type="dxa"/>
              <w:left w:w="0" w:type="dxa"/>
              <w:bottom w:w="0" w:type="dxa"/>
              <w:right w:w="0" w:type="dxa"/>
            </w:tcMar>
            <w:vAlign w:val="center"/>
          </w:tcPr>
          <w:p w14:paraId="161859E9"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19</w:t>
            </w:r>
          </w:p>
        </w:tc>
        <w:tc>
          <w:tcPr>
            <w:tcW w:w="0" w:type="auto"/>
            <w:shd w:val="clear" w:color="auto" w:fill="FFFFFF"/>
            <w:tcMar>
              <w:top w:w="0" w:type="dxa"/>
              <w:left w:w="0" w:type="dxa"/>
              <w:bottom w:w="0" w:type="dxa"/>
              <w:right w:w="0" w:type="dxa"/>
            </w:tcMar>
            <w:vAlign w:val="center"/>
          </w:tcPr>
          <w:p w14:paraId="161859EA"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35,726</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EB"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53</w:t>
            </w:r>
          </w:p>
        </w:tc>
        <w:tc>
          <w:tcPr>
            <w:tcW w:w="0" w:type="auto"/>
            <w:shd w:val="clear" w:color="auto" w:fill="FFFFFF"/>
            <w:tcMar>
              <w:top w:w="0" w:type="dxa"/>
              <w:left w:w="0" w:type="dxa"/>
              <w:bottom w:w="0" w:type="dxa"/>
              <w:right w:w="0" w:type="dxa"/>
            </w:tcMar>
            <w:vAlign w:val="center"/>
          </w:tcPr>
          <w:p w14:paraId="161859EC"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26</w:t>
            </w:r>
          </w:p>
        </w:tc>
        <w:tc>
          <w:tcPr>
            <w:tcW w:w="0" w:type="auto"/>
            <w:shd w:val="clear" w:color="auto" w:fill="FFFFFF"/>
            <w:tcMar>
              <w:top w:w="0" w:type="dxa"/>
              <w:left w:w="0" w:type="dxa"/>
              <w:bottom w:w="0" w:type="dxa"/>
              <w:right w:w="0" w:type="dxa"/>
            </w:tcMar>
            <w:vAlign w:val="center"/>
          </w:tcPr>
          <w:p w14:paraId="161859ED"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35,768</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EE"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73</w:t>
            </w:r>
          </w:p>
        </w:tc>
        <w:tc>
          <w:tcPr>
            <w:tcW w:w="0" w:type="auto"/>
            <w:shd w:val="clear" w:color="auto" w:fill="FFFFFF"/>
            <w:tcMar>
              <w:top w:w="0" w:type="dxa"/>
              <w:left w:w="0" w:type="dxa"/>
              <w:bottom w:w="0" w:type="dxa"/>
              <w:right w:w="0" w:type="dxa"/>
            </w:tcMar>
            <w:vAlign w:val="center"/>
          </w:tcPr>
          <w:p w14:paraId="161859EF"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33</w:t>
            </w:r>
          </w:p>
        </w:tc>
        <w:tc>
          <w:tcPr>
            <w:tcW w:w="0" w:type="auto"/>
            <w:shd w:val="clear" w:color="auto" w:fill="FFFFFF"/>
            <w:tcMar>
              <w:top w:w="0" w:type="dxa"/>
              <w:left w:w="0" w:type="dxa"/>
              <w:bottom w:w="0" w:type="dxa"/>
              <w:right w:w="0" w:type="dxa"/>
            </w:tcMar>
            <w:vAlign w:val="center"/>
          </w:tcPr>
          <w:p w14:paraId="161859F0"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35,808</w:t>
            </w:r>
          </w:p>
        </w:tc>
        <w:tc>
          <w:tcPr>
            <w:tcW w:w="559" w:type="dxa"/>
            <w:tcBorders>
              <w:right w:val="single" w:sz="4" w:space="0" w:color="auto"/>
            </w:tcBorders>
            <w:shd w:val="clear" w:color="auto" w:fill="FFFFFF"/>
            <w:tcMar>
              <w:top w:w="0" w:type="dxa"/>
              <w:left w:w="0" w:type="dxa"/>
              <w:bottom w:w="0" w:type="dxa"/>
              <w:right w:w="0" w:type="dxa"/>
            </w:tcMar>
            <w:vAlign w:val="center"/>
          </w:tcPr>
          <w:p w14:paraId="161859F1"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92</w:t>
            </w:r>
          </w:p>
        </w:tc>
      </w:tr>
      <w:tr w:rsidR="0099399C" w:rsidRPr="00CB5131" w14:paraId="16185A03" w14:textId="77777777" w:rsidTr="006821AC">
        <w:trPr>
          <w:cantSplit/>
          <w:trHeight w:val="711"/>
          <w:jc w:val="center"/>
        </w:trPr>
        <w:tc>
          <w:tcPr>
            <w:tcW w:w="1504" w:type="dxa"/>
            <w:tcBorders>
              <w:left w:val="single" w:sz="4" w:space="0" w:color="auto"/>
              <w:right w:val="single" w:sz="8" w:space="0" w:color="000000"/>
            </w:tcBorders>
            <w:shd w:val="clear" w:color="auto" w:fill="FFFFFF"/>
            <w:tcMar>
              <w:top w:w="0" w:type="dxa"/>
              <w:left w:w="0" w:type="dxa"/>
              <w:bottom w:w="0" w:type="dxa"/>
              <w:right w:w="0" w:type="dxa"/>
            </w:tcMar>
            <w:vAlign w:val="center"/>
          </w:tcPr>
          <w:p w14:paraId="161859F3" w14:textId="77777777" w:rsidR="00381D4B" w:rsidRPr="00CB5131" w:rsidRDefault="00482E76">
            <w:pPr>
              <w:spacing w:before="100" w:after="100"/>
              <w:ind w:left="400" w:right="100"/>
              <w:rPr>
                <w:sz w:val="14"/>
                <w:szCs w:val="14"/>
              </w:rPr>
            </w:pPr>
            <w:r w:rsidRPr="00CB5131">
              <w:rPr>
                <w:rFonts w:ascii="Arial" w:eastAsia="Arial" w:hAnsi="Arial" w:cs="Arial"/>
                <w:color w:val="000000"/>
                <w:sz w:val="14"/>
                <w:szCs w:val="14"/>
              </w:rPr>
              <w:t>Ezetimibe + Statins</w:t>
            </w:r>
            <w:r w:rsidRPr="00CB5131">
              <w:rPr>
                <w:rFonts w:ascii="Arial" w:eastAsia="Arial" w:hAnsi="Arial" w:cs="Arial"/>
                <w:color w:val="000000"/>
                <w:sz w:val="14"/>
                <w:szCs w:val="14"/>
                <w:vertAlign w:val="superscript"/>
              </w:rPr>
              <w:t>b</w:t>
            </w:r>
          </w:p>
        </w:tc>
        <w:tc>
          <w:tcPr>
            <w:tcW w:w="296" w:type="dxa"/>
            <w:shd w:val="clear" w:color="auto" w:fill="FFFFFF"/>
            <w:tcMar>
              <w:top w:w="0" w:type="dxa"/>
              <w:left w:w="0" w:type="dxa"/>
              <w:bottom w:w="0" w:type="dxa"/>
              <w:right w:w="0" w:type="dxa"/>
            </w:tcMar>
            <w:vAlign w:val="center"/>
          </w:tcPr>
          <w:p w14:paraId="161859F4"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0</w:t>
            </w:r>
          </w:p>
        </w:tc>
        <w:tc>
          <w:tcPr>
            <w:tcW w:w="0" w:type="auto"/>
            <w:shd w:val="clear" w:color="auto" w:fill="FFFFFF"/>
            <w:tcMar>
              <w:top w:w="0" w:type="dxa"/>
              <w:left w:w="0" w:type="dxa"/>
              <w:bottom w:w="0" w:type="dxa"/>
              <w:right w:w="0" w:type="dxa"/>
            </w:tcMar>
            <w:vAlign w:val="center"/>
          </w:tcPr>
          <w:p w14:paraId="161859F5"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986</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F6"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w:t>
            </w:r>
          </w:p>
        </w:tc>
        <w:tc>
          <w:tcPr>
            <w:tcW w:w="0" w:type="auto"/>
            <w:shd w:val="clear" w:color="auto" w:fill="FFFFFF"/>
            <w:tcMar>
              <w:top w:w="0" w:type="dxa"/>
              <w:left w:w="0" w:type="dxa"/>
              <w:bottom w:w="0" w:type="dxa"/>
              <w:right w:w="0" w:type="dxa"/>
            </w:tcMar>
            <w:vAlign w:val="center"/>
          </w:tcPr>
          <w:p w14:paraId="161859F7"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0</w:t>
            </w:r>
          </w:p>
        </w:tc>
        <w:tc>
          <w:tcPr>
            <w:tcW w:w="0" w:type="auto"/>
            <w:shd w:val="clear" w:color="auto" w:fill="FFFFFF"/>
            <w:tcMar>
              <w:top w:w="0" w:type="dxa"/>
              <w:left w:w="0" w:type="dxa"/>
              <w:bottom w:w="0" w:type="dxa"/>
              <w:right w:w="0" w:type="dxa"/>
            </w:tcMar>
            <w:vAlign w:val="center"/>
          </w:tcPr>
          <w:p w14:paraId="161859F8"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986</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F9"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w:t>
            </w:r>
          </w:p>
        </w:tc>
        <w:tc>
          <w:tcPr>
            <w:tcW w:w="0" w:type="auto"/>
            <w:shd w:val="clear" w:color="auto" w:fill="FFFFFF"/>
            <w:tcMar>
              <w:top w:w="0" w:type="dxa"/>
              <w:left w:w="0" w:type="dxa"/>
              <w:bottom w:w="0" w:type="dxa"/>
              <w:right w:w="0" w:type="dxa"/>
            </w:tcMar>
            <w:vAlign w:val="center"/>
          </w:tcPr>
          <w:p w14:paraId="161859FA"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0</w:t>
            </w:r>
          </w:p>
        </w:tc>
        <w:tc>
          <w:tcPr>
            <w:tcW w:w="0" w:type="auto"/>
            <w:shd w:val="clear" w:color="auto" w:fill="FFFFFF"/>
            <w:tcMar>
              <w:top w:w="0" w:type="dxa"/>
              <w:left w:w="0" w:type="dxa"/>
              <w:bottom w:w="0" w:type="dxa"/>
              <w:right w:w="0" w:type="dxa"/>
            </w:tcMar>
            <w:vAlign w:val="center"/>
          </w:tcPr>
          <w:p w14:paraId="161859FB"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986</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FC"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w:t>
            </w:r>
          </w:p>
        </w:tc>
        <w:tc>
          <w:tcPr>
            <w:tcW w:w="0" w:type="auto"/>
            <w:shd w:val="clear" w:color="auto" w:fill="FFFFFF"/>
            <w:tcMar>
              <w:top w:w="0" w:type="dxa"/>
              <w:left w:w="0" w:type="dxa"/>
              <w:bottom w:w="0" w:type="dxa"/>
              <w:right w:w="0" w:type="dxa"/>
            </w:tcMar>
            <w:vAlign w:val="center"/>
          </w:tcPr>
          <w:p w14:paraId="161859FD"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0</w:t>
            </w:r>
          </w:p>
        </w:tc>
        <w:tc>
          <w:tcPr>
            <w:tcW w:w="0" w:type="auto"/>
            <w:shd w:val="clear" w:color="auto" w:fill="FFFFFF"/>
            <w:tcMar>
              <w:top w:w="0" w:type="dxa"/>
              <w:left w:w="0" w:type="dxa"/>
              <w:bottom w:w="0" w:type="dxa"/>
              <w:right w:w="0" w:type="dxa"/>
            </w:tcMar>
            <w:vAlign w:val="center"/>
          </w:tcPr>
          <w:p w14:paraId="161859FE"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986</w:t>
            </w:r>
          </w:p>
        </w:tc>
        <w:tc>
          <w:tcPr>
            <w:tcW w:w="0" w:type="auto"/>
            <w:tcBorders>
              <w:right w:val="single" w:sz="8" w:space="0" w:color="000000"/>
            </w:tcBorders>
            <w:shd w:val="clear" w:color="auto" w:fill="FFFFFF"/>
            <w:tcMar>
              <w:top w:w="0" w:type="dxa"/>
              <w:left w:w="0" w:type="dxa"/>
              <w:bottom w:w="0" w:type="dxa"/>
              <w:right w:w="0" w:type="dxa"/>
            </w:tcMar>
            <w:vAlign w:val="center"/>
          </w:tcPr>
          <w:p w14:paraId="161859FF"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w:t>
            </w:r>
          </w:p>
        </w:tc>
        <w:tc>
          <w:tcPr>
            <w:tcW w:w="0" w:type="auto"/>
            <w:shd w:val="clear" w:color="auto" w:fill="FFFFFF"/>
            <w:tcMar>
              <w:top w:w="0" w:type="dxa"/>
              <w:left w:w="0" w:type="dxa"/>
              <w:bottom w:w="0" w:type="dxa"/>
              <w:right w:w="0" w:type="dxa"/>
            </w:tcMar>
            <w:vAlign w:val="center"/>
          </w:tcPr>
          <w:p w14:paraId="16185A00"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0</w:t>
            </w:r>
          </w:p>
        </w:tc>
        <w:tc>
          <w:tcPr>
            <w:tcW w:w="0" w:type="auto"/>
            <w:shd w:val="clear" w:color="auto" w:fill="FFFFFF"/>
            <w:tcMar>
              <w:top w:w="0" w:type="dxa"/>
              <w:left w:w="0" w:type="dxa"/>
              <w:bottom w:w="0" w:type="dxa"/>
              <w:right w:w="0" w:type="dxa"/>
            </w:tcMar>
            <w:vAlign w:val="center"/>
          </w:tcPr>
          <w:p w14:paraId="16185A01"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986</w:t>
            </w:r>
          </w:p>
        </w:tc>
        <w:tc>
          <w:tcPr>
            <w:tcW w:w="559" w:type="dxa"/>
            <w:tcBorders>
              <w:right w:val="single" w:sz="4" w:space="0" w:color="auto"/>
            </w:tcBorders>
            <w:shd w:val="clear" w:color="auto" w:fill="FFFFFF"/>
            <w:tcMar>
              <w:top w:w="0" w:type="dxa"/>
              <w:left w:w="0" w:type="dxa"/>
              <w:bottom w:w="0" w:type="dxa"/>
              <w:right w:w="0" w:type="dxa"/>
            </w:tcMar>
            <w:vAlign w:val="center"/>
          </w:tcPr>
          <w:p w14:paraId="16185A02"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w:t>
            </w:r>
          </w:p>
        </w:tc>
      </w:tr>
      <w:tr w:rsidR="0099399C" w:rsidRPr="00CB5131" w14:paraId="16185A14" w14:textId="77777777" w:rsidTr="006821AC">
        <w:trPr>
          <w:cantSplit/>
          <w:trHeight w:val="360"/>
          <w:jc w:val="center"/>
        </w:trPr>
        <w:tc>
          <w:tcPr>
            <w:tcW w:w="1504" w:type="dxa"/>
            <w:tcBorders>
              <w:left w:val="single" w:sz="4" w:space="0" w:color="auto"/>
              <w:bottom w:val="single" w:sz="8" w:space="0" w:color="666666"/>
              <w:right w:val="single" w:sz="8" w:space="0" w:color="000000"/>
            </w:tcBorders>
            <w:shd w:val="clear" w:color="auto" w:fill="FFFFFF"/>
            <w:tcMar>
              <w:top w:w="0" w:type="dxa"/>
              <w:left w:w="0" w:type="dxa"/>
              <w:bottom w:w="0" w:type="dxa"/>
              <w:right w:w="0" w:type="dxa"/>
            </w:tcMar>
            <w:vAlign w:val="center"/>
          </w:tcPr>
          <w:p w14:paraId="16185A04" w14:textId="194EBD64" w:rsidR="00381D4B" w:rsidRPr="00CB5131" w:rsidRDefault="00482E76">
            <w:pPr>
              <w:spacing w:before="100" w:after="100"/>
              <w:ind w:left="400" w:right="100"/>
              <w:rPr>
                <w:sz w:val="14"/>
                <w:szCs w:val="14"/>
              </w:rPr>
            </w:pPr>
            <w:r w:rsidRPr="00CB5131">
              <w:rPr>
                <w:rFonts w:ascii="Arial" w:eastAsia="Arial" w:hAnsi="Arial" w:cs="Arial"/>
                <w:color w:val="000000"/>
                <w:sz w:val="14"/>
                <w:szCs w:val="14"/>
              </w:rPr>
              <w:t>NAG</w:t>
            </w:r>
          </w:p>
        </w:tc>
        <w:tc>
          <w:tcPr>
            <w:tcW w:w="296" w:type="dxa"/>
            <w:tcBorders>
              <w:bottom w:val="single" w:sz="8" w:space="0" w:color="666666"/>
            </w:tcBorders>
            <w:shd w:val="clear" w:color="auto" w:fill="FFFFFF"/>
            <w:tcMar>
              <w:top w:w="0" w:type="dxa"/>
              <w:left w:w="0" w:type="dxa"/>
              <w:bottom w:w="0" w:type="dxa"/>
              <w:right w:w="0" w:type="dxa"/>
            </w:tcMar>
            <w:vAlign w:val="center"/>
          </w:tcPr>
          <w:p w14:paraId="16185A05"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4</w:t>
            </w:r>
          </w:p>
        </w:tc>
        <w:tc>
          <w:tcPr>
            <w:tcW w:w="0" w:type="auto"/>
            <w:tcBorders>
              <w:bottom w:val="single" w:sz="8" w:space="0" w:color="666666"/>
            </w:tcBorders>
            <w:shd w:val="clear" w:color="auto" w:fill="FFFFFF"/>
            <w:tcMar>
              <w:top w:w="0" w:type="dxa"/>
              <w:left w:w="0" w:type="dxa"/>
              <w:bottom w:w="0" w:type="dxa"/>
              <w:right w:w="0" w:type="dxa"/>
            </w:tcMar>
            <w:vAlign w:val="center"/>
          </w:tcPr>
          <w:p w14:paraId="16185A06"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1,403</w:t>
            </w:r>
          </w:p>
        </w:tc>
        <w:tc>
          <w:tcPr>
            <w:tcW w:w="0" w:type="auto"/>
            <w:tcBorders>
              <w:bottom w:val="single" w:sz="8" w:space="0" w:color="666666"/>
              <w:right w:val="single" w:sz="8" w:space="0" w:color="000000"/>
            </w:tcBorders>
            <w:shd w:val="clear" w:color="auto" w:fill="FFFFFF"/>
            <w:tcMar>
              <w:top w:w="0" w:type="dxa"/>
              <w:left w:w="0" w:type="dxa"/>
              <w:bottom w:w="0" w:type="dxa"/>
              <w:right w:w="0" w:type="dxa"/>
            </w:tcMar>
            <w:vAlign w:val="center"/>
          </w:tcPr>
          <w:p w14:paraId="16185A07"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w:t>
            </w:r>
          </w:p>
        </w:tc>
        <w:tc>
          <w:tcPr>
            <w:tcW w:w="0" w:type="auto"/>
            <w:tcBorders>
              <w:bottom w:val="single" w:sz="8" w:space="0" w:color="666666"/>
            </w:tcBorders>
            <w:shd w:val="clear" w:color="auto" w:fill="FFFFFF"/>
            <w:tcMar>
              <w:top w:w="0" w:type="dxa"/>
              <w:left w:w="0" w:type="dxa"/>
              <w:bottom w:w="0" w:type="dxa"/>
              <w:right w:w="0" w:type="dxa"/>
            </w:tcMar>
            <w:vAlign w:val="center"/>
          </w:tcPr>
          <w:p w14:paraId="16185A08"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0</w:t>
            </w:r>
          </w:p>
        </w:tc>
        <w:tc>
          <w:tcPr>
            <w:tcW w:w="0" w:type="auto"/>
            <w:tcBorders>
              <w:bottom w:val="single" w:sz="8" w:space="0" w:color="666666"/>
            </w:tcBorders>
            <w:shd w:val="clear" w:color="auto" w:fill="FFFFFF"/>
            <w:tcMar>
              <w:top w:w="0" w:type="dxa"/>
              <w:left w:w="0" w:type="dxa"/>
              <w:bottom w:w="0" w:type="dxa"/>
              <w:right w:w="0" w:type="dxa"/>
            </w:tcMar>
            <w:vAlign w:val="center"/>
          </w:tcPr>
          <w:p w14:paraId="16185A09"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1,379</w:t>
            </w:r>
          </w:p>
        </w:tc>
        <w:tc>
          <w:tcPr>
            <w:tcW w:w="0" w:type="auto"/>
            <w:tcBorders>
              <w:bottom w:val="single" w:sz="8" w:space="0" w:color="666666"/>
              <w:right w:val="single" w:sz="8" w:space="0" w:color="000000"/>
            </w:tcBorders>
            <w:shd w:val="clear" w:color="auto" w:fill="FFFFFF"/>
            <w:tcMar>
              <w:top w:w="0" w:type="dxa"/>
              <w:left w:w="0" w:type="dxa"/>
              <w:bottom w:w="0" w:type="dxa"/>
              <w:right w:w="0" w:type="dxa"/>
            </w:tcMar>
            <w:vAlign w:val="center"/>
          </w:tcPr>
          <w:p w14:paraId="16185A0A"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w:t>
            </w:r>
          </w:p>
        </w:tc>
        <w:tc>
          <w:tcPr>
            <w:tcW w:w="0" w:type="auto"/>
            <w:tcBorders>
              <w:bottom w:val="single" w:sz="8" w:space="0" w:color="666666"/>
            </w:tcBorders>
            <w:shd w:val="clear" w:color="auto" w:fill="FFFFFF"/>
            <w:tcMar>
              <w:top w:w="0" w:type="dxa"/>
              <w:left w:w="0" w:type="dxa"/>
              <w:bottom w:w="0" w:type="dxa"/>
              <w:right w:w="0" w:type="dxa"/>
            </w:tcMar>
            <w:vAlign w:val="center"/>
          </w:tcPr>
          <w:p w14:paraId="16185A0B"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2</w:t>
            </w:r>
          </w:p>
        </w:tc>
        <w:tc>
          <w:tcPr>
            <w:tcW w:w="0" w:type="auto"/>
            <w:tcBorders>
              <w:bottom w:val="single" w:sz="8" w:space="0" w:color="666666"/>
            </w:tcBorders>
            <w:shd w:val="clear" w:color="auto" w:fill="FFFFFF"/>
            <w:tcMar>
              <w:top w:w="0" w:type="dxa"/>
              <w:left w:w="0" w:type="dxa"/>
              <w:bottom w:w="0" w:type="dxa"/>
              <w:right w:w="0" w:type="dxa"/>
            </w:tcMar>
            <w:vAlign w:val="center"/>
          </w:tcPr>
          <w:p w14:paraId="16185A0C"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1,391</w:t>
            </w:r>
          </w:p>
        </w:tc>
        <w:tc>
          <w:tcPr>
            <w:tcW w:w="0" w:type="auto"/>
            <w:tcBorders>
              <w:bottom w:val="single" w:sz="8" w:space="0" w:color="666666"/>
              <w:right w:val="single" w:sz="8" w:space="0" w:color="000000"/>
            </w:tcBorders>
            <w:shd w:val="clear" w:color="auto" w:fill="FFFFFF"/>
            <w:tcMar>
              <w:top w:w="0" w:type="dxa"/>
              <w:left w:w="0" w:type="dxa"/>
              <w:bottom w:w="0" w:type="dxa"/>
              <w:right w:w="0" w:type="dxa"/>
            </w:tcMar>
            <w:vAlign w:val="center"/>
          </w:tcPr>
          <w:p w14:paraId="16185A0D"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w:t>
            </w:r>
          </w:p>
        </w:tc>
        <w:tc>
          <w:tcPr>
            <w:tcW w:w="0" w:type="auto"/>
            <w:tcBorders>
              <w:bottom w:val="single" w:sz="8" w:space="0" w:color="666666"/>
            </w:tcBorders>
            <w:shd w:val="clear" w:color="auto" w:fill="FFFFFF"/>
            <w:tcMar>
              <w:top w:w="0" w:type="dxa"/>
              <w:left w:w="0" w:type="dxa"/>
              <w:bottom w:w="0" w:type="dxa"/>
              <w:right w:w="0" w:type="dxa"/>
            </w:tcMar>
            <w:vAlign w:val="center"/>
          </w:tcPr>
          <w:p w14:paraId="16185A0E"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1</w:t>
            </w:r>
          </w:p>
        </w:tc>
        <w:tc>
          <w:tcPr>
            <w:tcW w:w="0" w:type="auto"/>
            <w:tcBorders>
              <w:bottom w:val="single" w:sz="8" w:space="0" w:color="666666"/>
            </w:tcBorders>
            <w:shd w:val="clear" w:color="auto" w:fill="FFFFFF"/>
            <w:tcMar>
              <w:top w:w="0" w:type="dxa"/>
              <w:left w:w="0" w:type="dxa"/>
              <w:bottom w:w="0" w:type="dxa"/>
              <w:right w:w="0" w:type="dxa"/>
            </w:tcMar>
            <w:vAlign w:val="center"/>
          </w:tcPr>
          <w:p w14:paraId="16185A0F"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1,389</w:t>
            </w:r>
          </w:p>
        </w:tc>
        <w:tc>
          <w:tcPr>
            <w:tcW w:w="0" w:type="auto"/>
            <w:tcBorders>
              <w:bottom w:val="single" w:sz="8" w:space="0" w:color="666666"/>
              <w:right w:val="single" w:sz="8" w:space="0" w:color="000000"/>
            </w:tcBorders>
            <w:shd w:val="clear" w:color="auto" w:fill="FFFFFF"/>
            <w:tcMar>
              <w:top w:w="0" w:type="dxa"/>
              <w:left w:w="0" w:type="dxa"/>
              <w:bottom w:w="0" w:type="dxa"/>
              <w:right w:w="0" w:type="dxa"/>
            </w:tcMar>
            <w:vAlign w:val="center"/>
          </w:tcPr>
          <w:p w14:paraId="16185A10"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w:t>
            </w:r>
          </w:p>
        </w:tc>
        <w:tc>
          <w:tcPr>
            <w:tcW w:w="0" w:type="auto"/>
            <w:tcBorders>
              <w:bottom w:val="single" w:sz="8" w:space="0" w:color="666666"/>
            </w:tcBorders>
            <w:shd w:val="clear" w:color="auto" w:fill="FFFFFF"/>
            <w:tcMar>
              <w:top w:w="0" w:type="dxa"/>
              <w:left w:w="0" w:type="dxa"/>
              <w:bottom w:w="0" w:type="dxa"/>
              <w:right w:w="0" w:type="dxa"/>
            </w:tcMar>
            <w:vAlign w:val="center"/>
          </w:tcPr>
          <w:p w14:paraId="16185A11"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1</w:t>
            </w:r>
          </w:p>
        </w:tc>
        <w:tc>
          <w:tcPr>
            <w:tcW w:w="0" w:type="auto"/>
            <w:tcBorders>
              <w:bottom w:val="single" w:sz="8" w:space="0" w:color="666666"/>
            </w:tcBorders>
            <w:shd w:val="clear" w:color="auto" w:fill="FFFFFF"/>
            <w:tcMar>
              <w:top w:w="0" w:type="dxa"/>
              <w:left w:w="0" w:type="dxa"/>
              <w:bottom w:w="0" w:type="dxa"/>
              <w:right w:w="0" w:type="dxa"/>
            </w:tcMar>
            <w:vAlign w:val="center"/>
          </w:tcPr>
          <w:p w14:paraId="16185A12"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 xml:space="preserve">     1,382</w:t>
            </w:r>
          </w:p>
        </w:tc>
        <w:tc>
          <w:tcPr>
            <w:tcW w:w="559" w:type="dxa"/>
            <w:tcBorders>
              <w:bottom w:val="single" w:sz="8" w:space="0" w:color="666666"/>
              <w:right w:val="single" w:sz="4" w:space="0" w:color="auto"/>
            </w:tcBorders>
            <w:shd w:val="clear" w:color="auto" w:fill="FFFFFF"/>
            <w:tcMar>
              <w:top w:w="0" w:type="dxa"/>
              <w:left w:w="0" w:type="dxa"/>
              <w:bottom w:w="0" w:type="dxa"/>
              <w:right w:w="0" w:type="dxa"/>
            </w:tcMar>
            <w:vAlign w:val="center"/>
          </w:tcPr>
          <w:p w14:paraId="16185A13" w14:textId="77777777" w:rsidR="00381D4B" w:rsidRPr="00CB5131" w:rsidRDefault="00482E76">
            <w:pPr>
              <w:spacing w:before="100" w:after="100"/>
              <w:ind w:left="100" w:right="100"/>
              <w:jc w:val="center"/>
              <w:rPr>
                <w:sz w:val="14"/>
                <w:szCs w:val="14"/>
              </w:rPr>
            </w:pPr>
            <w:r w:rsidRPr="00CB5131">
              <w:rPr>
                <w:rFonts w:ascii="Arial" w:eastAsia="Arial" w:hAnsi="Arial" w:cs="Arial"/>
                <w:color w:val="000000"/>
                <w:sz w:val="14"/>
                <w:szCs w:val="14"/>
              </w:rPr>
              <w:t>-</w:t>
            </w:r>
          </w:p>
        </w:tc>
      </w:tr>
      <w:tr w:rsidR="0099399C" w:rsidRPr="00CB5131" w14:paraId="16185A25" w14:textId="77777777" w:rsidTr="006821AC">
        <w:trPr>
          <w:cantSplit/>
          <w:trHeight w:val="488"/>
          <w:jc w:val="center"/>
        </w:trPr>
        <w:tc>
          <w:tcPr>
            <w:tcW w:w="1504" w:type="dxa"/>
            <w:tcBorders>
              <w:top w:val="single" w:sz="8" w:space="0" w:color="666666"/>
              <w:left w:val="single" w:sz="4" w:space="0" w:color="auto"/>
              <w:bottom w:val="single" w:sz="16" w:space="0" w:color="666666"/>
              <w:right w:val="single" w:sz="8" w:space="0" w:color="000000"/>
            </w:tcBorders>
            <w:shd w:val="clear" w:color="auto" w:fill="FFFFFF"/>
            <w:tcMar>
              <w:top w:w="0" w:type="dxa"/>
              <w:left w:w="0" w:type="dxa"/>
              <w:bottom w:w="0" w:type="dxa"/>
              <w:right w:w="0" w:type="dxa"/>
            </w:tcMar>
            <w:vAlign w:val="center"/>
          </w:tcPr>
          <w:p w14:paraId="16185A15" w14:textId="77777777" w:rsidR="00381D4B" w:rsidRPr="00CB5131" w:rsidRDefault="00482E76">
            <w:pPr>
              <w:spacing w:before="100" w:after="100"/>
              <w:ind w:left="100" w:right="100"/>
              <w:rPr>
                <w:sz w:val="14"/>
                <w:szCs w:val="14"/>
              </w:rPr>
            </w:pPr>
            <w:r w:rsidRPr="00CB5131">
              <w:rPr>
                <w:rFonts w:ascii="Arial" w:eastAsia="Arial" w:hAnsi="Arial" w:cs="Arial"/>
                <w:b/>
                <w:color w:val="000000"/>
                <w:sz w:val="14"/>
                <w:szCs w:val="14"/>
              </w:rPr>
              <w:t>Total</w:t>
            </w:r>
          </w:p>
        </w:tc>
        <w:tc>
          <w:tcPr>
            <w:tcW w:w="296"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16"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41,830</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17"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10,835,686</w:t>
            </w:r>
          </w:p>
        </w:tc>
        <w:tc>
          <w:tcPr>
            <w:tcW w:w="0" w:type="auto"/>
            <w:tcBorders>
              <w:top w:val="single" w:sz="8" w:space="0" w:color="666666"/>
              <w:bottom w:val="single" w:sz="16" w:space="0" w:color="666666"/>
              <w:right w:val="single" w:sz="8" w:space="0" w:color="000000"/>
            </w:tcBorders>
            <w:shd w:val="clear" w:color="auto" w:fill="FFFFFF"/>
            <w:tcMar>
              <w:top w:w="0" w:type="dxa"/>
              <w:left w:w="0" w:type="dxa"/>
              <w:bottom w:w="0" w:type="dxa"/>
              <w:right w:w="0" w:type="dxa"/>
            </w:tcMar>
            <w:vAlign w:val="center"/>
          </w:tcPr>
          <w:p w14:paraId="16185A18"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386</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19"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12,647</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1A"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10,666,205</w:t>
            </w:r>
          </w:p>
        </w:tc>
        <w:tc>
          <w:tcPr>
            <w:tcW w:w="0" w:type="auto"/>
            <w:tcBorders>
              <w:top w:val="single" w:sz="8" w:space="0" w:color="666666"/>
              <w:bottom w:val="single" w:sz="16" w:space="0" w:color="666666"/>
              <w:right w:val="single" w:sz="8" w:space="0" w:color="000000"/>
            </w:tcBorders>
            <w:shd w:val="clear" w:color="auto" w:fill="FFFFFF"/>
            <w:tcMar>
              <w:top w:w="0" w:type="dxa"/>
              <w:left w:w="0" w:type="dxa"/>
              <w:bottom w:w="0" w:type="dxa"/>
              <w:right w:w="0" w:type="dxa"/>
            </w:tcMar>
            <w:vAlign w:val="center"/>
          </w:tcPr>
          <w:p w14:paraId="16185A1B"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119</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1C"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 xml:space="preserve"> 8,466</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1D"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10,643,714</w:t>
            </w:r>
          </w:p>
        </w:tc>
        <w:tc>
          <w:tcPr>
            <w:tcW w:w="0" w:type="auto"/>
            <w:tcBorders>
              <w:top w:val="single" w:sz="8" w:space="0" w:color="666666"/>
              <w:bottom w:val="single" w:sz="16" w:space="0" w:color="666666"/>
              <w:right w:val="single" w:sz="8" w:space="0" w:color="000000"/>
            </w:tcBorders>
            <w:shd w:val="clear" w:color="auto" w:fill="FFFFFF"/>
            <w:tcMar>
              <w:top w:w="0" w:type="dxa"/>
              <w:left w:w="0" w:type="dxa"/>
              <w:bottom w:w="0" w:type="dxa"/>
              <w:right w:w="0" w:type="dxa"/>
            </w:tcMar>
            <w:vAlign w:val="center"/>
          </w:tcPr>
          <w:p w14:paraId="16185A1E"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 xml:space="preserve"> 80</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1F"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10,763</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20"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10,656,378</w:t>
            </w:r>
          </w:p>
        </w:tc>
        <w:tc>
          <w:tcPr>
            <w:tcW w:w="0" w:type="auto"/>
            <w:tcBorders>
              <w:top w:val="single" w:sz="8" w:space="0" w:color="666666"/>
              <w:bottom w:val="single" w:sz="16" w:space="0" w:color="666666"/>
              <w:right w:val="single" w:sz="8" w:space="0" w:color="000000"/>
            </w:tcBorders>
            <w:shd w:val="clear" w:color="auto" w:fill="FFFFFF"/>
            <w:tcMar>
              <w:top w:w="0" w:type="dxa"/>
              <w:left w:w="0" w:type="dxa"/>
              <w:bottom w:w="0" w:type="dxa"/>
              <w:right w:w="0" w:type="dxa"/>
            </w:tcMar>
            <w:vAlign w:val="center"/>
          </w:tcPr>
          <w:p w14:paraId="16185A21"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101</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22"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 xml:space="preserve"> 9,954</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23"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10,644,999</w:t>
            </w:r>
          </w:p>
        </w:tc>
        <w:tc>
          <w:tcPr>
            <w:tcW w:w="559" w:type="dxa"/>
            <w:tcBorders>
              <w:top w:val="single" w:sz="8" w:space="0" w:color="666666"/>
              <w:bottom w:val="single" w:sz="16" w:space="0" w:color="666666"/>
              <w:right w:val="single" w:sz="4" w:space="0" w:color="auto"/>
            </w:tcBorders>
            <w:shd w:val="clear" w:color="auto" w:fill="FFFFFF"/>
            <w:tcMar>
              <w:top w:w="0" w:type="dxa"/>
              <w:left w:w="0" w:type="dxa"/>
              <w:bottom w:w="0" w:type="dxa"/>
              <w:right w:w="0" w:type="dxa"/>
            </w:tcMar>
            <w:vAlign w:val="center"/>
          </w:tcPr>
          <w:p w14:paraId="16185A24" w14:textId="77777777" w:rsidR="00381D4B" w:rsidRPr="00CB5131" w:rsidRDefault="00482E76">
            <w:pPr>
              <w:spacing w:before="100" w:after="100"/>
              <w:ind w:left="100" w:right="100"/>
              <w:jc w:val="center"/>
              <w:rPr>
                <w:sz w:val="14"/>
                <w:szCs w:val="14"/>
              </w:rPr>
            </w:pPr>
            <w:r w:rsidRPr="00CB5131">
              <w:rPr>
                <w:rFonts w:ascii="Arial" w:eastAsia="Arial" w:hAnsi="Arial" w:cs="Arial"/>
                <w:b/>
                <w:color w:val="000000"/>
                <w:sz w:val="14"/>
                <w:szCs w:val="14"/>
              </w:rPr>
              <w:t xml:space="preserve"> 94</w:t>
            </w:r>
          </w:p>
        </w:tc>
      </w:tr>
      <w:tr w:rsidR="00381D4B" w:rsidRPr="00CB5131" w14:paraId="16185A27" w14:textId="77777777" w:rsidTr="006821AC">
        <w:trPr>
          <w:cantSplit/>
          <w:trHeight w:val="594"/>
          <w:jc w:val="center"/>
        </w:trPr>
        <w:tc>
          <w:tcPr>
            <w:tcW w:w="11800" w:type="dxa"/>
            <w:gridSpan w:val="16"/>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16185A26" w14:textId="70ABD287" w:rsidR="00381D4B" w:rsidRPr="00CB5131" w:rsidRDefault="00482E76">
            <w:pPr>
              <w:spacing w:before="100" w:after="100"/>
              <w:ind w:left="100" w:right="100"/>
              <w:rPr>
                <w:sz w:val="14"/>
                <w:szCs w:val="14"/>
              </w:rPr>
            </w:pPr>
            <w:r w:rsidRPr="00CB5131">
              <w:rPr>
                <w:rFonts w:ascii="Arial" w:eastAsia="Arial" w:hAnsi="Arial" w:cs="Arial"/>
                <w:color w:val="000000"/>
                <w:sz w:val="14"/>
                <w:szCs w:val="14"/>
                <w:vertAlign w:val="superscript"/>
              </w:rPr>
              <w:t>a</w:t>
            </w:r>
            <w:r w:rsidR="0099399C">
              <w:rPr>
                <w:rFonts w:ascii="Arial" w:eastAsia="Arial" w:hAnsi="Arial" w:cs="Arial"/>
                <w:color w:val="000000"/>
                <w:sz w:val="14"/>
                <w:szCs w:val="14"/>
                <w:vertAlign w:val="superscript"/>
              </w:rPr>
              <w:t xml:space="preserve"> </w:t>
            </w:r>
            <w:r w:rsidRPr="00CB5131">
              <w:rPr>
                <w:rFonts w:ascii="Arial" w:eastAsia="Arial" w:hAnsi="Arial" w:cs="Arial"/>
                <w:color w:val="000000"/>
                <w:sz w:val="14"/>
                <w:szCs w:val="14"/>
              </w:rPr>
              <w:t>Crude rate per 100,000 participant-years-at-risk</w:t>
            </w:r>
            <w:r w:rsidRPr="00CB5131">
              <w:rPr>
                <w:rFonts w:ascii="Arial" w:eastAsia="Arial" w:hAnsi="Arial" w:cs="Arial"/>
                <w:color w:val="000000"/>
                <w:sz w:val="14"/>
                <w:szCs w:val="14"/>
              </w:rPr>
              <w:br/>
            </w:r>
            <w:r w:rsidRPr="00CB5131">
              <w:rPr>
                <w:rFonts w:ascii="Arial" w:eastAsia="Arial" w:hAnsi="Arial" w:cs="Arial"/>
                <w:color w:val="000000"/>
                <w:sz w:val="14"/>
                <w:szCs w:val="14"/>
                <w:vertAlign w:val="superscript"/>
              </w:rPr>
              <w:t>b</w:t>
            </w:r>
            <w:r w:rsidR="0099399C">
              <w:rPr>
                <w:rFonts w:ascii="Arial" w:eastAsia="Arial" w:hAnsi="Arial" w:cs="Arial"/>
                <w:color w:val="000000"/>
                <w:sz w:val="14"/>
                <w:szCs w:val="14"/>
                <w:vertAlign w:val="superscript"/>
              </w:rPr>
              <w:t xml:space="preserve"> </w:t>
            </w:r>
            <w:r w:rsidRPr="00CB5131">
              <w:rPr>
                <w:rFonts w:ascii="Arial" w:eastAsia="Arial" w:hAnsi="Arial" w:cs="Arial"/>
                <w:color w:val="000000"/>
                <w:sz w:val="14"/>
                <w:szCs w:val="14"/>
              </w:rPr>
              <w:t>One treatment containing both drugs, rather than the two classes being prescribed concurrently</w:t>
            </w:r>
            <w:r w:rsidRPr="00CB5131">
              <w:rPr>
                <w:rFonts w:ascii="Arial" w:eastAsia="Arial" w:hAnsi="Arial" w:cs="Arial"/>
                <w:color w:val="000000"/>
                <w:sz w:val="14"/>
                <w:szCs w:val="14"/>
              </w:rPr>
              <w:br/>
              <w:t xml:space="preserve">Abbreviations: AD - Alzheimer's disease; BAS - Bile acid sequestrants; LRA - Lipid regulating agent; NAG - Nitric acid groups; Omega-3 FAGs - Omega-3 fatty acid </w:t>
            </w:r>
            <w:r w:rsidRPr="00CB5131">
              <w:rPr>
                <w:rFonts w:ascii="Arial" w:eastAsia="Arial" w:hAnsi="Arial" w:cs="Arial"/>
                <w:color w:val="000000"/>
                <w:sz w:val="14"/>
                <w:szCs w:val="14"/>
              </w:rPr>
              <w:t>groups; PYAR - Participant-years-at-risk.</w:t>
            </w:r>
          </w:p>
        </w:tc>
      </w:tr>
    </w:tbl>
    <w:p w14:paraId="16185A28" w14:textId="77777777" w:rsidR="00381D4B" w:rsidRDefault="00482E76">
      <w:r>
        <w:br w:type="page"/>
      </w:r>
    </w:p>
    <w:p w14:paraId="16185A29" w14:textId="77777777" w:rsidR="00381D4B" w:rsidRDefault="00482E76">
      <w:pPr>
        <w:pStyle w:val="BodyText"/>
      </w:pPr>
      <w:r>
        <w:lastRenderedPageBreak/>
        <w:t> </w:t>
      </w:r>
    </w:p>
    <w:p w14:paraId="16185A2A" w14:textId="77777777" w:rsidR="00381D4B" w:rsidRDefault="00482E76">
      <w:pPr>
        <w:pStyle w:val="TableCaption"/>
      </w:pPr>
      <w:r>
        <w:t xml:space="preserve">Table 2: </w:t>
      </w:r>
      <w:bookmarkStart w:id="25" w:name="tab:cprdCharacteristics-table"/>
      <w:r>
        <w:t>Patient characteristics by drug class. Summary statistics are presented as "% (N)" unless otherwise specified in the variable name.</w:t>
      </w:r>
      <w:bookmarkEnd w:id="25"/>
    </w:p>
    <w:tbl>
      <w:tblPr>
        <w:tblW w:w="9990" w:type="dxa"/>
        <w:jc w:val="center"/>
        <w:tblLook w:val="0420" w:firstRow="1" w:lastRow="0" w:firstColumn="0" w:lastColumn="0" w:noHBand="0" w:noVBand="1"/>
      </w:tblPr>
      <w:tblGrid>
        <w:gridCol w:w="1309"/>
        <w:gridCol w:w="968"/>
        <w:gridCol w:w="945"/>
        <w:gridCol w:w="878"/>
        <w:gridCol w:w="1248"/>
        <w:gridCol w:w="963"/>
        <w:gridCol w:w="999"/>
        <w:gridCol w:w="850"/>
        <w:gridCol w:w="939"/>
        <w:gridCol w:w="891"/>
      </w:tblGrid>
      <w:tr w:rsidR="00381D4B" w:rsidRPr="0032525F" w14:paraId="16185A35" w14:textId="77777777" w:rsidTr="0032525F">
        <w:trPr>
          <w:cantSplit/>
          <w:trHeight w:val="935"/>
          <w:tblHeader/>
          <w:jc w:val="center"/>
        </w:trPr>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2B" w14:textId="77777777" w:rsidR="00381D4B" w:rsidRPr="0032525F" w:rsidRDefault="00482E76">
            <w:pPr>
              <w:spacing w:before="100" w:after="100"/>
              <w:ind w:left="100" w:right="100"/>
              <w:jc w:val="center"/>
              <w:rPr>
                <w:sz w:val="16"/>
                <w:szCs w:val="16"/>
              </w:rPr>
            </w:pPr>
            <w:r w:rsidRPr="0032525F">
              <w:rPr>
                <w:rFonts w:ascii="Arial" w:eastAsia="Arial" w:hAnsi="Arial" w:cs="Arial"/>
                <w:b/>
                <w:color w:val="000000"/>
                <w:sz w:val="16"/>
                <w:szCs w:val="16"/>
              </w:rPr>
              <w:t xml:space="preserve"> </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2C" w14:textId="77777777" w:rsidR="00381D4B" w:rsidRPr="0032525F" w:rsidRDefault="00482E76">
            <w:pPr>
              <w:spacing w:before="100" w:after="100"/>
              <w:ind w:left="100" w:right="100"/>
              <w:jc w:val="center"/>
              <w:rPr>
                <w:sz w:val="16"/>
                <w:szCs w:val="16"/>
              </w:rPr>
            </w:pPr>
            <w:r w:rsidRPr="0032525F">
              <w:rPr>
                <w:rFonts w:ascii="Arial" w:eastAsia="Arial" w:hAnsi="Arial" w:cs="Arial"/>
                <w:b/>
                <w:color w:val="000000"/>
                <w:sz w:val="16"/>
                <w:szCs w:val="16"/>
              </w:rPr>
              <w:t>Whole Sample</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2D" w14:textId="77777777" w:rsidR="00381D4B" w:rsidRPr="0032525F" w:rsidRDefault="00482E76">
            <w:pPr>
              <w:spacing w:before="100" w:after="100"/>
              <w:ind w:left="100" w:right="100"/>
              <w:jc w:val="center"/>
              <w:rPr>
                <w:sz w:val="16"/>
                <w:szCs w:val="16"/>
              </w:rPr>
            </w:pPr>
            <w:r w:rsidRPr="0032525F">
              <w:rPr>
                <w:rFonts w:ascii="Arial" w:eastAsia="Arial" w:hAnsi="Arial" w:cs="Arial"/>
                <w:b/>
                <w:color w:val="000000"/>
                <w:sz w:val="16"/>
                <w:szCs w:val="16"/>
              </w:rPr>
              <w:t>None</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2E" w14:textId="77777777" w:rsidR="00381D4B" w:rsidRPr="0032525F" w:rsidRDefault="00482E76">
            <w:pPr>
              <w:spacing w:before="100" w:after="100"/>
              <w:ind w:left="100" w:right="100"/>
              <w:jc w:val="center"/>
              <w:rPr>
                <w:sz w:val="16"/>
                <w:szCs w:val="16"/>
              </w:rPr>
            </w:pPr>
            <w:r w:rsidRPr="0032525F">
              <w:rPr>
                <w:rFonts w:ascii="Arial" w:eastAsia="Arial" w:hAnsi="Arial" w:cs="Arial"/>
                <w:b/>
                <w:color w:val="000000"/>
                <w:sz w:val="16"/>
                <w:szCs w:val="16"/>
              </w:rPr>
              <w:t>Statins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2F" w14:textId="77777777" w:rsidR="00381D4B" w:rsidRPr="0032525F" w:rsidRDefault="00482E76">
            <w:pPr>
              <w:spacing w:before="100" w:after="100"/>
              <w:ind w:left="100" w:right="100"/>
              <w:jc w:val="center"/>
              <w:rPr>
                <w:sz w:val="16"/>
                <w:szCs w:val="16"/>
              </w:rPr>
            </w:pPr>
            <w:r w:rsidRPr="0032525F">
              <w:rPr>
                <w:rFonts w:ascii="Arial" w:eastAsia="Arial" w:hAnsi="Arial" w:cs="Arial"/>
                <w:b/>
                <w:color w:val="000000"/>
                <w:sz w:val="16"/>
                <w:szCs w:val="16"/>
              </w:rPr>
              <w:t>Bile acid sequestrants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30" w14:textId="77777777" w:rsidR="00381D4B" w:rsidRPr="0032525F" w:rsidRDefault="00482E76">
            <w:pPr>
              <w:spacing w:before="100" w:after="100"/>
              <w:ind w:left="100" w:right="100"/>
              <w:jc w:val="center"/>
              <w:rPr>
                <w:sz w:val="16"/>
                <w:szCs w:val="16"/>
              </w:rPr>
            </w:pPr>
            <w:r w:rsidRPr="0032525F">
              <w:rPr>
                <w:rFonts w:ascii="Arial" w:eastAsia="Arial" w:hAnsi="Arial" w:cs="Arial"/>
                <w:b/>
                <w:color w:val="000000"/>
                <w:sz w:val="16"/>
                <w:szCs w:val="16"/>
              </w:rPr>
              <w:t>Ezetimibe</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31" w14:textId="77777777" w:rsidR="00381D4B" w:rsidRPr="0032525F" w:rsidRDefault="00482E76">
            <w:pPr>
              <w:spacing w:before="100" w:after="100"/>
              <w:ind w:left="100" w:right="100"/>
              <w:jc w:val="center"/>
              <w:rPr>
                <w:sz w:val="16"/>
                <w:szCs w:val="16"/>
              </w:rPr>
            </w:pPr>
            <w:r w:rsidRPr="0032525F">
              <w:rPr>
                <w:rFonts w:ascii="Arial" w:eastAsia="Arial" w:hAnsi="Arial" w:cs="Arial"/>
                <w:b/>
                <w:color w:val="000000"/>
                <w:sz w:val="16"/>
                <w:szCs w:val="16"/>
              </w:rPr>
              <w:t>Ezetimibe &amp; Statins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32" w14:textId="77777777" w:rsidR="00381D4B" w:rsidRPr="0032525F" w:rsidRDefault="00482E76">
            <w:pPr>
              <w:spacing w:before="100" w:after="100"/>
              <w:ind w:left="100" w:right="100"/>
              <w:jc w:val="center"/>
              <w:rPr>
                <w:sz w:val="16"/>
                <w:szCs w:val="16"/>
              </w:rPr>
            </w:pPr>
            <w:r w:rsidRPr="0032525F">
              <w:rPr>
                <w:rFonts w:ascii="Arial" w:eastAsia="Arial" w:hAnsi="Arial" w:cs="Arial"/>
                <w:b/>
                <w:color w:val="000000"/>
                <w:sz w:val="16"/>
                <w:szCs w:val="16"/>
              </w:rPr>
              <w:t>Fibrates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33" w14:textId="77777777" w:rsidR="00381D4B" w:rsidRPr="0032525F" w:rsidRDefault="00482E76">
            <w:pPr>
              <w:spacing w:before="100" w:after="100"/>
              <w:ind w:left="100" w:right="100"/>
              <w:jc w:val="center"/>
              <w:rPr>
                <w:sz w:val="16"/>
                <w:szCs w:val="16"/>
              </w:rPr>
            </w:pPr>
            <w:r w:rsidRPr="0032525F">
              <w:rPr>
                <w:rFonts w:ascii="Arial" w:eastAsia="Arial" w:hAnsi="Arial" w:cs="Arial"/>
                <w:b/>
                <w:color w:val="000000"/>
                <w:sz w:val="16"/>
                <w:szCs w:val="16"/>
              </w:rPr>
              <w:t>Nicotinic acid groups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34" w14:textId="77777777" w:rsidR="00381D4B" w:rsidRPr="0032525F" w:rsidRDefault="00482E76">
            <w:pPr>
              <w:spacing w:before="100" w:after="100"/>
              <w:ind w:left="100" w:right="100"/>
              <w:jc w:val="center"/>
              <w:rPr>
                <w:sz w:val="16"/>
                <w:szCs w:val="16"/>
              </w:rPr>
            </w:pPr>
            <w:r w:rsidRPr="0032525F">
              <w:rPr>
                <w:rFonts w:ascii="Arial" w:eastAsia="Arial" w:hAnsi="Arial" w:cs="Arial"/>
                <w:b/>
                <w:color w:val="000000"/>
                <w:sz w:val="16"/>
                <w:szCs w:val="16"/>
              </w:rPr>
              <w:t>Omega-3 Fatty Acid Groups</w:t>
            </w:r>
          </w:p>
        </w:tc>
      </w:tr>
      <w:tr w:rsidR="00381D4B" w:rsidRPr="0032525F" w14:paraId="16185A40" w14:textId="77777777" w:rsidTr="0032525F">
        <w:trPr>
          <w:cantSplit/>
          <w:trHeight w:val="573"/>
          <w:jc w:val="center"/>
        </w:trPr>
        <w:tc>
          <w:tcPr>
            <w:tcW w:w="0" w:type="auto"/>
            <w:shd w:val="clear" w:color="auto" w:fill="FFFFFF"/>
            <w:tcMar>
              <w:top w:w="0" w:type="dxa"/>
              <w:left w:w="0" w:type="dxa"/>
              <w:bottom w:w="0" w:type="dxa"/>
              <w:right w:w="0" w:type="dxa"/>
            </w:tcMar>
            <w:vAlign w:val="center"/>
          </w:tcPr>
          <w:p w14:paraId="16185A36"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Sample size (N)</w:t>
            </w:r>
          </w:p>
        </w:tc>
        <w:tc>
          <w:tcPr>
            <w:tcW w:w="0" w:type="auto"/>
            <w:shd w:val="clear" w:color="auto" w:fill="FFFFFF"/>
            <w:tcMar>
              <w:top w:w="0" w:type="dxa"/>
              <w:left w:w="0" w:type="dxa"/>
              <w:bottom w:w="0" w:type="dxa"/>
              <w:right w:w="0" w:type="dxa"/>
            </w:tcMar>
            <w:vAlign w:val="center"/>
          </w:tcPr>
          <w:p w14:paraId="16185A37"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1,684,564</w:t>
            </w:r>
          </w:p>
        </w:tc>
        <w:tc>
          <w:tcPr>
            <w:tcW w:w="0" w:type="auto"/>
            <w:shd w:val="clear" w:color="auto" w:fill="FFFFFF"/>
            <w:tcMar>
              <w:top w:w="0" w:type="dxa"/>
              <w:left w:w="0" w:type="dxa"/>
              <w:bottom w:w="0" w:type="dxa"/>
              <w:right w:w="0" w:type="dxa"/>
            </w:tcMar>
            <w:vAlign w:val="center"/>
          </w:tcPr>
          <w:p w14:paraId="16185A38"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1,087,704</w:t>
            </w:r>
          </w:p>
        </w:tc>
        <w:tc>
          <w:tcPr>
            <w:tcW w:w="0" w:type="auto"/>
            <w:shd w:val="clear" w:color="auto" w:fill="FFFFFF"/>
            <w:tcMar>
              <w:top w:w="0" w:type="dxa"/>
              <w:left w:w="0" w:type="dxa"/>
              <w:bottom w:w="0" w:type="dxa"/>
              <w:right w:w="0" w:type="dxa"/>
            </w:tcMar>
            <w:vAlign w:val="center"/>
          </w:tcPr>
          <w:p w14:paraId="16185A39"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585,528</w:t>
            </w:r>
          </w:p>
        </w:tc>
        <w:tc>
          <w:tcPr>
            <w:tcW w:w="0" w:type="auto"/>
            <w:shd w:val="clear" w:color="auto" w:fill="FFFFFF"/>
            <w:tcMar>
              <w:top w:w="0" w:type="dxa"/>
              <w:left w:w="0" w:type="dxa"/>
              <w:bottom w:w="0" w:type="dxa"/>
              <w:right w:w="0" w:type="dxa"/>
            </w:tcMar>
            <w:vAlign w:val="center"/>
          </w:tcPr>
          <w:p w14:paraId="16185A3A"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5,396</w:t>
            </w:r>
          </w:p>
        </w:tc>
        <w:tc>
          <w:tcPr>
            <w:tcW w:w="0" w:type="auto"/>
            <w:shd w:val="clear" w:color="auto" w:fill="FFFFFF"/>
            <w:tcMar>
              <w:top w:w="0" w:type="dxa"/>
              <w:left w:w="0" w:type="dxa"/>
              <w:bottom w:w="0" w:type="dxa"/>
              <w:right w:w="0" w:type="dxa"/>
            </w:tcMar>
            <w:vAlign w:val="center"/>
          </w:tcPr>
          <w:p w14:paraId="16185A3B"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763</w:t>
            </w:r>
          </w:p>
        </w:tc>
        <w:tc>
          <w:tcPr>
            <w:tcW w:w="0" w:type="auto"/>
            <w:shd w:val="clear" w:color="auto" w:fill="FFFFFF"/>
            <w:tcMar>
              <w:top w:w="0" w:type="dxa"/>
              <w:left w:w="0" w:type="dxa"/>
              <w:bottom w:w="0" w:type="dxa"/>
              <w:right w:w="0" w:type="dxa"/>
            </w:tcMar>
            <w:vAlign w:val="center"/>
          </w:tcPr>
          <w:p w14:paraId="16185A3C"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127</w:t>
            </w:r>
          </w:p>
        </w:tc>
        <w:tc>
          <w:tcPr>
            <w:tcW w:w="0" w:type="auto"/>
            <w:shd w:val="clear" w:color="auto" w:fill="FFFFFF"/>
            <w:tcMar>
              <w:top w:w="0" w:type="dxa"/>
              <w:left w:w="0" w:type="dxa"/>
              <w:bottom w:w="0" w:type="dxa"/>
              <w:right w:w="0" w:type="dxa"/>
            </w:tcMar>
            <w:vAlign w:val="center"/>
          </w:tcPr>
          <w:p w14:paraId="16185A3D"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3,889</w:t>
            </w:r>
          </w:p>
        </w:tc>
        <w:tc>
          <w:tcPr>
            <w:tcW w:w="0" w:type="auto"/>
            <w:shd w:val="clear" w:color="auto" w:fill="FFFFFF"/>
            <w:tcMar>
              <w:top w:w="0" w:type="dxa"/>
              <w:left w:w="0" w:type="dxa"/>
              <w:bottom w:w="0" w:type="dxa"/>
              <w:right w:w="0" w:type="dxa"/>
            </w:tcMar>
            <w:vAlign w:val="center"/>
          </w:tcPr>
          <w:p w14:paraId="16185A3E"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165</w:t>
            </w:r>
          </w:p>
        </w:tc>
        <w:tc>
          <w:tcPr>
            <w:tcW w:w="0" w:type="auto"/>
            <w:shd w:val="clear" w:color="auto" w:fill="FFFFFF"/>
            <w:tcMar>
              <w:top w:w="0" w:type="dxa"/>
              <w:left w:w="0" w:type="dxa"/>
              <w:bottom w:w="0" w:type="dxa"/>
              <w:right w:w="0" w:type="dxa"/>
            </w:tcMar>
            <w:vAlign w:val="center"/>
          </w:tcPr>
          <w:p w14:paraId="16185A3F"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992</w:t>
            </w:r>
          </w:p>
        </w:tc>
      </w:tr>
      <w:tr w:rsidR="00381D4B" w:rsidRPr="0032525F" w14:paraId="16185A4B" w14:textId="77777777" w:rsidTr="0032525F">
        <w:trPr>
          <w:cantSplit/>
          <w:trHeight w:val="754"/>
          <w:jc w:val="center"/>
        </w:trPr>
        <w:tc>
          <w:tcPr>
            <w:tcW w:w="0" w:type="auto"/>
            <w:shd w:val="clear" w:color="auto" w:fill="DDDDDD"/>
            <w:tcMar>
              <w:top w:w="0" w:type="dxa"/>
              <w:left w:w="0" w:type="dxa"/>
              <w:bottom w:w="0" w:type="dxa"/>
              <w:right w:w="0" w:type="dxa"/>
            </w:tcMar>
            <w:vAlign w:val="center"/>
          </w:tcPr>
          <w:p w14:paraId="16185A41"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Year of  cohort entry  (median)</w:t>
            </w:r>
          </w:p>
        </w:tc>
        <w:tc>
          <w:tcPr>
            <w:tcW w:w="0" w:type="auto"/>
            <w:shd w:val="clear" w:color="auto" w:fill="DDDDDD"/>
            <w:tcMar>
              <w:top w:w="0" w:type="dxa"/>
              <w:left w:w="0" w:type="dxa"/>
              <w:bottom w:w="0" w:type="dxa"/>
              <w:right w:w="0" w:type="dxa"/>
            </w:tcMar>
            <w:vAlign w:val="center"/>
          </w:tcPr>
          <w:p w14:paraId="16185A42"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2006</w:t>
            </w:r>
          </w:p>
        </w:tc>
        <w:tc>
          <w:tcPr>
            <w:tcW w:w="0" w:type="auto"/>
            <w:shd w:val="clear" w:color="auto" w:fill="DDDDDD"/>
            <w:tcMar>
              <w:top w:w="0" w:type="dxa"/>
              <w:left w:w="0" w:type="dxa"/>
              <w:bottom w:w="0" w:type="dxa"/>
              <w:right w:w="0" w:type="dxa"/>
            </w:tcMar>
            <w:vAlign w:val="center"/>
          </w:tcPr>
          <w:p w14:paraId="16185A43"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2007</w:t>
            </w:r>
          </w:p>
        </w:tc>
        <w:tc>
          <w:tcPr>
            <w:tcW w:w="0" w:type="auto"/>
            <w:shd w:val="clear" w:color="auto" w:fill="DDDDDD"/>
            <w:tcMar>
              <w:top w:w="0" w:type="dxa"/>
              <w:left w:w="0" w:type="dxa"/>
              <w:bottom w:w="0" w:type="dxa"/>
              <w:right w:w="0" w:type="dxa"/>
            </w:tcMar>
            <w:vAlign w:val="center"/>
          </w:tcPr>
          <w:p w14:paraId="16185A44"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2004</w:t>
            </w:r>
          </w:p>
        </w:tc>
        <w:tc>
          <w:tcPr>
            <w:tcW w:w="0" w:type="auto"/>
            <w:shd w:val="clear" w:color="auto" w:fill="DDDDDD"/>
            <w:tcMar>
              <w:top w:w="0" w:type="dxa"/>
              <w:left w:w="0" w:type="dxa"/>
              <w:bottom w:w="0" w:type="dxa"/>
              <w:right w:w="0" w:type="dxa"/>
            </w:tcMar>
            <w:vAlign w:val="center"/>
          </w:tcPr>
          <w:p w14:paraId="16185A45"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2005</w:t>
            </w:r>
          </w:p>
        </w:tc>
        <w:tc>
          <w:tcPr>
            <w:tcW w:w="0" w:type="auto"/>
            <w:shd w:val="clear" w:color="auto" w:fill="DDDDDD"/>
            <w:tcMar>
              <w:top w:w="0" w:type="dxa"/>
              <w:left w:w="0" w:type="dxa"/>
              <w:bottom w:w="0" w:type="dxa"/>
              <w:right w:w="0" w:type="dxa"/>
            </w:tcMar>
            <w:vAlign w:val="center"/>
          </w:tcPr>
          <w:p w14:paraId="16185A46"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2004</w:t>
            </w:r>
          </w:p>
        </w:tc>
        <w:tc>
          <w:tcPr>
            <w:tcW w:w="0" w:type="auto"/>
            <w:shd w:val="clear" w:color="auto" w:fill="DDDDDD"/>
            <w:tcMar>
              <w:top w:w="0" w:type="dxa"/>
              <w:left w:w="0" w:type="dxa"/>
              <w:bottom w:w="0" w:type="dxa"/>
              <w:right w:w="0" w:type="dxa"/>
            </w:tcMar>
            <w:vAlign w:val="center"/>
          </w:tcPr>
          <w:p w14:paraId="16185A47"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2005</w:t>
            </w:r>
          </w:p>
        </w:tc>
        <w:tc>
          <w:tcPr>
            <w:tcW w:w="0" w:type="auto"/>
            <w:shd w:val="clear" w:color="auto" w:fill="DDDDDD"/>
            <w:tcMar>
              <w:top w:w="0" w:type="dxa"/>
              <w:left w:w="0" w:type="dxa"/>
              <w:bottom w:w="0" w:type="dxa"/>
              <w:right w:w="0" w:type="dxa"/>
            </w:tcMar>
            <w:vAlign w:val="center"/>
          </w:tcPr>
          <w:p w14:paraId="16185A48"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2001</w:t>
            </w:r>
          </w:p>
        </w:tc>
        <w:tc>
          <w:tcPr>
            <w:tcW w:w="0" w:type="auto"/>
            <w:shd w:val="clear" w:color="auto" w:fill="DDDDDD"/>
            <w:tcMar>
              <w:top w:w="0" w:type="dxa"/>
              <w:left w:w="0" w:type="dxa"/>
              <w:bottom w:w="0" w:type="dxa"/>
              <w:right w:w="0" w:type="dxa"/>
            </w:tcMar>
            <w:vAlign w:val="center"/>
          </w:tcPr>
          <w:p w14:paraId="16185A49"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2001</w:t>
            </w:r>
          </w:p>
        </w:tc>
        <w:tc>
          <w:tcPr>
            <w:tcW w:w="0" w:type="auto"/>
            <w:shd w:val="clear" w:color="auto" w:fill="DDDDDD"/>
            <w:tcMar>
              <w:top w:w="0" w:type="dxa"/>
              <w:left w:w="0" w:type="dxa"/>
              <w:bottom w:w="0" w:type="dxa"/>
              <w:right w:w="0" w:type="dxa"/>
            </w:tcMar>
            <w:vAlign w:val="center"/>
          </w:tcPr>
          <w:p w14:paraId="16185A4A"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2005</w:t>
            </w:r>
          </w:p>
        </w:tc>
      </w:tr>
      <w:tr w:rsidR="00381D4B" w:rsidRPr="0032525F" w14:paraId="16185A56" w14:textId="77777777" w:rsidTr="0032525F">
        <w:trPr>
          <w:cantSplit/>
          <w:trHeight w:val="754"/>
          <w:jc w:val="center"/>
        </w:trPr>
        <w:tc>
          <w:tcPr>
            <w:tcW w:w="0" w:type="auto"/>
            <w:shd w:val="clear" w:color="auto" w:fill="FFFFFF"/>
            <w:tcMar>
              <w:top w:w="0" w:type="dxa"/>
              <w:left w:w="0" w:type="dxa"/>
              <w:bottom w:w="0" w:type="dxa"/>
              <w:right w:w="0" w:type="dxa"/>
            </w:tcMar>
            <w:vAlign w:val="center"/>
          </w:tcPr>
          <w:p w14:paraId="16185A4C"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Female</w:t>
            </w:r>
          </w:p>
        </w:tc>
        <w:tc>
          <w:tcPr>
            <w:tcW w:w="0" w:type="auto"/>
            <w:shd w:val="clear" w:color="auto" w:fill="FFFFFF"/>
            <w:tcMar>
              <w:top w:w="0" w:type="dxa"/>
              <w:left w:w="0" w:type="dxa"/>
              <w:bottom w:w="0" w:type="dxa"/>
              <w:right w:w="0" w:type="dxa"/>
            </w:tcMar>
            <w:vAlign w:val="center"/>
          </w:tcPr>
          <w:p w14:paraId="16185A4D"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53.0% (893174)</w:t>
            </w:r>
          </w:p>
        </w:tc>
        <w:tc>
          <w:tcPr>
            <w:tcW w:w="0" w:type="auto"/>
            <w:shd w:val="clear" w:color="auto" w:fill="FFFFFF"/>
            <w:tcMar>
              <w:top w:w="0" w:type="dxa"/>
              <w:left w:w="0" w:type="dxa"/>
              <w:bottom w:w="0" w:type="dxa"/>
              <w:right w:w="0" w:type="dxa"/>
            </w:tcMar>
            <w:vAlign w:val="center"/>
          </w:tcPr>
          <w:p w14:paraId="16185A4E"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56.2% (610950)</w:t>
            </w:r>
          </w:p>
        </w:tc>
        <w:tc>
          <w:tcPr>
            <w:tcW w:w="0" w:type="auto"/>
            <w:shd w:val="clear" w:color="auto" w:fill="FFFFFF"/>
            <w:tcMar>
              <w:top w:w="0" w:type="dxa"/>
              <w:left w:w="0" w:type="dxa"/>
              <w:bottom w:w="0" w:type="dxa"/>
              <w:right w:w="0" w:type="dxa"/>
            </w:tcMar>
            <w:vAlign w:val="center"/>
          </w:tcPr>
          <w:p w14:paraId="16185A4F"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47.1% (276043)</w:t>
            </w:r>
          </w:p>
        </w:tc>
        <w:tc>
          <w:tcPr>
            <w:tcW w:w="0" w:type="auto"/>
            <w:shd w:val="clear" w:color="auto" w:fill="FFFFFF"/>
            <w:tcMar>
              <w:top w:w="0" w:type="dxa"/>
              <w:left w:w="0" w:type="dxa"/>
              <w:bottom w:w="0" w:type="dxa"/>
              <w:right w:w="0" w:type="dxa"/>
            </w:tcMar>
            <w:vAlign w:val="center"/>
          </w:tcPr>
          <w:p w14:paraId="16185A50"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66.4% (3585)</w:t>
            </w:r>
          </w:p>
        </w:tc>
        <w:tc>
          <w:tcPr>
            <w:tcW w:w="0" w:type="auto"/>
            <w:shd w:val="clear" w:color="auto" w:fill="FFFFFF"/>
            <w:tcMar>
              <w:top w:w="0" w:type="dxa"/>
              <w:left w:w="0" w:type="dxa"/>
              <w:bottom w:w="0" w:type="dxa"/>
              <w:right w:w="0" w:type="dxa"/>
            </w:tcMar>
            <w:vAlign w:val="center"/>
          </w:tcPr>
          <w:p w14:paraId="16185A51"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54.5% (416)</w:t>
            </w:r>
          </w:p>
        </w:tc>
        <w:tc>
          <w:tcPr>
            <w:tcW w:w="0" w:type="auto"/>
            <w:shd w:val="clear" w:color="auto" w:fill="FFFFFF"/>
            <w:tcMar>
              <w:top w:w="0" w:type="dxa"/>
              <w:left w:w="0" w:type="dxa"/>
              <w:bottom w:w="0" w:type="dxa"/>
              <w:right w:w="0" w:type="dxa"/>
            </w:tcMar>
            <w:vAlign w:val="center"/>
          </w:tcPr>
          <w:p w14:paraId="16185A52"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52.8% (67)</w:t>
            </w:r>
          </w:p>
        </w:tc>
        <w:tc>
          <w:tcPr>
            <w:tcW w:w="0" w:type="auto"/>
            <w:shd w:val="clear" w:color="auto" w:fill="FFFFFF"/>
            <w:tcMar>
              <w:top w:w="0" w:type="dxa"/>
              <w:left w:w="0" w:type="dxa"/>
              <w:bottom w:w="0" w:type="dxa"/>
              <w:right w:w="0" w:type="dxa"/>
            </w:tcMar>
            <w:vAlign w:val="center"/>
          </w:tcPr>
          <w:p w14:paraId="16185A53"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38.6% (1500)</w:t>
            </w:r>
          </w:p>
        </w:tc>
        <w:tc>
          <w:tcPr>
            <w:tcW w:w="0" w:type="auto"/>
            <w:shd w:val="clear" w:color="auto" w:fill="FFFFFF"/>
            <w:tcMar>
              <w:top w:w="0" w:type="dxa"/>
              <w:left w:w="0" w:type="dxa"/>
              <w:bottom w:w="0" w:type="dxa"/>
              <w:right w:w="0" w:type="dxa"/>
            </w:tcMar>
            <w:vAlign w:val="center"/>
          </w:tcPr>
          <w:p w14:paraId="16185A54"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55.2% (91)</w:t>
            </w:r>
          </w:p>
        </w:tc>
        <w:tc>
          <w:tcPr>
            <w:tcW w:w="0" w:type="auto"/>
            <w:shd w:val="clear" w:color="auto" w:fill="FFFFFF"/>
            <w:tcMar>
              <w:top w:w="0" w:type="dxa"/>
              <w:left w:w="0" w:type="dxa"/>
              <w:bottom w:w="0" w:type="dxa"/>
              <w:right w:w="0" w:type="dxa"/>
            </w:tcMar>
            <w:vAlign w:val="center"/>
          </w:tcPr>
          <w:p w14:paraId="16185A55"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52.6% (522)</w:t>
            </w:r>
          </w:p>
        </w:tc>
      </w:tr>
      <w:tr w:rsidR="00381D4B" w:rsidRPr="0032525F" w14:paraId="16185A61" w14:textId="77777777" w:rsidTr="0032525F">
        <w:trPr>
          <w:cantSplit/>
          <w:trHeight w:val="754"/>
          <w:jc w:val="center"/>
        </w:trPr>
        <w:tc>
          <w:tcPr>
            <w:tcW w:w="0" w:type="auto"/>
            <w:shd w:val="clear" w:color="auto" w:fill="DDDDDD"/>
            <w:tcMar>
              <w:top w:w="0" w:type="dxa"/>
              <w:left w:w="0" w:type="dxa"/>
              <w:bottom w:w="0" w:type="dxa"/>
              <w:right w:w="0" w:type="dxa"/>
            </w:tcMar>
            <w:vAlign w:val="center"/>
          </w:tcPr>
          <w:p w14:paraId="16185A57"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Age at  cohort entry  (median)</w:t>
            </w:r>
          </w:p>
        </w:tc>
        <w:tc>
          <w:tcPr>
            <w:tcW w:w="0" w:type="auto"/>
            <w:shd w:val="clear" w:color="auto" w:fill="DDDDDD"/>
            <w:tcMar>
              <w:top w:w="0" w:type="dxa"/>
              <w:left w:w="0" w:type="dxa"/>
              <w:bottom w:w="0" w:type="dxa"/>
              <w:right w:w="0" w:type="dxa"/>
            </w:tcMar>
            <w:vAlign w:val="center"/>
          </w:tcPr>
          <w:p w14:paraId="16185A58"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57</w:t>
            </w:r>
          </w:p>
        </w:tc>
        <w:tc>
          <w:tcPr>
            <w:tcW w:w="0" w:type="auto"/>
            <w:shd w:val="clear" w:color="auto" w:fill="DDDDDD"/>
            <w:tcMar>
              <w:top w:w="0" w:type="dxa"/>
              <w:left w:w="0" w:type="dxa"/>
              <w:bottom w:w="0" w:type="dxa"/>
              <w:right w:w="0" w:type="dxa"/>
            </w:tcMar>
            <w:vAlign w:val="center"/>
          </w:tcPr>
          <w:p w14:paraId="16185A59"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54</w:t>
            </w:r>
          </w:p>
        </w:tc>
        <w:tc>
          <w:tcPr>
            <w:tcW w:w="0" w:type="auto"/>
            <w:shd w:val="clear" w:color="auto" w:fill="DDDDDD"/>
            <w:tcMar>
              <w:top w:w="0" w:type="dxa"/>
              <w:left w:w="0" w:type="dxa"/>
              <w:bottom w:w="0" w:type="dxa"/>
              <w:right w:w="0" w:type="dxa"/>
            </w:tcMar>
            <w:vAlign w:val="center"/>
          </w:tcPr>
          <w:p w14:paraId="16185A5A"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62</w:t>
            </w:r>
          </w:p>
        </w:tc>
        <w:tc>
          <w:tcPr>
            <w:tcW w:w="0" w:type="auto"/>
            <w:shd w:val="clear" w:color="auto" w:fill="DDDDDD"/>
            <w:tcMar>
              <w:top w:w="0" w:type="dxa"/>
              <w:left w:w="0" w:type="dxa"/>
              <w:bottom w:w="0" w:type="dxa"/>
              <w:right w:w="0" w:type="dxa"/>
            </w:tcMar>
            <w:vAlign w:val="center"/>
          </w:tcPr>
          <w:p w14:paraId="16185A5B"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57</w:t>
            </w:r>
          </w:p>
        </w:tc>
        <w:tc>
          <w:tcPr>
            <w:tcW w:w="0" w:type="auto"/>
            <w:shd w:val="clear" w:color="auto" w:fill="DDDDDD"/>
            <w:tcMar>
              <w:top w:w="0" w:type="dxa"/>
              <w:left w:w="0" w:type="dxa"/>
              <w:bottom w:w="0" w:type="dxa"/>
              <w:right w:w="0" w:type="dxa"/>
            </w:tcMar>
            <w:vAlign w:val="center"/>
          </w:tcPr>
          <w:p w14:paraId="16185A5C"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60</w:t>
            </w:r>
          </w:p>
        </w:tc>
        <w:tc>
          <w:tcPr>
            <w:tcW w:w="0" w:type="auto"/>
            <w:shd w:val="clear" w:color="auto" w:fill="DDDDDD"/>
            <w:tcMar>
              <w:top w:w="0" w:type="dxa"/>
              <w:left w:w="0" w:type="dxa"/>
              <w:bottom w:w="0" w:type="dxa"/>
              <w:right w:w="0" w:type="dxa"/>
            </w:tcMar>
            <w:vAlign w:val="center"/>
          </w:tcPr>
          <w:p w14:paraId="16185A5D"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57</w:t>
            </w:r>
          </w:p>
        </w:tc>
        <w:tc>
          <w:tcPr>
            <w:tcW w:w="0" w:type="auto"/>
            <w:shd w:val="clear" w:color="auto" w:fill="DDDDDD"/>
            <w:tcMar>
              <w:top w:w="0" w:type="dxa"/>
              <w:left w:w="0" w:type="dxa"/>
              <w:bottom w:w="0" w:type="dxa"/>
              <w:right w:w="0" w:type="dxa"/>
            </w:tcMar>
            <w:vAlign w:val="center"/>
          </w:tcPr>
          <w:p w14:paraId="16185A5E"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58</w:t>
            </w:r>
          </w:p>
        </w:tc>
        <w:tc>
          <w:tcPr>
            <w:tcW w:w="0" w:type="auto"/>
            <w:shd w:val="clear" w:color="auto" w:fill="DDDDDD"/>
            <w:tcMar>
              <w:top w:w="0" w:type="dxa"/>
              <w:left w:w="0" w:type="dxa"/>
              <w:bottom w:w="0" w:type="dxa"/>
              <w:right w:w="0" w:type="dxa"/>
            </w:tcMar>
            <w:vAlign w:val="center"/>
          </w:tcPr>
          <w:p w14:paraId="16185A5F"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62</w:t>
            </w:r>
          </w:p>
        </w:tc>
        <w:tc>
          <w:tcPr>
            <w:tcW w:w="0" w:type="auto"/>
            <w:shd w:val="clear" w:color="auto" w:fill="DDDDDD"/>
            <w:tcMar>
              <w:top w:w="0" w:type="dxa"/>
              <w:left w:w="0" w:type="dxa"/>
              <w:bottom w:w="0" w:type="dxa"/>
              <w:right w:w="0" w:type="dxa"/>
            </w:tcMar>
            <w:vAlign w:val="center"/>
          </w:tcPr>
          <w:p w14:paraId="16185A60"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56</w:t>
            </w:r>
          </w:p>
        </w:tc>
      </w:tr>
      <w:tr w:rsidR="00381D4B" w:rsidRPr="0032525F" w14:paraId="16185A6C" w14:textId="77777777" w:rsidTr="0032525F">
        <w:trPr>
          <w:cantSplit/>
          <w:trHeight w:val="573"/>
          <w:jc w:val="center"/>
        </w:trPr>
        <w:tc>
          <w:tcPr>
            <w:tcW w:w="0" w:type="auto"/>
            <w:shd w:val="clear" w:color="auto" w:fill="FFFFFF"/>
            <w:tcMar>
              <w:top w:w="0" w:type="dxa"/>
              <w:left w:w="0" w:type="dxa"/>
              <w:bottom w:w="0" w:type="dxa"/>
              <w:right w:w="0" w:type="dxa"/>
            </w:tcMar>
            <w:vAlign w:val="center"/>
          </w:tcPr>
          <w:p w14:paraId="16185A62"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CAD</w:t>
            </w:r>
          </w:p>
        </w:tc>
        <w:tc>
          <w:tcPr>
            <w:tcW w:w="0" w:type="auto"/>
            <w:shd w:val="clear" w:color="auto" w:fill="FFFFFF"/>
            <w:tcMar>
              <w:top w:w="0" w:type="dxa"/>
              <w:left w:w="0" w:type="dxa"/>
              <w:bottom w:w="0" w:type="dxa"/>
              <w:right w:w="0" w:type="dxa"/>
            </w:tcMar>
            <w:vAlign w:val="center"/>
          </w:tcPr>
          <w:p w14:paraId="16185A63"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0.4% (7133)</w:t>
            </w:r>
          </w:p>
        </w:tc>
        <w:tc>
          <w:tcPr>
            <w:tcW w:w="0" w:type="auto"/>
            <w:shd w:val="clear" w:color="auto" w:fill="FFFFFF"/>
            <w:tcMar>
              <w:top w:w="0" w:type="dxa"/>
              <w:left w:w="0" w:type="dxa"/>
              <w:bottom w:w="0" w:type="dxa"/>
              <w:right w:w="0" w:type="dxa"/>
            </w:tcMar>
            <w:vAlign w:val="center"/>
          </w:tcPr>
          <w:p w14:paraId="16185A64"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0.1% (589)</w:t>
            </w:r>
          </w:p>
        </w:tc>
        <w:tc>
          <w:tcPr>
            <w:tcW w:w="0" w:type="auto"/>
            <w:shd w:val="clear" w:color="auto" w:fill="FFFFFF"/>
            <w:tcMar>
              <w:top w:w="0" w:type="dxa"/>
              <w:left w:w="0" w:type="dxa"/>
              <w:bottom w:w="0" w:type="dxa"/>
              <w:right w:w="0" w:type="dxa"/>
            </w:tcMar>
            <w:vAlign w:val="center"/>
          </w:tcPr>
          <w:p w14:paraId="16185A65"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1.1% (6465)</w:t>
            </w:r>
          </w:p>
        </w:tc>
        <w:tc>
          <w:tcPr>
            <w:tcW w:w="0" w:type="auto"/>
            <w:shd w:val="clear" w:color="auto" w:fill="FFFFFF"/>
            <w:tcMar>
              <w:top w:w="0" w:type="dxa"/>
              <w:left w:w="0" w:type="dxa"/>
              <w:bottom w:w="0" w:type="dxa"/>
              <w:right w:w="0" w:type="dxa"/>
            </w:tcMar>
            <w:vAlign w:val="center"/>
          </w:tcPr>
          <w:p w14:paraId="16185A66"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0.1% (6)</w:t>
            </w:r>
          </w:p>
        </w:tc>
        <w:tc>
          <w:tcPr>
            <w:tcW w:w="0" w:type="auto"/>
            <w:shd w:val="clear" w:color="auto" w:fill="FFFFFF"/>
            <w:tcMar>
              <w:top w:w="0" w:type="dxa"/>
              <w:left w:w="0" w:type="dxa"/>
              <w:bottom w:w="0" w:type="dxa"/>
              <w:right w:w="0" w:type="dxa"/>
            </w:tcMar>
            <w:vAlign w:val="center"/>
          </w:tcPr>
          <w:p w14:paraId="16185A67"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0.9% (7)</w:t>
            </w:r>
          </w:p>
        </w:tc>
        <w:tc>
          <w:tcPr>
            <w:tcW w:w="0" w:type="auto"/>
            <w:shd w:val="clear" w:color="auto" w:fill="FFFFFF"/>
            <w:tcMar>
              <w:top w:w="0" w:type="dxa"/>
              <w:left w:w="0" w:type="dxa"/>
              <w:bottom w:w="0" w:type="dxa"/>
              <w:right w:w="0" w:type="dxa"/>
            </w:tcMar>
            <w:vAlign w:val="center"/>
          </w:tcPr>
          <w:p w14:paraId="16185A68"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0.0% (0)</w:t>
            </w:r>
          </w:p>
        </w:tc>
        <w:tc>
          <w:tcPr>
            <w:tcW w:w="0" w:type="auto"/>
            <w:shd w:val="clear" w:color="auto" w:fill="FFFFFF"/>
            <w:tcMar>
              <w:top w:w="0" w:type="dxa"/>
              <w:left w:w="0" w:type="dxa"/>
              <w:bottom w:w="0" w:type="dxa"/>
              <w:right w:w="0" w:type="dxa"/>
            </w:tcMar>
            <w:vAlign w:val="center"/>
          </w:tcPr>
          <w:p w14:paraId="16185A69"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1.4% (53)</w:t>
            </w:r>
          </w:p>
        </w:tc>
        <w:tc>
          <w:tcPr>
            <w:tcW w:w="0" w:type="auto"/>
            <w:shd w:val="clear" w:color="auto" w:fill="FFFFFF"/>
            <w:tcMar>
              <w:top w:w="0" w:type="dxa"/>
              <w:left w:w="0" w:type="dxa"/>
              <w:bottom w:w="0" w:type="dxa"/>
              <w:right w:w="0" w:type="dxa"/>
            </w:tcMar>
            <w:vAlign w:val="center"/>
          </w:tcPr>
          <w:p w14:paraId="16185A6A"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0.0% (0)</w:t>
            </w:r>
          </w:p>
        </w:tc>
        <w:tc>
          <w:tcPr>
            <w:tcW w:w="0" w:type="auto"/>
            <w:shd w:val="clear" w:color="auto" w:fill="FFFFFF"/>
            <w:tcMar>
              <w:top w:w="0" w:type="dxa"/>
              <w:left w:w="0" w:type="dxa"/>
              <w:bottom w:w="0" w:type="dxa"/>
              <w:right w:w="0" w:type="dxa"/>
            </w:tcMar>
            <w:vAlign w:val="center"/>
          </w:tcPr>
          <w:p w14:paraId="16185A6B"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1.3% (13)</w:t>
            </w:r>
          </w:p>
        </w:tc>
      </w:tr>
      <w:tr w:rsidR="00381D4B" w:rsidRPr="0032525F" w14:paraId="16185A77" w14:textId="77777777" w:rsidTr="0032525F">
        <w:trPr>
          <w:cantSplit/>
          <w:trHeight w:val="573"/>
          <w:jc w:val="center"/>
        </w:trPr>
        <w:tc>
          <w:tcPr>
            <w:tcW w:w="0" w:type="auto"/>
            <w:shd w:val="clear" w:color="auto" w:fill="DDDDDD"/>
            <w:tcMar>
              <w:top w:w="0" w:type="dxa"/>
              <w:left w:w="0" w:type="dxa"/>
              <w:bottom w:w="0" w:type="dxa"/>
              <w:right w:w="0" w:type="dxa"/>
            </w:tcMar>
            <w:vAlign w:val="center"/>
          </w:tcPr>
          <w:p w14:paraId="16185A6D"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CBS</w:t>
            </w:r>
          </w:p>
        </w:tc>
        <w:tc>
          <w:tcPr>
            <w:tcW w:w="0" w:type="auto"/>
            <w:shd w:val="clear" w:color="auto" w:fill="DDDDDD"/>
            <w:tcMar>
              <w:top w:w="0" w:type="dxa"/>
              <w:left w:w="0" w:type="dxa"/>
              <w:bottom w:w="0" w:type="dxa"/>
              <w:right w:w="0" w:type="dxa"/>
            </w:tcMar>
            <w:vAlign w:val="center"/>
          </w:tcPr>
          <w:p w14:paraId="16185A6E"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0.3% (5699)</w:t>
            </w:r>
          </w:p>
        </w:tc>
        <w:tc>
          <w:tcPr>
            <w:tcW w:w="0" w:type="auto"/>
            <w:shd w:val="clear" w:color="auto" w:fill="DDDDDD"/>
            <w:tcMar>
              <w:top w:w="0" w:type="dxa"/>
              <w:left w:w="0" w:type="dxa"/>
              <w:bottom w:w="0" w:type="dxa"/>
              <w:right w:w="0" w:type="dxa"/>
            </w:tcMar>
            <w:vAlign w:val="center"/>
          </w:tcPr>
          <w:p w14:paraId="16185A6F"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0.1% (682)</w:t>
            </w:r>
          </w:p>
        </w:tc>
        <w:tc>
          <w:tcPr>
            <w:tcW w:w="0" w:type="auto"/>
            <w:shd w:val="clear" w:color="auto" w:fill="DDDDDD"/>
            <w:tcMar>
              <w:top w:w="0" w:type="dxa"/>
              <w:left w:w="0" w:type="dxa"/>
              <w:bottom w:w="0" w:type="dxa"/>
              <w:right w:w="0" w:type="dxa"/>
            </w:tcMar>
            <w:vAlign w:val="center"/>
          </w:tcPr>
          <w:p w14:paraId="16185A70"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0.8% (4926)</w:t>
            </w:r>
          </w:p>
        </w:tc>
        <w:tc>
          <w:tcPr>
            <w:tcW w:w="0" w:type="auto"/>
            <w:shd w:val="clear" w:color="auto" w:fill="DDDDDD"/>
            <w:tcMar>
              <w:top w:w="0" w:type="dxa"/>
              <w:left w:w="0" w:type="dxa"/>
              <w:bottom w:w="0" w:type="dxa"/>
              <w:right w:w="0" w:type="dxa"/>
            </w:tcMar>
            <w:vAlign w:val="center"/>
          </w:tcPr>
          <w:p w14:paraId="16185A71"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0.1% (4)</w:t>
            </w:r>
          </w:p>
        </w:tc>
        <w:tc>
          <w:tcPr>
            <w:tcW w:w="0" w:type="auto"/>
            <w:shd w:val="clear" w:color="auto" w:fill="DDDDDD"/>
            <w:tcMar>
              <w:top w:w="0" w:type="dxa"/>
              <w:left w:w="0" w:type="dxa"/>
              <w:bottom w:w="0" w:type="dxa"/>
              <w:right w:w="0" w:type="dxa"/>
            </w:tcMar>
            <w:vAlign w:val="center"/>
          </w:tcPr>
          <w:p w14:paraId="16185A72"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0.4% (3)</w:t>
            </w:r>
          </w:p>
        </w:tc>
        <w:tc>
          <w:tcPr>
            <w:tcW w:w="0" w:type="auto"/>
            <w:shd w:val="clear" w:color="auto" w:fill="DDDDDD"/>
            <w:tcMar>
              <w:top w:w="0" w:type="dxa"/>
              <w:left w:w="0" w:type="dxa"/>
              <w:bottom w:w="0" w:type="dxa"/>
              <w:right w:w="0" w:type="dxa"/>
            </w:tcMar>
            <w:vAlign w:val="center"/>
          </w:tcPr>
          <w:p w14:paraId="16185A73"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0.0% (0)</w:t>
            </w:r>
          </w:p>
        </w:tc>
        <w:tc>
          <w:tcPr>
            <w:tcW w:w="0" w:type="auto"/>
            <w:shd w:val="clear" w:color="auto" w:fill="DDDDDD"/>
            <w:tcMar>
              <w:top w:w="0" w:type="dxa"/>
              <w:left w:w="0" w:type="dxa"/>
              <w:bottom w:w="0" w:type="dxa"/>
              <w:right w:w="0" w:type="dxa"/>
            </w:tcMar>
            <w:vAlign w:val="center"/>
          </w:tcPr>
          <w:p w14:paraId="16185A74"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2.0% (78)</w:t>
            </w:r>
          </w:p>
        </w:tc>
        <w:tc>
          <w:tcPr>
            <w:tcW w:w="0" w:type="auto"/>
            <w:shd w:val="clear" w:color="auto" w:fill="DDDDDD"/>
            <w:tcMar>
              <w:top w:w="0" w:type="dxa"/>
              <w:left w:w="0" w:type="dxa"/>
              <w:bottom w:w="0" w:type="dxa"/>
              <w:right w:w="0" w:type="dxa"/>
            </w:tcMar>
            <w:vAlign w:val="center"/>
          </w:tcPr>
          <w:p w14:paraId="16185A75"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0.0% (0)</w:t>
            </w:r>
          </w:p>
        </w:tc>
        <w:tc>
          <w:tcPr>
            <w:tcW w:w="0" w:type="auto"/>
            <w:shd w:val="clear" w:color="auto" w:fill="DDDDDD"/>
            <w:tcMar>
              <w:top w:w="0" w:type="dxa"/>
              <w:left w:w="0" w:type="dxa"/>
              <w:bottom w:w="0" w:type="dxa"/>
              <w:right w:w="0" w:type="dxa"/>
            </w:tcMar>
            <w:vAlign w:val="center"/>
          </w:tcPr>
          <w:p w14:paraId="16185A76"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0.6% (6)</w:t>
            </w:r>
          </w:p>
        </w:tc>
      </w:tr>
      <w:tr w:rsidR="00381D4B" w:rsidRPr="0032525F" w14:paraId="16185A82" w14:textId="77777777" w:rsidTr="0032525F">
        <w:trPr>
          <w:cantSplit/>
          <w:trHeight w:val="573"/>
          <w:jc w:val="center"/>
        </w:trPr>
        <w:tc>
          <w:tcPr>
            <w:tcW w:w="0" w:type="auto"/>
            <w:shd w:val="clear" w:color="auto" w:fill="FFFFFF"/>
            <w:tcMar>
              <w:top w:w="0" w:type="dxa"/>
              <w:left w:w="0" w:type="dxa"/>
              <w:bottom w:w="0" w:type="dxa"/>
              <w:right w:w="0" w:type="dxa"/>
            </w:tcMar>
            <w:vAlign w:val="center"/>
          </w:tcPr>
          <w:p w14:paraId="16185A78"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CVD</w:t>
            </w:r>
          </w:p>
        </w:tc>
        <w:tc>
          <w:tcPr>
            <w:tcW w:w="0" w:type="auto"/>
            <w:shd w:val="clear" w:color="auto" w:fill="FFFFFF"/>
            <w:tcMar>
              <w:top w:w="0" w:type="dxa"/>
              <w:left w:w="0" w:type="dxa"/>
              <w:bottom w:w="0" w:type="dxa"/>
              <w:right w:w="0" w:type="dxa"/>
            </w:tcMar>
            <w:vAlign w:val="center"/>
          </w:tcPr>
          <w:p w14:paraId="16185A79"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2.1% (34899)</w:t>
            </w:r>
          </w:p>
        </w:tc>
        <w:tc>
          <w:tcPr>
            <w:tcW w:w="0" w:type="auto"/>
            <w:shd w:val="clear" w:color="auto" w:fill="FFFFFF"/>
            <w:tcMar>
              <w:top w:w="0" w:type="dxa"/>
              <w:left w:w="0" w:type="dxa"/>
              <w:bottom w:w="0" w:type="dxa"/>
              <w:right w:w="0" w:type="dxa"/>
            </w:tcMar>
            <w:vAlign w:val="center"/>
          </w:tcPr>
          <w:p w14:paraId="16185A7A"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1.1% (11619)</w:t>
            </w:r>
          </w:p>
        </w:tc>
        <w:tc>
          <w:tcPr>
            <w:tcW w:w="0" w:type="auto"/>
            <w:shd w:val="clear" w:color="auto" w:fill="FFFFFF"/>
            <w:tcMar>
              <w:top w:w="0" w:type="dxa"/>
              <w:left w:w="0" w:type="dxa"/>
              <w:bottom w:w="0" w:type="dxa"/>
              <w:right w:w="0" w:type="dxa"/>
            </w:tcMar>
            <w:vAlign w:val="center"/>
          </w:tcPr>
          <w:p w14:paraId="16185A7B"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3.9% (22977)</w:t>
            </w:r>
          </w:p>
        </w:tc>
        <w:tc>
          <w:tcPr>
            <w:tcW w:w="0" w:type="auto"/>
            <w:shd w:val="clear" w:color="auto" w:fill="FFFFFF"/>
            <w:tcMar>
              <w:top w:w="0" w:type="dxa"/>
              <w:left w:w="0" w:type="dxa"/>
              <w:bottom w:w="0" w:type="dxa"/>
              <w:right w:w="0" w:type="dxa"/>
            </w:tcMar>
            <w:vAlign w:val="center"/>
          </w:tcPr>
          <w:p w14:paraId="16185A7C"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1.6% (86)</w:t>
            </w:r>
          </w:p>
        </w:tc>
        <w:tc>
          <w:tcPr>
            <w:tcW w:w="0" w:type="auto"/>
            <w:shd w:val="clear" w:color="auto" w:fill="FFFFFF"/>
            <w:tcMar>
              <w:top w:w="0" w:type="dxa"/>
              <w:left w:w="0" w:type="dxa"/>
              <w:bottom w:w="0" w:type="dxa"/>
              <w:right w:w="0" w:type="dxa"/>
            </w:tcMar>
            <w:vAlign w:val="center"/>
          </w:tcPr>
          <w:p w14:paraId="16185A7D"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2.6% (20)</w:t>
            </w:r>
          </w:p>
        </w:tc>
        <w:tc>
          <w:tcPr>
            <w:tcW w:w="0" w:type="auto"/>
            <w:shd w:val="clear" w:color="auto" w:fill="FFFFFF"/>
            <w:tcMar>
              <w:top w:w="0" w:type="dxa"/>
              <w:left w:w="0" w:type="dxa"/>
              <w:bottom w:w="0" w:type="dxa"/>
              <w:right w:w="0" w:type="dxa"/>
            </w:tcMar>
            <w:vAlign w:val="center"/>
          </w:tcPr>
          <w:p w14:paraId="16185A7E"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2.4% (3)</w:t>
            </w:r>
          </w:p>
        </w:tc>
        <w:tc>
          <w:tcPr>
            <w:tcW w:w="0" w:type="auto"/>
            <w:shd w:val="clear" w:color="auto" w:fill="FFFFFF"/>
            <w:tcMar>
              <w:top w:w="0" w:type="dxa"/>
              <w:left w:w="0" w:type="dxa"/>
              <w:bottom w:w="0" w:type="dxa"/>
              <w:right w:w="0" w:type="dxa"/>
            </w:tcMar>
            <w:vAlign w:val="center"/>
          </w:tcPr>
          <w:p w14:paraId="16185A7F"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4.4% (170)</w:t>
            </w:r>
          </w:p>
        </w:tc>
        <w:tc>
          <w:tcPr>
            <w:tcW w:w="0" w:type="auto"/>
            <w:shd w:val="clear" w:color="auto" w:fill="FFFFFF"/>
            <w:tcMar>
              <w:top w:w="0" w:type="dxa"/>
              <w:left w:w="0" w:type="dxa"/>
              <w:bottom w:w="0" w:type="dxa"/>
              <w:right w:w="0" w:type="dxa"/>
            </w:tcMar>
            <w:vAlign w:val="center"/>
          </w:tcPr>
          <w:p w14:paraId="16185A80"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4.2% (7)</w:t>
            </w:r>
          </w:p>
        </w:tc>
        <w:tc>
          <w:tcPr>
            <w:tcW w:w="0" w:type="auto"/>
            <w:shd w:val="clear" w:color="auto" w:fill="FFFFFF"/>
            <w:tcMar>
              <w:top w:w="0" w:type="dxa"/>
              <w:left w:w="0" w:type="dxa"/>
              <w:bottom w:w="0" w:type="dxa"/>
              <w:right w:w="0" w:type="dxa"/>
            </w:tcMar>
            <w:vAlign w:val="center"/>
          </w:tcPr>
          <w:p w14:paraId="16185A81"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1.7% (17)</w:t>
            </w:r>
          </w:p>
        </w:tc>
      </w:tr>
      <w:tr w:rsidR="00381D4B" w:rsidRPr="0032525F" w14:paraId="16185A8D" w14:textId="77777777" w:rsidTr="0032525F">
        <w:trPr>
          <w:cantSplit/>
          <w:trHeight w:val="754"/>
          <w:jc w:val="center"/>
        </w:trPr>
        <w:tc>
          <w:tcPr>
            <w:tcW w:w="0" w:type="auto"/>
            <w:shd w:val="clear" w:color="auto" w:fill="DDDDDD"/>
            <w:tcMar>
              <w:top w:w="0" w:type="dxa"/>
              <w:left w:w="0" w:type="dxa"/>
              <w:bottom w:w="0" w:type="dxa"/>
              <w:right w:w="0" w:type="dxa"/>
            </w:tcMar>
            <w:vAlign w:val="center"/>
          </w:tcPr>
          <w:p w14:paraId="16185A83"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Charlson (ever &gt; 0)</w:t>
            </w:r>
          </w:p>
        </w:tc>
        <w:tc>
          <w:tcPr>
            <w:tcW w:w="0" w:type="auto"/>
            <w:shd w:val="clear" w:color="auto" w:fill="DDDDDD"/>
            <w:tcMar>
              <w:top w:w="0" w:type="dxa"/>
              <w:left w:w="0" w:type="dxa"/>
              <w:bottom w:w="0" w:type="dxa"/>
              <w:right w:w="0" w:type="dxa"/>
            </w:tcMar>
            <w:vAlign w:val="center"/>
          </w:tcPr>
          <w:p w14:paraId="16185A84"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30.6% (516135)</w:t>
            </w:r>
          </w:p>
        </w:tc>
        <w:tc>
          <w:tcPr>
            <w:tcW w:w="0" w:type="auto"/>
            <w:shd w:val="clear" w:color="auto" w:fill="DDDDDD"/>
            <w:tcMar>
              <w:top w:w="0" w:type="dxa"/>
              <w:left w:w="0" w:type="dxa"/>
              <w:bottom w:w="0" w:type="dxa"/>
              <w:right w:w="0" w:type="dxa"/>
            </w:tcMar>
            <w:vAlign w:val="center"/>
          </w:tcPr>
          <w:p w14:paraId="16185A85"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25.1% (272642)</w:t>
            </w:r>
          </w:p>
        </w:tc>
        <w:tc>
          <w:tcPr>
            <w:tcW w:w="0" w:type="auto"/>
            <w:shd w:val="clear" w:color="auto" w:fill="DDDDDD"/>
            <w:tcMar>
              <w:top w:w="0" w:type="dxa"/>
              <w:left w:w="0" w:type="dxa"/>
              <w:bottom w:w="0" w:type="dxa"/>
              <w:right w:w="0" w:type="dxa"/>
            </w:tcMar>
            <w:vAlign w:val="center"/>
          </w:tcPr>
          <w:p w14:paraId="16185A86"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40.7% (238403)</w:t>
            </w:r>
          </w:p>
        </w:tc>
        <w:tc>
          <w:tcPr>
            <w:tcW w:w="0" w:type="auto"/>
            <w:shd w:val="clear" w:color="auto" w:fill="DDDDDD"/>
            <w:tcMar>
              <w:top w:w="0" w:type="dxa"/>
              <w:left w:w="0" w:type="dxa"/>
              <w:bottom w:w="0" w:type="dxa"/>
              <w:right w:w="0" w:type="dxa"/>
            </w:tcMar>
            <w:vAlign w:val="center"/>
          </w:tcPr>
          <w:p w14:paraId="16185A87"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42.5% (2292)</w:t>
            </w:r>
          </w:p>
        </w:tc>
        <w:tc>
          <w:tcPr>
            <w:tcW w:w="0" w:type="auto"/>
            <w:shd w:val="clear" w:color="auto" w:fill="DDDDDD"/>
            <w:tcMar>
              <w:top w:w="0" w:type="dxa"/>
              <w:left w:w="0" w:type="dxa"/>
              <w:bottom w:w="0" w:type="dxa"/>
              <w:right w:w="0" w:type="dxa"/>
            </w:tcMar>
            <w:vAlign w:val="center"/>
          </w:tcPr>
          <w:p w14:paraId="16185A88"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41.7% (318)</w:t>
            </w:r>
          </w:p>
        </w:tc>
        <w:tc>
          <w:tcPr>
            <w:tcW w:w="0" w:type="auto"/>
            <w:shd w:val="clear" w:color="auto" w:fill="DDDDDD"/>
            <w:tcMar>
              <w:top w:w="0" w:type="dxa"/>
              <w:left w:w="0" w:type="dxa"/>
              <w:bottom w:w="0" w:type="dxa"/>
              <w:right w:w="0" w:type="dxa"/>
            </w:tcMar>
            <w:vAlign w:val="center"/>
          </w:tcPr>
          <w:p w14:paraId="16185A89"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24.4% (31)</w:t>
            </w:r>
          </w:p>
        </w:tc>
        <w:tc>
          <w:tcPr>
            <w:tcW w:w="0" w:type="auto"/>
            <w:shd w:val="clear" w:color="auto" w:fill="DDDDDD"/>
            <w:tcMar>
              <w:top w:w="0" w:type="dxa"/>
              <w:left w:w="0" w:type="dxa"/>
              <w:bottom w:w="0" w:type="dxa"/>
              <w:right w:w="0" w:type="dxa"/>
            </w:tcMar>
            <w:vAlign w:val="center"/>
          </w:tcPr>
          <w:p w14:paraId="16185A8A"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50.8% (1976)</w:t>
            </w:r>
          </w:p>
        </w:tc>
        <w:tc>
          <w:tcPr>
            <w:tcW w:w="0" w:type="auto"/>
            <w:shd w:val="clear" w:color="auto" w:fill="DDDDDD"/>
            <w:tcMar>
              <w:top w:w="0" w:type="dxa"/>
              <w:left w:w="0" w:type="dxa"/>
              <w:bottom w:w="0" w:type="dxa"/>
              <w:right w:w="0" w:type="dxa"/>
            </w:tcMar>
            <w:vAlign w:val="center"/>
          </w:tcPr>
          <w:p w14:paraId="16185A8B"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43.6% (72)</w:t>
            </w:r>
          </w:p>
        </w:tc>
        <w:tc>
          <w:tcPr>
            <w:tcW w:w="0" w:type="auto"/>
            <w:shd w:val="clear" w:color="auto" w:fill="DDDDDD"/>
            <w:tcMar>
              <w:top w:w="0" w:type="dxa"/>
              <w:left w:w="0" w:type="dxa"/>
              <w:bottom w:w="0" w:type="dxa"/>
              <w:right w:w="0" w:type="dxa"/>
            </w:tcMar>
            <w:vAlign w:val="center"/>
          </w:tcPr>
          <w:p w14:paraId="16185A8C"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40.4% (401)</w:t>
            </w:r>
          </w:p>
        </w:tc>
      </w:tr>
      <w:tr w:rsidR="00381D4B" w:rsidRPr="0032525F" w14:paraId="16185A98" w14:textId="77777777" w:rsidTr="0032525F">
        <w:trPr>
          <w:cantSplit/>
          <w:trHeight w:val="573"/>
          <w:jc w:val="center"/>
        </w:trPr>
        <w:tc>
          <w:tcPr>
            <w:tcW w:w="0" w:type="auto"/>
            <w:shd w:val="clear" w:color="auto" w:fill="FFFFFF"/>
            <w:tcMar>
              <w:top w:w="0" w:type="dxa"/>
              <w:left w:w="0" w:type="dxa"/>
              <w:bottom w:w="0" w:type="dxa"/>
              <w:right w:w="0" w:type="dxa"/>
            </w:tcMar>
            <w:vAlign w:val="center"/>
          </w:tcPr>
          <w:p w14:paraId="16185A8E"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IMD-2010 (median)</w:t>
            </w:r>
          </w:p>
        </w:tc>
        <w:tc>
          <w:tcPr>
            <w:tcW w:w="0" w:type="auto"/>
            <w:shd w:val="clear" w:color="auto" w:fill="FFFFFF"/>
            <w:tcMar>
              <w:top w:w="0" w:type="dxa"/>
              <w:left w:w="0" w:type="dxa"/>
              <w:bottom w:w="0" w:type="dxa"/>
              <w:right w:w="0" w:type="dxa"/>
            </w:tcMar>
            <w:vAlign w:val="center"/>
          </w:tcPr>
          <w:p w14:paraId="16185A8F"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9</w:t>
            </w:r>
          </w:p>
        </w:tc>
        <w:tc>
          <w:tcPr>
            <w:tcW w:w="0" w:type="auto"/>
            <w:shd w:val="clear" w:color="auto" w:fill="FFFFFF"/>
            <w:tcMar>
              <w:top w:w="0" w:type="dxa"/>
              <w:left w:w="0" w:type="dxa"/>
              <w:bottom w:w="0" w:type="dxa"/>
              <w:right w:w="0" w:type="dxa"/>
            </w:tcMar>
            <w:vAlign w:val="center"/>
          </w:tcPr>
          <w:p w14:paraId="16185A90"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8</w:t>
            </w:r>
          </w:p>
        </w:tc>
        <w:tc>
          <w:tcPr>
            <w:tcW w:w="0" w:type="auto"/>
            <w:shd w:val="clear" w:color="auto" w:fill="FFFFFF"/>
            <w:tcMar>
              <w:top w:w="0" w:type="dxa"/>
              <w:left w:w="0" w:type="dxa"/>
              <w:bottom w:w="0" w:type="dxa"/>
              <w:right w:w="0" w:type="dxa"/>
            </w:tcMar>
            <w:vAlign w:val="center"/>
          </w:tcPr>
          <w:p w14:paraId="16185A91"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9</w:t>
            </w:r>
          </w:p>
        </w:tc>
        <w:tc>
          <w:tcPr>
            <w:tcW w:w="0" w:type="auto"/>
            <w:shd w:val="clear" w:color="auto" w:fill="FFFFFF"/>
            <w:tcMar>
              <w:top w:w="0" w:type="dxa"/>
              <w:left w:w="0" w:type="dxa"/>
              <w:bottom w:w="0" w:type="dxa"/>
              <w:right w:w="0" w:type="dxa"/>
            </w:tcMar>
            <w:vAlign w:val="center"/>
          </w:tcPr>
          <w:p w14:paraId="16185A92"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8</w:t>
            </w:r>
          </w:p>
        </w:tc>
        <w:tc>
          <w:tcPr>
            <w:tcW w:w="0" w:type="auto"/>
            <w:shd w:val="clear" w:color="auto" w:fill="FFFFFF"/>
            <w:tcMar>
              <w:top w:w="0" w:type="dxa"/>
              <w:left w:w="0" w:type="dxa"/>
              <w:bottom w:w="0" w:type="dxa"/>
              <w:right w:w="0" w:type="dxa"/>
            </w:tcMar>
            <w:vAlign w:val="center"/>
          </w:tcPr>
          <w:p w14:paraId="16185A93"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9</w:t>
            </w:r>
          </w:p>
        </w:tc>
        <w:tc>
          <w:tcPr>
            <w:tcW w:w="0" w:type="auto"/>
            <w:shd w:val="clear" w:color="auto" w:fill="FFFFFF"/>
            <w:tcMar>
              <w:top w:w="0" w:type="dxa"/>
              <w:left w:w="0" w:type="dxa"/>
              <w:bottom w:w="0" w:type="dxa"/>
              <w:right w:w="0" w:type="dxa"/>
            </w:tcMar>
            <w:vAlign w:val="center"/>
          </w:tcPr>
          <w:p w14:paraId="16185A94"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13</w:t>
            </w:r>
          </w:p>
        </w:tc>
        <w:tc>
          <w:tcPr>
            <w:tcW w:w="0" w:type="auto"/>
            <w:shd w:val="clear" w:color="auto" w:fill="FFFFFF"/>
            <w:tcMar>
              <w:top w:w="0" w:type="dxa"/>
              <w:left w:w="0" w:type="dxa"/>
              <w:bottom w:w="0" w:type="dxa"/>
              <w:right w:w="0" w:type="dxa"/>
            </w:tcMar>
            <w:vAlign w:val="center"/>
          </w:tcPr>
          <w:p w14:paraId="16185A95"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10</w:t>
            </w:r>
          </w:p>
        </w:tc>
        <w:tc>
          <w:tcPr>
            <w:tcW w:w="0" w:type="auto"/>
            <w:shd w:val="clear" w:color="auto" w:fill="FFFFFF"/>
            <w:tcMar>
              <w:top w:w="0" w:type="dxa"/>
              <w:left w:w="0" w:type="dxa"/>
              <w:bottom w:w="0" w:type="dxa"/>
              <w:right w:w="0" w:type="dxa"/>
            </w:tcMar>
            <w:vAlign w:val="center"/>
          </w:tcPr>
          <w:p w14:paraId="16185A96"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10</w:t>
            </w:r>
          </w:p>
        </w:tc>
        <w:tc>
          <w:tcPr>
            <w:tcW w:w="0" w:type="auto"/>
            <w:shd w:val="clear" w:color="auto" w:fill="FFFFFF"/>
            <w:tcMar>
              <w:top w:w="0" w:type="dxa"/>
              <w:left w:w="0" w:type="dxa"/>
              <w:bottom w:w="0" w:type="dxa"/>
              <w:right w:w="0" w:type="dxa"/>
            </w:tcMar>
            <w:vAlign w:val="center"/>
          </w:tcPr>
          <w:p w14:paraId="16185A97"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10</w:t>
            </w:r>
          </w:p>
        </w:tc>
      </w:tr>
      <w:tr w:rsidR="00381D4B" w:rsidRPr="0032525F" w14:paraId="16185AA3" w14:textId="77777777" w:rsidTr="0032525F">
        <w:trPr>
          <w:cantSplit/>
          <w:trHeight w:val="754"/>
          <w:jc w:val="center"/>
        </w:trPr>
        <w:tc>
          <w:tcPr>
            <w:tcW w:w="0" w:type="auto"/>
            <w:shd w:val="clear" w:color="auto" w:fill="DDDDDD"/>
            <w:tcMar>
              <w:top w:w="0" w:type="dxa"/>
              <w:left w:w="0" w:type="dxa"/>
              <w:bottom w:w="0" w:type="dxa"/>
              <w:right w:w="0" w:type="dxa"/>
            </w:tcMar>
            <w:vAlign w:val="center"/>
          </w:tcPr>
          <w:p w14:paraId="16185A99"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Consultation rate (mean/SD)</w:t>
            </w:r>
          </w:p>
        </w:tc>
        <w:tc>
          <w:tcPr>
            <w:tcW w:w="0" w:type="auto"/>
            <w:shd w:val="clear" w:color="auto" w:fill="DDDDDD"/>
            <w:tcMar>
              <w:top w:w="0" w:type="dxa"/>
              <w:left w:w="0" w:type="dxa"/>
              <w:bottom w:w="0" w:type="dxa"/>
              <w:right w:w="0" w:type="dxa"/>
            </w:tcMar>
            <w:vAlign w:val="center"/>
          </w:tcPr>
          <w:p w14:paraId="16185A9A"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5.4 (5.4)</w:t>
            </w:r>
          </w:p>
        </w:tc>
        <w:tc>
          <w:tcPr>
            <w:tcW w:w="0" w:type="auto"/>
            <w:shd w:val="clear" w:color="auto" w:fill="DDDDDD"/>
            <w:tcMar>
              <w:top w:w="0" w:type="dxa"/>
              <w:left w:w="0" w:type="dxa"/>
              <w:bottom w:w="0" w:type="dxa"/>
              <w:right w:w="0" w:type="dxa"/>
            </w:tcMar>
            <w:vAlign w:val="center"/>
          </w:tcPr>
          <w:p w14:paraId="16185A9B"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5.0 (5.0)</w:t>
            </w:r>
          </w:p>
        </w:tc>
        <w:tc>
          <w:tcPr>
            <w:tcW w:w="0" w:type="auto"/>
            <w:shd w:val="clear" w:color="auto" w:fill="DDDDDD"/>
            <w:tcMar>
              <w:top w:w="0" w:type="dxa"/>
              <w:left w:w="0" w:type="dxa"/>
              <w:bottom w:w="0" w:type="dxa"/>
              <w:right w:w="0" w:type="dxa"/>
            </w:tcMar>
            <w:vAlign w:val="center"/>
          </w:tcPr>
          <w:p w14:paraId="16185A9C"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6.2 (6.1)</w:t>
            </w:r>
          </w:p>
        </w:tc>
        <w:tc>
          <w:tcPr>
            <w:tcW w:w="0" w:type="auto"/>
            <w:shd w:val="clear" w:color="auto" w:fill="DDDDDD"/>
            <w:tcMar>
              <w:top w:w="0" w:type="dxa"/>
              <w:left w:w="0" w:type="dxa"/>
              <w:bottom w:w="0" w:type="dxa"/>
              <w:right w:w="0" w:type="dxa"/>
            </w:tcMar>
            <w:vAlign w:val="center"/>
          </w:tcPr>
          <w:p w14:paraId="16185A9D"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8.6 (7.4)</w:t>
            </w:r>
          </w:p>
        </w:tc>
        <w:tc>
          <w:tcPr>
            <w:tcW w:w="0" w:type="auto"/>
            <w:shd w:val="clear" w:color="auto" w:fill="DDDDDD"/>
            <w:tcMar>
              <w:top w:w="0" w:type="dxa"/>
              <w:left w:w="0" w:type="dxa"/>
              <w:bottom w:w="0" w:type="dxa"/>
              <w:right w:w="0" w:type="dxa"/>
            </w:tcMar>
            <w:vAlign w:val="center"/>
          </w:tcPr>
          <w:p w14:paraId="16185A9E"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7.4 (6.6)</w:t>
            </w:r>
          </w:p>
        </w:tc>
        <w:tc>
          <w:tcPr>
            <w:tcW w:w="0" w:type="auto"/>
            <w:shd w:val="clear" w:color="auto" w:fill="DDDDDD"/>
            <w:tcMar>
              <w:top w:w="0" w:type="dxa"/>
              <w:left w:w="0" w:type="dxa"/>
              <w:bottom w:w="0" w:type="dxa"/>
              <w:right w:w="0" w:type="dxa"/>
            </w:tcMar>
            <w:vAlign w:val="center"/>
          </w:tcPr>
          <w:p w14:paraId="16185A9F"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4.8 (4.3)</w:t>
            </w:r>
          </w:p>
        </w:tc>
        <w:tc>
          <w:tcPr>
            <w:tcW w:w="0" w:type="auto"/>
            <w:shd w:val="clear" w:color="auto" w:fill="DDDDDD"/>
            <w:tcMar>
              <w:top w:w="0" w:type="dxa"/>
              <w:left w:w="0" w:type="dxa"/>
              <w:bottom w:w="0" w:type="dxa"/>
              <w:right w:w="0" w:type="dxa"/>
            </w:tcMar>
            <w:vAlign w:val="center"/>
          </w:tcPr>
          <w:p w14:paraId="16185AA0"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7.1 (6.2)</w:t>
            </w:r>
          </w:p>
        </w:tc>
        <w:tc>
          <w:tcPr>
            <w:tcW w:w="0" w:type="auto"/>
            <w:shd w:val="clear" w:color="auto" w:fill="DDDDDD"/>
            <w:tcMar>
              <w:top w:w="0" w:type="dxa"/>
              <w:left w:w="0" w:type="dxa"/>
              <w:bottom w:w="0" w:type="dxa"/>
              <w:right w:w="0" w:type="dxa"/>
            </w:tcMar>
            <w:vAlign w:val="center"/>
          </w:tcPr>
          <w:p w14:paraId="16185AA1"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9.2 (7.8)</w:t>
            </w:r>
          </w:p>
        </w:tc>
        <w:tc>
          <w:tcPr>
            <w:tcW w:w="0" w:type="auto"/>
            <w:shd w:val="clear" w:color="auto" w:fill="DDDDDD"/>
            <w:tcMar>
              <w:top w:w="0" w:type="dxa"/>
              <w:left w:w="0" w:type="dxa"/>
              <w:bottom w:w="0" w:type="dxa"/>
              <w:right w:w="0" w:type="dxa"/>
            </w:tcMar>
            <w:vAlign w:val="center"/>
          </w:tcPr>
          <w:p w14:paraId="16185AA2"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8.0 (8.0)</w:t>
            </w:r>
          </w:p>
        </w:tc>
      </w:tr>
      <w:tr w:rsidR="00381D4B" w:rsidRPr="0032525F" w14:paraId="16185AAE" w14:textId="77777777" w:rsidTr="0032525F">
        <w:trPr>
          <w:cantSplit/>
          <w:trHeight w:val="754"/>
          <w:jc w:val="center"/>
        </w:trPr>
        <w:tc>
          <w:tcPr>
            <w:tcW w:w="0" w:type="auto"/>
            <w:shd w:val="clear" w:color="auto" w:fill="FFFFFF"/>
            <w:tcMar>
              <w:top w:w="0" w:type="dxa"/>
              <w:left w:w="0" w:type="dxa"/>
              <w:bottom w:w="0" w:type="dxa"/>
              <w:right w:w="0" w:type="dxa"/>
            </w:tcMar>
            <w:vAlign w:val="center"/>
          </w:tcPr>
          <w:p w14:paraId="16185AA4"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Alcohol (ever)</w:t>
            </w:r>
          </w:p>
        </w:tc>
        <w:tc>
          <w:tcPr>
            <w:tcW w:w="0" w:type="auto"/>
            <w:shd w:val="clear" w:color="auto" w:fill="FFFFFF"/>
            <w:tcMar>
              <w:top w:w="0" w:type="dxa"/>
              <w:left w:w="0" w:type="dxa"/>
              <w:bottom w:w="0" w:type="dxa"/>
              <w:right w:w="0" w:type="dxa"/>
            </w:tcMar>
            <w:vAlign w:val="center"/>
          </w:tcPr>
          <w:p w14:paraId="16185AA5"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85.9% (1447151)</w:t>
            </w:r>
          </w:p>
        </w:tc>
        <w:tc>
          <w:tcPr>
            <w:tcW w:w="0" w:type="auto"/>
            <w:shd w:val="clear" w:color="auto" w:fill="FFFFFF"/>
            <w:tcMar>
              <w:top w:w="0" w:type="dxa"/>
              <w:left w:w="0" w:type="dxa"/>
              <w:bottom w:w="0" w:type="dxa"/>
              <w:right w:w="0" w:type="dxa"/>
            </w:tcMar>
            <w:vAlign w:val="center"/>
          </w:tcPr>
          <w:p w14:paraId="16185AA6"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86.6% (941648)</w:t>
            </w:r>
          </w:p>
        </w:tc>
        <w:tc>
          <w:tcPr>
            <w:tcW w:w="0" w:type="auto"/>
            <w:shd w:val="clear" w:color="auto" w:fill="FFFFFF"/>
            <w:tcMar>
              <w:top w:w="0" w:type="dxa"/>
              <w:left w:w="0" w:type="dxa"/>
              <w:bottom w:w="0" w:type="dxa"/>
              <w:right w:w="0" w:type="dxa"/>
            </w:tcMar>
            <w:vAlign w:val="center"/>
          </w:tcPr>
          <w:p w14:paraId="16185AA7"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84.7% (496110)</w:t>
            </w:r>
          </w:p>
        </w:tc>
        <w:tc>
          <w:tcPr>
            <w:tcW w:w="0" w:type="auto"/>
            <w:shd w:val="clear" w:color="auto" w:fill="FFFFFF"/>
            <w:tcMar>
              <w:top w:w="0" w:type="dxa"/>
              <w:left w:w="0" w:type="dxa"/>
              <w:bottom w:w="0" w:type="dxa"/>
              <w:right w:w="0" w:type="dxa"/>
            </w:tcMar>
            <w:vAlign w:val="center"/>
          </w:tcPr>
          <w:p w14:paraId="16185AA8"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82.8% (4468)</w:t>
            </w:r>
          </w:p>
        </w:tc>
        <w:tc>
          <w:tcPr>
            <w:tcW w:w="0" w:type="auto"/>
            <w:shd w:val="clear" w:color="auto" w:fill="FFFFFF"/>
            <w:tcMar>
              <w:top w:w="0" w:type="dxa"/>
              <w:left w:w="0" w:type="dxa"/>
              <w:bottom w:w="0" w:type="dxa"/>
              <w:right w:w="0" w:type="dxa"/>
            </w:tcMar>
            <w:vAlign w:val="center"/>
          </w:tcPr>
          <w:p w14:paraId="16185AA9"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84.0% (641)</w:t>
            </w:r>
          </w:p>
        </w:tc>
        <w:tc>
          <w:tcPr>
            <w:tcW w:w="0" w:type="auto"/>
            <w:shd w:val="clear" w:color="auto" w:fill="FFFFFF"/>
            <w:tcMar>
              <w:top w:w="0" w:type="dxa"/>
              <w:left w:w="0" w:type="dxa"/>
              <w:bottom w:w="0" w:type="dxa"/>
              <w:right w:w="0" w:type="dxa"/>
            </w:tcMar>
            <w:vAlign w:val="center"/>
          </w:tcPr>
          <w:p w14:paraId="16185AAA"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87.4% (111)</w:t>
            </w:r>
          </w:p>
        </w:tc>
        <w:tc>
          <w:tcPr>
            <w:tcW w:w="0" w:type="auto"/>
            <w:shd w:val="clear" w:color="auto" w:fill="FFFFFF"/>
            <w:tcMar>
              <w:top w:w="0" w:type="dxa"/>
              <w:left w:w="0" w:type="dxa"/>
              <w:bottom w:w="0" w:type="dxa"/>
              <w:right w:w="0" w:type="dxa"/>
            </w:tcMar>
            <w:vAlign w:val="center"/>
          </w:tcPr>
          <w:p w14:paraId="16185AAB"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82.9% (3223)</w:t>
            </w:r>
          </w:p>
        </w:tc>
        <w:tc>
          <w:tcPr>
            <w:tcW w:w="0" w:type="auto"/>
            <w:shd w:val="clear" w:color="auto" w:fill="FFFFFF"/>
            <w:tcMar>
              <w:top w:w="0" w:type="dxa"/>
              <w:left w:w="0" w:type="dxa"/>
              <w:bottom w:w="0" w:type="dxa"/>
              <w:right w:w="0" w:type="dxa"/>
            </w:tcMar>
            <w:vAlign w:val="center"/>
          </w:tcPr>
          <w:p w14:paraId="16185AAC"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83.0% (137)</w:t>
            </w:r>
          </w:p>
        </w:tc>
        <w:tc>
          <w:tcPr>
            <w:tcW w:w="0" w:type="auto"/>
            <w:shd w:val="clear" w:color="auto" w:fill="FFFFFF"/>
            <w:tcMar>
              <w:top w:w="0" w:type="dxa"/>
              <w:left w:w="0" w:type="dxa"/>
              <w:bottom w:w="0" w:type="dxa"/>
              <w:right w:w="0" w:type="dxa"/>
            </w:tcMar>
            <w:vAlign w:val="center"/>
          </w:tcPr>
          <w:p w14:paraId="16185AAD"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82.0% (813)</w:t>
            </w:r>
          </w:p>
        </w:tc>
      </w:tr>
      <w:tr w:rsidR="00381D4B" w:rsidRPr="0032525F" w14:paraId="16185AB9" w14:textId="77777777" w:rsidTr="0032525F">
        <w:trPr>
          <w:cantSplit/>
          <w:trHeight w:val="754"/>
          <w:jc w:val="center"/>
        </w:trPr>
        <w:tc>
          <w:tcPr>
            <w:tcW w:w="0" w:type="auto"/>
            <w:shd w:val="clear" w:color="auto" w:fill="DDDDDD"/>
            <w:tcMar>
              <w:top w:w="0" w:type="dxa"/>
              <w:left w:w="0" w:type="dxa"/>
              <w:bottom w:w="0" w:type="dxa"/>
              <w:right w:w="0" w:type="dxa"/>
            </w:tcMar>
            <w:vAlign w:val="center"/>
          </w:tcPr>
          <w:p w14:paraId="16185AAF"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Smoking (ever)</w:t>
            </w:r>
          </w:p>
        </w:tc>
        <w:tc>
          <w:tcPr>
            <w:tcW w:w="0" w:type="auto"/>
            <w:shd w:val="clear" w:color="auto" w:fill="DDDDDD"/>
            <w:tcMar>
              <w:top w:w="0" w:type="dxa"/>
              <w:left w:w="0" w:type="dxa"/>
              <w:bottom w:w="0" w:type="dxa"/>
              <w:right w:w="0" w:type="dxa"/>
            </w:tcMar>
            <w:vAlign w:val="center"/>
          </w:tcPr>
          <w:p w14:paraId="16185AB0"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51.1% (861355)</w:t>
            </w:r>
          </w:p>
        </w:tc>
        <w:tc>
          <w:tcPr>
            <w:tcW w:w="0" w:type="auto"/>
            <w:shd w:val="clear" w:color="auto" w:fill="DDDDDD"/>
            <w:tcMar>
              <w:top w:w="0" w:type="dxa"/>
              <w:left w:w="0" w:type="dxa"/>
              <w:bottom w:w="0" w:type="dxa"/>
              <w:right w:w="0" w:type="dxa"/>
            </w:tcMar>
            <w:vAlign w:val="center"/>
          </w:tcPr>
          <w:p w14:paraId="16185AB1"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47.1% (511826)</w:t>
            </w:r>
          </w:p>
        </w:tc>
        <w:tc>
          <w:tcPr>
            <w:tcW w:w="0" w:type="auto"/>
            <w:shd w:val="clear" w:color="auto" w:fill="DDDDDD"/>
            <w:tcMar>
              <w:top w:w="0" w:type="dxa"/>
              <w:left w:w="0" w:type="dxa"/>
              <w:bottom w:w="0" w:type="dxa"/>
              <w:right w:w="0" w:type="dxa"/>
            </w:tcMar>
            <w:vAlign w:val="center"/>
          </w:tcPr>
          <w:p w14:paraId="16185AB2"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58.6% (343074)</w:t>
            </w:r>
          </w:p>
        </w:tc>
        <w:tc>
          <w:tcPr>
            <w:tcW w:w="0" w:type="auto"/>
            <w:shd w:val="clear" w:color="auto" w:fill="DDDDDD"/>
            <w:tcMar>
              <w:top w:w="0" w:type="dxa"/>
              <w:left w:w="0" w:type="dxa"/>
              <w:bottom w:w="0" w:type="dxa"/>
              <w:right w:w="0" w:type="dxa"/>
            </w:tcMar>
            <w:vAlign w:val="center"/>
          </w:tcPr>
          <w:p w14:paraId="16185AB3"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55.2% (2978)</w:t>
            </w:r>
          </w:p>
        </w:tc>
        <w:tc>
          <w:tcPr>
            <w:tcW w:w="0" w:type="auto"/>
            <w:shd w:val="clear" w:color="auto" w:fill="DDDDDD"/>
            <w:tcMar>
              <w:top w:w="0" w:type="dxa"/>
              <w:left w:w="0" w:type="dxa"/>
              <w:bottom w:w="0" w:type="dxa"/>
              <w:right w:w="0" w:type="dxa"/>
            </w:tcMar>
            <w:vAlign w:val="center"/>
          </w:tcPr>
          <w:p w14:paraId="16185AB4"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57.5% (439)</w:t>
            </w:r>
          </w:p>
        </w:tc>
        <w:tc>
          <w:tcPr>
            <w:tcW w:w="0" w:type="auto"/>
            <w:shd w:val="clear" w:color="auto" w:fill="DDDDDD"/>
            <w:tcMar>
              <w:top w:w="0" w:type="dxa"/>
              <w:left w:w="0" w:type="dxa"/>
              <w:bottom w:w="0" w:type="dxa"/>
              <w:right w:w="0" w:type="dxa"/>
            </w:tcMar>
            <w:vAlign w:val="center"/>
          </w:tcPr>
          <w:p w14:paraId="16185AB5"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60.6% (77)</w:t>
            </w:r>
          </w:p>
        </w:tc>
        <w:tc>
          <w:tcPr>
            <w:tcW w:w="0" w:type="auto"/>
            <w:shd w:val="clear" w:color="auto" w:fill="DDDDDD"/>
            <w:tcMar>
              <w:top w:w="0" w:type="dxa"/>
              <w:left w:w="0" w:type="dxa"/>
              <w:bottom w:w="0" w:type="dxa"/>
              <w:right w:w="0" w:type="dxa"/>
            </w:tcMar>
            <w:vAlign w:val="center"/>
          </w:tcPr>
          <w:p w14:paraId="16185AB6"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60.2% (2341)</w:t>
            </w:r>
          </w:p>
        </w:tc>
        <w:tc>
          <w:tcPr>
            <w:tcW w:w="0" w:type="auto"/>
            <w:shd w:val="clear" w:color="auto" w:fill="DDDDDD"/>
            <w:tcMar>
              <w:top w:w="0" w:type="dxa"/>
              <w:left w:w="0" w:type="dxa"/>
              <w:bottom w:w="0" w:type="dxa"/>
              <w:right w:w="0" w:type="dxa"/>
            </w:tcMar>
            <w:vAlign w:val="center"/>
          </w:tcPr>
          <w:p w14:paraId="16185AB7"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52.7% (87)</w:t>
            </w:r>
          </w:p>
        </w:tc>
        <w:tc>
          <w:tcPr>
            <w:tcW w:w="0" w:type="auto"/>
            <w:shd w:val="clear" w:color="auto" w:fill="DDDDDD"/>
            <w:tcMar>
              <w:top w:w="0" w:type="dxa"/>
              <w:left w:w="0" w:type="dxa"/>
              <w:bottom w:w="0" w:type="dxa"/>
              <w:right w:w="0" w:type="dxa"/>
            </w:tcMar>
            <w:vAlign w:val="center"/>
          </w:tcPr>
          <w:p w14:paraId="16185AB8"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53.7% (533)</w:t>
            </w:r>
          </w:p>
        </w:tc>
      </w:tr>
      <w:tr w:rsidR="00381D4B" w:rsidRPr="0032525F" w14:paraId="16185AC4" w14:textId="77777777" w:rsidTr="0032525F">
        <w:trPr>
          <w:cantSplit/>
          <w:trHeight w:val="573"/>
          <w:jc w:val="center"/>
        </w:trPr>
        <w:tc>
          <w:tcPr>
            <w:tcW w:w="0" w:type="auto"/>
            <w:shd w:val="clear" w:color="auto" w:fill="FFFFFF"/>
            <w:tcMar>
              <w:top w:w="0" w:type="dxa"/>
              <w:left w:w="0" w:type="dxa"/>
              <w:bottom w:w="0" w:type="dxa"/>
              <w:right w:w="0" w:type="dxa"/>
            </w:tcMar>
            <w:vAlign w:val="center"/>
          </w:tcPr>
          <w:p w14:paraId="16185ABA"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BMI (mean/SD)</w:t>
            </w:r>
          </w:p>
        </w:tc>
        <w:tc>
          <w:tcPr>
            <w:tcW w:w="0" w:type="auto"/>
            <w:shd w:val="clear" w:color="auto" w:fill="FFFFFF"/>
            <w:tcMar>
              <w:top w:w="0" w:type="dxa"/>
              <w:left w:w="0" w:type="dxa"/>
              <w:bottom w:w="0" w:type="dxa"/>
              <w:right w:w="0" w:type="dxa"/>
            </w:tcMar>
            <w:vAlign w:val="center"/>
          </w:tcPr>
          <w:p w14:paraId="16185ABB"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27.0 (5.3)</w:t>
            </w:r>
          </w:p>
        </w:tc>
        <w:tc>
          <w:tcPr>
            <w:tcW w:w="0" w:type="auto"/>
            <w:shd w:val="clear" w:color="auto" w:fill="FFFFFF"/>
            <w:tcMar>
              <w:top w:w="0" w:type="dxa"/>
              <w:left w:w="0" w:type="dxa"/>
              <w:bottom w:w="0" w:type="dxa"/>
              <w:right w:w="0" w:type="dxa"/>
            </w:tcMar>
            <w:vAlign w:val="center"/>
          </w:tcPr>
          <w:p w14:paraId="16185ABC"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26.7 (5.2)</w:t>
            </w:r>
          </w:p>
        </w:tc>
        <w:tc>
          <w:tcPr>
            <w:tcW w:w="0" w:type="auto"/>
            <w:shd w:val="clear" w:color="auto" w:fill="FFFFFF"/>
            <w:tcMar>
              <w:top w:w="0" w:type="dxa"/>
              <w:left w:w="0" w:type="dxa"/>
              <w:bottom w:w="0" w:type="dxa"/>
              <w:right w:w="0" w:type="dxa"/>
            </w:tcMar>
            <w:vAlign w:val="center"/>
          </w:tcPr>
          <w:p w14:paraId="16185ABD"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27.7 (5.3)</w:t>
            </w:r>
          </w:p>
        </w:tc>
        <w:tc>
          <w:tcPr>
            <w:tcW w:w="0" w:type="auto"/>
            <w:shd w:val="clear" w:color="auto" w:fill="FFFFFF"/>
            <w:tcMar>
              <w:top w:w="0" w:type="dxa"/>
              <w:left w:w="0" w:type="dxa"/>
              <w:bottom w:w="0" w:type="dxa"/>
              <w:right w:w="0" w:type="dxa"/>
            </w:tcMar>
            <w:vAlign w:val="center"/>
          </w:tcPr>
          <w:p w14:paraId="16185ABE"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26.8 (5.8)</w:t>
            </w:r>
          </w:p>
        </w:tc>
        <w:tc>
          <w:tcPr>
            <w:tcW w:w="0" w:type="auto"/>
            <w:shd w:val="clear" w:color="auto" w:fill="FFFFFF"/>
            <w:tcMar>
              <w:top w:w="0" w:type="dxa"/>
              <w:left w:w="0" w:type="dxa"/>
              <w:bottom w:w="0" w:type="dxa"/>
              <w:right w:w="0" w:type="dxa"/>
            </w:tcMar>
            <w:vAlign w:val="center"/>
          </w:tcPr>
          <w:p w14:paraId="16185ABF"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28.1 (5.7)</w:t>
            </w:r>
          </w:p>
        </w:tc>
        <w:tc>
          <w:tcPr>
            <w:tcW w:w="0" w:type="auto"/>
            <w:shd w:val="clear" w:color="auto" w:fill="FFFFFF"/>
            <w:tcMar>
              <w:top w:w="0" w:type="dxa"/>
              <w:left w:w="0" w:type="dxa"/>
              <w:bottom w:w="0" w:type="dxa"/>
              <w:right w:w="0" w:type="dxa"/>
            </w:tcMar>
            <w:vAlign w:val="center"/>
          </w:tcPr>
          <w:p w14:paraId="16185AC0"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28.1 (4.9)</w:t>
            </w:r>
          </w:p>
        </w:tc>
        <w:tc>
          <w:tcPr>
            <w:tcW w:w="0" w:type="auto"/>
            <w:shd w:val="clear" w:color="auto" w:fill="FFFFFF"/>
            <w:tcMar>
              <w:top w:w="0" w:type="dxa"/>
              <w:left w:w="0" w:type="dxa"/>
              <w:bottom w:w="0" w:type="dxa"/>
              <w:right w:w="0" w:type="dxa"/>
            </w:tcMar>
            <w:vAlign w:val="center"/>
          </w:tcPr>
          <w:p w14:paraId="16185AC1"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29.0 (5.2)</w:t>
            </w:r>
          </w:p>
        </w:tc>
        <w:tc>
          <w:tcPr>
            <w:tcW w:w="0" w:type="auto"/>
            <w:shd w:val="clear" w:color="auto" w:fill="FFFFFF"/>
            <w:tcMar>
              <w:top w:w="0" w:type="dxa"/>
              <w:left w:w="0" w:type="dxa"/>
              <w:bottom w:w="0" w:type="dxa"/>
              <w:right w:w="0" w:type="dxa"/>
            </w:tcMar>
            <w:vAlign w:val="center"/>
          </w:tcPr>
          <w:p w14:paraId="16185AC2"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26.4 (5.0)</w:t>
            </w:r>
          </w:p>
        </w:tc>
        <w:tc>
          <w:tcPr>
            <w:tcW w:w="0" w:type="auto"/>
            <w:shd w:val="clear" w:color="auto" w:fill="FFFFFF"/>
            <w:tcMar>
              <w:top w:w="0" w:type="dxa"/>
              <w:left w:w="0" w:type="dxa"/>
              <w:bottom w:w="0" w:type="dxa"/>
              <w:right w:w="0" w:type="dxa"/>
            </w:tcMar>
            <w:vAlign w:val="center"/>
          </w:tcPr>
          <w:p w14:paraId="16185AC3"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26.9 (5.5)</w:t>
            </w:r>
          </w:p>
        </w:tc>
      </w:tr>
      <w:tr w:rsidR="00381D4B" w:rsidRPr="0032525F" w14:paraId="16185ACF" w14:textId="77777777" w:rsidTr="0032525F">
        <w:trPr>
          <w:cantSplit/>
          <w:trHeight w:val="573"/>
          <w:jc w:val="center"/>
        </w:trPr>
        <w:tc>
          <w:tcPr>
            <w:tcW w:w="0" w:type="auto"/>
            <w:shd w:val="clear" w:color="auto" w:fill="DDDDDD"/>
            <w:tcMar>
              <w:top w:w="0" w:type="dxa"/>
              <w:left w:w="0" w:type="dxa"/>
              <w:bottom w:w="0" w:type="dxa"/>
              <w:right w:w="0" w:type="dxa"/>
            </w:tcMar>
            <w:vAlign w:val="center"/>
          </w:tcPr>
          <w:p w14:paraId="16185AC5"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PAD</w:t>
            </w:r>
          </w:p>
        </w:tc>
        <w:tc>
          <w:tcPr>
            <w:tcW w:w="0" w:type="auto"/>
            <w:shd w:val="clear" w:color="auto" w:fill="DDDDDD"/>
            <w:tcMar>
              <w:top w:w="0" w:type="dxa"/>
              <w:left w:w="0" w:type="dxa"/>
              <w:bottom w:w="0" w:type="dxa"/>
              <w:right w:w="0" w:type="dxa"/>
            </w:tcMar>
            <w:vAlign w:val="center"/>
          </w:tcPr>
          <w:p w14:paraId="16185AC6"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0.7% (12613)</w:t>
            </w:r>
          </w:p>
        </w:tc>
        <w:tc>
          <w:tcPr>
            <w:tcW w:w="0" w:type="auto"/>
            <w:shd w:val="clear" w:color="auto" w:fill="DDDDDD"/>
            <w:tcMar>
              <w:top w:w="0" w:type="dxa"/>
              <w:left w:w="0" w:type="dxa"/>
              <w:bottom w:w="0" w:type="dxa"/>
              <w:right w:w="0" w:type="dxa"/>
            </w:tcMar>
            <w:vAlign w:val="center"/>
          </w:tcPr>
          <w:p w14:paraId="16185AC7"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0.4% (4039)</w:t>
            </w:r>
          </w:p>
        </w:tc>
        <w:tc>
          <w:tcPr>
            <w:tcW w:w="0" w:type="auto"/>
            <w:shd w:val="clear" w:color="auto" w:fill="DDDDDD"/>
            <w:tcMar>
              <w:top w:w="0" w:type="dxa"/>
              <w:left w:w="0" w:type="dxa"/>
              <w:bottom w:w="0" w:type="dxa"/>
              <w:right w:w="0" w:type="dxa"/>
            </w:tcMar>
            <w:vAlign w:val="center"/>
          </w:tcPr>
          <w:p w14:paraId="16185AC8"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1.4% (8424)</w:t>
            </w:r>
          </w:p>
        </w:tc>
        <w:tc>
          <w:tcPr>
            <w:tcW w:w="0" w:type="auto"/>
            <w:shd w:val="clear" w:color="auto" w:fill="DDDDDD"/>
            <w:tcMar>
              <w:top w:w="0" w:type="dxa"/>
              <w:left w:w="0" w:type="dxa"/>
              <w:bottom w:w="0" w:type="dxa"/>
              <w:right w:w="0" w:type="dxa"/>
            </w:tcMar>
            <w:vAlign w:val="center"/>
          </w:tcPr>
          <w:p w14:paraId="16185AC9"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0.9% (47)</w:t>
            </w:r>
          </w:p>
        </w:tc>
        <w:tc>
          <w:tcPr>
            <w:tcW w:w="0" w:type="auto"/>
            <w:shd w:val="clear" w:color="auto" w:fill="DDDDDD"/>
            <w:tcMar>
              <w:top w:w="0" w:type="dxa"/>
              <w:left w:w="0" w:type="dxa"/>
              <w:bottom w:w="0" w:type="dxa"/>
              <w:right w:w="0" w:type="dxa"/>
            </w:tcMar>
            <w:vAlign w:val="center"/>
          </w:tcPr>
          <w:p w14:paraId="16185ACA"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0.9% (7)</w:t>
            </w:r>
          </w:p>
        </w:tc>
        <w:tc>
          <w:tcPr>
            <w:tcW w:w="0" w:type="auto"/>
            <w:shd w:val="clear" w:color="auto" w:fill="DDDDDD"/>
            <w:tcMar>
              <w:top w:w="0" w:type="dxa"/>
              <w:left w:w="0" w:type="dxa"/>
              <w:bottom w:w="0" w:type="dxa"/>
              <w:right w:w="0" w:type="dxa"/>
            </w:tcMar>
            <w:vAlign w:val="center"/>
          </w:tcPr>
          <w:p w14:paraId="16185ACB"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0.8% (1)</w:t>
            </w:r>
          </w:p>
        </w:tc>
        <w:tc>
          <w:tcPr>
            <w:tcW w:w="0" w:type="auto"/>
            <w:shd w:val="clear" w:color="auto" w:fill="DDDDDD"/>
            <w:tcMar>
              <w:top w:w="0" w:type="dxa"/>
              <w:left w:w="0" w:type="dxa"/>
              <w:bottom w:w="0" w:type="dxa"/>
              <w:right w:w="0" w:type="dxa"/>
            </w:tcMar>
            <w:vAlign w:val="center"/>
          </w:tcPr>
          <w:p w14:paraId="16185ACC"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1.9% (75)</w:t>
            </w:r>
          </w:p>
        </w:tc>
        <w:tc>
          <w:tcPr>
            <w:tcW w:w="0" w:type="auto"/>
            <w:shd w:val="clear" w:color="auto" w:fill="DDDDDD"/>
            <w:tcMar>
              <w:top w:w="0" w:type="dxa"/>
              <w:left w:w="0" w:type="dxa"/>
              <w:bottom w:w="0" w:type="dxa"/>
              <w:right w:w="0" w:type="dxa"/>
            </w:tcMar>
            <w:vAlign w:val="center"/>
          </w:tcPr>
          <w:p w14:paraId="16185ACD"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6.1% (10)</w:t>
            </w:r>
          </w:p>
        </w:tc>
        <w:tc>
          <w:tcPr>
            <w:tcW w:w="0" w:type="auto"/>
            <w:shd w:val="clear" w:color="auto" w:fill="DDDDDD"/>
            <w:tcMar>
              <w:top w:w="0" w:type="dxa"/>
              <w:left w:w="0" w:type="dxa"/>
              <w:bottom w:w="0" w:type="dxa"/>
              <w:right w:w="0" w:type="dxa"/>
            </w:tcMar>
            <w:vAlign w:val="center"/>
          </w:tcPr>
          <w:p w14:paraId="16185ACE"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1.0% (10)</w:t>
            </w:r>
          </w:p>
        </w:tc>
      </w:tr>
      <w:tr w:rsidR="00381D4B" w:rsidRPr="0032525F" w14:paraId="16185ADA" w14:textId="77777777" w:rsidTr="0032525F">
        <w:trPr>
          <w:cantSplit/>
          <w:trHeight w:val="754"/>
          <w:jc w:val="center"/>
        </w:trPr>
        <w:tc>
          <w:tcPr>
            <w:tcW w:w="0" w:type="auto"/>
            <w:shd w:val="clear" w:color="auto" w:fill="FFFFFF"/>
            <w:tcMar>
              <w:top w:w="0" w:type="dxa"/>
              <w:left w:w="0" w:type="dxa"/>
              <w:bottom w:w="0" w:type="dxa"/>
              <w:right w:w="0" w:type="dxa"/>
            </w:tcMar>
            <w:vAlign w:val="center"/>
          </w:tcPr>
          <w:p w14:paraId="16185AD0"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Hypertension</w:t>
            </w:r>
          </w:p>
        </w:tc>
        <w:tc>
          <w:tcPr>
            <w:tcW w:w="0" w:type="auto"/>
            <w:shd w:val="clear" w:color="auto" w:fill="FFFFFF"/>
            <w:tcMar>
              <w:top w:w="0" w:type="dxa"/>
              <w:left w:w="0" w:type="dxa"/>
              <w:bottom w:w="0" w:type="dxa"/>
              <w:right w:w="0" w:type="dxa"/>
            </w:tcMar>
            <w:vAlign w:val="center"/>
          </w:tcPr>
          <w:p w14:paraId="16185AD1"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16.0% (269804)</w:t>
            </w:r>
          </w:p>
        </w:tc>
        <w:tc>
          <w:tcPr>
            <w:tcW w:w="0" w:type="auto"/>
            <w:shd w:val="clear" w:color="auto" w:fill="FFFFFF"/>
            <w:tcMar>
              <w:top w:w="0" w:type="dxa"/>
              <w:left w:w="0" w:type="dxa"/>
              <w:bottom w:w="0" w:type="dxa"/>
              <w:right w:w="0" w:type="dxa"/>
            </w:tcMar>
            <w:vAlign w:val="center"/>
          </w:tcPr>
          <w:p w14:paraId="16185AD2"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11.5% (124604)</w:t>
            </w:r>
          </w:p>
        </w:tc>
        <w:tc>
          <w:tcPr>
            <w:tcW w:w="0" w:type="auto"/>
            <w:shd w:val="clear" w:color="auto" w:fill="FFFFFF"/>
            <w:tcMar>
              <w:top w:w="0" w:type="dxa"/>
              <w:left w:w="0" w:type="dxa"/>
              <w:bottom w:w="0" w:type="dxa"/>
              <w:right w:w="0" w:type="dxa"/>
            </w:tcMar>
            <w:vAlign w:val="center"/>
          </w:tcPr>
          <w:p w14:paraId="16185AD3"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24.4% (143101)</w:t>
            </w:r>
          </w:p>
        </w:tc>
        <w:tc>
          <w:tcPr>
            <w:tcW w:w="0" w:type="auto"/>
            <w:shd w:val="clear" w:color="auto" w:fill="FFFFFF"/>
            <w:tcMar>
              <w:top w:w="0" w:type="dxa"/>
              <w:left w:w="0" w:type="dxa"/>
              <w:bottom w:w="0" w:type="dxa"/>
              <w:right w:w="0" w:type="dxa"/>
            </w:tcMar>
            <w:vAlign w:val="center"/>
          </w:tcPr>
          <w:p w14:paraId="16185AD4"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12.8% (692)</w:t>
            </w:r>
          </w:p>
        </w:tc>
        <w:tc>
          <w:tcPr>
            <w:tcW w:w="0" w:type="auto"/>
            <w:shd w:val="clear" w:color="auto" w:fill="FFFFFF"/>
            <w:tcMar>
              <w:top w:w="0" w:type="dxa"/>
              <w:left w:w="0" w:type="dxa"/>
              <w:bottom w:w="0" w:type="dxa"/>
              <w:right w:w="0" w:type="dxa"/>
            </w:tcMar>
            <w:vAlign w:val="center"/>
          </w:tcPr>
          <w:p w14:paraId="16185AD5"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23.9% (182)</w:t>
            </w:r>
          </w:p>
        </w:tc>
        <w:tc>
          <w:tcPr>
            <w:tcW w:w="0" w:type="auto"/>
            <w:shd w:val="clear" w:color="auto" w:fill="FFFFFF"/>
            <w:tcMar>
              <w:top w:w="0" w:type="dxa"/>
              <w:left w:w="0" w:type="dxa"/>
              <w:bottom w:w="0" w:type="dxa"/>
              <w:right w:w="0" w:type="dxa"/>
            </w:tcMar>
            <w:vAlign w:val="center"/>
          </w:tcPr>
          <w:p w14:paraId="16185AD6"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25.2% (32)</w:t>
            </w:r>
          </w:p>
        </w:tc>
        <w:tc>
          <w:tcPr>
            <w:tcW w:w="0" w:type="auto"/>
            <w:shd w:val="clear" w:color="auto" w:fill="FFFFFF"/>
            <w:tcMar>
              <w:top w:w="0" w:type="dxa"/>
              <w:left w:w="0" w:type="dxa"/>
              <w:bottom w:w="0" w:type="dxa"/>
              <w:right w:w="0" w:type="dxa"/>
            </w:tcMar>
            <w:vAlign w:val="center"/>
          </w:tcPr>
          <w:p w14:paraId="16185AD7"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25.8% (1002)</w:t>
            </w:r>
          </w:p>
        </w:tc>
        <w:tc>
          <w:tcPr>
            <w:tcW w:w="0" w:type="auto"/>
            <w:shd w:val="clear" w:color="auto" w:fill="FFFFFF"/>
            <w:tcMar>
              <w:top w:w="0" w:type="dxa"/>
              <w:left w:w="0" w:type="dxa"/>
              <w:bottom w:w="0" w:type="dxa"/>
              <w:right w:w="0" w:type="dxa"/>
            </w:tcMar>
            <w:vAlign w:val="center"/>
          </w:tcPr>
          <w:p w14:paraId="16185AD8"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21.2% (35)</w:t>
            </w:r>
          </w:p>
        </w:tc>
        <w:tc>
          <w:tcPr>
            <w:tcW w:w="0" w:type="auto"/>
            <w:shd w:val="clear" w:color="auto" w:fill="FFFFFF"/>
            <w:tcMar>
              <w:top w:w="0" w:type="dxa"/>
              <w:left w:w="0" w:type="dxa"/>
              <w:bottom w:w="0" w:type="dxa"/>
              <w:right w:w="0" w:type="dxa"/>
            </w:tcMar>
            <w:vAlign w:val="center"/>
          </w:tcPr>
          <w:p w14:paraId="16185AD9"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15.7% (156)</w:t>
            </w:r>
          </w:p>
        </w:tc>
      </w:tr>
      <w:tr w:rsidR="00381D4B" w:rsidRPr="0032525F" w14:paraId="16185AE5" w14:textId="77777777" w:rsidTr="0032525F">
        <w:trPr>
          <w:cantSplit/>
          <w:trHeight w:val="754"/>
          <w:jc w:val="center"/>
        </w:trPr>
        <w:tc>
          <w:tcPr>
            <w:tcW w:w="0" w:type="auto"/>
            <w:shd w:val="clear" w:color="auto" w:fill="DDDDDD"/>
            <w:tcMar>
              <w:top w:w="0" w:type="dxa"/>
              <w:left w:w="0" w:type="dxa"/>
              <w:bottom w:w="0" w:type="dxa"/>
              <w:right w:w="0" w:type="dxa"/>
            </w:tcMar>
            <w:vAlign w:val="center"/>
          </w:tcPr>
          <w:p w14:paraId="16185ADB"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Total cholesterol (mean/SD)</w:t>
            </w:r>
          </w:p>
        </w:tc>
        <w:tc>
          <w:tcPr>
            <w:tcW w:w="0" w:type="auto"/>
            <w:shd w:val="clear" w:color="auto" w:fill="DDDDDD"/>
            <w:tcMar>
              <w:top w:w="0" w:type="dxa"/>
              <w:left w:w="0" w:type="dxa"/>
              <w:bottom w:w="0" w:type="dxa"/>
              <w:right w:w="0" w:type="dxa"/>
            </w:tcMar>
            <w:vAlign w:val="center"/>
          </w:tcPr>
          <w:p w14:paraId="16185ADC"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5.7 (10.1)</w:t>
            </w:r>
          </w:p>
        </w:tc>
        <w:tc>
          <w:tcPr>
            <w:tcW w:w="0" w:type="auto"/>
            <w:shd w:val="clear" w:color="auto" w:fill="DDDDDD"/>
            <w:tcMar>
              <w:top w:w="0" w:type="dxa"/>
              <w:left w:w="0" w:type="dxa"/>
              <w:bottom w:w="0" w:type="dxa"/>
              <w:right w:w="0" w:type="dxa"/>
            </w:tcMar>
            <w:vAlign w:val="center"/>
          </w:tcPr>
          <w:p w14:paraId="16185ADD"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5.5 (6.4)</w:t>
            </w:r>
          </w:p>
        </w:tc>
        <w:tc>
          <w:tcPr>
            <w:tcW w:w="0" w:type="auto"/>
            <w:shd w:val="clear" w:color="auto" w:fill="DDDDDD"/>
            <w:tcMar>
              <w:top w:w="0" w:type="dxa"/>
              <w:left w:w="0" w:type="dxa"/>
              <w:bottom w:w="0" w:type="dxa"/>
              <w:right w:w="0" w:type="dxa"/>
            </w:tcMar>
            <w:vAlign w:val="center"/>
          </w:tcPr>
          <w:p w14:paraId="16185ADE"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6.2 (15.3)</w:t>
            </w:r>
          </w:p>
        </w:tc>
        <w:tc>
          <w:tcPr>
            <w:tcW w:w="0" w:type="auto"/>
            <w:shd w:val="clear" w:color="auto" w:fill="DDDDDD"/>
            <w:tcMar>
              <w:top w:w="0" w:type="dxa"/>
              <w:left w:w="0" w:type="dxa"/>
              <w:bottom w:w="0" w:type="dxa"/>
              <w:right w:w="0" w:type="dxa"/>
            </w:tcMar>
            <w:vAlign w:val="center"/>
          </w:tcPr>
          <w:p w14:paraId="16185ADF"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5.3 (1.3)</w:t>
            </w:r>
          </w:p>
        </w:tc>
        <w:tc>
          <w:tcPr>
            <w:tcW w:w="0" w:type="auto"/>
            <w:shd w:val="clear" w:color="auto" w:fill="DDDDDD"/>
            <w:tcMar>
              <w:top w:w="0" w:type="dxa"/>
              <w:left w:w="0" w:type="dxa"/>
              <w:bottom w:w="0" w:type="dxa"/>
              <w:right w:w="0" w:type="dxa"/>
            </w:tcMar>
            <w:vAlign w:val="center"/>
          </w:tcPr>
          <w:p w14:paraId="16185AE0"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7.1 (26.5)</w:t>
            </w:r>
          </w:p>
        </w:tc>
        <w:tc>
          <w:tcPr>
            <w:tcW w:w="0" w:type="auto"/>
            <w:shd w:val="clear" w:color="auto" w:fill="DDDDDD"/>
            <w:tcMar>
              <w:top w:w="0" w:type="dxa"/>
              <w:left w:w="0" w:type="dxa"/>
              <w:bottom w:w="0" w:type="dxa"/>
              <w:right w:w="0" w:type="dxa"/>
            </w:tcMar>
            <w:vAlign w:val="center"/>
          </w:tcPr>
          <w:p w14:paraId="16185AE1"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6.7 (1.5)</w:t>
            </w:r>
          </w:p>
        </w:tc>
        <w:tc>
          <w:tcPr>
            <w:tcW w:w="0" w:type="auto"/>
            <w:shd w:val="clear" w:color="auto" w:fill="DDDDDD"/>
            <w:tcMar>
              <w:top w:w="0" w:type="dxa"/>
              <w:left w:w="0" w:type="dxa"/>
              <w:bottom w:w="0" w:type="dxa"/>
              <w:right w:w="0" w:type="dxa"/>
            </w:tcMar>
            <w:vAlign w:val="center"/>
          </w:tcPr>
          <w:p w14:paraId="16185AE2"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6.4 (5.6)</w:t>
            </w:r>
          </w:p>
        </w:tc>
        <w:tc>
          <w:tcPr>
            <w:tcW w:w="0" w:type="auto"/>
            <w:shd w:val="clear" w:color="auto" w:fill="DDDDDD"/>
            <w:tcMar>
              <w:top w:w="0" w:type="dxa"/>
              <w:left w:w="0" w:type="dxa"/>
              <w:bottom w:w="0" w:type="dxa"/>
              <w:right w:w="0" w:type="dxa"/>
            </w:tcMar>
            <w:vAlign w:val="center"/>
          </w:tcPr>
          <w:p w14:paraId="16185AE3"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5.4 (1.5)</w:t>
            </w:r>
          </w:p>
        </w:tc>
        <w:tc>
          <w:tcPr>
            <w:tcW w:w="0" w:type="auto"/>
            <w:shd w:val="clear" w:color="auto" w:fill="DDDDDD"/>
            <w:tcMar>
              <w:top w:w="0" w:type="dxa"/>
              <w:left w:w="0" w:type="dxa"/>
              <w:bottom w:w="0" w:type="dxa"/>
              <w:right w:w="0" w:type="dxa"/>
            </w:tcMar>
            <w:vAlign w:val="center"/>
          </w:tcPr>
          <w:p w14:paraId="16185AE4"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5.6 (1.6)</w:t>
            </w:r>
          </w:p>
        </w:tc>
      </w:tr>
      <w:tr w:rsidR="00381D4B" w:rsidRPr="0032525F" w14:paraId="16185AF0" w14:textId="77777777" w:rsidTr="0032525F">
        <w:trPr>
          <w:cantSplit/>
          <w:trHeight w:val="754"/>
          <w:jc w:val="center"/>
        </w:trPr>
        <w:tc>
          <w:tcPr>
            <w:tcW w:w="0" w:type="auto"/>
            <w:shd w:val="clear" w:color="auto" w:fill="FFFFFF"/>
            <w:tcMar>
              <w:top w:w="0" w:type="dxa"/>
              <w:left w:w="0" w:type="dxa"/>
              <w:bottom w:w="0" w:type="dxa"/>
              <w:right w:w="0" w:type="dxa"/>
            </w:tcMar>
            <w:vAlign w:val="center"/>
          </w:tcPr>
          <w:p w14:paraId="16185AE6"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lastRenderedPageBreak/>
              <w:t>LDL cholesterol (mean/SD)</w:t>
            </w:r>
          </w:p>
        </w:tc>
        <w:tc>
          <w:tcPr>
            <w:tcW w:w="0" w:type="auto"/>
            <w:shd w:val="clear" w:color="auto" w:fill="FFFFFF"/>
            <w:tcMar>
              <w:top w:w="0" w:type="dxa"/>
              <w:left w:w="0" w:type="dxa"/>
              <w:bottom w:w="0" w:type="dxa"/>
              <w:right w:w="0" w:type="dxa"/>
            </w:tcMar>
            <w:vAlign w:val="center"/>
          </w:tcPr>
          <w:p w14:paraId="16185AE7"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3.6 (4.9)</w:t>
            </w:r>
          </w:p>
        </w:tc>
        <w:tc>
          <w:tcPr>
            <w:tcW w:w="0" w:type="auto"/>
            <w:shd w:val="clear" w:color="auto" w:fill="FFFFFF"/>
            <w:tcMar>
              <w:top w:w="0" w:type="dxa"/>
              <w:left w:w="0" w:type="dxa"/>
              <w:bottom w:w="0" w:type="dxa"/>
              <w:right w:w="0" w:type="dxa"/>
            </w:tcMar>
            <w:vAlign w:val="center"/>
          </w:tcPr>
          <w:p w14:paraId="16185AE8"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3.4 (5.3)</w:t>
            </w:r>
          </w:p>
        </w:tc>
        <w:tc>
          <w:tcPr>
            <w:tcW w:w="0" w:type="auto"/>
            <w:shd w:val="clear" w:color="auto" w:fill="FFFFFF"/>
            <w:tcMar>
              <w:top w:w="0" w:type="dxa"/>
              <w:left w:w="0" w:type="dxa"/>
              <w:bottom w:w="0" w:type="dxa"/>
              <w:right w:w="0" w:type="dxa"/>
            </w:tcMar>
            <w:vAlign w:val="center"/>
          </w:tcPr>
          <w:p w14:paraId="16185AE9"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4.0 (3.7)</w:t>
            </w:r>
          </w:p>
        </w:tc>
        <w:tc>
          <w:tcPr>
            <w:tcW w:w="0" w:type="auto"/>
            <w:shd w:val="clear" w:color="auto" w:fill="FFFFFF"/>
            <w:tcMar>
              <w:top w:w="0" w:type="dxa"/>
              <w:left w:w="0" w:type="dxa"/>
              <w:bottom w:w="0" w:type="dxa"/>
              <w:right w:w="0" w:type="dxa"/>
            </w:tcMar>
            <w:vAlign w:val="center"/>
          </w:tcPr>
          <w:p w14:paraId="16185AEA"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3.1 (1.0)</w:t>
            </w:r>
          </w:p>
        </w:tc>
        <w:tc>
          <w:tcPr>
            <w:tcW w:w="0" w:type="auto"/>
            <w:shd w:val="clear" w:color="auto" w:fill="FFFFFF"/>
            <w:tcMar>
              <w:top w:w="0" w:type="dxa"/>
              <w:left w:w="0" w:type="dxa"/>
              <w:bottom w:w="0" w:type="dxa"/>
              <w:right w:w="0" w:type="dxa"/>
            </w:tcMar>
            <w:vAlign w:val="center"/>
          </w:tcPr>
          <w:p w14:paraId="16185AEB"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3.9 (1.1)</w:t>
            </w:r>
          </w:p>
        </w:tc>
        <w:tc>
          <w:tcPr>
            <w:tcW w:w="0" w:type="auto"/>
            <w:shd w:val="clear" w:color="auto" w:fill="FFFFFF"/>
            <w:tcMar>
              <w:top w:w="0" w:type="dxa"/>
              <w:left w:w="0" w:type="dxa"/>
              <w:bottom w:w="0" w:type="dxa"/>
              <w:right w:w="0" w:type="dxa"/>
            </w:tcMar>
            <w:vAlign w:val="center"/>
          </w:tcPr>
          <w:p w14:paraId="16185AEC"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4.2 (1.0)</w:t>
            </w:r>
          </w:p>
        </w:tc>
        <w:tc>
          <w:tcPr>
            <w:tcW w:w="0" w:type="auto"/>
            <w:shd w:val="clear" w:color="auto" w:fill="FFFFFF"/>
            <w:tcMar>
              <w:top w:w="0" w:type="dxa"/>
              <w:left w:w="0" w:type="dxa"/>
              <w:bottom w:w="0" w:type="dxa"/>
              <w:right w:w="0" w:type="dxa"/>
            </w:tcMar>
            <w:vAlign w:val="center"/>
          </w:tcPr>
          <w:p w14:paraId="16185AED"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3.3 (1.8)</w:t>
            </w:r>
          </w:p>
        </w:tc>
        <w:tc>
          <w:tcPr>
            <w:tcW w:w="0" w:type="auto"/>
            <w:shd w:val="clear" w:color="auto" w:fill="FFFFFF"/>
            <w:tcMar>
              <w:top w:w="0" w:type="dxa"/>
              <w:left w:w="0" w:type="dxa"/>
              <w:bottom w:w="0" w:type="dxa"/>
              <w:right w:w="0" w:type="dxa"/>
            </w:tcMar>
            <w:vAlign w:val="center"/>
          </w:tcPr>
          <w:p w14:paraId="16185AEE"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3.4 (0.9)</w:t>
            </w:r>
          </w:p>
        </w:tc>
        <w:tc>
          <w:tcPr>
            <w:tcW w:w="0" w:type="auto"/>
            <w:shd w:val="clear" w:color="auto" w:fill="FFFFFF"/>
            <w:tcMar>
              <w:top w:w="0" w:type="dxa"/>
              <w:left w:w="0" w:type="dxa"/>
              <w:bottom w:w="0" w:type="dxa"/>
              <w:right w:w="0" w:type="dxa"/>
            </w:tcMar>
            <w:vAlign w:val="center"/>
          </w:tcPr>
          <w:p w14:paraId="16185AEF"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3.2 (1.0)</w:t>
            </w:r>
          </w:p>
        </w:tc>
      </w:tr>
      <w:tr w:rsidR="00381D4B" w:rsidRPr="0032525F" w14:paraId="16185AFB" w14:textId="77777777" w:rsidTr="0032525F">
        <w:trPr>
          <w:cantSplit/>
          <w:trHeight w:val="573"/>
          <w:jc w:val="center"/>
        </w:trPr>
        <w:tc>
          <w:tcPr>
            <w:tcW w:w="0" w:type="auto"/>
            <w:shd w:val="clear" w:color="auto" w:fill="DDDDDD"/>
            <w:tcMar>
              <w:top w:w="0" w:type="dxa"/>
              <w:left w:w="0" w:type="dxa"/>
              <w:bottom w:w="0" w:type="dxa"/>
              <w:right w:w="0" w:type="dxa"/>
            </w:tcMar>
            <w:vAlign w:val="center"/>
          </w:tcPr>
          <w:p w14:paraId="16185AF1"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CKD</w:t>
            </w:r>
          </w:p>
        </w:tc>
        <w:tc>
          <w:tcPr>
            <w:tcW w:w="0" w:type="auto"/>
            <w:shd w:val="clear" w:color="auto" w:fill="DDDDDD"/>
            <w:tcMar>
              <w:top w:w="0" w:type="dxa"/>
              <w:left w:w="0" w:type="dxa"/>
              <w:bottom w:w="0" w:type="dxa"/>
              <w:right w:w="0" w:type="dxa"/>
            </w:tcMar>
            <w:vAlign w:val="center"/>
          </w:tcPr>
          <w:p w14:paraId="16185AF2"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0.1% (1295)</w:t>
            </w:r>
          </w:p>
        </w:tc>
        <w:tc>
          <w:tcPr>
            <w:tcW w:w="0" w:type="auto"/>
            <w:shd w:val="clear" w:color="auto" w:fill="DDDDDD"/>
            <w:tcMar>
              <w:top w:w="0" w:type="dxa"/>
              <w:left w:w="0" w:type="dxa"/>
              <w:bottom w:w="0" w:type="dxa"/>
              <w:right w:w="0" w:type="dxa"/>
            </w:tcMar>
            <w:vAlign w:val="center"/>
          </w:tcPr>
          <w:p w14:paraId="16185AF3"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0.1% (740)</w:t>
            </w:r>
          </w:p>
        </w:tc>
        <w:tc>
          <w:tcPr>
            <w:tcW w:w="0" w:type="auto"/>
            <w:shd w:val="clear" w:color="auto" w:fill="DDDDDD"/>
            <w:tcMar>
              <w:top w:w="0" w:type="dxa"/>
              <w:left w:w="0" w:type="dxa"/>
              <w:bottom w:w="0" w:type="dxa"/>
              <w:right w:w="0" w:type="dxa"/>
            </w:tcMar>
            <w:vAlign w:val="center"/>
          </w:tcPr>
          <w:p w14:paraId="16185AF4"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0.1% (545)</w:t>
            </w:r>
          </w:p>
        </w:tc>
        <w:tc>
          <w:tcPr>
            <w:tcW w:w="0" w:type="auto"/>
            <w:shd w:val="clear" w:color="auto" w:fill="DDDDDD"/>
            <w:tcMar>
              <w:top w:w="0" w:type="dxa"/>
              <w:left w:w="0" w:type="dxa"/>
              <w:bottom w:w="0" w:type="dxa"/>
              <w:right w:w="0" w:type="dxa"/>
            </w:tcMar>
            <w:vAlign w:val="center"/>
          </w:tcPr>
          <w:p w14:paraId="16185AF5"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0.1% (6)</w:t>
            </w:r>
          </w:p>
        </w:tc>
        <w:tc>
          <w:tcPr>
            <w:tcW w:w="0" w:type="auto"/>
            <w:shd w:val="clear" w:color="auto" w:fill="DDDDDD"/>
            <w:tcMar>
              <w:top w:w="0" w:type="dxa"/>
              <w:left w:w="0" w:type="dxa"/>
              <w:bottom w:w="0" w:type="dxa"/>
              <w:right w:w="0" w:type="dxa"/>
            </w:tcMar>
            <w:vAlign w:val="center"/>
          </w:tcPr>
          <w:p w14:paraId="16185AF6"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0.1% (1)</w:t>
            </w:r>
          </w:p>
        </w:tc>
        <w:tc>
          <w:tcPr>
            <w:tcW w:w="0" w:type="auto"/>
            <w:shd w:val="clear" w:color="auto" w:fill="DDDDDD"/>
            <w:tcMar>
              <w:top w:w="0" w:type="dxa"/>
              <w:left w:w="0" w:type="dxa"/>
              <w:bottom w:w="0" w:type="dxa"/>
              <w:right w:w="0" w:type="dxa"/>
            </w:tcMar>
            <w:vAlign w:val="center"/>
          </w:tcPr>
          <w:p w14:paraId="16185AF7"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0.0% (0)</w:t>
            </w:r>
          </w:p>
        </w:tc>
        <w:tc>
          <w:tcPr>
            <w:tcW w:w="0" w:type="auto"/>
            <w:shd w:val="clear" w:color="auto" w:fill="DDDDDD"/>
            <w:tcMar>
              <w:top w:w="0" w:type="dxa"/>
              <w:left w:w="0" w:type="dxa"/>
              <w:bottom w:w="0" w:type="dxa"/>
              <w:right w:w="0" w:type="dxa"/>
            </w:tcMar>
            <w:vAlign w:val="center"/>
          </w:tcPr>
          <w:p w14:paraId="16185AF8"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0.0% (0)</w:t>
            </w:r>
          </w:p>
        </w:tc>
        <w:tc>
          <w:tcPr>
            <w:tcW w:w="0" w:type="auto"/>
            <w:shd w:val="clear" w:color="auto" w:fill="DDDDDD"/>
            <w:tcMar>
              <w:top w:w="0" w:type="dxa"/>
              <w:left w:w="0" w:type="dxa"/>
              <w:bottom w:w="0" w:type="dxa"/>
              <w:right w:w="0" w:type="dxa"/>
            </w:tcMar>
            <w:vAlign w:val="center"/>
          </w:tcPr>
          <w:p w14:paraId="16185AF9"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0.0% (0)</w:t>
            </w:r>
          </w:p>
        </w:tc>
        <w:tc>
          <w:tcPr>
            <w:tcW w:w="0" w:type="auto"/>
            <w:shd w:val="clear" w:color="auto" w:fill="DDDDDD"/>
            <w:tcMar>
              <w:top w:w="0" w:type="dxa"/>
              <w:left w:w="0" w:type="dxa"/>
              <w:bottom w:w="0" w:type="dxa"/>
              <w:right w:w="0" w:type="dxa"/>
            </w:tcMar>
            <w:vAlign w:val="center"/>
          </w:tcPr>
          <w:p w14:paraId="16185AFA"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0.3% (3)</w:t>
            </w:r>
          </w:p>
        </w:tc>
      </w:tr>
      <w:tr w:rsidR="00381D4B" w:rsidRPr="0032525F" w14:paraId="16185B06" w14:textId="77777777" w:rsidTr="0032525F">
        <w:trPr>
          <w:cantSplit/>
          <w:trHeight w:val="573"/>
          <w:jc w:val="center"/>
        </w:trPr>
        <w:tc>
          <w:tcPr>
            <w:tcW w:w="0" w:type="auto"/>
            <w:shd w:val="clear" w:color="auto" w:fill="FFFFFF"/>
            <w:tcMar>
              <w:top w:w="0" w:type="dxa"/>
              <w:left w:w="0" w:type="dxa"/>
              <w:bottom w:w="0" w:type="dxa"/>
              <w:right w:w="0" w:type="dxa"/>
            </w:tcMar>
            <w:vAlign w:val="center"/>
          </w:tcPr>
          <w:p w14:paraId="16185AFC"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Type 1 Diabetes</w:t>
            </w:r>
          </w:p>
        </w:tc>
        <w:tc>
          <w:tcPr>
            <w:tcW w:w="0" w:type="auto"/>
            <w:shd w:val="clear" w:color="auto" w:fill="FFFFFF"/>
            <w:tcMar>
              <w:top w:w="0" w:type="dxa"/>
              <w:left w:w="0" w:type="dxa"/>
              <w:bottom w:w="0" w:type="dxa"/>
              <w:right w:w="0" w:type="dxa"/>
            </w:tcMar>
            <w:vAlign w:val="center"/>
          </w:tcPr>
          <w:p w14:paraId="16185AFD"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0.2% (4037)</w:t>
            </w:r>
          </w:p>
        </w:tc>
        <w:tc>
          <w:tcPr>
            <w:tcW w:w="0" w:type="auto"/>
            <w:shd w:val="clear" w:color="auto" w:fill="FFFFFF"/>
            <w:tcMar>
              <w:top w:w="0" w:type="dxa"/>
              <w:left w:w="0" w:type="dxa"/>
              <w:bottom w:w="0" w:type="dxa"/>
              <w:right w:w="0" w:type="dxa"/>
            </w:tcMar>
            <w:vAlign w:val="center"/>
          </w:tcPr>
          <w:p w14:paraId="16185AFE"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0.1% (785)</w:t>
            </w:r>
          </w:p>
        </w:tc>
        <w:tc>
          <w:tcPr>
            <w:tcW w:w="0" w:type="auto"/>
            <w:shd w:val="clear" w:color="auto" w:fill="FFFFFF"/>
            <w:tcMar>
              <w:top w:w="0" w:type="dxa"/>
              <w:left w:w="0" w:type="dxa"/>
              <w:bottom w:w="0" w:type="dxa"/>
              <w:right w:w="0" w:type="dxa"/>
            </w:tcMar>
            <w:vAlign w:val="center"/>
          </w:tcPr>
          <w:p w14:paraId="16185AFF"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0.5% (3196)</w:t>
            </w:r>
          </w:p>
        </w:tc>
        <w:tc>
          <w:tcPr>
            <w:tcW w:w="0" w:type="auto"/>
            <w:shd w:val="clear" w:color="auto" w:fill="FFFFFF"/>
            <w:tcMar>
              <w:top w:w="0" w:type="dxa"/>
              <w:left w:w="0" w:type="dxa"/>
              <w:bottom w:w="0" w:type="dxa"/>
              <w:right w:w="0" w:type="dxa"/>
            </w:tcMar>
            <w:vAlign w:val="center"/>
          </w:tcPr>
          <w:p w14:paraId="16185B00"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0.3% (14)</w:t>
            </w:r>
          </w:p>
        </w:tc>
        <w:tc>
          <w:tcPr>
            <w:tcW w:w="0" w:type="auto"/>
            <w:shd w:val="clear" w:color="auto" w:fill="FFFFFF"/>
            <w:tcMar>
              <w:top w:w="0" w:type="dxa"/>
              <w:left w:w="0" w:type="dxa"/>
              <w:bottom w:w="0" w:type="dxa"/>
              <w:right w:w="0" w:type="dxa"/>
            </w:tcMar>
            <w:vAlign w:val="center"/>
          </w:tcPr>
          <w:p w14:paraId="16185B01"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1.0% (8)</w:t>
            </w:r>
          </w:p>
        </w:tc>
        <w:tc>
          <w:tcPr>
            <w:tcW w:w="0" w:type="auto"/>
            <w:shd w:val="clear" w:color="auto" w:fill="FFFFFF"/>
            <w:tcMar>
              <w:top w:w="0" w:type="dxa"/>
              <w:left w:w="0" w:type="dxa"/>
              <w:bottom w:w="0" w:type="dxa"/>
              <w:right w:w="0" w:type="dxa"/>
            </w:tcMar>
            <w:vAlign w:val="center"/>
          </w:tcPr>
          <w:p w14:paraId="16185B02"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0.8% (1)</w:t>
            </w:r>
          </w:p>
        </w:tc>
        <w:tc>
          <w:tcPr>
            <w:tcW w:w="0" w:type="auto"/>
            <w:shd w:val="clear" w:color="auto" w:fill="FFFFFF"/>
            <w:tcMar>
              <w:top w:w="0" w:type="dxa"/>
              <w:left w:w="0" w:type="dxa"/>
              <w:bottom w:w="0" w:type="dxa"/>
              <w:right w:w="0" w:type="dxa"/>
            </w:tcMar>
            <w:vAlign w:val="center"/>
          </w:tcPr>
          <w:p w14:paraId="16185B03"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0.8% (31)</w:t>
            </w:r>
          </w:p>
        </w:tc>
        <w:tc>
          <w:tcPr>
            <w:tcW w:w="0" w:type="auto"/>
            <w:shd w:val="clear" w:color="auto" w:fill="FFFFFF"/>
            <w:tcMar>
              <w:top w:w="0" w:type="dxa"/>
              <w:left w:w="0" w:type="dxa"/>
              <w:bottom w:w="0" w:type="dxa"/>
              <w:right w:w="0" w:type="dxa"/>
            </w:tcMar>
            <w:vAlign w:val="center"/>
          </w:tcPr>
          <w:p w14:paraId="16185B04"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0.6% (1)</w:t>
            </w:r>
          </w:p>
        </w:tc>
        <w:tc>
          <w:tcPr>
            <w:tcW w:w="0" w:type="auto"/>
            <w:shd w:val="clear" w:color="auto" w:fill="FFFFFF"/>
            <w:tcMar>
              <w:top w:w="0" w:type="dxa"/>
              <w:left w:w="0" w:type="dxa"/>
              <w:bottom w:w="0" w:type="dxa"/>
              <w:right w:w="0" w:type="dxa"/>
            </w:tcMar>
            <w:vAlign w:val="center"/>
          </w:tcPr>
          <w:p w14:paraId="16185B05"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0.1% (1)</w:t>
            </w:r>
          </w:p>
        </w:tc>
      </w:tr>
      <w:tr w:rsidR="00381D4B" w:rsidRPr="0032525F" w14:paraId="16185B11" w14:textId="77777777" w:rsidTr="0032525F">
        <w:trPr>
          <w:cantSplit/>
          <w:trHeight w:val="558"/>
          <w:jc w:val="center"/>
        </w:trPr>
        <w:tc>
          <w:tcPr>
            <w:tcW w:w="0" w:type="auto"/>
            <w:tcBorders>
              <w:bottom w:val="single" w:sz="16" w:space="0" w:color="666666"/>
            </w:tcBorders>
            <w:shd w:val="clear" w:color="auto" w:fill="DDDDDD"/>
            <w:tcMar>
              <w:top w:w="0" w:type="dxa"/>
              <w:left w:w="0" w:type="dxa"/>
              <w:bottom w:w="0" w:type="dxa"/>
              <w:right w:w="0" w:type="dxa"/>
            </w:tcMar>
            <w:vAlign w:val="center"/>
          </w:tcPr>
          <w:p w14:paraId="16185B07" w14:textId="77777777" w:rsidR="00381D4B" w:rsidRPr="0032525F" w:rsidRDefault="00482E76">
            <w:pPr>
              <w:spacing w:before="100" w:after="100"/>
              <w:ind w:left="100" w:right="100"/>
              <w:rPr>
                <w:sz w:val="16"/>
                <w:szCs w:val="16"/>
              </w:rPr>
            </w:pPr>
            <w:r w:rsidRPr="0032525F">
              <w:rPr>
                <w:rFonts w:ascii="Arial" w:eastAsia="Arial" w:hAnsi="Arial" w:cs="Arial"/>
                <w:b/>
                <w:color w:val="000000"/>
                <w:sz w:val="16"/>
                <w:szCs w:val="16"/>
              </w:rPr>
              <w:t>Type 2 Diabetes</w:t>
            </w:r>
          </w:p>
        </w:tc>
        <w:tc>
          <w:tcPr>
            <w:tcW w:w="0" w:type="auto"/>
            <w:tcBorders>
              <w:bottom w:val="single" w:sz="16" w:space="0" w:color="666666"/>
            </w:tcBorders>
            <w:shd w:val="clear" w:color="auto" w:fill="DDDDDD"/>
            <w:tcMar>
              <w:top w:w="0" w:type="dxa"/>
              <w:left w:w="0" w:type="dxa"/>
              <w:bottom w:w="0" w:type="dxa"/>
              <w:right w:w="0" w:type="dxa"/>
            </w:tcMar>
            <w:vAlign w:val="center"/>
          </w:tcPr>
          <w:p w14:paraId="16185B08"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2.9% (48557)</w:t>
            </w:r>
          </w:p>
        </w:tc>
        <w:tc>
          <w:tcPr>
            <w:tcW w:w="0" w:type="auto"/>
            <w:tcBorders>
              <w:bottom w:val="single" w:sz="16" w:space="0" w:color="666666"/>
            </w:tcBorders>
            <w:shd w:val="clear" w:color="auto" w:fill="DDDDDD"/>
            <w:tcMar>
              <w:top w:w="0" w:type="dxa"/>
              <w:left w:w="0" w:type="dxa"/>
              <w:bottom w:w="0" w:type="dxa"/>
              <w:right w:w="0" w:type="dxa"/>
            </w:tcMar>
            <w:vAlign w:val="center"/>
          </w:tcPr>
          <w:p w14:paraId="16185B09"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1.1% (11797)</w:t>
            </w:r>
          </w:p>
        </w:tc>
        <w:tc>
          <w:tcPr>
            <w:tcW w:w="0" w:type="auto"/>
            <w:tcBorders>
              <w:bottom w:val="single" w:sz="16" w:space="0" w:color="666666"/>
            </w:tcBorders>
            <w:shd w:val="clear" w:color="auto" w:fill="DDDDDD"/>
            <w:tcMar>
              <w:top w:w="0" w:type="dxa"/>
              <w:left w:w="0" w:type="dxa"/>
              <w:bottom w:w="0" w:type="dxa"/>
              <w:right w:w="0" w:type="dxa"/>
            </w:tcMar>
            <w:vAlign w:val="center"/>
          </w:tcPr>
          <w:p w14:paraId="16185B0A"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6.1% (35941)</w:t>
            </w:r>
          </w:p>
        </w:tc>
        <w:tc>
          <w:tcPr>
            <w:tcW w:w="0" w:type="auto"/>
            <w:tcBorders>
              <w:bottom w:val="single" w:sz="16" w:space="0" w:color="666666"/>
            </w:tcBorders>
            <w:shd w:val="clear" w:color="auto" w:fill="DDDDDD"/>
            <w:tcMar>
              <w:top w:w="0" w:type="dxa"/>
              <w:left w:w="0" w:type="dxa"/>
              <w:bottom w:w="0" w:type="dxa"/>
              <w:right w:w="0" w:type="dxa"/>
            </w:tcMar>
            <w:vAlign w:val="center"/>
          </w:tcPr>
          <w:p w14:paraId="16185B0B"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2.3% (123)</w:t>
            </w:r>
          </w:p>
        </w:tc>
        <w:tc>
          <w:tcPr>
            <w:tcW w:w="0" w:type="auto"/>
            <w:tcBorders>
              <w:bottom w:val="single" w:sz="16" w:space="0" w:color="666666"/>
            </w:tcBorders>
            <w:shd w:val="clear" w:color="auto" w:fill="DDDDDD"/>
            <w:tcMar>
              <w:top w:w="0" w:type="dxa"/>
              <w:left w:w="0" w:type="dxa"/>
              <w:bottom w:w="0" w:type="dxa"/>
              <w:right w:w="0" w:type="dxa"/>
            </w:tcMar>
            <w:vAlign w:val="center"/>
          </w:tcPr>
          <w:p w14:paraId="16185B0C"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5.4% (41)</w:t>
            </w:r>
          </w:p>
        </w:tc>
        <w:tc>
          <w:tcPr>
            <w:tcW w:w="0" w:type="auto"/>
            <w:tcBorders>
              <w:bottom w:val="single" w:sz="16" w:space="0" w:color="666666"/>
            </w:tcBorders>
            <w:shd w:val="clear" w:color="auto" w:fill="DDDDDD"/>
            <w:tcMar>
              <w:top w:w="0" w:type="dxa"/>
              <w:left w:w="0" w:type="dxa"/>
              <w:bottom w:w="0" w:type="dxa"/>
              <w:right w:w="0" w:type="dxa"/>
            </w:tcMar>
            <w:vAlign w:val="center"/>
          </w:tcPr>
          <w:p w14:paraId="16185B0D"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4.7% (6)</w:t>
            </w:r>
          </w:p>
        </w:tc>
        <w:tc>
          <w:tcPr>
            <w:tcW w:w="0" w:type="auto"/>
            <w:tcBorders>
              <w:bottom w:val="single" w:sz="16" w:space="0" w:color="666666"/>
            </w:tcBorders>
            <w:shd w:val="clear" w:color="auto" w:fill="DDDDDD"/>
            <w:tcMar>
              <w:top w:w="0" w:type="dxa"/>
              <w:left w:w="0" w:type="dxa"/>
              <w:bottom w:w="0" w:type="dxa"/>
              <w:right w:w="0" w:type="dxa"/>
            </w:tcMar>
            <w:vAlign w:val="center"/>
          </w:tcPr>
          <w:p w14:paraId="16185B0E"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15.8% (614)</w:t>
            </w:r>
          </w:p>
        </w:tc>
        <w:tc>
          <w:tcPr>
            <w:tcW w:w="0" w:type="auto"/>
            <w:tcBorders>
              <w:bottom w:val="single" w:sz="16" w:space="0" w:color="666666"/>
            </w:tcBorders>
            <w:shd w:val="clear" w:color="auto" w:fill="DDDDDD"/>
            <w:tcMar>
              <w:top w:w="0" w:type="dxa"/>
              <w:left w:w="0" w:type="dxa"/>
              <w:bottom w:w="0" w:type="dxa"/>
              <w:right w:w="0" w:type="dxa"/>
            </w:tcMar>
            <w:vAlign w:val="center"/>
          </w:tcPr>
          <w:p w14:paraId="16185B0F"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4.2% (7)</w:t>
            </w:r>
          </w:p>
        </w:tc>
        <w:tc>
          <w:tcPr>
            <w:tcW w:w="0" w:type="auto"/>
            <w:tcBorders>
              <w:bottom w:val="single" w:sz="16" w:space="0" w:color="666666"/>
            </w:tcBorders>
            <w:shd w:val="clear" w:color="auto" w:fill="DDDDDD"/>
            <w:tcMar>
              <w:top w:w="0" w:type="dxa"/>
              <w:left w:w="0" w:type="dxa"/>
              <w:bottom w:w="0" w:type="dxa"/>
              <w:right w:w="0" w:type="dxa"/>
            </w:tcMar>
            <w:vAlign w:val="center"/>
          </w:tcPr>
          <w:p w14:paraId="16185B10" w14:textId="77777777" w:rsidR="00381D4B" w:rsidRPr="0032525F" w:rsidRDefault="00482E76">
            <w:pPr>
              <w:spacing w:before="100" w:after="100"/>
              <w:ind w:left="100" w:right="100"/>
              <w:jc w:val="center"/>
              <w:rPr>
                <w:sz w:val="16"/>
                <w:szCs w:val="16"/>
              </w:rPr>
            </w:pPr>
            <w:r w:rsidRPr="0032525F">
              <w:rPr>
                <w:rFonts w:ascii="Arial" w:eastAsia="Arial" w:hAnsi="Arial" w:cs="Arial"/>
                <w:color w:val="000000"/>
                <w:sz w:val="16"/>
                <w:szCs w:val="16"/>
              </w:rPr>
              <w:t>2.8% (28)</w:t>
            </w:r>
          </w:p>
        </w:tc>
      </w:tr>
      <w:tr w:rsidR="00381D4B" w:rsidRPr="0032525F" w14:paraId="16185B13" w14:textId="77777777" w:rsidTr="0032525F">
        <w:trPr>
          <w:cantSplit/>
          <w:trHeight w:val="754"/>
          <w:jc w:val="center"/>
        </w:trPr>
        <w:tc>
          <w:tcPr>
            <w:tcW w:w="0" w:type="auto"/>
            <w:gridSpan w:val="10"/>
            <w:shd w:val="clear" w:color="auto" w:fill="FFFFFF"/>
            <w:tcMar>
              <w:top w:w="0" w:type="dxa"/>
              <w:left w:w="0" w:type="dxa"/>
              <w:bottom w:w="0" w:type="dxa"/>
              <w:right w:w="0" w:type="dxa"/>
            </w:tcMar>
            <w:vAlign w:val="center"/>
          </w:tcPr>
          <w:p w14:paraId="16185B12" w14:textId="77777777" w:rsidR="00381D4B" w:rsidRPr="0032525F" w:rsidRDefault="00482E76">
            <w:pPr>
              <w:spacing w:before="100" w:after="100"/>
              <w:ind w:left="100" w:right="100"/>
              <w:rPr>
                <w:sz w:val="16"/>
                <w:szCs w:val="16"/>
              </w:rPr>
            </w:pPr>
            <w:r w:rsidRPr="0032525F">
              <w:rPr>
                <w:rFonts w:ascii="Arial" w:eastAsia="Arial" w:hAnsi="Arial" w:cs="Arial"/>
                <w:color w:val="000000"/>
                <w:sz w:val="16"/>
                <w:szCs w:val="16"/>
              </w:rPr>
              <w:t>LRA - Lipid regulating agent; IMD - Index of Multiple Deprivation; BMI - Body Mass Index; CAD - Coronary Arterial Disease; CBS - Coronary Bypass Surgery; CVD - Cardiovascular disease; PAD - Peripheral arterial disease; CKD - Chronic Kidney Disease; SD - St</w:t>
            </w:r>
            <w:r w:rsidRPr="0032525F">
              <w:rPr>
                <w:rFonts w:ascii="Arial" w:eastAsia="Arial" w:hAnsi="Arial" w:cs="Arial"/>
                <w:color w:val="000000"/>
                <w:sz w:val="16"/>
                <w:szCs w:val="16"/>
              </w:rPr>
              <w:t>andard deviation.</w:t>
            </w:r>
          </w:p>
        </w:tc>
      </w:tr>
    </w:tbl>
    <w:p w14:paraId="16185B14" w14:textId="77777777" w:rsidR="00381D4B" w:rsidRDefault="00482E76">
      <w:pPr>
        <w:pStyle w:val="BodyText"/>
      </w:pPr>
      <w:r>
        <w:t> </w:t>
      </w:r>
    </w:p>
    <w:p w14:paraId="16185B15" w14:textId="77777777" w:rsidR="00381D4B" w:rsidRDefault="00482E76">
      <w:pPr>
        <w:pStyle w:val="Heading1"/>
      </w:pPr>
      <w:bookmarkStart w:id="26" w:name="figures"/>
      <w:bookmarkEnd w:id="23"/>
      <w:r>
        <w:lastRenderedPageBreak/>
        <w:t>Figures</w:t>
      </w:r>
    </w:p>
    <w:p w14:paraId="16185B16" w14:textId="77777777" w:rsidR="00381D4B" w:rsidRDefault="00482E76">
      <w:pPr>
        <w:pStyle w:val="FirstParagraph"/>
      </w:pPr>
      <w:r>
        <w:rPr>
          <w:noProof/>
        </w:rPr>
        <w:drawing>
          <wp:inline distT="0" distB="0" distL="0" distR="0" wp14:anchorId="16185B42" wp14:editId="16185B43">
            <wp:extent cx="5943600" cy="7133395"/>
            <wp:effectExtent l="0" t="0" r="0" b="0"/>
            <wp:docPr id="1" name="Picture" descr="Figure 1: Test"/>
            <wp:cNvGraphicFramePr/>
            <a:graphic xmlns:a="http://schemas.openxmlformats.org/drawingml/2006/main">
              <a:graphicData uri="http://schemas.openxmlformats.org/drawingml/2006/picture">
                <pic:pic xmlns:pic="http://schemas.openxmlformats.org/drawingml/2006/picture">
                  <pic:nvPicPr>
                    <pic:cNvPr id="0" name="Picture" descr="C:/Users/lm16564/OneDrive%20-%20University%20of%20Bristol/Documents/rrr/thesis/figures/cprd-analysis/forester_p1.png"/>
                    <pic:cNvPicPr>
                      <a:picLocks noChangeAspect="1" noChangeArrowheads="1"/>
                    </pic:cNvPicPr>
                  </pic:nvPicPr>
                  <pic:blipFill>
                    <a:blip r:embed="rId9"/>
                    <a:stretch>
                      <a:fillRect/>
                    </a:stretch>
                  </pic:blipFill>
                  <pic:spPr bwMode="auto">
                    <a:xfrm>
                      <a:off x="0" y="0"/>
                      <a:ext cx="5943600" cy="7133395"/>
                    </a:xfrm>
                    <a:prstGeom prst="rect">
                      <a:avLst/>
                    </a:prstGeom>
                    <a:noFill/>
                    <a:ln w="9525">
                      <a:noFill/>
                      <a:headEnd/>
                      <a:tailEnd/>
                    </a:ln>
                  </pic:spPr>
                </pic:pic>
              </a:graphicData>
            </a:graphic>
          </wp:inline>
        </w:drawing>
      </w:r>
      <w:r>
        <w:t xml:space="preserve"> </w:t>
      </w:r>
    </w:p>
    <w:p w14:paraId="16185B18" w14:textId="2481164C" w:rsidR="00381D4B" w:rsidRDefault="00482E76" w:rsidP="00B65466">
      <w:pPr>
        <w:pStyle w:val="BodyText"/>
      </w:pPr>
      <w:r>
        <w:rPr>
          <w:i/>
          <w:iCs/>
        </w:rPr>
        <w:t>Figure 1: Results from the primary analyses of CPRD data comparing prescription of an lipid-regulating drug with no prescription, stratified by dementia outcome and drug class. All results were obtained using the fully adjusted model and participant age as</w:t>
      </w:r>
      <w:r>
        <w:rPr>
          <w:i/>
          <w:iCs/>
        </w:rPr>
        <w:t xml:space="preserve"> the time scale.</w:t>
      </w:r>
      <w:r>
        <w:br w:type="page"/>
      </w:r>
    </w:p>
    <w:p w14:paraId="16185B19" w14:textId="77777777" w:rsidR="00381D4B" w:rsidRDefault="00482E76">
      <w:pPr>
        <w:pStyle w:val="Heading1"/>
      </w:pPr>
      <w:bookmarkStart w:id="27" w:name="bibliography"/>
      <w:bookmarkEnd w:id="26"/>
      <w:r>
        <w:lastRenderedPageBreak/>
        <w:t>B</w:t>
      </w:r>
      <w:r>
        <w:t>ibliography</w:t>
      </w:r>
    </w:p>
    <w:p w14:paraId="16185B1A" w14:textId="77777777" w:rsidR="00381D4B" w:rsidRDefault="00482E76">
      <w:pPr>
        <w:pStyle w:val="Bibliography"/>
      </w:pPr>
      <w:bookmarkStart w:id="28" w:name="ref-prince2016"/>
      <w:bookmarkStart w:id="29" w:name="refs"/>
      <w:r>
        <w:t xml:space="preserve">1. </w:t>
      </w:r>
      <w:r>
        <w:tab/>
      </w:r>
      <w:r>
        <w:t xml:space="preserve">Prince M, Ali G-C, Guerchet M, Prina AM, Albanese E, Wu Y-T. Recent global trends in the prevalence and incidence of dementia, and survival with dementia. Alzheimer’s Research &amp; Therapy. 2016 Jul;8(1):23. </w:t>
      </w:r>
    </w:p>
    <w:p w14:paraId="16185B1B" w14:textId="77777777" w:rsidR="00381D4B" w:rsidRDefault="00482E76">
      <w:pPr>
        <w:pStyle w:val="Bibliography"/>
      </w:pPr>
      <w:bookmarkStart w:id="30" w:name="ref-jobke2018"/>
      <w:bookmarkEnd w:id="28"/>
      <w:r>
        <w:t xml:space="preserve">2. </w:t>
      </w:r>
      <w:r>
        <w:tab/>
        <w:t>Jobke B, McBride T, Nevin L, Peiperl L, Ross A</w:t>
      </w:r>
      <w:r>
        <w:t xml:space="preserve">, Stone C, et al. Setbacks in Alzheimer research demand new strategies, not surrender. PLoS medicine. 2018 Feb;15(2):e1002518. </w:t>
      </w:r>
    </w:p>
    <w:p w14:paraId="16185B1C" w14:textId="77777777" w:rsidR="00381D4B" w:rsidRDefault="00482E76">
      <w:pPr>
        <w:pStyle w:val="Bibliography"/>
      </w:pPr>
      <w:bookmarkStart w:id="31" w:name="ref-ashburn2004"/>
      <w:bookmarkEnd w:id="30"/>
      <w:r>
        <w:t xml:space="preserve">3. </w:t>
      </w:r>
      <w:r>
        <w:tab/>
        <w:t>Ashburn TT, Thor KB. Drug repositioning: Identifying and developing new uses for existing drugs. Nature Reviews Drug Discove</w:t>
      </w:r>
      <w:r>
        <w:t xml:space="preserve">ry. 2004;3(8):673. </w:t>
      </w:r>
    </w:p>
    <w:p w14:paraId="16185B1D" w14:textId="77777777" w:rsidR="00381D4B" w:rsidRDefault="00482E76">
      <w:pPr>
        <w:pStyle w:val="Bibliography"/>
      </w:pPr>
      <w:bookmarkStart w:id="32" w:name="ref-pushpakom2019"/>
      <w:bookmarkEnd w:id="31"/>
      <w:r>
        <w:t xml:space="preserve">4. </w:t>
      </w:r>
      <w:r>
        <w:tab/>
        <w:t xml:space="preserve">Pushpakom S, Iorio F, Eyers PA, Escott KJ, Hopper S, Wells A, et al. Drug repurposing: Progress, challenges and recommendations. Nature Reviews Drug Discovery. 2019 Jan;18(1):41–58. </w:t>
      </w:r>
    </w:p>
    <w:p w14:paraId="16185B1E" w14:textId="77777777" w:rsidR="00381D4B" w:rsidRDefault="00482E76">
      <w:pPr>
        <w:pStyle w:val="Bibliography"/>
      </w:pPr>
      <w:bookmarkStart w:id="33" w:name="ref-walker2020"/>
      <w:bookmarkEnd w:id="32"/>
      <w:r>
        <w:t xml:space="preserve">5. </w:t>
      </w:r>
      <w:r>
        <w:tab/>
        <w:t>Walker VM, Davies NM, Martin RM, Kehoe PG. Co</w:t>
      </w:r>
      <w:r>
        <w:t xml:space="preserve">mparison of Antihypertensive Drug Classes for Dementia Prevention. Epidemiology. 2020 Nov;31(6):852–9. </w:t>
      </w:r>
    </w:p>
    <w:p w14:paraId="16185B1F" w14:textId="77777777" w:rsidR="00381D4B" w:rsidRDefault="00482E76">
      <w:pPr>
        <w:pStyle w:val="Bibliography"/>
      </w:pPr>
      <w:bookmarkStart w:id="34" w:name="ref-chu2018"/>
      <w:bookmarkEnd w:id="33"/>
      <w:r>
        <w:t xml:space="preserve">6. </w:t>
      </w:r>
      <w:r>
        <w:tab/>
        <w:t>Chu C-S, Tseng P-T, Stubbs B, Chen T-Y, Tang C-H, Li D-J, et al. Use of statins and the risk of dementia and mild cognitive impairment: A systematic</w:t>
      </w:r>
      <w:r>
        <w:t xml:space="preserve"> review and meta-analysis. Scientific Reports. 2018 Apr;8(1):5804. </w:t>
      </w:r>
    </w:p>
    <w:p w14:paraId="16185B20" w14:textId="77777777" w:rsidR="00381D4B" w:rsidRDefault="00482E76">
      <w:pPr>
        <w:pStyle w:val="Bibliography"/>
      </w:pPr>
      <w:bookmarkStart w:id="35" w:name="ref-larsson2018"/>
      <w:bookmarkEnd w:id="34"/>
      <w:r>
        <w:t xml:space="preserve">7. </w:t>
      </w:r>
      <w:r>
        <w:tab/>
        <w:t>Larsson SC, Markus HS. Does Treating Vascular Risk Factors Prevent Dementia and Alzheimer’s Disease? A Systematic Review and Meta-Analysis. Journal of Alzheimer’s Disease. 2018 Jan;64(</w:t>
      </w:r>
      <w:r>
        <w:t xml:space="preserve">2):657–68. </w:t>
      </w:r>
    </w:p>
    <w:p w14:paraId="16185B21" w14:textId="77777777" w:rsidR="00381D4B" w:rsidRDefault="00482E76">
      <w:pPr>
        <w:pStyle w:val="Bibliography"/>
      </w:pPr>
      <w:bookmarkStart w:id="36" w:name="ref-ancelin2012"/>
      <w:bookmarkEnd w:id="35"/>
      <w:r>
        <w:t xml:space="preserve">8. </w:t>
      </w:r>
      <w:r>
        <w:tab/>
        <w:t xml:space="preserve">Ancelin M-L, Carrière I, Barberger-Gateau P, Auriacombe S, Rouaud O, Fourlanos S, et al. Lipid lowering agents, cognitive decline, and dementia: The three-city study. Journal of Alzheimer’s Disease. 2012 Jan;30(3):629–37. </w:t>
      </w:r>
    </w:p>
    <w:p w14:paraId="16185B22" w14:textId="77777777" w:rsidR="00381D4B" w:rsidRDefault="00482E76">
      <w:pPr>
        <w:pStyle w:val="Bibliography"/>
      </w:pPr>
      <w:bookmarkStart w:id="37" w:name="ref-bettermann2012"/>
      <w:bookmarkEnd w:id="36"/>
      <w:r>
        <w:t xml:space="preserve">9. </w:t>
      </w:r>
      <w:r>
        <w:tab/>
        <w:t>Bettermann K,</w:t>
      </w:r>
      <w:r>
        <w:t xml:space="preserve"> Arnold AM, Williamson J, Rapp S, Sink K, Toole JF, et al. Statins, Risk of Dementia, and Cognitive Function: Secondary Analysis of the Ginkgo Evaluation of Memory Study. Journal of Stroke and Cerebrovascular Diseases. 2012 Aug;21(6):436–44. </w:t>
      </w:r>
    </w:p>
    <w:p w14:paraId="16185B23" w14:textId="77777777" w:rsidR="00381D4B" w:rsidRDefault="00482E76">
      <w:pPr>
        <w:pStyle w:val="Bibliography"/>
      </w:pPr>
      <w:bookmarkStart w:id="38" w:name="ref-rea2005"/>
      <w:bookmarkEnd w:id="37"/>
      <w:r>
        <w:t xml:space="preserve">10. </w:t>
      </w:r>
      <w:r>
        <w:tab/>
        <w:t xml:space="preserve">Rea TD, </w:t>
      </w:r>
      <w:r>
        <w:t xml:space="preserve">Breitner JC, Psaty BM, Fitzpatrick AL, Lopez OL, Newman AB, et al. Statin Use and the Risk of Incident Dementia: The Cardiovascular Health Study. Archives of Neurology. 2005 Jul;62(7):1047–51. </w:t>
      </w:r>
    </w:p>
    <w:p w14:paraId="16185B24" w14:textId="77777777" w:rsidR="00381D4B" w:rsidRDefault="00482E76">
      <w:pPr>
        <w:pStyle w:val="Bibliography"/>
      </w:pPr>
      <w:bookmarkStart w:id="39" w:name="ref-casey2016"/>
      <w:bookmarkEnd w:id="38"/>
      <w:r>
        <w:t xml:space="preserve">11. </w:t>
      </w:r>
      <w:r>
        <w:tab/>
        <w:t>Casey JA, Schwartz BS, Stewart WF, Adler NE. Using Electr</w:t>
      </w:r>
      <w:r>
        <w:t xml:space="preserve">onic Health Records for Population Health Research: A Review of Methods and Applications. Annual Review of Public Health. 2016 Mar;37(1):61–81. </w:t>
      </w:r>
    </w:p>
    <w:p w14:paraId="16185B25" w14:textId="77777777" w:rsidR="00381D4B" w:rsidRDefault="00482E76">
      <w:pPr>
        <w:pStyle w:val="Bibliography"/>
      </w:pPr>
      <w:bookmarkStart w:id="40" w:name="ref-farmer2018"/>
      <w:bookmarkEnd w:id="39"/>
      <w:r>
        <w:t xml:space="preserve">12. </w:t>
      </w:r>
      <w:r>
        <w:tab/>
        <w:t xml:space="preserve">Farmer R, Mathur R, Bhaskaran K, Eastwood SV, Chaturvedi N, Smeeth L. Promises and pitfalls of electronic </w:t>
      </w:r>
      <w:r>
        <w:t xml:space="preserve">health record analysis. Diabetologia. 2018 Jun;61(6):1241–8. </w:t>
      </w:r>
    </w:p>
    <w:p w14:paraId="16185B26" w14:textId="77777777" w:rsidR="00381D4B" w:rsidRDefault="00482E76">
      <w:pPr>
        <w:pStyle w:val="Bibliography"/>
      </w:pPr>
      <w:bookmarkStart w:id="41" w:name="ref-herrett2015"/>
      <w:bookmarkEnd w:id="40"/>
      <w:r>
        <w:t xml:space="preserve">13. </w:t>
      </w:r>
      <w:r>
        <w:tab/>
        <w:t>Herrett E, Gallagher AM, Bhaskaran K, Forbes H, Mathur R, van Staa T, et al. Data Resource Profile: Clinical Practice Research Datalink (CPRD). International Journal of Epidemiology. 2015 J</w:t>
      </w:r>
      <w:r>
        <w:t xml:space="preserve">un;44(3):827–36. </w:t>
      </w:r>
    </w:p>
    <w:p w14:paraId="16185B27" w14:textId="77777777" w:rsidR="00381D4B" w:rsidRDefault="00482E76">
      <w:pPr>
        <w:pStyle w:val="Bibliography"/>
      </w:pPr>
      <w:bookmarkStart w:id="42" w:name="ref-wolf2019"/>
      <w:bookmarkEnd w:id="41"/>
      <w:r>
        <w:lastRenderedPageBreak/>
        <w:t xml:space="preserve">14. </w:t>
      </w:r>
      <w:r>
        <w:tab/>
        <w:t xml:space="preserve">Wolf A, Dedman D, Campbell J, Booth H, Lunn D, Chapman J, et al. Data resource profile: Clinical Practice Research Datalink (CPRD) Aurum. International Journal of Epidemiology. 2019 Dec;48(6):1740–1740g. </w:t>
      </w:r>
    </w:p>
    <w:p w14:paraId="16185B28" w14:textId="77777777" w:rsidR="00381D4B" w:rsidRDefault="00482E76">
      <w:pPr>
        <w:pStyle w:val="Bibliography"/>
      </w:pPr>
      <w:bookmarkStart w:id="43" w:name="ref-walker2016"/>
      <w:bookmarkEnd w:id="42"/>
      <w:r>
        <w:t xml:space="preserve">15. </w:t>
      </w:r>
      <w:r>
        <w:tab/>
        <w:t>Walker VM, Davies NM, J</w:t>
      </w:r>
      <w:r>
        <w:t>ones T, Kehoe PG, Martin RM. Can commonly prescribed drugs be repurposed for the prevention or treatment of Alzheimer’s and other neurodegenerative diseases? Protocol for an observational cohort study in the UK Clinical Practice Research Datalink. BMJ Open</w:t>
      </w:r>
      <w:r>
        <w:t xml:space="preserve">. 2016;6(12). </w:t>
      </w:r>
    </w:p>
    <w:p w14:paraId="16185B29" w14:textId="77777777" w:rsidR="00381D4B" w:rsidRDefault="00482E76">
      <w:pPr>
        <w:pStyle w:val="Bibliography"/>
      </w:pPr>
      <w:bookmarkStart w:id="44" w:name="ref-nicholls2016record"/>
      <w:bookmarkEnd w:id="43"/>
      <w:r>
        <w:t xml:space="preserve">16. </w:t>
      </w:r>
      <w:r>
        <w:tab/>
        <w:t>Nicholls SG, Langan SM, Sørensen HT, Petersen I, Benchimol EI. The RECORD reporting guidelines: Meeting the methodological and ethical demands of transparency in research using routinely-collected health data. Clinical epidemiology. 201</w:t>
      </w:r>
      <w:r>
        <w:t xml:space="preserve">6;8:389. </w:t>
      </w:r>
    </w:p>
    <w:p w14:paraId="16185B2A" w14:textId="77777777" w:rsidR="00381D4B" w:rsidRDefault="00482E76">
      <w:pPr>
        <w:pStyle w:val="Bibliography"/>
      </w:pPr>
      <w:bookmarkStart w:id="45" w:name="ref-wishart2017"/>
      <w:bookmarkEnd w:id="44"/>
      <w:r>
        <w:t xml:space="preserve">17. </w:t>
      </w:r>
      <w:r>
        <w:tab/>
        <w:t xml:space="preserve">Wishart DS, Feunang YD, Guo AC, Lo EJ, Marcu A, Grant JR, et al. DrugBank 5.0: A major update to the DrugBank database for 2018. Nucleic Acids Research. 2017;46(D1):D1074–82. </w:t>
      </w:r>
    </w:p>
    <w:p w14:paraId="16185B2B" w14:textId="77777777" w:rsidR="00381D4B" w:rsidRDefault="00482E76">
      <w:pPr>
        <w:pStyle w:val="Bibliography"/>
      </w:pPr>
      <w:bookmarkStart w:id="46" w:name="ref-levesque2010"/>
      <w:bookmarkEnd w:id="45"/>
      <w:r>
        <w:t xml:space="preserve">18. </w:t>
      </w:r>
      <w:r>
        <w:tab/>
        <w:t>Lévesque LE, Hanley JA, Kezouh A, Suissa S. Problem of immor</w:t>
      </w:r>
      <w:r>
        <w:t xml:space="preserve">tal time bias in cohort studies: Example using statins for preventing progression of diabetes. BMJ. 2010 Mar;340:b5087. </w:t>
      </w:r>
    </w:p>
    <w:p w14:paraId="16185B2C" w14:textId="77777777" w:rsidR="00381D4B" w:rsidRDefault="00482E76">
      <w:pPr>
        <w:pStyle w:val="Bibliography"/>
      </w:pPr>
      <w:bookmarkStart w:id="47" w:name="ref-lamarca1998"/>
      <w:bookmarkEnd w:id="46"/>
      <w:r>
        <w:t xml:space="preserve">19. </w:t>
      </w:r>
      <w:r>
        <w:tab/>
        <w:t>Lamarca R, Alonso J, Gomez G, Munoz A. Left-truncated Data With Age as Time Scale: An Alternative for Survival Analysis in the Eld</w:t>
      </w:r>
      <w:r>
        <w:t xml:space="preserve">erly Population. The Journals of Gerontology Series A: Biological Sciences and Medical Sciences. 1998 Sep;53A(5):M337–43. </w:t>
      </w:r>
    </w:p>
    <w:p w14:paraId="16185B2D" w14:textId="77777777" w:rsidR="00381D4B" w:rsidRDefault="00482E76">
      <w:pPr>
        <w:pStyle w:val="Bibliography"/>
      </w:pPr>
      <w:bookmarkStart w:id="48" w:name="ref-gail2009"/>
      <w:bookmarkEnd w:id="47"/>
      <w:r>
        <w:t xml:space="preserve">20. </w:t>
      </w:r>
      <w:r>
        <w:tab/>
        <w:t>Gail MH, Graubard B, Williamson DF, Flegal KM. Comments on ‘Choice of time scale and its effect on significance of predictors in</w:t>
      </w:r>
      <w:r>
        <w:t xml:space="preserve"> longitudinal studies’ by Michael J. Pencina, Martin G. Larson and Ralph B. D’Agostino, </w:t>
      </w:r>
      <w:r>
        <w:rPr>
          <w:i/>
          <w:iCs/>
        </w:rPr>
        <w:t>Statistics</w:t>
      </w:r>
      <w:r>
        <w:t xml:space="preserve"> </w:t>
      </w:r>
      <w:r>
        <w:rPr>
          <w:i/>
          <w:iCs/>
        </w:rPr>
        <w:t>in</w:t>
      </w:r>
      <w:r>
        <w:t xml:space="preserve"> </w:t>
      </w:r>
      <w:r>
        <w:rPr>
          <w:i/>
          <w:iCs/>
        </w:rPr>
        <w:t>Medicine</w:t>
      </w:r>
      <w:r>
        <w:t xml:space="preserve"> 2007; </w:t>
      </w:r>
      <w:r>
        <w:rPr>
          <w:b/>
          <w:bCs/>
        </w:rPr>
        <w:t>26</w:t>
      </w:r>
      <w:r>
        <w:t xml:space="preserve"> :1343-1359. Statistics in Medicine. 2009 Apr;28(8):1315–7. </w:t>
      </w:r>
    </w:p>
    <w:p w14:paraId="16185B2E" w14:textId="77777777" w:rsidR="00381D4B" w:rsidRDefault="00482E76">
      <w:pPr>
        <w:pStyle w:val="Bibliography"/>
      </w:pPr>
      <w:bookmarkStart w:id="49" w:name="ref-pencina2007"/>
      <w:bookmarkEnd w:id="48"/>
      <w:r>
        <w:t xml:space="preserve">21. </w:t>
      </w:r>
      <w:r>
        <w:tab/>
        <w:t>Pencina MJ, Larson MG, D’Agostino RB. Choice of time scale and its effe</w:t>
      </w:r>
      <w:r>
        <w:t xml:space="preserve">ct on significance of predictors in longitudinal studies. Statistics in Medicine. 2007 Mar;26(6):1343–59. </w:t>
      </w:r>
    </w:p>
    <w:p w14:paraId="16185B2F" w14:textId="77777777" w:rsidR="00381D4B" w:rsidRDefault="00482E76">
      <w:pPr>
        <w:pStyle w:val="Bibliography"/>
      </w:pPr>
      <w:bookmarkStart w:id="50" w:name="ref-sterne2009"/>
      <w:bookmarkEnd w:id="49"/>
      <w:r>
        <w:t xml:space="preserve">22. </w:t>
      </w:r>
      <w:r>
        <w:tab/>
        <w:t>Sterne JAC, White IR, Carlin JB, Spratt M, Royston P, Kenward MG, et al. Multiple imputation for missing data in epidemiological and clinical re</w:t>
      </w:r>
      <w:r>
        <w:t xml:space="preserve">search: Potential and pitfalls. BMJ. 2009 Jun;338:b2393. </w:t>
      </w:r>
    </w:p>
    <w:p w14:paraId="16185B30" w14:textId="77777777" w:rsidR="00381D4B" w:rsidRDefault="00482E76">
      <w:pPr>
        <w:pStyle w:val="Bibliography"/>
      </w:pPr>
      <w:bookmarkStart w:id="51" w:name="ref-moons2006using"/>
      <w:bookmarkEnd w:id="50"/>
      <w:r>
        <w:t xml:space="preserve">23. </w:t>
      </w:r>
      <w:r>
        <w:tab/>
        <w:t xml:space="preserve">Moons KG, Donders RA, Stijnen T, Harrell Jr FE. Using the outcome for imputation of missing predictor values was preferred. Journal of clinical epidemiology. 2006;59(10):1092–101. </w:t>
      </w:r>
    </w:p>
    <w:p w14:paraId="16185B31" w14:textId="77777777" w:rsidR="00381D4B" w:rsidRDefault="00482E76">
      <w:pPr>
        <w:pStyle w:val="Bibliography"/>
      </w:pPr>
      <w:bookmarkStart w:id="52" w:name="X6a15629442a5ed978d75e3de04742ef32457761"/>
      <w:bookmarkEnd w:id="51"/>
      <w:r>
        <w:t xml:space="preserve">24. </w:t>
      </w:r>
      <w:r>
        <w:tab/>
        <w:t>Nationa</w:t>
      </w:r>
      <w:r>
        <w:t xml:space="preserve">l Institute for Health and Care Excellence. Cardiovascular disease: Risk assessment and reduction, including lipid modification. https://www.nice.org.uk/guidance/cg181/ifp/chapter/Drug-treatments-to-lower-your-cholesterol; NICE; </w:t>
      </w:r>
    </w:p>
    <w:p w14:paraId="16185B32" w14:textId="77777777" w:rsidR="00381D4B" w:rsidRDefault="00482E76">
      <w:pPr>
        <w:pStyle w:val="Bibliography"/>
      </w:pPr>
      <w:bookmarkStart w:id="53" w:name="ref-sierra2011"/>
      <w:bookmarkEnd w:id="52"/>
      <w:r>
        <w:t xml:space="preserve">25. </w:t>
      </w:r>
      <w:r>
        <w:tab/>
        <w:t>Sierra S, Ramos MC, M</w:t>
      </w:r>
      <w:r>
        <w:t xml:space="preserve">olina P, Esteo C, Vázquez JA, Burgos JS. Statins as neuroprotectants: A comparative in vitro study of lipophilicity, blood-brain-barrier </w:t>
      </w:r>
      <w:r>
        <w:lastRenderedPageBreak/>
        <w:t>penetration, lowering of brain cholesterol, and decrease of neuron cell death. Journal of Alzheimer’s disease: JAD. 201</w:t>
      </w:r>
      <w:r>
        <w:t xml:space="preserve">1;23(2):307–18. </w:t>
      </w:r>
    </w:p>
    <w:p w14:paraId="16185B33" w14:textId="77777777" w:rsidR="00381D4B" w:rsidRDefault="00482E76">
      <w:pPr>
        <w:pStyle w:val="Bibliography"/>
      </w:pPr>
      <w:bookmarkStart w:id="54" w:name="ref-collins2016a"/>
      <w:bookmarkEnd w:id="53"/>
      <w:r>
        <w:t xml:space="preserve">26. </w:t>
      </w:r>
      <w:r>
        <w:tab/>
        <w:t xml:space="preserve">Collins R, Reith C, Emberson J, Armitage J, Baigent C, Blackwell L, et al. Interpretation of the evidence for the efficacy and safety of statin therapy. The Lancet. 2016 Nov;388(10059):2532–61. </w:t>
      </w:r>
    </w:p>
    <w:p w14:paraId="16185B34" w14:textId="77777777" w:rsidR="00381D4B" w:rsidRDefault="00482E76">
      <w:pPr>
        <w:pStyle w:val="Bibliography"/>
      </w:pPr>
      <w:bookmarkStart w:id="55" w:name="ref-herrett2021"/>
      <w:bookmarkEnd w:id="54"/>
      <w:r>
        <w:t xml:space="preserve">27. </w:t>
      </w:r>
      <w:r>
        <w:tab/>
        <w:t xml:space="preserve">Herrett E, Williamson E, Brack K, </w:t>
      </w:r>
      <w:r>
        <w:t xml:space="preserve">Beaumont D, Perkins A, Thayne A, et al. Statin treatment and muscle symptoms: Series of randomised, placebo controlled n-of-1 trials. BMJ. 2021 Feb;372:n135. </w:t>
      </w:r>
    </w:p>
    <w:p w14:paraId="16185B35" w14:textId="77777777" w:rsidR="00381D4B" w:rsidRDefault="00482E76">
      <w:pPr>
        <w:pStyle w:val="Bibliography"/>
      </w:pPr>
      <w:bookmarkStart w:id="56" w:name="ref-mcguinness2016"/>
      <w:bookmarkEnd w:id="55"/>
      <w:r>
        <w:t xml:space="preserve">28. </w:t>
      </w:r>
      <w:r>
        <w:tab/>
        <w:t>McGuinness B, Craig D, Bullock R, Passmore P. Statins for the prevention of dementia. The Co</w:t>
      </w:r>
      <w:r>
        <w:t xml:space="preserve">chrane Database of Systematic Reviews. 2016 Jan;(1):CD003160. </w:t>
      </w:r>
    </w:p>
    <w:p w14:paraId="16185B36" w14:textId="77777777" w:rsidR="00381D4B" w:rsidRDefault="00482E76">
      <w:pPr>
        <w:pStyle w:val="Bibliography"/>
      </w:pPr>
      <w:bookmarkStart w:id="57" w:name="X49f9892f062f4edfe92b37e5c1639cb4f6c013f"/>
      <w:bookmarkEnd w:id="56"/>
      <w:r>
        <w:t xml:space="preserve">29. </w:t>
      </w:r>
      <w:r>
        <w:tab/>
        <w:t xml:space="preserve">MRC/BHF Heart Protection Study </w:t>
      </w:r>
      <w:r>
        <w:t xml:space="preserve">of cholesterol lowering with simvastatin in 20 536 high-risk individuals: A randomised placebocontrolled trial. The Lancet. 2002 Jul;360(9326):7–22. </w:t>
      </w:r>
    </w:p>
    <w:p w14:paraId="16185B37" w14:textId="77777777" w:rsidR="00381D4B" w:rsidRDefault="00482E76">
      <w:pPr>
        <w:pStyle w:val="Bibliography"/>
      </w:pPr>
      <w:bookmarkStart w:id="58" w:name="ref-poly2020"/>
      <w:bookmarkEnd w:id="57"/>
      <w:r>
        <w:t xml:space="preserve">30. </w:t>
      </w:r>
      <w:r>
        <w:tab/>
        <w:t>Poly TN, Islam MM, Walther BA, Yang H-C, Wu C-C, Lin M-C, et al. Association between Use of Statin an</w:t>
      </w:r>
      <w:r>
        <w:t xml:space="preserve">d Risk of Dementia: A Meta-Analysis of Observational Studies. Neuroepidemiology. 2020;54(3):214–26. </w:t>
      </w:r>
    </w:p>
    <w:p w14:paraId="16185B38" w14:textId="77777777" w:rsidR="00381D4B" w:rsidRDefault="00482E76">
      <w:pPr>
        <w:pStyle w:val="Bibliography"/>
      </w:pPr>
      <w:bookmarkStart w:id="59" w:name="ref-chao2015"/>
      <w:bookmarkEnd w:id="58"/>
      <w:r>
        <w:t xml:space="preserve">31. </w:t>
      </w:r>
      <w:r>
        <w:tab/>
        <w:t xml:space="preserve">Chao T-F, Liu C-J, Chen S-J, Wang K-L, Lin Y-J, Chang S-L, et al. Statins and the risk of dementia in patients with atrial fibrillation: A nationwide </w:t>
      </w:r>
      <w:r>
        <w:t xml:space="preserve">population-based cohort study. International Journal of Cardiology. 2015 Oct;196:91–7. </w:t>
      </w:r>
    </w:p>
    <w:p w14:paraId="16185B39" w14:textId="77777777" w:rsidR="00381D4B" w:rsidRDefault="00482E76">
      <w:pPr>
        <w:pStyle w:val="Bibliography"/>
      </w:pPr>
      <w:bookmarkStart w:id="60" w:name="ref-smeeth2009"/>
      <w:bookmarkEnd w:id="59"/>
      <w:r>
        <w:t xml:space="preserve">32. </w:t>
      </w:r>
      <w:r>
        <w:tab/>
        <w:t>Smeeth L, Douglas I, Hall AJ, Hubbard R, Evans S. Effect of statins on a wide range of health outcomes: A cohort study validated by comparison with randomized tria</w:t>
      </w:r>
      <w:r>
        <w:t xml:space="preserve">ls. British Journal of Clinical Pharmacology. 2009 Jan;67(1):99–109. </w:t>
      </w:r>
    </w:p>
    <w:p w14:paraId="16185B3A" w14:textId="77777777" w:rsidR="00381D4B" w:rsidRDefault="00482E76">
      <w:pPr>
        <w:pStyle w:val="Bibliography"/>
      </w:pPr>
      <w:bookmarkStart w:id="61" w:name="ref-williams2020"/>
      <w:bookmarkEnd w:id="60"/>
      <w:r>
        <w:t xml:space="preserve">33. </w:t>
      </w:r>
      <w:r>
        <w:tab/>
        <w:t xml:space="preserve">Williams DM, Finan C, Schmidt AF, Burgess S, Hingorani AD. Lipid lowering and Alzheimer disease risk: A mendelian randomization study. Annals of Neurology. 2020 Jan;87(1):30–9. </w:t>
      </w:r>
    </w:p>
    <w:p w14:paraId="16185B3B" w14:textId="77777777" w:rsidR="00381D4B" w:rsidRDefault="00482E76">
      <w:pPr>
        <w:pStyle w:val="Bibliography"/>
      </w:pPr>
      <w:bookmarkStart w:id="62" w:name="ref-macedo2014"/>
      <w:bookmarkEnd w:id="61"/>
      <w:r>
        <w:t>34.</w:t>
      </w:r>
      <w:r>
        <w:t xml:space="preserve"> </w:t>
      </w:r>
      <w:r>
        <w:tab/>
        <w:t xml:space="preserve">Macedo AF, Douglas I, Smeeth L, Forbes H, Ebrahim S. Statins and the risk of type 2 diabetes mellitus: Cohort study using the UK clinical practice pesearch datalink. BMC Cardiovascular Disorders. 2014 Jul;14(1):85. </w:t>
      </w:r>
    </w:p>
    <w:p w14:paraId="16185B3C" w14:textId="77777777" w:rsidR="00381D4B" w:rsidRDefault="00482E76">
      <w:pPr>
        <w:pStyle w:val="Bibliography"/>
      </w:pPr>
      <w:bookmarkStart w:id="63" w:name="ref-smit2020"/>
      <w:bookmarkEnd w:id="62"/>
      <w:r>
        <w:t xml:space="preserve">35. </w:t>
      </w:r>
      <w:r>
        <w:tab/>
        <w:t>Smit RAJ, Trompet S, Leong A, Goo</w:t>
      </w:r>
      <w:r>
        <w:t xml:space="preserve">darzi MO, Postmus I, Warren H, et al. Statin-induced LDL cholesterol response and type 2 diabetes: A bidirectional two-sample Mendelian randomization study. The Pharmacogenomics Journal. 2020 Jun;20(3):462–70. </w:t>
      </w:r>
    </w:p>
    <w:p w14:paraId="16185B3D" w14:textId="77777777" w:rsidR="00381D4B" w:rsidRDefault="00482E76">
      <w:pPr>
        <w:pStyle w:val="Bibliography"/>
      </w:pPr>
      <w:bookmarkStart w:id="64" w:name="ref-danaei2013b"/>
      <w:bookmarkEnd w:id="63"/>
      <w:r>
        <w:t xml:space="preserve">36. </w:t>
      </w:r>
      <w:r>
        <w:tab/>
        <w:t>Danaei G, García Rodríguez LA, Cantero O</w:t>
      </w:r>
      <w:r>
        <w:t>F, Logan R, Hernán MA. Observational data for comparative effectiveness research: An emulation of randomised trials to estimate the effect of statins on primary prevention of coronary heart disease. Statistical methods in medical research. 2013 Feb;22(1):7</w:t>
      </w:r>
      <w:r>
        <w:t xml:space="preserve">0–96. </w:t>
      </w:r>
    </w:p>
    <w:p w14:paraId="16185B3E" w14:textId="77777777" w:rsidR="00381D4B" w:rsidRDefault="00482E76">
      <w:pPr>
        <w:pStyle w:val="Bibliography"/>
      </w:pPr>
      <w:bookmarkStart w:id="65" w:name="ref-taylor2013"/>
      <w:bookmarkEnd w:id="64"/>
      <w:r>
        <w:lastRenderedPageBreak/>
        <w:t xml:space="preserve">37. </w:t>
      </w:r>
      <w:r>
        <w:tab/>
        <w:t xml:space="preserve">Taylor F, Huffman MD, Macedo AF, Moore TH, Burke M, Davey Smith G, et al. Statins for the primary prevention of cardiovascular disease. The Cochrane Database of Systematic Reviews. 2013 Jan;2013(1):CD004816. </w:t>
      </w:r>
    </w:p>
    <w:p w14:paraId="16185B3F" w14:textId="77777777" w:rsidR="00381D4B" w:rsidRDefault="00482E76">
      <w:pPr>
        <w:pStyle w:val="Bibliography"/>
      </w:pPr>
      <w:bookmarkStart w:id="66" w:name="ref-wilkinson2018"/>
      <w:bookmarkEnd w:id="65"/>
      <w:r>
        <w:t xml:space="preserve">38. </w:t>
      </w:r>
      <w:r>
        <w:tab/>
      </w:r>
      <w:r>
        <w:t xml:space="preserve">Wilkinson T, Ly A, Schnier C, Rannikmäe K, Bush K, Brayne C, et al. Identifying dementia cases with routinely collected health data: A systematic review. Alzheimer’s &amp; Dementia. 2018 Aug;14(8):1038–51. </w:t>
      </w:r>
    </w:p>
    <w:p w14:paraId="16185B40" w14:textId="77777777" w:rsidR="00381D4B" w:rsidRDefault="00482E76">
      <w:pPr>
        <w:pStyle w:val="Bibliography"/>
      </w:pPr>
      <w:bookmarkStart w:id="67" w:name="ref-mcguinness2019validity"/>
      <w:bookmarkEnd w:id="66"/>
      <w:r>
        <w:t xml:space="preserve">39. </w:t>
      </w:r>
      <w:r>
        <w:tab/>
        <w:t>McGuinness LA, Warren-Gash C, Moorhouse LR, Thom</w:t>
      </w:r>
      <w:r>
        <w:t xml:space="preserve">as SL. The validity of dementia diagnoses in routinely collected electronic health records in the United Kingdom: A systematic review. Pharmacoepidemiology and Drug Safety. 2019;28(2):244–55. </w:t>
      </w:r>
    </w:p>
    <w:p w14:paraId="16185B41" w14:textId="77777777" w:rsidR="00381D4B" w:rsidRDefault="00482E76">
      <w:pPr>
        <w:pStyle w:val="Bibliography"/>
      </w:pPr>
      <w:bookmarkStart w:id="68" w:name="ref-bennet2007"/>
      <w:bookmarkEnd w:id="67"/>
      <w:r>
        <w:t xml:space="preserve">40. </w:t>
      </w:r>
      <w:r>
        <w:tab/>
        <w:t>Bennet AM, Di Angelantonio E, Ye Z, Wensley F, Dahlin A, A</w:t>
      </w:r>
      <w:r>
        <w:t xml:space="preserve">hlbom A, et al. Association of apolipoprotein E genotypes with lipid levels and coronary risk. JAMA. 2007 Sep;298(11):1300–11. </w:t>
      </w:r>
    </w:p>
    <w:bookmarkEnd w:id="68"/>
    <w:bookmarkEnd w:id="29"/>
    <w:bookmarkEnd w:id="27"/>
    <w:sectPr w:rsidR="00381D4B" w:rsidSect="00BC1A05">
      <w:footerReference w:type="default" r:id="rId1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85B4A" w14:textId="77777777" w:rsidR="00000000" w:rsidRDefault="00482E76">
      <w:pPr>
        <w:spacing w:after="0"/>
      </w:pPr>
      <w:r>
        <w:separator/>
      </w:r>
    </w:p>
  </w:endnote>
  <w:endnote w:type="continuationSeparator" w:id="0">
    <w:p w14:paraId="16185B4C" w14:textId="77777777" w:rsidR="00000000" w:rsidRDefault="00482E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858167"/>
      <w:docPartObj>
        <w:docPartGallery w:val="Page Numbers (Bottom of Page)"/>
        <w:docPartUnique/>
      </w:docPartObj>
    </w:sdtPr>
    <w:sdtEndPr>
      <w:rPr>
        <w:noProof/>
      </w:rPr>
    </w:sdtEndPr>
    <w:sdtContent>
      <w:p w14:paraId="16185B46" w14:textId="77777777" w:rsidR="00FC37A3" w:rsidRDefault="00482E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185B47" w14:textId="77777777" w:rsidR="00FC37A3" w:rsidRDefault="00482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85B44" w14:textId="77777777" w:rsidR="00381D4B" w:rsidRDefault="00482E76">
      <w:r>
        <w:separator/>
      </w:r>
    </w:p>
  </w:footnote>
  <w:footnote w:type="continuationSeparator" w:id="0">
    <w:p w14:paraId="16185B45" w14:textId="77777777" w:rsidR="00381D4B" w:rsidRDefault="00482E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9B45A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E80E05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2B20D8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2525F"/>
    <w:rsid w:val="00381D4B"/>
    <w:rsid w:val="00482E76"/>
    <w:rsid w:val="004E29B3"/>
    <w:rsid w:val="00590D07"/>
    <w:rsid w:val="006821AC"/>
    <w:rsid w:val="00784D58"/>
    <w:rsid w:val="00873272"/>
    <w:rsid w:val="008D6863"/>
    <w:rsid w:val="0099399C"/>
    <w:rsid w:val="00A75232"/>
    <w:rsid w:val="00AA595C"/>
    <w:rsid w:val="00AE0056"/>
    <w:rsid w:val="00B37CB7"/>
    <w:rsid w:val="00B65466"/>
    <w:rsid w:val="00B86B75"/>
    <w:rsid w:val="00BC48D5"/>
    <w:rsid w:val="00C36279"/>
    <w:rsid w:val="00CB5131"/>
    <w:rsid w:val="00E315A3"/>
    <w:rsid w:val="00F551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58D6"/>
  <w15:docId w15:val="{E04B2DCE-CF1E-4C30-805F-A9668112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guinlu/CPRD-LRA" TargetMode="External"/><Relationship Id="rId3" Type="http://schemas.openxmlformats.org/officeDocument/2006/relationships/settings" Target="settings.xml"/><Relationship Id="rId7" Type="http://schemas.openxmlformats.org/officeDocument/2006/relationships/hyperlink" Target="mailto:luke.mcguinness@bristol.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22</Pages>
  <Words>6388</Words>
  <Characters>36417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13</cp:revision>
  <dcterms:created xsi:type="dcterms:W3CDTF">2021-10-13T15:49:00Z</dcterms:created>
  <dcterms:modified xsi:type="dcterms:W3CDTF">2021-10-13T15:56:00Z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date">
    <vt:lpwstr>Manuscript last updated: 13 October, 2021</vt:lpwstr>
  </property>
  <property fmtid="{D5CDD505-2E9C-101B-9397-08002B2CF9AE}" pid="5" name="output">
    <vt:lpwstr/>
  </property>
  <property fmtid="{D5CDD505-2E9C-101B-9397-08002B2CF9AE}" pid="6" name="pandoc_args">
    <vt:lpwstr/>
  </property>
</Properties>
</file>