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  <Override PartName="/word/media/rId27.png" ContentType="image/png"/>
  <Override PartName="/word/media/rId33.jpg" ContentType="image/jpeg"/>
  <Override PartName="/word/media/rId39.jpg" ContentType="image/jpeg"/>
  <Override PartName="/word/media/rId35.jpg" ContentType="image/jpeg"/>
  <Override PartName="/word/media/rId37.jpg" ContentType="image/jpeg"/>
  <Override PartName="/word/media/rId31.jpg" ContentType="image/jpe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Date"/>
      </w:pPr>
      <w:r>
        <w:t xml:space="preserve">Supplementary</w:t>
      </w:r>
      <w:r>
        <w:t xml:space="preserve"> </w:t>
      </w:r>
      <w:r>
        <w:t xml:space="preserve">Files</w:t>
      </w:r>
      <w:r>
        <w:t xml:space="preserve"> </w:t>
      </w:r>
      <w:r>
        <w:t xml:space="preserve">updated:</w:t>
      </w:r>
      <w:r>
        <w:t xml:space="preserve"> </w:t>
      </w:r>
      <w:r>
        <w:t xml:space="preserve">15</w:t>
      </w:r>
      <w:r>
        <w:t xml:space="preserve"> </w:t>
      </w:r>
      <w:r>
        <w:t xml:space="preserve">June,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1" w:name="supp-mat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Supplementary Materials</w:t>
      </w:r>
    </w:p>
    <w:bookmarkStart w:id="20" w:name="supp-mat-protoco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Supplementary Material 1: Changes to protocol</w:t>
      </w:r>
    </w:p>
    <w:p>
      <w:pPr>
        <w:pStyle w:val="FirstParagraph"/>
      </w:pPr>
      <w:r>
        <w:t xml:space="preserve">Main changes include:</w:t>
      </w:r>
    </w:p>
    <w:p>
      <w:pPr>
        <w:numPr>
          <w:ilvl w:val="0"/>
          <w:numId w:val="1001"/>
        </w:numPr>
        <w:pStyle w:val="Compact"/>
      </w:pPr>
      <w:r>
        <w:t xml:space="preserve">Use of a time-varying treatment indicator, to correctly classify time-at-risk.</w:t>
      </w:r>
    </w:p>
    <w:p>
      <w:pPr>
        <w:numPr>
          <w:ilvl w:val="0"/>
          <w:numId w:val="1001"/>
        </w:numPr>
        <w:pStyle w:val="Compact"/>
      </w:pPr>
      <w:r>
        <w:t xml:space="preserve">Inclusion of additional covariates that are adjusted for in the main model.</w:t>
      </w:r>
    </w:p>
    <w:p>
      <w:r>
        <w:br w:type="page"/>
      </w:r>
    </w:p>
    <w:bookmarkEnd w:id="20"/>
    <w:bookmarkEnd w:id="21"/>
    <w:bookmarkStart w:id="26" w:name="supp-tab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Supplementary tables</w:t>
      </w:r>
    </w:p>
    <w:bookmarkStart w:id="22" w:name="Xe6e6f4b135991dc4004e0e8c385cd9d9c2ab3d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Supplementary Table 1: Definition of exposures and covariates</w:t>
      </w:r>
    </w:p>
    <w:p>
      <w:pPr>
        <w:pStyle w:val="FirstParagraph"/>
      </w:pPr>
      <w:r>
        <w:t xml:space="preserve"> </w:t>
      </w:r>
    </w:p>
    <w:p>
      <w:pPr>
        <w:pStyle w:val="TableCaption"/>
      </w:pPr>
      <w:r>
        <w:t xml:space="preserve">Table 2.1:</w:t>
      </w:r>
      <w:r>
        <w:t xml:space="preserve"> </w:t>
      </w:r>
      <w:bookmarkStart w:id="c29119ab-51fa-4887-a84d-df61bbb7e659" w:name="tab:covariateDef-table"/>
      <w:r>
        <w:t xml:space="preserve">Definition of covariates</w:t>
      </w:r>
      <w:bookmarkEnd w:id="c29119ab-51fa-4887-a84d-df61bbb7e65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Covariate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How was the covariate defined?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arterial disease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bypass surgery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cerebrovascular disease (including stroke)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illness, including cancer and arthritis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Charlson index implemented using Read code lists. (4,5) Code lists based on those by Taylor et al. (6)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Socioeconomic position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2010 English Index of Multiple Deprivation (IMD) at the ‘twentile’ level, where 1 represents the least deprived and 20 the most deprived.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Consultation rate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Calculated by dividing the total number of clinic visits by the length of the patient record prior to the index date to give an average annual rate.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Alcohol status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(current, former or never).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Smoking status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Most recent of recorded value (current, former or never) or Read code indicating a recorded value. Code lists based on those by Wright et al. (7)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BMI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if available, or a calculated value using the last recorded height and weight measurements. Measurements taken before the age of 25 were excluded to ensure adult measurements were used.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Peripheral arterial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Hypertension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total cholesterol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(either by "enttype==163 &amp; test_data1==3" or by "enttype==177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kidney disease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1 Diabetes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2 Diabetes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</w:tbl>
    <w:p>
      <w:pPr>
        <w:pStyle w:val="BodyText"/>
      </w:pPr>
      <w:r>
        <w:t xml:space="preserve"> </w:t>
      </w:r>
    </w:p>
    <w:p>
      <w:r>
        <w:br w:type="page"/>
      </w:r>
    </w:p>
    <w:bookmarkEnd w:id="22"/>
    <w:bookmarkStart w:id="23" w:name="X2eb4684d206dbf81e6487b2ac8e048e4542e4a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Supplementary Table 2: Adherence and switching by drug class</w:t>
      </w:r>
    </w:p>
    <w:p>
      <w:pPr>
        <w:pStyle w:val="FirstParagraph"/>
      </w:pPr>
      <w:r>
        <w:t xml:space="preserve"> </w:t>
      </w:r>
    </w:p>
    <w:p>
      <w:pPr>
        <w:pStyle w:val="TableCaption"/>
      </w:pPr>
      <w:r>
        <w:t xml:space="preserve">Table 2.2:</w:t>
      </w:r>
      <w:r>
        <w:t xml:space="preserve"> </w:t>
      </w:r>
      <w:bookmarkStart w:id="d526a551-2d14-4aee-b915-929ff3870b8f" w:name="tab:cprdSSA-table"/>
      <w:r>
        <w:t xml:space="preserve">cprdSSA</w:t>
      </w:r>
      <w:bookmarkEnd w:id="d526a551-2d14-4aee-b915-929ff3870b8f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Whole Sample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Bile acid sequestrants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 &amp; 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Fibrates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Nicotinic acid groups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Omega-3 Fatty Acid Groups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Stopped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6.8% (115899)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19.0% (111798)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55.9% (3028)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19.6% (150)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12.6% (16)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12.3% (478)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44.0% (74)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35.6% (355)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Added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1.6% (27470)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 (26018)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 (192)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18.9% (145)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 (5)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21.6% (841)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4.2% (7)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26.3% (262)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Switched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0.9% (14956)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2.0% (12014)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11.3% (614)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34.5% (264)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 (82)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44.0% (1714)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44.6% (75)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19.4% (193)</w:t>
            </w:r>
          </w:p>
        </w:tc>
      </w:tr>
    </w:tbl>
    <w:p>
      <w:pPr>
        <w:pStyle w:val="BodyText"/>
      </w:pPr>
      <w:r>
        <w:t xml:space="preserve"> </w:t>
      </w:r>
    </w:p>
    <w:p>
      <w:r>
        <w:br w:type="page"/>
      </w:r>
    </w:p>
    <w:bookmarkEnd w:id="23"/>
    <w:bookmarkStart w:id="24" w:name="supp-tab-strob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Supplementary Table 3: STROBE Reporting Guidelines</w:t>
      </w:r>
    </w:p>
    <w:p>
      <w:pPr>
        <w:pStyle w:val="FirstParagraph"/>
      </w:pPr>
      <w:r>
        <w:rPr>
          <w:bCs/>
          <w:b/>
        </w:rPr>
        <w:t xml:space="preserve">To be completed</w:t>
      </w:r>
    </w:p>
    <w:p>
      <w:r>
        <w:br w:type="page"/>
      </w:r>
    </w:p>
    <w:bookmarkEnd w:id="24"/>
    <w:bookmarkStart w:id="25" w:name="supp-tab-sta-type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Supplementary Table 4: Statin type prescribing by year</w:t>
      </w:r>
    </w:p>
    <w:p>
      <w:pPr>
        <w:pStyle w:val="FirstParagraph"/>
      </w:pPr>
      <w:r>
        <w:t xml:space="preserve"> </w:t>
      </w:r>
    </w:p>
    <w:p>
      <w:pPr>
        <w:pStyle w:val="TableCaption"/>
      </w:pPr>
      <w:r>
        <w:t xml:space="preserve">Table 2.3:</w:t>
      </w:r>
      <w:r>
        <w:t xml:space="preserve"> </w:t>
      </w:r>
      <w:bookmarkStart w:id="78d2f031-c2ff-4cbd-a9c7-6f83bbd07a21" w:name="tab:statinTypeTable-table"/>
      <w:r>
        <w:t xml:space="preserve">Statin prescription by year</w:t>
      </w:r>
      <w:bookmarkEnd w:id="78d2f031-c2ff-4cbd-a9c7-6f83bbd07a2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Prescription Year Group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Hydrophilic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Lipophilic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&gt;=1996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7037 (18.2%)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31531 (81.8%)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38568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&gt;=2001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21427 (10.3%)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187018 (89.7%)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208445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&gt;=2006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3566 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217726 (98.4%)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221292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&gt;=2011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1115 (0.9%)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119035 (99.1%)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120150</w:t>
            </w:r>
          </w:p>
        </w:tc>
      </w:tr>
    </w:tbl>
    <w:p>
      <w:pPr>
        <w:pStyle w:val="BodyText"/>
      </w:pPr>
      <w:r>
        <w:t xml:space="preserve"> </w:t>
      </w:r>
    </w:p>
    <w:p>
      <w:r>
        <w:br w:type="page"/>
      </w:r>
    </w:p>
    <w:bookmarkEnd w:id="25"/>
    <w:bookmarkEnd w:id="26"/>
    <w:bookmarkStart w:id="41" w:name="supp-fig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Supplementary figures</w:t>
      </w:r>
    </w:p>
    <w:bookmarkStart w:id="28" w:name="supp-fig-outcome-decision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Supplementary Figure 1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"figures/cprd-analysis/decision_tree.png"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943600" cy="3168282"/>
            <wp:effectExtent b="0" l="0" r="0" t="0"/>
            <wp:docPr descr="Figure 3.1: The algorithm used to choose between two diagnosis. This decision tree is adapted with permission from Walker et al (2019).(1)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decision_t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The algorithm used to choose between two diagnosis. This decision tree is adapted with permission from Walker</w:t>
      </w:r>
      <w:r>
        <w:t xml:space="preserve"> </w:t>
      </w:r>
      <w:r>
        <w:rPr>
          <w:iCs/>
          <w:i/>
        </w:rPr>
        <w:t xml:space="preserve">et al</w:t>
      </w:r>
      <w:r>
        <w:t xml:space="preserve"> </w:t>
      </w:r>
      <w:r>
        <w:t xml:space="preserve">(2019).</w:t>
      </w:r>
      <w:r>
        <w:t xml:space="preserve">(1)</w:t>
      </w:r>
    </w:p>
    <w:p>
      <w:r>
        <w:br w:type="page"/>
      </w:r>
    </w:p>
    <w:bookmarkEnd w:id="28"/>
    <w:bookmarkStart w:id="30" w:name="supp-fig-attrition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Supplementary Figure 2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"figures/cprd-analysis/cohort_attrition.png"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943600" cy="8192529"/>
            <wp:effectExtent b="0" l="0" r="0" t="0"/>
            <wp:docPr descr="Figure 3.2: Attrition of participants as the eligibility criteria were applied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cohort_attri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3.2: Attrition of participants as the eligibility criteria were applied.</w:t>
      </w:r>
    </w:p>
    <w:p>
      <w:r>
        <w:br w:type="page"/>
      </w:r>
    </w:p>
    <w:bookmarkEnd w:id="30"/>
    <w:bookmarkStart w:id="32" w:name="supp-fig-unadjuste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Supplementary Figure 3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"figures/cprd-analysis/fp_unadjusted.jpeg"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943600" cy="4358959"/>
            <wp:effectExtent b="0" l="0" r="0" t="0"/>
            <wp:docPr descr="Figure 3.3: Association of any lipid regulating agent with a dementia or related outcome, adjusted only for age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p_unadjusted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3.3: Association of any lipid regulating agent with a dementia or related outcome, adjusted only for age.</w:t>
      </w:r>
    </w:p>
    <w:p>
      <w:r>
        <w:br w:type="page"/>
      </w:r>
    </w:p>
    <w:bookmarkEnd w:id="32"/>
    <w:bookmarkStart w:id="34" w:name="supp-fig-entry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Supplementary Figure 4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"figures/cprd-analysis/fp_cohort_entry.jpeg"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943600" cy="1320533"/>
            <wp:effectExtent b="0" l="0" r="0" t="0"/>
            <wp:docPr descr="Figure 3.4: Association of any lipid regulating agent with a dementia or related outcome, stratified by year of entry into the cohort. {Note: Venexia reccomend including some info on average length of follow-up for each group beside the HR - will be done before submission.}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p_cohort_entry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3.4: Association of any lipid regulating agent with a dementia or related outcome, stratified by year of entry into the cohort. {Note: Venexia reccomend including some info on average length of follow-up for each group beside the HR - will be done before submission.}</w:t>
      </w:r>
    </w:p>
    <w:p>
      <w:r>
        <w:br w:type="page"/>
      </w:r>
    </w:p>
    <w:bookmarkEnd w:id="34"/>
    <w:bookmarkStart w:id="36" w:name="supp-fig-pregnancy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Supplementary Figure 5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"figures/cprd-analysis/fp_pregnancy.jpeg"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943600" cy="3301733"/>
            <wp:effectExtent b="0" l="0" r="0" t="0"/>
            <wp:docPr descr="Figure 3.5: Association of any lipid regulating agent with a dementia or related outcome, removing women who were less than 55 years of age at index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p_pregnancy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3.5: Association of any lipid regulating agent with a dementia or related outcome, removing women who were less than 55 years of age at index.</w:t>
      </w:r>
    </w:p>
    <w:p>
      <w:r>
        <w:br w:type="page"/>
      </w:r>
    </w:p>
    <w:bookmarkEnd w:id="36"/>
    <w:bookmarkStart w:id="38" w:name="supp-fig-sta-type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Supplementary Figure 6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"figures/cprd-analysis/fp_sta_type.jpeg"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943600" cy="4754880"/>
            <wp:effectExtent b="0" l="0" r="0" t="0"/>
            <wp:docPr descr="Figure 3.6: Association of statins with a dementia or related outcome, stratified by statin lipophilic/hydrophilic properti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p_sta_type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3.6: Association of statins with a dementia or related outcome, stratified by statin lipophilic/hydrophilic properties.</w:t>
      </w:r>
    </w:p>
    <w:p>
      <w:r>
        <w:br w:type="page"/>
      </w:r>
    </w:p>
    <w:bookmarkEnd w:id="38"/>
    <w:bookmarkStart w:id="40" w:name="supp-fig-backpain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Supplementary Figure 7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"figures/cprd-analysis/fp_control_outcomes.jpeg"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943600" cy="1320533"/>
            <wp:effectExtent b="0" l="0" r="0" t="0"/>
            <wp:docPr descr="Figure 3.7: Association of any lipid regulating agent with backpain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p_control_outcomes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3.7: Association of any lipid regulating agent with backpain.</w:t>
      </w:r>
    </w:p>
    <w:p>
      <w:r>
        <w:br w:type="page"/>
      </w:r>
    </w:p>
    <w:bookmarkEnd w:id="40"/>
    <w:bookmarkEnd w:id="41"/>
    <w:bookmarkStart w:id="44" w:name="references-for-supplementary-materials"/>
    <w:p>
      <w:pPr>
        <w:pStyle w:val="Heading1"/>
      </w:pPr>
      <w:r>
        <w:t xml:space="preserve">References for supplementary materials</w:t>
      </w:r>
    </w:p>
    <w:bookmarkStart w:id="43" w:name="refs"/>
    <w:bookmarkStart w:id="42" w:name="ref-walker2019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Walker VM, Davies NM, Martin RM, Kehoe PG. Comparison of antihypertensive drug classes for dementia prevention. bioRxiv. 2019 Jan;517482.</w:t>
      </w:r>
      <w:r>
        <w:t xml:space="preserve"> </w:t>
      </w:r>
    </w:p>
    <w:bookmarkEnd w:id="42"/>
    <w:bookmarkEnd w:id="43"/>
    <w:bookmarkEnd w:id="44"/>
    <w:sectPr w:rsidR="003A669F" w:rsidRPr="003A669F" w:rsidSect="00D973D0">
      <w:footerReference w:type="default" r:id="rId9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0858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79750F" w14:textId="4106D592" w:rsidR="00FC37A3" w:rsidRDefault="00FC37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BD134" w14:textId="77777777" w:rsidR="00FC37A3" w:rsidRDefault="00FC37A3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10381D9"/>
    <w:multiLevelType w:val="multilevel"/>
    <w:tmpl w:val="9B9E7A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419087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55AAAE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7B2CC1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78B42C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B84E3F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EFC018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CEC2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D7E96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2FED1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2A08FC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0F56B9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0C072ED"/>
    <w:multiLevelType w:val="multilevel"/>
    <w:tmpl w:val="B2E0E602"/>
    <w:lvl w:ilvl="0">
      <w:start w:val="1"/>
      <w:numFmt w:val="decimal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89707DC"/>
    <w:multiLevelType w:val="hybridMultilevel"/>
    <w:tmpl w:val="E69A65F6"/>
    <w:lvl w:ilvl="0" w:tplc="5B7051A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130607"/>
    <w:multiLevelType w:val="multilevel"/>
    <w:tmpl w:val="D400A0AE"/>
    <w:lvl w:ilvl="0">
      <w:start w:val="1"/>
      <w:numFmt w:val="decimal"/>
      <w:pStyle w:val="Heading1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086E0AB"/>
    <w:multiLevelType w:val="multilevel"/>
    <w:tmpl w:val="D7185C3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4331C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3"/>
  </w:num>
  <w:num w:numId="10">
    <w:abstractNumId w:val="14"/>
  </w:num>
  <w:num w:numId="11">
    <w:abstractNumId w:val="14"/>
  </w:num>
  <w:num w:numId="12">
    <w:abstractNumId w:val="11"/>
  </w:num>
  <w:num w:numId="13">
    <w:abstractNumId w:val="9"/>
  </w:num>
  <w:num w:numId="14">
    <w:abstractNumId w:val="8"/>
  </w:num>
  <w:num w:numId="15">
    <w:abstractNumId w:val="7"/>
  </w:num>
  <w:num w:numId="16">
    <w:abstractNumId w:val="6"/>
  </w:num>
  <w:num w:numId="17">
    <w:abstractNumId w:val="10"/>
  </w:num>
  <w:num w:numId="18">
    <w:abstractNumId w:val="5"/>
  </w:num>
  <w:num w:numId="19">
    <w:abstractNumId w:val="4"/>
  </w:num>
  <w:num w:numId="20">
    <w:abstractNumId w:val="3"/>
  </w:num>
  <w:num w:numId="21">
    <w:abstractNumId w:val="2"/>
  </w:num>
  <w:num w:numId="22">
    <w:abstractNumId w:val="16"/>
  </w:num>
  <w:num w:numId="23">
    <w:abstractNumId w:val="12"/>
  </w:num>
  <w:num w:numId="24">
    <w:abstractNumId w:val="14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12337"/>
    <w:pPr>
      <w:keepNext/>
      <w:keepLines/>
      <w:numPr>
        <w:numId w:val="24"/>
      </w:numPr>
      <w:spacing w:after="240"/>
      <w:ind w:left="0" w:hanging="567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12337"/>
    <w:pPr>
      <w:keepNext/>
      <w:keepLines/>
      <w:numPr>
        <w:ilvl w:val="1"/>
        <w:numId w:val="24"/>
      </w:numPr>
      <w:spacing w:after="240"/>
      <w:ind w:left="0" w:hanging="567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Heading2"/>
    <w:next w:val="BodyText"/>
    <w:uiPriority w:val="9"/>
    <w:unhideWhenUsed/>
    <w:qFormat/>
    <w:rsid w:val="00D12337"/>
    <w:pPr>
      <w:numPr>
        <w:ilvl w:val="2"/>
      </w:numPr>
      <w:ind w:left="0" w:hanging="567"/>
      <w:outlineLvl w:val="2"/>
    </w:pPr>
    <w:rPr>
      <w:sz w:val="24"/>
    </w:rPr>
  </w:style>
  <w:style w:type="paragraph" w:styleId="Heading4">
    <w:name w:val="heading 4"/>
    <w:basedOn w:val="Normal"/>
    <w:next w:val="BodyText"/>
    <w:uiPriority w:val="9"/>
    <w:unhideWhenUsed/>
    <w:qFormat/>
    <w:rsid w:val="00A113E2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Heading4"/>
    <w:next w:val="BodyText"/>
    <w:uiPriority w:val="9"/>
    <w:unhideWhenUsed/>
    <w:qFormat/>
    <w:rsid w:val="00B16115"/>
    <w:pPr>
      <w:pageBreakBefore/>
      <w:spacing w:line="20" w:lineRule="exact"/>
      <w:outlineLvl w:val="4"/>
    </w:pPr>
    <w:rPr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965E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  <w:rsid w:val="003965E8"/>
  </w:style>
  <w:style w:type="paragraph" w:customStyle="1" w:styleId="Compact">
    <w:name w:val="Compact"/>
    <w:basedOn w:val="BodyText"/>
    <w:qFormat/>
    <w:rsid w:val="0032548E"/>
    <w:pPr>
      <w:spacing w:before="36" w:after="36"/>
    </w:pPr>
    <w:rPr>
      <w:rFonts w:cs="Arial"/>
      <w:szCs w:val="18"/>
    </w:rPr>
  </w:style>
  <w:style w:type="paragraph" w:styleId="Title">
    <w:name w:val="Title"/>
    <w:basedOn w:val="Normal"/>
    <w:next w:val="BodyText"/>
    <w:qFormat/>
    <w:rsid w:val="009F2E0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rsid w:val="009F2E06"/>
    <w:pPr>
      <w:keepNext/>
      <w:keepLines/>
      <w:jc w:val="center"/>
    </w:pPr>
    <w:rPr>
      <w:i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Normal"/>
    <w:next w:val="BodyText"/>
    <w:uiPriority w:val="39"/>
    <w:unhideWhenUsed/>
    <w:qFormat/>
    <w:rsid w:val="00A42EE4"/>
    <w:rPr>
      <w:rFonts w:asciiTheme="majorHAnsi" w:hAnsiTheme="majorHAnsi" w:cstheme="majorHAnsi"/>
      <w:b/>
      <w:bCs/>
      <w:sz w:val="32"/>
      <w:szCs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7B60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0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6050"/>
    <w:pPr>
      <w:spacing w:after="100"/>
      <w:ind w:left="480"/>
    </w:pPr>
  </w:style>
  <w:style w:type="paragraph" w:styleId="Header">
    <w:name w:val="header"/>
    <w:basedOn w:val="Normal"/>
    <w:link w:val="HeaderChar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BodyTextChar">
    <w:name w:val="Body Text Char"/>
    <w:basedOn w:val="DefaultParagraphFont"/>
    <w:link w:val="BodyText"/>
    <w:rsid w:val="003965E8"/>
  </w:style>
  <w:style w:type="character" w:customStyle="1" w:styleId="HeaderChar">
    <w:name w:val="Header Char"/>
    <w:basedOn w:val="DefaultParagraphFont"/>
    <w:link w:val="Header"/>
    <w:rsid w:val="00390E4A"/>
  </w:style>
  <w:style w:type="paragraph" w:styleId="Footer">
    <w:name w:val="footer"/>
    <w:basedOn w:val="Normal"/>
    <w:link w:val="FooterChar"/>
    <w:uiPriority w:val="99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90E4A"/>
  </w:style>
  <w:style w:type="paragraph" w:styleId="BalloonText">
    <w:name w:val="Balloon Text"/>
    <w:basedOn w:val="Normal"/>
    <w:link w:val="BalloonTextChar"/>
    <w:semiHidden/>
    <w:unhideWhenUsed/>
    <w:rsid w:val="00C9773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97736"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semiHidden/>
    <w:unhideWhenUsed/>
    <w:rsid w:val="001D2E8D"/>
  </w:style>
  <w:style w:type="table" w:customStyle="1" w:styleId="Table">
    <w:name w:val="Table"/>
    <w:semiHidden/>
    <w:qFormat/>
    <w:rsid w:val="000733C7"/>
    <w:tblPr>
      <w:tblStyleRowBandSize w:val="1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3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33" Target="media/rId33.jpg" /><Relationship Type="http://schemas.openxmlformats.org/officeDocument/2006/relationships/image" Id="rId39" Target="media/rId39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1" Target="media/rId3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2021-06-15T15:22:08Z</dcterms:created>
  <dcterms:modified xsi:type="dcterms:W3CDTF">2021-06-15T15:22:08Z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vancouver.csl</vt:lpwstr>
  </property>
  <property fmtid="{D5CDD505-2E9C-101B-9397-08002B2CF9AE}" pid="4" name="date">
    <vt:lpwstr>Supplementary Files updated: 15 June, 2021</vt:lpwstr>
  </property>
  <property fmtid="{D5CDD505-2E9C-101B-9397-08002B2CF9AE}" pid="5" name="output">
    <vt:lpwstr/>
  </property>
  <property fmtid="{D5CDD505-2E9C-101B-9397-08002B2CF9AE}" pid="6" name="pandoc_args">
    <vt:lpwstr/>
  </property>
</Properties>
</file>