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8.png" ContentType="image/png"/>
  <Override PartName="/word/media/rId26.png" ContentType="image/png"/>
  <Override PartName="/word/media/rId36.jpg" ContentType="image/jpeg"/>
  <Override PartName="/word/media/rId32.jpg" ContentType="image/jpeg"/>
  <Override PartName="/word/media/rId34.jpg" ContentType="image/jpeg"/>
  <Override PartName="/word/media/rId3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Date"/>
      </w:pPr>
      <w:r>
        <w:t xml:space="preserve">Supplementary</w:t>
      </w:r>
      <w:r>
        <w:t xml:space="preserve"> </w:t>
      </w:r>
      <w:r>
        <w:t xml:space="preserve">Files</w:t>
      </w:r>
      <w:r>
        <w:t xml:space="preserve"> </w:t>
      </w:r>
      <w:r>
        <w:t xml:space="preserve">updated:</w:t>
      </w:r>
      <w:r>
        <w:t xml:space="preserve"> </w:t>
      </w:r>
      <w:r>
        <w:t xml:space="preserve">17</w:t>
      </w:r>
      <w:r>
        <w:t xml:space="preserve"> </w:t>
      </w:r>
      <w:r>
        <w:t xml:space="preserve">June,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1" w:name="supp-mat"/>
    <w:p>
      <w:pPr>
        <w:pStyle w:val="Heading1"/>
      </w:pPr>
      <w:r>
        <w:t xml:space="preserve">Supplementary Materials</w:t>
      </w:r>
    </w:p>
    <w:bookmarkStart w:id="20" w:name="supp-mat-protocol"/>
    <w:p>
      <w:pPr>
        <w:pStyle w:val="Heading2"/>
      </w:pPr>
      <w:r>
        <w:t xml:space="preserve">Supplementary Material 1: Changes to protocol</w:t>
      </w:r>
    </w:p>
    <w:p>
      <w:pPr>
        <w:pStyle w:val="FirstParagraph"/>
      </w:pPr>
      <w:r>
        <w:t xml:space="preserve">Any changes made to the approved procotol are</w:t>
      </w:r>
      <w:r>
        <w:t xml:space="preserve"> </w:t>
      </w:r>
      <w:r>
        <w:t xml:space="preserve">“</w:t>
      </w:r>
      <w:r>
        <w:t xml:space="preserve">Minor amendments</w:t>
      </w:r>
      <w:r>
        <w:t xml:space="preserve">”</w:t>
      </w:r>
      <w:r>
        <w:t xml:space="preserve"> </w:t>
      </w:r>
      <w:r>
        <w:t xml:space="preserve">as per the ISAC criteria, specifically falling under the category of</w:t>
      </w:r>
      <w:r>
        <w:t xml:space="preserve"> </w:t>
      </w:r>
      <w:r>
        <w:t xml:space="preserve">“</w:t>
      </w:r>
      <w:r>
        <w:t xml:space="preserve">Additional methods to further control for confounding or sensitivity analysis provided these are to be reported as secondary to the main findings.</w:t>
      </w:r>
      <w:r>
        <w:t xml:space="preserve">”</w:t>
      </w:r>
    </w:p>
    <w:p>
      <w:pPr>
        <w:pStyle w:val="BodyText"/>
      </w:pPr>
      <w:r>
        <w:t xml:space="preserve">Main changes include:</w:t>
      </w:r>
    </w:p>
    <w:p>
      <w:pPr>
        <w:numPr>
          <w:ilvl w:val="0"/>
          <w:numId w:val="1001"/>
        </w:numPr>
        <w:pStyle w:val="Compact"/>
      </w:pPr>
      <w:r>
        <w:t xml:space="preserve">Use of a time-varying treatment indicator, to correctly classify time-at-risk.</w:t>
      </w:r>
    </w:p>
    <w:p>
      <w:pPr>
        <w:numPr>
          <w:ilvl w:val="0"/>
          <w:numId w:val="1001"/>
        </w:numPr>
        <w:pStyle w:val="Compact"/>
      </w:pPr>
      <w:r>
        <w:t xml:space="preserve">Inclusion of additional covariates that are adjusted for in the main model.</w:t>
      </w:r>
    </w:p>
    <w:p>
      <w:r>
        <w:br w:type="page"/>
      </w:r>
    </w:p>
    <w:bookmarkEnd w:id="20"/>
    <w:bookmarkEnd w:id="21"/>
    <w:bookmarkStart w:id="25" w:name="supp-tab"/>
    <w:p>
      <w:pPr>
        <w:pStyle w:val="Heading1"/>
      </w:pPr>
      <w:r>
        <w:t xml:space="preserve">Supplementary tables</w:t>
      </w:r>
    </w:p>
    <w:bookmarkStart w:id="22" w:name="supp-tab-strobe"/>
    <w:p>
      <w:pPr>
        <w:pStyle w:val="Heading2"/>
      </w:pPr>
      <w:r>
        <w:t xml:space="preserve">Supplementary Table 1: STROBE Reporting Guidelines</w:t>
      </w:r>
    </w:p>
    <w:p>
      <w:pPr>
        <w:pStyle w:val="FirstParagraph"/>
      </w:pPr>
      <w:r>
        <w:t xml:space="preserve">A copy of the RECORD Checklist</w:t>
      </w:r>
      <w:r>
        <w:t xml:space="preserve">(1)</w:t>
      </w:r>
      <w:r>
        <w:t xml:space="preserve"> </w:t>
      </w:r>
      <w:r>
        <w:t xml:space="preserve">is provided below.</w:t>
      </w:r>
    </w:p>
    <w:p>
      <w:pPr>
        <w:pStyle w:val="BodyText"/>
      </w:pPr>
      <w:r>
        <w:rPr>
          <w:bCs/>
          <w:b/>
        </w:rPr>
        <w:t xml:space="preserve">To be copied in</w:t>
      </w:r>
    </w:p>
    <w:p>
      <w:r>
        <w:br w:type="page"/>
      </w:r>
    </w:p>
    <w:bookmarkEnd w:id="22"/>
    <w:bookmarkStart w:id="23" w:name="Xe61b05c12d1bb0bc8508d0d2c4891fde1be1167"/>
    <w:p>
      <w:pPr>
        <w:pStyle w:val="Heading2"/>
      </w:pPr>
      <w:r>
        <w:t xml:space="preserve">Supplementary Table 2: Definition of exposures and covariates</w:t>
      </w:r>
    </w:p>
    <w:p>
      <w:pPr>
        <w:pStyle w:val="FirstParagraph"/>
      </w:pPr>
      <w:r>
        <w:t xml:space="preserve">The code lists used to define covariates adjusted for in the fully-adjusted model (see Supplementary Table</w:t>
      </w:r>
      <w:r>
        <w:t xml:space="preserve"> </w:t>
      </w:r>
      <w:r>
        <w:t xml:space="preserve">1</w:t>
      </w:r>
      <w:r>
        <w:t xml:space="preserve">) were originally created for use in a previous analysis.</w:t>
      </w:r>
      <w:r>
        <w:t xml:space="preserve">(2)</w:t>
      </w:r>
      <w:r>
        <w:t xml:space="preserve"> </w:t>
      </w:r>
      <w:r>
        <w:t xml:space="preserve">Some code lists were built on or adapted from previous published work,</w:t>
      </w:r>
      <w:r>
        <w:t xml:space="preserve">(3–5)</w:t>
      </w:r>
      <w:r>
        <w:t xml:space="preserve"> </w:t>
      </w:r>
      <w:r>
        <w:t xml:space="preserve">and these are noted in the table.</w:t>
      </w:r>
    </w:p>
    <w:p>
      <w:pPr>
        <w:pStyle w:val="BodyText"/>
      </w:pPr>
      <w:r>
        <w:t xml:space="preserve"> </w:t>
      </w:r>
    </w:p>
    <w:p>
      <w:pPr>
        <w:pStyle w:val="TableCaption"/>
      </w:pPr>
      <w:r>
        <w:t xml:space="preserve">Table 1:</w:t>
      </w:r>
      <w:r>
        <w:t xml:space="preserve"> </w:t>
      </w:r>
      <w:bookmarkStart w:id="0f1c8c53-41fe-44de-bca0-7e8bba22c2a7" w:name="tab:covariateDef-table"/>
      <w:r>
        <w:t xml:space="preserve">Definition of covariates adjusted for in the Cox PR model.</w:t>
      </w:r>
      <w:bookmarkEnd w:id="0f1c8c53-41fe-44de-bca0-7e8bba22c2a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Covariate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How was the covariate defined?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coronary arterial disease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coronary bypass surgery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cerebrovascular disease (including stroke)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Chronic illness, including cancer and arthritis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Charlson index implemented using Read code lists. (2) Code lists based on those by Taylor et al. (3)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Socioeconomic position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2010 English Index of Multiple Deprivation (IMD) at the ?twentile? level, where 1 represents the least deprived and 20 the most deprived.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Consultation rate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Calculated by dividing the total number of clinic visits by the length of the patient record prior to the index date to give an average annual rate.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Alcohol status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Recorded value (current, former or never).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Smoking status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Most recent of recorded value (current, former or never) or Read code indicating a recorded value. Code lists based on those by Wright et al. (4)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Body Mass Index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Recorded value if available, or a calculated value using the last recorded height and weight measurements. Measurements taken before the age of 25 were excluded to ensure adult measurements were used.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Peripheral arterial disease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Hypertension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Baseline total cholesterol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Continuous value recorded as test result ("enttype==163 &amp; test_data1==3")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Baseline LDL cholesterol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Continuous value recorded as test result ("enttype==177 &amp; test_data1==3")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Chronic kidney disease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Type 1 Diabetes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Type 2 Diabetes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</w:tbl>
    <w:p>
      <w:r>
        <w:br w:type="page"/>
      </w:r>
    </w:p>
    <w:bookmarkEnd w:id="23"/>
    <w:bookmarkStart w:id="24" w:name="X9c0dbf4cc3cf385bf7113d7576cbc751208f4e1"/>
    <w:p>
      <w:pPr>
        <w:pStyle w:val="Heading2"/>
      </w:pPr>
      <w:r>
        <w:t xml:space="preserve">Supplementary Table 3: Adherence and switching by drug class</w:t>
      </w:r>
    </w:p>
    <w:p>
      <w:pPr>
        <w:pStyle w:val="TableCaption"/>
      </w:pPr>
      <w:r>
        <w:t xml:space="preserve">Table 2:</w:t>
      </w:r>
      <w:r>
        <w:t xml:space="preserve"> </w:t>
      </w:r>
      <w:bookmarkStart w:id="028ad384-0e0a-4418-bfc4-9fd7af1768bc" w:name="tab:cprdSSA-table"/>
      <w:r>
        <w:t xml:space="preserve">Adherence and switching by drug class.</w:t>
      </w:r>
      <w:bookmarkEnd w:id="028ad384-0e0a-4418-bfc4-9fd7af1768bc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Whole Sample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Statins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Bile acid sequestrants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Ezetimibe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Ezetimibe &amp; Statins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Fibrates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Nicotinic acid groups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Omega-3 Fatty Acid Groups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Stopped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6.8% (115899)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19.0% (111798)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55.9% (3028)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19.6% (150)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12.6% (16)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12.3% (478)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44.0% (74)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35.6% (355)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Added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1.6% (27470)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 (26018)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 (192)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18.9% (145)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 (5)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21.6% (841)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4.2% (7)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26.3% (262)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Switched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0.9% (14956)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2.0% (12014)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11.3% (614)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34.5% (264)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 (82)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44.0% (1714)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44.6% (75)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19.4% (193)</w:t>
            </w:r>
          </w:p>
        </w:tc>
      </w:tr>
    </w:tbl>
    <w:p>
      <w:pPr>
        <w:pStyle w:val="BodyText"/>
      </w:pPr>
      <w:r>
        <w:t xml:space="preserve"> </w:t>
      </w:r>
    </w:p>
    <w:p>
      <w:r>
        <w:br w:type="page"/>
      </w:r>
    </w:p>
    <w:bookmarkEnd w:id="24"/>
    <w:bookmarkEnd w:id="25"/>
    <w:bookmarkStart w:id="38" w:name="supp-fig"/>
    <w:p>
      <w:pPr>
        <w:pStyle w:val="Heading1"/>
      </w:pPr>
      <w:r>
        <w:t xml:space="preserve">Supplementary figures</w:t>
      </w:r>
    </w:p>
    <w:bookmarkStart w:id="27" w:name="supp-fig-outcome-decision"/>
    <w:p>
      <w:pPr>
        <w:pStyle w:val="Heading2"/>
      </w:pPr>
      <w:r>
        <w:t xml:space="preserve">Supplementary Figure 1</w:t>
      </w:r>
    </w:p>
    <w:p>
      <w:pPr>
        <w:pStyle w:val="CaptionedFigure"/>
      </w:pPr>
      <w:r>
        <w:drawing>
          <wp:inline>
            <wp:extent cx="5943600" cy="3168282"/>
            <wp:effectExtent b="0" l="0" r="0" t="0"/>
            <wp:docPr descr="Figure 1: The algorithm used to choose between two diagnosis. This decision tree is adapted with permission from Walker et al (2020).(2)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decision_tre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The algorithm used to choose between two diagnosis. This decision tree is adapted with permission from Walker</w:t>
      </w:r>
      <w:r>
        <w:t xml:space="preserve"> </w:t>
      </w:r>
      <w:r>
        <w:rPr>
          <w:iCs/>
          <w:i/>
        </w:rPr>
        <w:t xml:space="preserve">et al</w:t>
      </w:r>
      <w:r>
        <w:t xml:space="preserve"> </w:t>
      </w:r>
      <w:r>
        <w:t xml:space="preserve">(2020).</w:t>
      </w:r>
      <w:r>
        <w:t xml:space="preserve">(2)</w:t>
      </w:r>
    </w:p>
    <w:p>
      <w:r>
        <w:br w:type="page"/>
      </w:r>
    </w:p>
    <w:bookmarkEnd w:id="27"/>
    <w:bookmarkStart w:id="29" w:name="supp-fig-attrition"/>
    <w:p>
      <w:pPr>
        <w:pStyle w:val="Heading2"/>
      </w:pPr>
      <w:r>
        <w:t xml:space="preserve">Supplementary Figure 2</w:t>
      </w:r>
    </w:p>
    <w:p>
      <w:pPr>
        <w:pStyle w:val="CaptionedFigure"/>
      </w:pPr>
      <w:r>
        <w:drawing>
          <wp:inline>
            <wp:extent cx="5943600" cy="8192529"/>
            <wp:effectExtent b="0" l="0" r="0" t="0"/>
            <wp:docPr descr="Figure 2: Attrition of participants as the eligibility criteria were applied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cohort_attri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Attrition of participants as the eligibility criteria were applied.</w:t>
      </w:r>
    </w:p>
    <w:p>
      <w:r>
        <w:br w:type="page"/>
      </w:r>
    </w:p>
    <w:bookmarkEnd w:id="29"/>
    <w:bookmarkStart w:id="31" w:name="supp-fig-unadjusted"/>
    <w:p>
      <w:pPr>
        <w:pStyle w:val="Heading2"/>
      </w:pPr>
      <w:r>
        <w:t xml:space="preserve">Supplementary Figure 3</w:t>
      </w:r>
    </w:p>
    <w:p>
      <w:pPr>
        <w:pStyle w:val="CaptionedFigure"/>
      </w:pPr>
      <w:r>
        <w:drawing>
          <wp:inline>
            <wp:extent cx="5943600" cy="4358959"/>
            <wp:effectExtent b="0" l="0" r="0" t="0"/>
            <wp:docPr descr="Figure 3: Association of any lipid regulating agent with a dementia or related outcome using three models adjusted for age, age and sex, and all covariates respectively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p_unadjusted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Association of any lipid regulating agent with a dementia or related outcome using three models adjusted for age, age and sex, and all covariates respectively.</w:t>
      </w:r>
    </w:p>
    <w:p>
      <w:r>
        <w:br w:type="page"/>
      </w:r>
    </w:p>
    <w:bookmarkEnd w:id="31"/>
    <w:bookmarkStart w:id="33" w:name="supp-fig-pregnancy"/>
    <w:p>
      <w:pPr>
        <w:pStyle w:val="Heading2"/>
      </w:pPr>
      <w:r>
        <w:t xml:space="preserve">Supplementary Figure 4</w:t>
      </w:r>
    </w:p>
    <w:p>
      <w:pPr>
        <w:pStyle w:val="CaptionedFigure"/>
      </w:pPr>
      <w:r>
        <w:drawing>
          <wp:inline>
            <wp:extent cx="5943600" cy="3301733"/>
            <wp:effectExtent b="0" l="0" r="0" t="0"/>
            <wp:docPr descr="Figure 4: Association of any lipid regulating agent with a dementia or related outcome, removing participants who were less than 55 years of age at index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p_pregnancy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Association of any lipid regulating agent with a dementia or related outcome, removing participants who were less than 55 years of age at index.</w:t>
      </w:r>
    </w:p>
    <w:p>
      <w:r>
        <w:br w:type="page"/>
      </w:r>
    </w:p>
    <w:bookmarkEnd w:id="33"/>
    <w:bookmarkStart w:id="35" w:name="supp-fig-sta-type"/>
    <w:p>
      <w:pPr>
        <w:pStyle w:val="Heading2"/>
      </w:pPr>
      <w:r>
        <w:t xml:space="preserve">Supplementary Figure 5</w:t>
      </w:r>
    </w:p>
    <w:p>
      <w:pPr>
        <w:pStyle w:val="CaptionedFigure"/>
      </w:pPr>
      <w:r>
        <w:drawing>
          <wp:inline>
            <wp:extent cx="5943600" cy="4754880"/>
            <wp:effectExtent b="0" l="0" r="0" t="0"/>
            <wp:docPr descr="Figure 5: Association of statins with a dementia or related outcome, stratified by statin lipophilic/hydrophilic properties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p_sta_type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Association of statins with a dementia or related outcome, stratified by statin lipophilic/hydrophilic properties.</w:t>
      </w:r>
    </w:p>
    <w:p>
      <w:r>
        <w:br w:type="page"/>
      </w:r>
    </w:p>
    <w:bookmarkEnd w:id="35"/>
    <w:bookmarkStart w:id="37" w:name="supp-fig-backpain"/>
    <w:p>
      <w:pPr>
        <w:pStyle w:val="Heading2"/>
      </w:pPr>
      <w:r>
        <w:t xml:space="preserve">Supplementary Figure 6</w:t>
      </w:r>
    </w:p>
    <w:p>
      <w:pPr>
        <w:pStyle w:val="CaptionedFigure"/>
      </w:pPr>
      <w:r>
        <w:drawing>
          <wp:inline>
            <wp:extent cx="5943600" cy="2046707"/>
            <wp:effectExtent b="0" l="0" r="0" t="0"/>
            <wp:docPr descr="Figure 6: Association of any lipid regulating agent with backpain, ischemic heart disease (IHD), and Type 2 diabetes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p_control_outcomes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Association of any lipid regulating agent with backpain, ischemic heart disease (IHD), and Type 2 diabetes.</w:t>
      </w:r>
    </w:p>
    <w:p>
      <w:r>
        <w:br w:type="page"/>
      </w:r>
    </w:p>
    <w:bookmarkEnd w:id="37"/>
    <w:bookmarkEnd w:id="38"/>
    <w:bookmarkStart w:id="45" w:name="references-for-supplementary-materials"/>
    <w:p>
      <w:pPr>
        <w:pStyle w:val="Heading1"/>
      </w:pPr>
      <w:r>
        <w:t xml:space="preserve">References for supplementary materials</w:t>
      </w:r>
    </w:p>
    <w:bookmarkStart w:id="44" w:name="refs"/>
    <w:bookmarkStart w:id="39" w:name="ref-nicholls2016record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Nicholls SG, Langan SM, Sørensen HT, Petersen I, Benchimol EI. The</w:t>
      </w:r>
      <w:r>
        <w:t xml:space="preserve"> </w:t>
      </w:r>
      <w:r>
        <w:t xml:space="preserve">RECORD</w:t>
      </w:r>
      <w:r>
        <w:t xml:space="preserve"> </w:t>
      </w:r>
      <w:r>
        <w:t xml:space="preserve">reporting guidelines: Meeting the methodological and ethical demands of transparency in research using routinely-collected health data. Clinical epidemiology. 2016;8:389.</w:t>
      </w:r>
      <w:r>
        <w:t xml:space="preserve"> </w:t>
      </w:r>
    </w:p>
    <w:bookmarkEnd w:id="39"/>
    <w:bookmarkStart w:id="40" w:name="ref-walker2020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Walker VM, Davies NM, Martin RM, Kehoe PG. Comparison of</w:t>
      </w:r>
      <w:r>
        <w:t xml:space="preserve"> </w:t>
      </w:r>
      <w:r>
        <w:t xml:space="preserve">Antihypertensive Drug Classes</w:t>
      </w:r>
      <w:r>
        <w:t xml:space="preserve"> </w:t>
      </w:r>
      <w:r>
        <w:t xml:space="preserve">for</w:t>
      </w:r>
      <w:r>
        <w:t xml:space="preserve"> </w:t>
      </w:r>
      <w:r>
        <w:t xml:space="preserve">Dementia Prevention</w:t>
      </w:r>
      <w:r>
        <w:t xml:space="preserve">. Epidemiology. 2020 Nov;31(6):852–9.</w:t>
      </w:r>
      <w:r>
        <w:t xml:space="preserve"> </w:t>
      </w:r>
    </w:p>
    <w:bookmarkEnd w:id="40"/>
    <w:bookmarkStart w:id="41" w:name="ref-khan2010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Khan NF, Perera R, Harper S, Rose PW. Adaptation and validation of the</w:t>
      </w:r>
      <w:r>
        <w:t xml:space="preserve"> </w:t>
      </w:r>
      <w:r>
        <w:t xml:space="preserve">Charlson Index</w:t>
      </w:r>
      <w:r>
        <w:t xml:space="preserve"> </w:t>
      </w:r>
      <w:r>
        <w:t xml:space="preserve">for</w:t>
      </w:r>
      <w:r>
        <w:t xml:space="preserve"> </w:t>
      </w:r>
      <w:r>
        <w:t xml:space="preserve">Read</w:t>
      </w:r>
      <w:r>
        <w:t xml:space="preserve">/</w:t>
      </w:r>
      <w:r>
        <w:t xml:space="preserve">OXMIS</w:t>
      </w:r>
      <w:r>
        <w:t xml:space="preserve"> </w:t>
      </w:r>
      <w:r>
        <w:t xml:space="preserve">coded databases. BMC Family Practice. 2010 Jan;11(1):1.</w:t>
      </w:r>
      <w:r>
        <w:t xml:space="preserve"> </w:t>
      </w:r>
    </w:p>
    <w:bookmarkEnd w:id="41"/>
    <w:bookmarkStart w:id="42" w:name="ref-taylor2016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Taylor GMJ, Taylor AE, Thomas KH, Jones T, Martin RM, Munafò MR, et al. Effectiveness of varenicline versus nicotine replacement therapy on long-term smoking cessation in primary care: A prospective, cohort study of electronic medical records. The Lancet. 2016 Nov;388:S107.</w:t>
      </w:r>
      <w:r>
        <w:t xml:space="preserve"> </w:t>
      </w:r>
    </w:p>
    <w:bookmarkEnd w:id="42"/>
    <w:bookmarkStart w:id="43" w:name="ref-wright2017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Wright AK, Kontopantelis E, Emsley R, Buchan I, Sattar N, Rutter MK, et al. Life</w:t>
      </w:r>
      <w:r>
        <w:t xml:space="preserve"> </w:t>
      </w:r>
      <w:r>
        <w:t xml:space="preserve">Expectancy</w:t>
      </w:r>
      <w:r>
        <w:t xml:space="preserve"> </w:t>
      </w:r>
      <w:r>
        <w:t xml:space="preserve">and</w:t>
      </w:r>
      <w:r>
        <w:t xml:space="preserve"> </w:t>
      </w:r>
      <w:r>
        <w:t xml:space="preserve">Cause</w:t>
      </w:r>
      <w:r>
        <w:t xml:space="preserve">-</w:t>
      </w:r>
      <w:r>
        <w:t xml:space="preserve">Specific Mortality</w:t>
      </w:r>
      <w:r>
        <w:t xml:space="preserve"> </w:t>
      </w:r>
      <w:r>
        <w:t xml:space="preserve">in</w:t>
      </w:r>
      <w:r>
        <w:t xml:space="preserve"> </w:t>
      </w:r>
      <w:r>
        <w:t xml:space="preserve">Type</w:t>
      </w:r>
      <w:r>
        <w:t xml:space="preserve"> </w:t>
      </w:r>
      <w:r>
        <w:t xml:space="preserve">2</w:t>
      </w:r>
      <w:r>
        <w:t xml:space="preserve"> </w:t>
      </w:r>
      <w:r>
        <w:t xml:space="preserve">Diabetes</w:t>
      </w:r>
      <w:r>
        <w:t xml:space="preserve">:</w:t>
      </w:r>
      <w:r>
        <w:t xml:space="preserve"> </w:t>
      </w:r>
      <w:r>
        <w:t xml:space="preserve">A Population</w:t>
      </w:r>
      <w:r>
        <w:t xml:space="preserve">-</w:t>
      </w:r>
      <w:r>
        <w:t xml:space="preserve">Based Cohort Study Quantifying Relationships</w:t>
      </w:r>
      <w:r>
        <w:t xml:space="preserve"> </w:t>
      </w:r>
      <w:r>
        <w:t xml:space="preserve">in</w:t>
      </w:r>
      <w:r>
        <w:t xml:space="preserve"> </w:t>
      </w:r>
      <w:r>
        <w:t xml:space="preserve">Ethnic Subgroups</w:t>
      </w:r>
      <w:r>
        <w:t xml:space="preserve">. Diabetes Care. 2017 Mar;40(3):338–45.</w:t>
      </w:r>
      <w:r>
        <w:t xml:space="preserve"> </w:t>
      </w:r>
    </w:p>
    <w:bookmarkEnd w:id="43"/>
    <w:bookmarkEnd w:id="44"/>
    <w:bookmarkEnd w:id="45"/>
    <w:sectPr w:rsidR="003A669F" w:rsidRPr="003A669F" w:rsidSect="00BC1A05">
      <w:footerReference w:type="default" r:id="rId9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20858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79750F" w14:textId="4106D592" w:rsidR="00FC37A3" w:rsidRDefault="00FC37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7BD134" w14:textId="77777777" w:rsidR="00FC37A3" w:rsidRDefault="00FC37A3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10381D9"/>
    <w:multiLevelType w:val="multilevel"/>
    <w:tmpl w:val="9B9E7A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419087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55AAAEF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7B2CC1F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78B42C6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B84E3F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EFC018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CCEC26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9D7E96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D2FED1C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2A08FC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0F56B9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00C072ED"/>
    <w:multiLevelType w:val="multilevel"/>
    <w:tmpl w:val="B2E0E602"/>
    <w:lvl w:ilvl="0">
      <w:start w:val="1"/>
      <w:numFmt w:val="decimal"/>
      <w:lvlText w:val="%1"/>
      <w:lvlJc w:val="left"/>
      <w:pPr>
        <w:ind w:left="-3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89707DC"/>
    <w:multiLevelType w:val="hybridMultilevel"/>
    <w:tmpl w:val="E69A65F6"/>
    <w:lvl w:ilvl="0" w:tplc="5B7051A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130607"/>
    <w:multiLevelType w:val="multilevel"/>
    <w:tmpl w:val="D400A0AE"/>
    <w:lvl w:ilvl="0">
      <w:start w:val="1"/>
      <w:numFmt w:val="decimal"/>
      <w:pStyle w:val="Heading1"/>
      <w:lvlText w:val="%1"/>
      <w:lvlJc w:val="left"/>
      <w:pPr>
        <w:ind w:left="-37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086E0AB"/>
    <w:multiLevelType w:val="multilevel"/>
    <w:tmpl w:val="D7185C3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4331CB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3"/>
  </w:num>
  <w:num w:numId="10">
    <w:abstractNumId w:val="14"/>
  </w:num>
  <w:num w:numId="11">
    <w:abstractNumId w:val="14"/>
  </w:num>
  <w:num w:numId="12">
    <w:abstractNumId w:val="11"/>
  </w:num>
  <w:num w:numId="13">
    <w:abstractNumId w:val="9"/>
  </w:num>
  <w:num w:numId="14">
    <w:abstractNumId w:val="8"/>
  </w:num>
  <w:num w:numId="15">
    <w:abstractNumId w:val="7"/>
  </w:num>
  <w:num w:numId="16">
    <w:abstractNumId w:val="6"/>
  </w:num>
  <w:num w:numId="17">
    <w:abstractNumId w:val="10"/>
  </w:num>
  <w:num w:numId="18">
    <w:abstractNumId w:val="5"/>
  </w:num>
  <w:num w:numId="19">
    <w:abstractNumId w:val="4"/>
  </w:num>
  <w:num w:numId="20">
    <w:abstractNumId w:val="3"/>
  </w:num>
  <w:num w:numId="21">
    <w:abstractNumId w:val="2"/>
  </w:num>
  <w:num w:numId="22">
    <w:abstractNumId w:val="16"/>
  </w:num>
  <w:num w:numId="23">
    <w:abstractNumId w:val="12"/>
  </w:num>
  <w:num w:numId="24">
    <w:abstractNumId w:val="14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072848"/>
    <w:pPr>
      <w:keepNext/>
      <w:keepLines/>
      <w:numPr>
        <w:numId w:val="24"/>
      </w:numPr>
      <w:spacing w:before="240" w:after="240"/>
      <w:ind w:left="0" w:hanging="567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1108D7"/>
    <w:pPr>
      <w:keepNext/>
      <w:keepLines/>
      <w:numPr>
        <w:ilvl w:val="1"/>
        <w:numId w:val="24"/>
      </w:numPr>
      <w:spacing w:before="240" w:after="240"/>
      <w:ind w:left="0" w:hanging="567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Heading2"/>
    <w:next w:val="BodyText"/>
    <w:uiPriority w:val="9"/>
    <w:unhideWhenUsed/>
    <w:qFormat/>
    <w:rsid w:val="00072848"/>
    <w:pPr>
      <w:numPr>
        <w:ilvl w:val="2"/>
      </w:numPr>
      <w:ind w:left="0" w:hanging="567"/>
      <w:outlineLvl w:val="2"/>
    </w:pPr>
    <w:rPr>
      <w:sz w:val="24"/>
    </w:rPr>
  </w:style>
  <w:style w:type="paragraph" w:styleId="Heading4">
    <w:name w:val="heading 4"/>
    <w:basedOn w:val="Normal"/>
    <w:next w:val="BodyText"/>
    <w:uiPriority w:val="9"/>
    <w:unhideWhenUsed/>
    <w:qFormat/>
    <w:rsid w:val="00A113E2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Heading5">
    <w:name w:val="heading 5"/>
    <w:basedOn w:val="Heading4"/>
    <w:next w:val="BodyText"/>
    <w:uiPriority w:val="9"/>
    <w:unhideWhenUsed/>
    <w:qFormat/>
    <w:rsid w:val="00B16115"/>
    <w:pPr>
      <w:pageBreakBefore/>
      <w:spacing w:line="20" w:lineRule="exact"/>
      <w:outlineLvl w:val="4"/>
    </w:pPr>
    <w:rPr>
      <w:color w:val="FFFFFF" w:themeColor="background1"/>
      <w:sz w:val="16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3965E8"/>
    <w:pPr>
      <w:spacing w:before="120" w:after="120"/>
    </w:pPr>
  </w:style>
  <w:style w:type="paragraph" w:customStyle="1" w:styleId="FirstParagraph">
    <w:name w:val="First Paragraph"/>
    <w:basedOn w:val="BodyText"/>
    <w:next w:val="BodyText"/>
    <w:qFormat/>
    <w:rsid w:val="003965E8"/>
  </w:style>
  <w:style w:type="paragraph" w:customStyle="1" w:styleId="Compact">
    <w:name w:val="Compact"/>
    <w:basedOn w:val="BodyText"/>
    <w:qFormat/>
    <w:rsid w:val="0032548E"/>
    <w:pPr>
      <w:spacing w:before="36" w:after="36"/>
    </w:pPr>
    <w:rPr>
      <w:rFonts w:cs="Arial"/>
      <w:szCs w:val="18"/>
    </w:rPr>
  </w:style>
  <w:style w:type="paragraph" w:styleId="Title">
    <w:name w:val="Title"/>
    <w:basedOn w:val="Normal"/>
    <w:next w:val="BodyText"/>
    <w:qFormat/>
    <w:rsid w:val="009F2E06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rsid w:val="009F2E06"/>
    <w:pPr>
      <w:keepNext/>
      <w:keepLines/>
      <w:jc w:val="center"/>
    </w:pPr>
    <w:rPr>
      <w:i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Normal"/>
    <w:next w:val="BodyText"/>
    <w:uiPriority w:val="39"/>
    <w:unhideWhenUsed/>
    <w:qFormat/>
    <w:rsid w:val="00A42EE4"/>
    <w:rPr>
      <w:rFonts w:asciiTheme="majorHAnsi" w:hAnsiTheme="majorHAnsi" w:cstheme="majorHAnsi"/>
      <w:b/>
      <w:bCs/>
      <w:sz w:val="32"/>
      <w:szCs w:val="3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7B60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605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B6050"/>
    <w:pPr>
      <w:spacing w:after="100"/>
      <w:ind w:left="480"/>
    </w:pPr>
  </w:style>
  <w:style w:type="paragraph" w:styleId="Header">
    <w:name w:val="header"/>
    <w:basedOn w:val="Normal"/>
    <w:link w:val="HeaderChar"/>
    <w:unhideWhenUsed/>
    <w:rsid w:val="00390E4A"/>
    <w:pPr>
      <w:tabs>
        <w:tab w:val="center" w:pos="4513"/>
        <w:tab w:val="right" w:pos="9026"/>
      </w:tabs>
      <w:spacing w:after="0"/>
    </w:pPr>
  </w:style>
  <w:style w:type="character" w:customStyle="1" w:styleId="BodyTextChar">
    <w:name w:val="Body Text Char"/>
    <w:basedOn w:val="DefaultParagraphFont"/>
    <w:link w:val="BodyText"/>
    <w:rsid w:val="003965E8"/>
  </w:style>
  <w:style w:type="character" w:customStyle="1" w:styleId="HeaderChar">
    <w:name w:val="Header Char"/>
    <w:basedOn w:val="DefaultParagraphFont"/>
    <w:link w:val="Header"/>
    <w:rsid w:val="00390E4A"/>
  </w:style>
  <w:style w:type="paragraph" w:styleId="Footer">
    <w:name w:val="footer"/>
    <w:basedOn w:val="Normal"/>
    <w:link w:val="FooterChar"/>
    <w:uiPriority w:val="99"/>
    <w:unhideWhenUsed/>
    <w:rsid w:val="00390E4A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90E4A"/>
  </w:style>
  <w:style w:type="paragraph" w:styleId="BalloonText">
    <w:name w:val="Balloon Text"/>
    <w:basedOn w:val="Normal"/>
    <w:link w:val="BalloonTextChar"/>
    <w:semiHidden/>
    <w:unhideWhenUsed/>
    <w:rsid w:val="00C9773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C97736"/>
    <w:rPr>
      <w:rFonts w:ascii="Segoe UI" w:hAnsi="Segoe UI" w:cs="Segoe UI"/>
      <w:sz w:val="18"/>
      <w:szCs w:val="18"/>
    </w:rPr>
  </w:style>
  <w:style w:type="character" w:styleId="LineNumber">
    <w:name w:val="line number"/>
    <w:basedOn w:val="DefaultParagraphFont"/>
    <w:semiHidden/>
    <w:unhideWhenUsed/>
    <w:rsid w:val="001D2E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95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1.xml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36" Target="media/rId36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0" Target="media/rId30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Bristol</Company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2021-06-17T08:57:05Z</dcterms:created>
  <dcterms:modified xsi:type="dcterms:W3CDTF">2021-06-17T08:57:05Z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vancouver.csl</vt:lpwstr>
  </property>
  <property fmtid="{D5CDD505-2E9C-101B-9397-08002B2CF9AE}" pid="4" name="date">
    <vt:lpwstr>Supplementary Files updated: 17 June, 2021</vt:lpwstr>
  </property>
  <property fmtid="{D5CDD505-2E9C-101B-9397-08002B2CF9AE}" pid="5" name="output">
    <vt:lpwstr/>
  </property>
  <property fmtid="{D5CDD505-2E9C-101B-9397-08002B2CF9AE}" pid="6" name="pandoc_args">
    <vt:lpwstr/>
  </property>
</Properties>
</file>