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AEA" w:rsidRDefault="006F1AEA">
      <w:pPr>
        <w:spacing w:before="252"/>
        <w:rPr>
          <w:rFonts w:ascii="Arial" w:hAnsi="Arial" w:cs="Arial"/>
          <w:b/>
          <w:bCs/>
          <w:color w:val="4471C4"/>
          <w:spacing w:val="-10"/>
        </w:rPr>
      </w:pPr>
      <w:bookmarkStart w:id="0" w:name="_GoBack"/>
      <w:bookmarkEnd w:id="0"/>
      <w:r>
        <w:rPr>
          <w:rFonts w:ascii="Arial" w:hAnsi="Arial" w:cs="Arial"/>
          <w:b/>
          <w:bCs/>
          <w:color w:val="4471C4"/>
          <w:spacing w:val="-10"/>
          <w:w w:val="110"/>
          <w:sz w:val="26"/>
          <w:szCs w:val="26"/>
        </w:rPr>
        <w:t>L’environnement juridique de la production et de la fourniture de services</w:t>
      </w:r>
    </w:p>
    <w:p w:rsidR="006F1AEA" w:rsidRDefault="006F1AEA">
      <w:pPr>
        <w:spacing w:before="180"/>
        <w:rPr>
          <w:rFonts w:ascii="Arial" w:hAnsi="Arial" w:cs="Arial"/>
          <w:color w:val="C45811"/>
          <w:spacing w:val="-4"/>
          <w:sz w:val="20"/>
          <w:szCs w:val="20"/>
        </w:rPr>
      </w:pPr>
      <w:hyperlink r:id="rId7" w:history="1">
        <w:r>
          <w:rPr>
            <w:rFonts w:ascii="Arial" w:hAnsi="Arial" w:cs="Arial"/>
            <w:color w:val="0000FF"/>
            <w:spacing w:val="-4"/>
            <w:w w:val="105"/>
            <w:sz w:val="20"/>
            <w:szCs w:val="20"/>
            <w:u w:val="single"/>
          </w:rPr>
          <w:t>https://www.economie.gouv.fr/dgccrf/Publications/Vie-pratique/Fiches-pratiques/Contrat</w:t>
        </w:r>
      </w:hyperlink>
      <w:r>
        <w:rPr>
          <w:rFonts w:ascii="Arial" w:hAnsi="Arial" w:cs="Arial"/>
          <w:color w:val="C45811"/>
          <w:spacing w:val="-4"/>
          <w:sz w:val="20"/>
          <w:szCs w:val="20"/>
        </w:rPr>
        <w:t xml:space="preserve"> </w:t>
      </w:r>
    </w:p>
    <w:p w:rsidR="006F1AEA" w:rsidRDefault="006F1AEA">
      <w:pPr>
        <w:spacing w:before="180" w:line="403" w:lineRule="auto"/>
        <w:ind w:right="1296" w:firstLine="360"/>
        <w:rPr>
          <w:rFonts w:ascii="Arial" w:hAnsi="Arial" w:cs="Arial"/>
          <w:b/>
          <w:bCs/>
          <w:spacing w:val="2"/>
          <w:w w:val="105"/>
          <w:sz w:val="20"/>
          <w:szCs w:val="20"/>
        </w:rPr>
      </w:pPr>
      <w:r>
        <w:rPr>
          <w:rFonts w:ascii="Arial" w:hAnsi="Arial" w:cs="Arial"/>
          <w:b/>
          <w:bCs/>
          <w:color w:val="C45811"/>
          <w:spacing w:val="-6"/>
        </w:rPr>
        <w:t xml:space="preserve">1. L'exonération de la responsabilité contractuelle pour cause étrangère </w:t>
      </w:r>
      <w:hyperlink r:id="rId8" w:history="1">
        <w:r>
          <w:rPr>
            <w:rFonts w:ascii="Arial" w:hAnsi="Arial" w:cs="Arial"/>
            <w:b/>
            <w:bCs/>
            <w:color w:val="0000FF"/>
            <w:spacing w:val="2"/>
            <w:w w:val="105"/>
            <w:sz w:val="20"/>
            <w:szCs w:val="20"/>
            <w:u w:val="single"/>
          </w:rPr>
          <w:t>https://www.cabinetaci.com/la-notion-dobligation/</w:t>
        </w:r>
      </w:hyperlink>
      <w:r>
        <w:rPr>
          <w:rFonts w:ascii="Arial" w:hAnsi="Arial" w:cs="Arial"/>
          <w:b/>
          <w:bCs/>
          <w:spacing w:val="2"/>
          <w:w w:val="105"/>
          <w:sz w:val="20"/>
          <w:szCs w:val="20"/>
        </w:rPr>
        <w:t xml:space="preserve"> à consulter</w:t>
      </w:r>
    </w:p>
    <w:p w:rsidR="006F1AEA" w:rsidRPr="005B5B1F" w:rsidRDefault="006F1AEA">
      <w:pPr>
        <w:spacing w:before="144" w:line="266" w:lineRule="auto"/>
        <w:ind w:right="72"/>
        <w:jc w:val="both"/>
        <w:rPr>
          <w:rFonts w:ascii="Arial" w:hAnsi="Arial" w:cs="Arial"/>
          <w:spacing w:val="4"/>
          <w:sz w:val="20"/>
          <w:szCs w:val="20"/>
        </w:rPr>
      </w:pPr>
      <w:r w:rsidRPr="005B5B1F">
        <w:rPr>
          <w:rFonts w:ascii="Arial" w:hAnsi="Arial" w:cs="Arial"/>
          <w:b/>
          <w:bCs/>
          <w:spacing w:val="8"/>
          <w:w w:val="105"/>
          <w:sz w:val="20"/>
          <w:szCs w:val="20"/>
        </w:rPr>
        <w:t>MISE EN SITUATION 1 :</w:t>
      </w:r>
      <w:r w:rsidRPr="005B5B1F">
        <w:rPr>
          <w:rFonts w:ascii="Arial" w:hAnsi="Arial" w:cs="Arial"/>
          <w:spacing w:val="8"/>
          <w:sz w:val="20"/>
          <w:szCs w:val="20"/>
        </w:rPr>
        <w:t xml:space="preserve"> Alex a commandé des machines-outils au nom de la société Trap et a </w:t>
      </w:r>
      <w:r w:rsidRPr="005B5B1F">
        <w:rPr>
          <w:rFonts w:ascii="Arial" w:hAnsi="Arial" w:cs="Arial"/>
          <w:spacing w:val="7"/>
          <w:sz w:val="20"/>
          <w:szCs w:val="20"/>
        </w:rPr>
        <w:t xml:space="preserve">négocié leur transport avec l'entreprise Livrevit. Hélas, le chauffeur a laissé son camion non bâché </w:t>
      </w:r>
      <w:r w:rsidRPr="005B5B1F">
        <w:rPr>
          <w:rFonts w:ascii="Arial" w:hAnsi="Arial" w:cs="Arial"/>
          <w:spacing w:val="8"/>
          <w:sz w:val="20"/>
          <w:szCs w:val="20"/>
        </w:rPr>
        <w:t xml:space="preserve">sur une aire sans surveillance et la totalité du chargement a disparu. Le transporteur prétend qu'il </w:t>
      </w:r>
      <w:r w:rsidRPr="005B5B1F">
        <w:rPr>
          <w:rFonts w:ascii="Arial" w:hAnsi="Arial" w:cs="Arial"/>
          <w:spacing w:val="4"/>
          <w:sz w:val="20"/>
          <w:szCs w:val="20"/>
        </w:rPr>
        <w:t>n'est pas responsable.</w:t>
      </w:r>
    </w:p>
    <w:p w:rsidR="006F1AEA" w:rsidRPr="005B5B1F" w:rsidRDefault="006F1AEA">
      <w:pPr>
        <w:spacing w:before="144"/>
        <w:rPr>
          <w:rFonts w:ascii="Arial" w:hAnsi="Arial" w:cs="Arial"/>
          <w:b/>
          <w:bCs/>
          <w:spacing w:val="-4"/>
          <w:w w:val="105"/>
          <w:sz w:val="20"/>
          <w:szCs w:val="20"/>
        </w:rPr>
      </w:pPr>
      <w:r w:rsidRPr="005B5B1F">
        <w:rPr>
          <w:rFonts w:ascii="Arial" w:hAnsi="Arial" w:cs="Arial"/>
          <w:b/>
          <w:bCs/>
          <w:spacing w:val="-4"/>
          <w:w w:val="105"/>
          <w:sz w:val="20"/>
          <w:szCs w:val="20"/>
        </w:rPr>
        <w:t>DOC 1 : La force majeure</w:t>
      </w:r>
    </w:p>
    <w:p w:rsidR="006F1AEA" w:rsidRDefault="006F1AEA">
      <w:pPr>
        <w:spacing w:before="108"/>
        <w:ind w:right="72"/>
        <w:rPr>
          <w:rFonts w:ascii="Arial" w:hAnsi="Arial" w:cs="Arial"/>
          <w:spacing w:val="-1"/>
          <w:sz w:val="20"/>
          <w:szCs w:val="20"/>
        </w:rPr>
      </w:pPr>
      <w:r w:rsidRPr="005B5B1F">
        <w:rPr>
          <w:rFonts w:ascii="Arial" w:hAnsi="Arial" w:cs="Arial"/>
          <w:spacing w:val="-5"/>
          <w:sz w:val="20"/>
          <w:szCs w:val="20"/>
        </w:rPr>
        <w:t>Article 1148 du Code civil</w:t>
      </w:r>
      <w:r>
        <w:rPr>
          <w:rFonts w:ascii="Arial" w:hAnsi="Arial" w:cs="Arial"/>
          <w:spacing w:val="-5"/>
          <w:sz w:val="20"/>
          <w:szCs w:val="20"/>
        </w:rPr>
        <w:t xml:space="preserve"> - Il n'y a lieu à aucuns dommages et intérêts lorsque, par suite d'une force majeure*, le </w:t>
      </w:r>
      <w:r>
        <w:rPr>
          <w:rFonts w:ascii="Arial" w:hAnsi="Arial" w:cs="Arial"/>
          <w:spacing w:val="-1"/>
          <w:sz w:val="20"/>
          <w:szCs w:val="20"/>
        </w:rPr>
        <w:t xml:space="preserve">débiteur a été empêché de donner ou de faire </w:t>
      </w:r>
      <w:r>
        <w:rPr>
          <w:rFonts w:ascii="Arial" w:hAnsi="Arial" w:cs="Arial"/>
          <w:i/>
          <w:iCs/>
          <w:spacing w:val="-1"/>
          <w:w w:val="105"/>
          <w:sz w:val="20"/>
          <w:szCs w:val="20"/>
        </w:rPr>
        <w:t xml:space="preserve">ce </w:t>
      </w:r>
      <w:r>
        <w:rPr>
          <w:rFonts w:ascii="Arial" w:hAnsi="Arial" w:cs="Arial"/>
          <w:spacing w:val="-1"/>
          <w:sz w:val="20"/>
          <w:szCs w:val="20"/>
        </w:rPr>
        <w:t>à quoi il était obligé, ou a fait ce qui lui était interdit.</w:t>
      </w:r>
    </w:p>
    <w:p w:rsidR="006F1AEA" w:rsidRDefault="006F1AEA">
      <w:pPr>
        <w:ind w:right="72"/>
        <w:rPr>
          <w:rFonts w:ascii="Arial" w:hAnsi="Arial" w:cs="Arial"/>
          <w:sz w:val="20"/>
          <w:szCs w:val="20"/>
        </w:rPr>
      </w:pPr>
      <w:r>
        <w:rPr>
          <w:rFonts w:ascii="Arial" w:hAnsi="Arial" w:cs="Arial"/>
          <w:sz w:val="20"/>
          <w:szCs w:val="20"/>
        </w:rPr>
        <w:t>* La jurisprudence définit la force majeure comme un événement irrésistible, insurmontable et externe au débiteur. Le cas type est celui des sinistres dus à des tremblements de terre, des inondations, etc.</w:t>
      </w:r>
    </w:p>
    <w:p w:rsidR="006F1AEA" w:rsidRDefault="006F1AEA">
      <w:pPr>
        <w:numPr>
          <w:ilvl w:val="0"/>
          <w:numId w:val="1"/>
        </w:numPr>
        <w:tabs>
          <w:tab w:val="clear" w:pos="216"/>
          <w:tab w:val="num" w:pos="288"/>
        </w:tabs>
        <w:spacing w:before="180"/>
        <w:rPr>
          <w:rFonts w:ascii="Arial" w:hAnsi="Arial" w:cs="Arial"/>
          <w:b/>
          <w:bCs/>
          <w:color w:val="2D74B5"/>
          <w:spacing w:val="-6"/>
          <w:w w:val="105"/>
          <w:sz w:val="20"/>
          <w:szCs w:val="20"/>
        </w:rPr>
      </w:pPr>
      <w:r>
        <w:rPr>
          <w:rFonts w:ascii="Arial" w:hAnsi="Arial" w:cs="Arial"/>
          <w:b/>
          <w:bCs/>
          <w:color w:val="2D74B5"/>
          <w:spacing w:val="-6"/>
          <w:w w:val="105"/>
          <w:sz w:val="20"/>
          <w:szCs w:val="20"/>
        </w:rPr>
        <w:t>Qualifiez juridiquement le contrat entre les entreprises Trap et Livrevit.</w:t>
      </w:r>
    </w:p>
    <w:p w:rsidR="005B5B1F" w:rsidRDefault="005B5B1F" w:rsidP="005B5B1F">
      <w:pPr>
        <w:pStyle w:val="Paragraphedeliste"/>
        <w:ind w:left="0"/>
        <w:jc w:val="both"/>
      </w:pPr>
      <w:r>
        <w:t>Le contrat mis en place entre Trap et Livrevit est un con</w:t>
      </w:r>
      <w:r w:rsidR="000C4CD8">
        <w:t>trat de transport</w:t>
      </w:r>
      <w:r>
        <w:t xml:space="preserve"> de marchandises.</w:t>
      </w:r>
    </w:p>
    <w:p w:rsidR="005B5B1F" w:rsidRPr="005B5B1F" w:rsidRDefault="005B5B1F" w:rsidP="005B5B1F">
      <w:pPr>
        <w:spacing w:before="180"/>
        <w:ind w:left="72"/>
        <w:rPr>
          <w:rFonts w:ascii="Arial" w:hAnsi="Arial" w:cs="Arial"/>
          <w:b/>
          <w:bCs/>
          <w:spacing w:val="-6"/>
          <w:w w:val="105"/>
          <w:sz w:val="20"/>
          <w:szCs w:val="20"/>
        </w:rPr>
      </w:pPr>
    </w:p>
    <w:p w:rsidR="006F1AEA" w:rsidRPr="009B45D4" w:rsidRDefault="006F1AEA">
      <w:pPr>
        <w:numPr>
          <w:ilvl w:val="0"/>
          <w:numId w:val="2"/>
        </w:numPr>
        <w:tabs>
          <w:tab w:val="clear" w:pos="216"/>
          <w:tab w:val="num" w:pos="288"/>
        </w:tabs>
        <w:rPr>
          <w:b/>
          <w:bCs/>
          <w:spacing w:val="-1"/>
          <w:sz w:val="22"/>
          <w:szCs w:val="22"/>
        </w:rPr>
      </w:pPr>
      <w:r>
        <w:rPr>
          <w:rFonts w:ascii="Arial" w:hAnsi="Arial" w:cs="Arial"/>
          <w:color w:val="2D74B5"/>
          <w:spacing w:val="-1"/>
          <w:sz w:val="20"/>
          <w:szCs w:val="20"/>
        </w:rPr>
        <w:t>Quelles sont les obligations du transporteur ?</w:t>
      </w:r>
      <w:r>
        <w:rPr>
          <w:b/>
          <w:bCs/>
          <w:i/>
          <w:iCs/>
          <w:spacing w:val="-1"/>
          <w:w w:val="105"/>
          <w:sz w:val="22"/>
          <w:szCs w:val="22"/>
        </w:rPr>
        <w:t xml:space="preserve"> distinguer les obligations en fonction de leur étendue</w:t>
      </w:r>
    </w:p>
    <w:p w:rsidR="00463E17" w:rsidRDefault="009B45D4" w:rsidP="00463E17">
      <w:pPr>
        <w:pStyle w:val="Paragraphedeliste"/>
        <w:ind w:left="72"/>
        <w:jc w:val="both"/>
      </w:pPr>
      <w:r>
        <w:t xml:space="preserve">L’obligation du transporteur est de charger, transporter et livrer la marchandise négociée dans les délais définis dans le contrat. Ce sont des </w:t>
      </w:r>
      <w:r w:rsidRPr="00463E17">
        <w:t>obligations de résultat</w:t>
      </w:r>
      <w:r>
        <w:t>.</w:t>
      </w:r>
    </w:p>
    <w:p w:rsidR="009B45D4" w:rsidRDefault="009B45D4" w:rsidP="009B45D4">
      <w:pPr>
        <w:ind w:left="72"/>
        <w:rPr>
          <w:b/>
          <w:bCs/>
          <w:spacing w:val="-1"/>
          <w:sz w:val="22"/>
          <w:szCs w:val="22"/>
        </w:rPr>
      </w:pPr>
    </w:p>
    <w:p w:rsidR="006F1AEA" w:rsidRPr="007400D2" w:rsidRDefault="006F1AEA">
      <w:pPr>
        <w:numPr>
          <w:ilvl w:val="0"/>
          <w:numId w:val="1"/>
        </w:numPr>
        <w:tabs>
          <w:tab w:val="clear" w:pos="216"/>
          <w:tab w:val="num" w:pos="288"/>
        </w:tabs>
        <w:ind w:left="72" w:firstLine="0"/>
        <w:rPr>
          <w:rFonts w:ascii="Tahoma" w:hAnsi="Tahoma" w:cs="Tahoma"/>
          <w:b/>
          <w:bCs/>
          <w:color w:val="2D74B5"/>
          <w:spacing w:val="-9"/>
          <w:w w:val="105"/>
          <w:sz w:val="18"/>
          <w:szCs w:val="18"/>
        </w:rPr>
      </w:pPr>
      <w:r>
        <w:rPr>
          <w:rFonts w:ascii="Arial" w:hAnsi="Arial" w:cs="Arial"/>
          <w:b/>
          <w:bCs/>
          <w:color w:val="2D74B5"/>
          <w:spacing w:val="-9"/>
          <w:w w:val="105"/>
          <w:sz w:val="20"/>
          <w:szCs w:val="20"/>
        </w:rPr>
        <w:t>À quelles conditions le transporteur peut-il écarter sa responsabilité ? Sont-elles réunies dans ce cas ?</w:t>
      </w:r>
    </w:p>
    <w:p w:rsidR="007400D2" w:rsidRDefault="007400D2" w:rsidP="007400D2">
      <w:pPr>
        <w:pStyle w:val="Paragraphedeliste"/>
        <w:ind w:left="0"/>
        <w:jc w:val="both"/>
      </w:pPr>
      <w:r>
        <w:t>Le transporteur doit démontrer que l’inexécution du contrat résulte d’un cas de force majeure. Or le vol du chargement est ici un évènement ni irrésistible ni insurmontable.</w:t>
      </w:r>
    </w:p>
    <w:p w:rsidR="007400D2" w:rsidRDefault="007400D2" w:rsidP="007400D2">
      <w:pPr>
        <w:ind w:left="72"/>
        <w:rPr>
          <w:rFonts w:ascii="Tahoma" w:hAnsi="Tahoma" w:cs="Tahoma"/>
          <w:b/>
          <w:bCs/>
          <w:color w:val="2D74B5"/>
          <w:spacing w:val="-9"/>
          <w:w w:val="105"/>
          <w:sz w:val="18"/>
          <w:szCs w:val="18"/>
        </w:rPr>
      </w:pPr>
    </w:p>
    <w:p w:rsidR="00416865" w:rsidRDefault="006F1AEA">
      <w:pPr>
        <w:spacing w:before="216" w:line="396" w:lineRule="auto"/>
        <w:ind w:right="504" w:firstLine="360"/>
        <w:rPr>
          <w:rFonts w:ascii="Arial" w:hAnsi="Arial" w:cs="Arial"/>
          <w:b/>
          <w:bCs/>
          <w:color w:val="C45811"/>
          <w:spacing w:val="12"/>
        </w:rPr>
      </w:pPr>
      <w:r>
        <w:rPr>
          <w:rFonts w:ascii="Arial" w:hAnsi="Arial" w:cs="Arial"/>
          <w:b/>
          <w:bCs/>
          <w:color w:val="C45811"/>
          <w:spacing w:val="12"/>
        </w:rPr>
        <w:t xml:space="preserve">2. La résolution pour inexécution </w:t>
      </w:r>
    </w:p>
    <w:p w:rsidR="006F1AEA" w:rsidRDefault="00416865" w:rsidP="00416865">
      <w:pPr>
        <w:ind w:right="505"/>
        <w:rPr>
          <w:rFonts w:ascii="Arial" w:hAnsi="Arial" w:cs="Arial"/>
          <w:b/>
          <w:bCs/>
          <w:color w:val="544947"/>
          <w:spacing w:val="-11"/>
          <w:w w:val="105"/>
          <w:sz w:val="20"/>
          <w:szCs w:val="20"/>
        </w:rPr>
      </w:pPr>
      <w:r>
        <w:rPr>
          <w:rFonts w:ascii="Arial" w:hAnsi="Arial" w:cs="Arial"/>
          <w:b/>
          <w:bCs/>
          <w:color w:val="544947"/>
          <w:spacing w:val="-11"/>
          <w:w w:val="105"/>
          <w:sz w:val="20"/>
          <w:szCs w:val="20"/>
        </w:rPr>
        <w:t>Consulter :</w:t>
      </w:r>
      <w:r>
        <w:rPr>
          <w:rFonts w:ascii="Arial" w:hAnsi="Arial" w:cs="Arial"/>
          <w:b/>
          <w:bCs/>
          <w:color w:val="0000FF"/>
          <w:spacing w:val="-11"/>
          <w:w w:val="105"/>
          <w:sz w:val="20"/>
          <w:szCs w:val="20"/>
          <w:u w:val="single"/>
        </w:rPr>
        <w:t xml:space="preserve"> </w:t>
      </w:r>
      <w:hyperlink r:id="rId9" w:history="1">
        <w:r w:rsidR="006F1AEA">
          <w:rPr>
            <w:rFonts w:ascii="Arial" w:hAnsi="Arial" w:cs="Arial"/>
            <w:b/>
            <w:bCs/>
            <w:color w:val="0000FF"/>
            <w:spacing w:val="-11"/>
            <w:w w:val="105"/>
            <w:sz w:val="20"/>
            <w:szCs w:val="20"/>
            <w:u w:val="single"/>
          </w:rPr>
          <w:t>https://www.maxicours.com/se/cours/les-contrats-effets-et-consequences-de-l-inexecution/</w:t>
        </w:r>
      </w:hyperlink>
      <w:r w:rsidR="006F1AEA">
        <w:rPr>
          <w:rFonts w:ascii="Arial" w:hAnsi="Arial" w:cs="Arial"/>
          <w:b/>
          <w:bCs/>
          <w:color w:val="544947"/>
          <w:spacing w:val="-11"/>
          <w:w w:val="105"/>
          <w:sz w:val="20"/>
          <w:szCs w:val="20"/>
        </w:rPr>
        <w:t xml:space="preserve"> </w:t>
      </w:r>
    </w:p>
    <w:p w:rsidR="006F1AEA" w:rsidRDefault="006F1AEA">
      <w:pPr>
        <w:spacing w:before="180" w:line="216" w:lineRule="auto"/>
        <w:ind w:right="72"/>
        <w:jc w:val="both"/>
        <w:rPr>
          <w:rFonts w:ascii="Bookman Old Style" w:hAnsi="Bookman Old Style" w:cs="Bookman Old Style"/>
          <w:b/>
          <w:bCs/>
          <w:spacing w:val="2"/>
          <w:sz w:val="6"/>
          <w:szCs w:val="6"/>
        </w:rPr>
      </w:pPr>
      <w:r>
        <w:rPr>
          <w:rFonts w:ascii="Arial" w:hAnsi="Arial" w:cs="Arial"/>
          <w:b/>
          <w:bCs/>
          <w:spacing w:val="-3"/>
          <w:w w:val="105"/>
          <w:sz w:val="20"/>
          <w:szCs w:val="20"/>
        </w:rPr>
        <w:t xml:space="preserve">MISE EN SITUATION 2 : </w:t>
      </w:r>
      <w:r>
        <w:rPr>
          <w:rFonts w:ascii="Arial" w:hAnsi="Arial" w:cs="Arial"/>
          <w:spacing w:val="-3"/>
          <w:sz w:val="20"/>
          <w:szCs w:val="20"/>
        </w:rPr>
        <w:t xml:space="preserve">Afin d'augmenter sa productivité, la société Trap a acquis des logiciels de gestion, </w:t>
      </w:r>
      <w:r>
        <w:rPr>
          <w:rFonts w:ascii="Arial" w:hAnsi="Arial" w:cs="Arial"/>
          <w:spacing w:val="1"/>
          <w:sz w:val="20"/>
          <w:szCs w:val="20"/>
        </w:rPr>
        <w:t xml:space="preserve">assortis d'un contrat d'assistance informatique, auprès de la société Toulog. Les logiciels ont été installés </w:t>
      </w:r>
      <w:r>
        <w:rPr>
          <w:rFonts w:ascii="Arial" w:hAnsi="Arial" w:cs="Arial"/>
          <w:spacing w:val="2"/>
          <w:sz w:val="20"/>
          <w:szCs w:val="20"/>
        </w:rPr>
        <w:t xml:space="preserve">dans l'entreprise mais de nombreux défauts de fonctionnement la privent de leur utilisation optimale. La </w:t>
      </w:r>
      <w:r>
        <w:rPr>
          <w:rFonts w:ascii="Arial" w:hAnsi="Arial" w:cs="Arial"/>
          <w:spacing w:val="10"/>
          <w:sz w:val="20"/>
          <w:szCs w:val="20"/>
        </w:rPr>
        <w:t xml:space="preserve">société Trap demande la résolution de ce contrat. Elle demande aussi la résiliation du contrat </w:t>
      </w:r>
      <w:r>
        <w:rPr>
          <w:rFonts w:ascii="Arial" w:hAnsi="Arial" w:cs="Arial"/>
          <w:spacing w:val="2"/>
          <w:sz w:val="20"/>
          <w:szCs w:val="20"/>
        </w:rPr>
        <w:t>d'assistance informatique.</w:t>
      </w:r>
    </w:p>
    <w:p w:rsidR="006F1AEA" w:rsidRDefault="006F1AEA">
      <w:pPr>
        <w:spacing w:before="144" w:line="208" w:lineRule="auto"/>
        <w:rPr>
          <w:rFonts w:ascii="Arial" w:hAnsi="Arial" w:cs="Arial"/>
          <w:b/>
          <w:bCs/>
          <w:color w:val="4E2E74"/>
          <w:spacing w:val="-2"/>
          <w:sz w:val="20"/>
          <w:szCs w:val="20"/>
        </w:rPr>
      </w:pPr>
      <w:r>
        <w:rPr>
          <w:rFonts w:ascii="Arial" w:hAnsi="Arial" w:cs="Arial"/>
          <w:b/>
          <w:bCs/>
          <w:color w:val="4E2E74"/>
          <w:spacing w:val="-2"/>
          <w:sz w:val="20"/>
          <w:szCs w:val="20"/>
        </w:rPr>
        <w:t>Doc 4 : Résolution ou résiliation ?</w:t>
      </w:r>
    </w:p>
    <w:p w:rsidR="006F1AEA" w:rsidRDefault="006F1AEA">
      <w:pPr>
        <w:spacing w:before="108"/>
        <w:ind w:right="72"/>
        <w:jc w:val="both"/>
        <w:rPr>
          <w:rFonts w:ascii="Arial" w:hAnsi="Arial" w:cs="Arial"/>
          <w:spacing w:val="-1"/>
          <w:sz w:val="20"/>
          <w:szCs w:val="20"/>
        </w:rPr>
      </w:pPr>
      <w:r>
        <w:rPr>
          <w:rFonts w:ascii="Arial" w:hAnsi="Arial" w:cs="Arial"/>
          <w:b/>
          <w:bCs/>
          <w:spacing w:val="7"/>
          <w:w w:val="105"/>
          <w:sz w:val="20"/>
          <w:szCs w:val="20"/>
        </w:rPr>
        <w:t>D</w:t>
      </w:r>
      <w:r>
        <w:rPr>
          <w:rFonts w:ascii="Arial" w:hAnsi="Arial" w:cs="Arial"/>
          <w:spacing w:val="7"/>
          <w:sz w:val="20"/>
          <w:szCs w:val="20"/>
        </w:rPr>
        <w:t xml:space="preserve">evant l'inexécution de la prestation due par son cocontractant, le contractant peut demander la </w:t>
      </w:r>
      <w:r>
        <w:rPr>
          <w:rFonts w:ascii="Arial" w:hAnsi="Arial" w:cs="Arial"/>
          <w:b/>
          <w:bCs/>
          <w:spacing w:val="-3"/>
          <w:w w:val="105"/>
          <w:sz w:val="20"/>
          <w:szCs w:val="20"/>
        </w:rPr>
        <w:t xml:space="preserve">résolution </w:t>
      </w:r>
      <w:r>
        <w:rPr>
          <w:rFonts w:ascii="Arial" w:hAnsi="Arial" w:cs="Arial"/>
          <w:spacing w:val="-3"/>
          <w:sz w:val="20"/>
          <w:szCs w:val="20"/>
        </w:rPr>
        <w:t xml:space="preserve">de ce contrat. Celle-ci doit être demandée en justice et, selon les circonstances, un délai peut être </w:t>
      </w:r>
      <w:r>
        <w:rPr>
          <w:rFonts w:ascii="Arial" w:hAnsi="Arial" w:cs="Arial"/>
          <w:spacing w:val="1"/>
          <w:sz w:val="20"/>
          <w:szCs w:val="20"/>
        </w:rPr>
        <w:t xml:space="preserve">accordé au défendeur. La résolution entraîne l'anéantissement du contrat ; les choses sont remises dans </w:t>
      </w:r>
      <w:r>
        <w:rPr>
          <w:rFonts w:ascii="Arial" w:hAnsi="Arial" w:cs="Arial"/>
          <w:spacing w:val="-1"/>
          <w:sz w:val="20"/>
          <w:szCs w:val="20"/>
        </w:rPr>
        <w:t>l'état où elles se trouvaient avant le contrat.</w:t>
      </w:r>
    </w:p>
    <w:p w:rsidR="006F1AEA" w:rsidRDefault="006F1AEA">
      <w:pPr>
        <w:ind w:right="72"/>
        <w:rPr>
          <w:rFonts w:ascii="Arial" w:hAnsi="Arial" w:cs="Arial"/>
          <w:spacing w:val="-3"/>
          <w:sz w:val="20"/>
          <w:szCs w:val="20"/>
        </w:rPr>
      </w:pPr>
      <w:r>
        <w:rPr>
          <w:rFonts w:ascii="Arial" w:hAnsi="Arial" w:cs="Arial"/>
          <w:spacing w:val="2"/>
          <w:sz w:val="20"/>
          <w:szCs w:val="20"/>
        </w:rPr>
        <w:t xml:space="preserve">La </w:t>
      </w:r>
      <w:r>
        <w:rPr>
          <w:rFonts w:ascii="Arial" w:hAnsi="Arial" w:cs="Arial"/>
          <w:b/>
          <w:bCs/>
          <w:spacing w:val="2"/>
          <w:w w:val="105"/>
          <w:sz w:val="20"/>
          <w:szCs w:val="20"/>
        </w:rPr>
        <w:t xml:space="preserve">résiliation, </w:t>
      </w:r>
      <w:r>
        <w:rPr>
          <w:rFonts w:ascii="Arial" w:hAnsi="Arial" w:cs="Arial"/>
          <w:spacing w:val="2"/>
          <w:sz w:val="20"/>
          <w:szCs w:val="20"/>
        </w:rPr>
        <w:t xml:space="preserve">réservée au contrat à exécution successive, met fin au contrat seulement pour l'avenir et </w:t>
      </w:r>
      <w:r>
        <w:rPr>
          <w:rFonts w:ascii="Arial" w:hAnsi="Arial" w:cs="Arial"/>
          <w:spacing w:val="-3"/>
          <w:sz w:val="20"/>
          <w:szCs w:val="20"/>
        </w:rPr>
        <w:t>laisse subsister les effets des prestations passées.</w:t>
      </w:r>
    </w:p>
    <w:p w:rsidR="006F1AEA" w:rsidRDefault="006F1AEA" w:rsidP="00416865">
      <w:pPr>
        <w:numPr>
          <w:ilvl w:val="0"/>
          <w:numId w:val="3"/>
        </w:numPr>
        <w:tabs>
          <w:tab w:val="clear" w:pos="288"/>
          <w:tab w:val="num" w:pos="360"/>
        </w:tabs>
        <w:spacing w:before="144"/>
        <w:ind w:left="0"/>
        <w:rPr>
          <w:rFonts w:ascii="Arial" w:hAnsi="Arial" w:cs="Arial"/>
          <w:b/>
          <w:bCs/>
          <w:color w:val="2D74B5"/>
          <w:spacing w:val="2"/>
          <w:w w:val="105"/>
          <w:sz w:val="20"/>
          <w:szCs w:val="20"/>
        </w:rPr>
      </w:pPr>
      <w:r>
        <w:rPr>
          <w:rFonts w:ascii="Arial" w:hAnsi="Arial" w:cs="Arial"/>
          <w:b/>
          <w:bCs/>
          <w:color w:val="2D74B5"/>
          <w:spacing w:val="2"/>
          <w:w w:val="105"/>
          <w:sz w:val="20"/>
          <w:szCs w:val="20"/>
        </w:rPr>
        <w:t>Comment la société Trap justifie-t-elle ses demandes</w:t>
      </w:r>
    </w:p>
    <w:p w:rsidR="009D511A" w:rsidRDefault="009D511A" w:rsidP="009D511A">
      <w:pPr>
        <w:pStyle w:val="Paragraphedeliste"/>
        <w:ind w:left="0"/>
        <w:jc w:val="both"/>
      </w:pPr>
      <w:r>
        <w:t>Le fondement des demandes de la société Trap repose sur l’inexécution des contrats qui la lient à la société Toulog.</w:t>
      </w:r>
    </w:p>
    <w:p w:rsidR="009D511A" w:rsidRDefault="009D511A" w:rsidP="009D511A">
      <w:pPr>
        <w:spacing w:before="144"/>
        <w:rPr>
          <w:rFonts w:ascii="Arial" w:hAnsi="Arial" w:cs="Arial"/>
          <w:b/>
          <w:bCs/>
          <w:color w:val="2D74B5"/>
          <w:spacing w:val="2"/>
          <w:w w:val="105"/>
          <w:sz w:val="20"/>
          <w:szCs w:val="20"/>
        </w:rPr>
      </w:pPr>
    </w:p>
    <w:p w:rsidR="006F1AEA" w:rsidRDefault="006F1AEA" w:rsidP="00416865">
      <w:pPr>
        <w:numPr>
          <w:ilvl w:val="0"/>
          <w:numId w:val="3"/>
        </w:numPr>
        <w:tabs>
          <w:tab w:val="clear" w:pos="288"/>
          <w:tab w:val="num" w:pos="360"/>
        </w:tabs>
        <w:ind w:left="0" w:right="72"/>
        <w:rPr>
          <w:rFonts w:ascii="Arial" w:hAnsi="Arial" w:cs="Arial"/>
          <w:b/>
          <w:bCs/>
          <w:color w:val="2D74B5"/>
          <w:w w:val="105"/>
          <w:sz w:val="20"/>
          <w:szCs w:val="20"/>
        </w:rPr>
      </w:pPr>
      <w:r>
        <w:rPr>
          <w:rFonts w:ascii="Arial" w:hAnsi="Arial" w:cs="Arial"/>
          <w:b/>
          <w:bCs/>
          <w:color w:val="2D74B5"/>
          <w:w w:val="105"/>
          <w:sz w:val="20"/>
          <w:szCs w:val="20"/>
        </w:rPr>
        <w:t>Montrez la différence entre les modalités d'annulation du contrat de fournitures des logiciels et celles du contrat d'assistance</w:t>
      </w:r>
    </w:p>
    <w:p w:rsidR="00317756" w:rsidRDefault="00317756" w:rsidP="00317756">
      <w:pPr>
        <w:pStyle w:val="Paragraphedeliste"/>
        <w:ind w:left="0"/>
        <w:jc w:val="both"/>
      </w:pPr>
      <w:r>
        <w:t>L’annulation du contrat de fournitures (résolution) stipule que le logiciel doit être désinstallé et le système remis dans son état précédent. L’annulation du contrat d’assistance (résiliation) stipule que l’assistance ne doit plus être fournie à partir de l’annulation.</w:t>
      </w:r>
    </w:p>
    <w:p w:rsidR="00317756" w:rsidRDefault="00317756" w:rsidP="00317756">
      <w:pPr>
        <w:ind w:right="72"/>
        <w:rPr>
          <w:rFonts w:ascii="Arial" w:hAnsi="Arial" w:cs="Arial"/>
          <w:b/>
          <w:bCs/>
          <w:color w:val="2D74B5"/>
          <w:w w:val="105"/>
          <w:sz w:val="20"/>
          <w:szCs w:val="20"/>
        </w:rPr>
      </w:pPr>
    </w:p>
    <w:p w:rsidR="006F1AEA" w:rsidRDefault="006F1AEA">
      <w:pPr>
        <w:spacing w:before="144"/>
        <w:ind w:left="360"/>
        <w:rPr>
          <w:rFonts w:ascii="Arial" w:hAnsi="Arial" w:cs="Arial"/>
          <w:b/>
          <w:bCs/>
          <w:color w:val="C45811"/>
          <w:spacing w:val="3"/>
        </w:rPr>
      </w:pPr>
      <w:r>
        <w:rPr>
          <w:rFonts w:ascii="Arial" w:hAnsi="Arial" w:cs="Arial"/>
          <w:b/>
          <w:bCs/>
          <w:color w:val="C45811"/>
          <w:spacing w:val="3"/>
        </w:rPr>
        <w:t>3. La protection du consommateur lors de la formation du contrat</w:t>
      </w:r>
    </w:p>
    <w:p w:rsidR="006F1AEA" w:rsidRDefault="006F1AEA">
      <w:pPr>
        <w:spacing w:before="144"/>
        <w:ind w:right="72"/>
        <w:jc w:val="both"/>
        <w:rPr>
          <w:rFonts w:ascii="Arial" w:hAnsi="Arial" w:cs="Arial"/>
          <w:b/>
          <w:bCs/>
          <w:spacing w:val="4"/>
          <w:w w:val="105"/>
          <w:sz w:val="20"/>
          <w:szCs w:val="20"/>
        </w:rPr>
      </w:pPr>
      <w:r>
        <w:rPr>
          <w:rFonts w:ascii="Arial" w:hAnsi="Arial" w:cs="Arial"/>
          <w:b/>
          <w:bCs/>
          <w:spacing w:val="7"/>
          <w:w w:val="105"/>
          <w:sz w:val="20"/>
          <w:szCs w:val="20"/>
        </w:rPr>
        <w:t>MISE EN SITUATION 3 :</w:t>
      </w:r>
      <w:r>
        <w:rPr>
          <w:rFonts w:ascii="Arial" w:hAnsi="Arial" w:cs="Arial"/>
          <w:spacing w:val="7"/>
          <w:sz w:val="20"/>
          <w:szCs w:val="20"/>
        </w:rPr>
        <w:t xml:space="preserve"> Armand Grenier s'est rendu en ville pour contracter une assurance vie </w:t>
      </w:r>
      <w:r>
        <w:rPr>
          <w:rFonts w:ascii="Arial" w:hAnsi="Arial" w:cs="Arial"/>
          <w:spacing w:val="5"/>
          <w:sz w:val="20"/>
          <w:szCs w:val="20"/>
        </w:rPr>
        <w:t xml:space="preserve">auprès d'un professionnel que son frère Ernest lui a recommandé. Il a aussi profité des soldes pour </w:t>
      </w:r>
      <w:r>
        <w:rPr>
          <w:rFonts w:ascii="Arial" w:hAnsi="Arial" w:cs="Arial"/>
          <w:spacing w:val="4"/>
          <w:sz w:val="20"/>
          <w:szCs w:val="20"/>
        </w:rPr>
        <w:t>acheter un nouveau canapé.</w:t>
      </w:r>
    </w:p>
    <w:p w:rsidR="006F1AEA" w:rsidRDefault="006F1AEA">
      <w:pPr>
        <w:spacing w:before="108" w:line="360" w:lineRule="auto"/>
        <w:ind w:right="5472"/>
        <w:rPr>
          <w:rFonts w:ascii="Arial" w:hAnsi="Arial" w:cs="Arial"/>
          <w:b/>
          <w:bCs/>
          <w:spacing w:val="-8"/>
          <w:w w:val="105"/>
          <w:sz w:val="20"/>
          <w:szCs w:val="20"/>
        </w:rPr>
      </w:pPr>
      <w:r>
        <w:rPr>
          <w:rFonts w:ascii="Arial" w:hAnsi="Arial" w:cs="Arial"/>
          <w:b/>
          <w:bCs/>
          <w:color w:val="4E2B67"/>
          <w:spacing w:val="-3"/>
          <w:w w:val="105"/>
          <w:sz w:val="20"/>
          <w:szCs w:val="20"/>
        </w:rPr>
        <w:t xml:space="preserve">Doc 5 : L'aide au choix du consommateur </w:t>
      </w:r>
      <w:r>
        <w:rPr>
          <w:rFonts w:ascii="Arial" w:hAnsi="Arial" w:cs="Arial"/>
          <w:b/>
          <w:bCs/>
          <w:spacing w:val="-8"/>
          <w:w w:val="105"/>
          <w:sz w:val="20"/>
          <w:szCs w:val="20"/>
        </w:rPr>
        <w:t>Code de la consommation</w:t>
      </w:r>
    </w:p>
    <w:p w:rsidR="006F1AEA" w:rsidRDefault="006F1AEA">
      <w:pPr>
        <w:spacing w:before="108"/>
        <w:ind w:right="72"/>
        <w:rPr>
          <w:rFonts w:ascii="Arial" w:hAnsi="Arial" w:cs="Arial"/>
          <w:spacing w:val="-2"/>
          <w:sz w:val="20"/>
          <w:szCs w:val="20"/>
        </w:rPr>
      </w:pPr>
      <w:r>
        <w:rPr>
          <w:rFonts w:ascii="Arial" w:hAnsi="Arial" w:cs="Arial"/>
          <w:b/>
          <w:bCs/>
          <w:spacing w:val="-2"/>
          <w:w w:val="105"/>
          <w:sz w:val="20"/>
          <w:szCs w:val="20"/>
        </w:rPr>
        <w:t xml:space="preserve">Article L. 111-1 - I. - </w:t>
      </w:r>
      <w:r>
        <w:rPr>
          <w:rFonts w:ascii="Arial" w:hAnsi="Arial" w:cs="Arial"/>
          <w:spacing w:val="-2"/>
          <w:sz w:val="20"/>
          <w:szCs w:val="20"/>
        </w:rPr>
        <w:t>Tout professionnel vendeur de biens doit, avant la conclusion du contrat, mettre le consommateur en mesure de connaître les caractéristiques essentielles du bien. [...]</w:t>
      </w:r>
    </w:p>
    <w:p w:rsidR="006F1AEA" w:rsidRDefault="006F1AEA">
      <w:pPr>
        <w:ind w:right="288"/>
        <w:rPr>
          <w:rFonts w:ascii="Tahoma" w:hAnsi="Tahoma" w:cs="Tahoma"/>
          <w:spacing w:val="-1"/>
          <w:sz w:val="6"/>
          <w:szCs w:val="6"/>
        </w:rPr>
      </w:pPr>
      <w:r>
        <w:rPr>
          <w:rFonts w:ascii="Arial" w:hAnsi="Arial" w:cs="Arial"/>
          <w:b/>
          <w:bCs/>
          <w:spacing w:val="-1"/>
          <w:w w:val="105"/>
          <w:sz w:val="20"/>
          <w:szCs w:val="20"/>
        </w:rPr>
        <w:t xml:space="preserve">Article L. 113-3 - </w:t>
      </w:r>
      <w:r>
        <w:rPr>
          <w:rFonts w:ascii="Arial" w:hAnsi="Arial" w:cs="Arial"/>
          <w:spacing w:val="-1"/>
          <w:sz w:val="20"/>
          <w:szCs w:val="20"/>
        </w:rPr>
        <w:t xml:space="preserve">Tout vendeur de produit ou tout prestataire de services doit, par voie de marquage, </w:t>
      </w:r>
      <w:r>
        <w:rPr>
          <w:rFonts w:ascii="Arial" w:hAnsi="Arial" w:cs="Arial"/>
          <w:spacing w:val="-9"/>
          <w:sz w:val="20"/>
          <w:szCs w:val="20"/>
        </w:rPr>
        <w:t xml:space="preserve">d'étiquetage, d'affichage ou par tout autre procédé approprié, informer le consommateur sur les prix, les limitations </w:t>
      </w:r>
      <w:r>
        <w:rPr>
          <w:rFonts w:ascii="Arial" w:hAnsi="Arial" w:cs="Arial"/>
          <w:spacing w:val="-1"/>
          <w:sz w:val="20"/>
          <w:szCs w:val="20"/>
        </w:rPr>
        <w:t>éventuelles de la responsabilité contractuelle et les conditions particulières de la vente.</w:t>
      </w:r>
    </w:p>
    <w:p w:rsidR="006F1AEA" w:rsidRPr="007773C8" w:rsidRDefault="006F1AEA" w:rsidP="00416865">
      <w:pPr>
        <w:numPr>
          <w:ilvl w:val="0"/>
          <w:numId w:val="1"/>
        </w:numPr>
        <w:tabs>
          <w:tab w:val="clear" w:pos="216"/>
          <w:tab w:val="num" w:pos="288"/>
        </w:tabs>
        <w:spacing w:before="144"/>
        <w:ind w:right="288"/>
        <w:rPr>
          <w:rFonts w:ascii="Tahoma" w:hAnsi="Tahoma" w:cs="Tahoma"/>
          <w:color w:val="2D74B5"/>
          <w:spacing w:val="-4"/>
          <w:sz w:val="6"/>
          <w:szCs w:val="6"/>
        </w:rPr>
      </w:pPr>
      <w:r>
        <w:rPr>
          <w:rFonts w:ascii="Arial" w:hAnsi="Arial" w:cs="Arial"/>
          <w:b/>
          <w:bCs/>
          <w:color w:val="2D74B5"/>
          <w:spacing w:val="-6"/>
          <w:w w:val="105"/>
          <w:sz w:val="20"/>
          <w:szCs w:val="20"/>
        </w:rPr>
        <w:t xml:space="preserve">Quelles sont les informations imposées au vendeur de meubles et essentielles au choix effectué </w:t>
      </w:r>
      <w:r>
        <w:rPr>
          <w:rFonts w:ascii="Arial" w:hAnsi="Arial" w:cs="Arial"/>
          <w:b/>
          <w:bCs/>
          <w:color w:val="2D74B5"/>
          <w:spacing w:val="-4"/>
          <w:w w:val="105"/>
          <w:sz w:val="20"/>
          <w:szCs w:val="20"/>
        </w:rPr>
        <w:t>par Armand Grenier ?</w:t>
      </w:r>
    </w:p>
    <w:p w:rsidR="007773C8" w:rsidRDefault="007773C8" w:rsidP="007773C8">
      <w:pPr>
        <w:pStyle w:val="Paragraphedeliste"/>
        <w:ind w:left="0"/>
        <w:jc w:val="both"/>
      </w:pPr>
      <w:r>
        <w:t>L’acheteur d’un canapé doit connaître, outre son prix, la qualité des matériaux utilisés, les conditions de livraison et les conditions générales de vente.</w:t>
      </w:r>
    </w:p>
    <w:p w:rsidR="007773C8" w:rsidRDefault="007773C8" w:rsidP="007773C8">
      <w:pPr>
        <w:spacing w:before="144"/>
        <w:ind w:left="72" w:right="288"/>
        <w:rPr>
          <w:rFonts w:ascii="Tahoma" w:hAnsi="Tahoma" w:cs="Tahoma"/>
          <w:color w:val="2D74B5"/>
          <w:spacing w:val="-4"/>
          <w:sz w:val="6"/>
          <w:szCs w:val="6"/>
        </w:rPr>
      </w:pPr>
    </w:p>
    <w:p w:rsidR="006F1AEA" w:rsidRDefault="006F1AEA" w:rsidP="00416865">
      <w:pPr>
        <w:numPr>
          <w:ilvl w:val="0"/>
          <w:numId w:val="1"/>
        </w:numPr>
        <w:tabs>
          <w:tab w:val="clear" w:pos="216"/>
          <w:tab w:val="num" w:pos="288"/>
        </w:tabs>
        <w:spacing w:before="8" w:after="324"/>
        <w:ind w:right="288"/>
        <w:rPr>
          <w:rFonts w:ascii="Arial" w:hAnsi="Arial" w:cs="Arial"/>
          <w:w w:val="110"/>
          <w:sz w:val="16"/>
          <w:szCs w:val="16"/>
        </w:rPr>
      </w:pPr>
      <w:r w:rsidRPr="00416865">
        <w:rPr>
          <w:rFonts w:ascii="Arial" w:hAnsi="Arial" w:cs="Arial"/>
          <w:b/>
          <w:bCs/>
          <w:color w:val="2D74B5"/>
          <w:spacing w:val="-3"/>
          <w:w w:val="105"/>
          <w:sz w:val="20"/>
          <w:szCs w:val="20"/>
        </w:rPr>
        <w:t>Quels types de conseil l'assureur a-t-il dû donner à Armand Grenier ?</w:t>
      </w:r>
      <w:r w:rsidRPr="00416865">
        <w:rPr>
          <w:b/>
          <w:bCs/>
          <w:i/>
          <w:iCs/>
          <w:spacing w:val="-3"/>
          <w:w w:val="105"/>
          <w:sz w:val="22"/>
          <w:szCs w:val="22"/>
        </w:rPr>
        <w:t xml:space="preserve"> distinguer les obligations </w:t>
      </w:r>
      <w:r w:rsidRPr="00416865">
        <w:rPr>
          <w:b/>
          <w:bCs/>
          <w:i/>
          <w:iCs/>
          <w:spacing w:val="-4"/>
          <w:w w:val="105"/>
          <w:sz w:val="22"/>
          <w:szCs w:val="22"/>
        </w:rPr>
        <w:t>en fonction de leur étendue</w:t>
      </w:r>
      <w:r w:rsidRPr="00416865">
        <w:rPr>
          <w:rFonts w:ascii="Arial" w:hAnsi="Arial" w:cs="Arial"/>
          <w:spacing w:val="-7"/>
          <w:w w:val="110"/>
          <w:sz w:val="16"/>
          <w:szCs w:val="16"/>
        </w:rPr>
        <w:t xml:space="preserve">IUT Bayonne- Département Informatique </w:t>
      </w:r>
      <w:r w:rsidRPr="00416865">
        <w:rPr>
          <w:rFonts w:ascii="Arial" w:hAnsi="Arial" w:cs="Arial"/>
          <w:spacing w:val="-7"/>
          <w:sz w:val="6"/>
          <w:szCs w:val="6"/>
        </w:rPr>
        <w:t>–</w:t>
      </w:r>
      <w:r w:rsidRPr="00416865">
        <w:rPr>
          <w:rFonts w:ascii="Arial" w:hAnsi="Arial" w:cs="Arial"/>
          <w:spacing w:val="-7"/>
          <w:w w:val="110"/>
          <w:sz w:val="16"/>
          <w:szCs w:val="16"/>
        </w:rPr>
        <w:t xml:space="preserve"> S2</w:t>
      </w:r>
      <w:r w:rsidRPr="00416865">
        <w:rPr>
          <w:rFonts w:ascii="Arial" w:hAnsi="Arial" w:cs="Arial"/>
          <w:spacing w:val="-7"/>
          <w:w w:val="110"/>
          <w:sz w:val="16"/>
          <w:szCs w:val="16"/>
        </w:rPr>
        <w:tab/>
      </w:r>
      <w:r w:rsidRPr="00416865">
        <w:rPr>
          <w:rFonts w:ascii="Arial" w:hAnsi="Arial" w:cs="Arial"/>
          <w:w w:val="110"/>
          <w:sz w:val="16"/>
          <w:szCs w:val="16"/>
        </w:rPr>
        <w:t>1</w:t>
      </w:r>
    </w:p>
    <w:p w:rsidR="000322AB" w:rsidRDefault="000322AB" w:rsidP="000322AB">
      <w:pPr>
        <w:pStyle w:val="Paragraphedeliste"/>
        <w:ind w:left="0"/>
        <w:jc w:val="both"/>
      </w:pPr>
      <w:r>
        <w:t>L’assureur doit conseiller Armand Grenier sur l’opportunité de souscrire tel ou tel contrat d’assurance : il doit lui préciser les divers types de placement (assurance vie…) et leurs avantages fiscaux.</w:t>
      </w:r>
    </w:p>
    <w:p w:rsidR="000322AB" w:rsidRPr="00416865" w:rsidRDefault="000322AB" w:rsidP="000322AB">
      <w:pPr>
        <w:spacing w:before="8" w:after="324"/>
        <w:ind w:left="72" w:right="288"/>
        <w:rPr>
          <w:rFonts w:ascii="Arial" w:hAnsi="Arial" w:cs="Arial"/>
          <w:w w:val="110"/>
          <w:sz w:val="16"/>
          <w:szCs w:val="16"/>
        </w:rPr>
      </w:pPr>
    </w:p>
    <w:sectPr w:rsidR="000322AB" w:rsidRPr="00416865">
      <w:headerReference w:type="default" r:id="rId10"/>
      <w:headerReference w:type="first" r:id="rId11"/>
      <w:footerReference w:type="first" r:id="rId12"/>
      <w:pgSz w:w="11918" w:h="16854"/>
      <w:pgMar w:top="904" w:right="1034" w:bottom="214" w:left="1104" w:header="566"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A40" w:rsidRDefault="007E2A40">
      <w:r>
        <w:separator/>
      </w:r>
    </w:p>
  </w:endnote>
  <w:endnote w:type="continuationSeparator" w:id="0">
    <w:p w:rsidR="007E2A40" w:rsidRDefault="007E2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865" w:rsidRPr="003157DC" w:rsidRDefault="00416865" w:rsidP="00416865">
    <w:pPr>
      <w:pStyle w:val="Pieddepage"/>
      <w:pBdr>
        <w:top w:val="single" w:sz="4" w:space="1" w:color="auto"/>
      </w:pBdr>
      <w:rPr>
        <w:b/>
        <w:sz w:val="16"/>
        <w:szCs w:val="16"/>
      </w:rPr>
    </w:pPr>
    <w:r w:rsidRPr="003157DC">
      <w:rPr>
        <w:rStyle w:val="Numrodepage"/>
        <w:rFonts w:cs="Arial"/>
        <w:sz w:val="16"/>
        <w:szCs w:val="16"/>
      </w:rPr>
      <w:t>IUT Bayonne- Département Informatique – S2</w:t>
    </w:r>
    <w:r w:rsidRPr="003157DC">
      <w:rPr>
        <w:rStyle w:val="Numrodepage"/>
        <w:rFonts w:cs="Arial"/>
        <w:sz w:val="16"/>
        <w:szCs w:val="16"/>
      </w:rPr>
      <w:tab/>
    </w:r>
    <w:r w:rsidRPr="003157DC">
      <w:rPr>
        <w:rStyle w:val="Numrodepage"/>
        <w:rFonts w:cs="Arial"/>
        <w:sz w:val="16"/>
        <w:szCs w:val="16"/>
      </w:rPr>
      <w:tab/>
    </w:r>
    <w:r w:rsidRPr="003157DC">
      <w:rPr>
        <w:rStyle w:val="Numrodepage"/>
        <w:rFonts w:cs="Arial"/>
        <w:sz w:val="16"/>
        <w:szCs w:val="16"/>
      </w:rPr>
      <w:tab/>
    </w:r>
    <w:r w:rsidRPr="003157DC">
      <w:rPr>
        <w:rStyle w:val="Numrodepage"/>
        <w:rFonts w:cs="Arial"/>
        <w:sz w:val="16"/>
        <w:szCs w:val="16"/>
      </w:rPr>
      <w:fldChar w:fldCharType="begin"/>
    </w:r>
    <w:r w:rsidRPr="003157DC">
      <w:rPr>
        <w:rStyle w:val="Numrodepage"/>
        <w:rFonts w:cs="Arial"/>
        <w:sz w:val="16"/>
        <w:szCs w:val="16"/>
      </w:rPr>
      <w:instrText xml:space="preserve"> PAGE </w:instrText>
    </w:r>
    <w:r w:rsidRPr="003157DC">
      <w:rPr>
        <w:rStyle w:val="Numrodepage"/>
        <w:rFonts w:cs="Arial"/>
        <w:sz w:val="16"/>
        <w:szCs w:val="16"/>
      </w:rPr>
      <w:fldChar w:fldCharType="separate"/>
    </w:r>
    <w:r w:rsidR="00242CB8">
      <w:rPr>
        <w:rStyle w:val="Numrodepage"/>
        <w:rFonts w:cs="Arial"/>
        <w:noProof/>
        <w:sz w:val="16"/>
        <w:szCs w:val="16"/>
      </w:rPr>
      <w:t>1</w:t>
    </w:r>
    <w:r w:rsidRPr="003157DC">
      <w:rPr>
        <w:rStyle w:val="Numrodepage"/>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A40" w:rsidRDefault="007E2A40">
      <w:r>
        <w:separator/>
      </w:r>
    </w:p>
  </w:footnote>
  <w:footnote w:type="continuationSeparator" w:id="0">
    <w:p w:rsidR="007E2A40" w:rsidRDefault="007E2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AEA" w:rsidRDefault="006F1AEA">
    <w:pPr>
      <w:widowControl/>
      <w:kinsoku/>
      <w:autoSpaceDE w:val="0"/>
      <w:autoSpaceDN w:val="0"/>
      <w:adjustRightInd w:val="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AEA" w:rsidRPr="00416865" w:rsidRDefault="00242CB8" w:rsidP="00416865">
    <w:pPr>
      <w:pStyle w:val="NormalWeb"/>
      <w:pBdr>
        <w:bottom w:val="single" w:sz="4" w:space="1" w:color="auto"/>
      </w:pBdr>
      <w:shd w:val="clear" w:color="auto" w:fill="F2F2F2"/>
      <w:kinsoku w:val="0"/>
      <w:overflowPunct w:val="0"/>
      <w:spacing w:before="0" w:beforeAutospacing="0" w:after="0" w:afterAutospacing="0"/>
      <w:textAlignment w:val="baseline"/>
    </w:pPr>
    <w:r w:rsidRPr="007A395F">
      <w:rPr>
        <w:noProof/>
      </w:rPr>
      <w:drawing>
        <wp:inline distT="0" distB="0" distL="0" distR="0">
          <wp:extent cx="1876425" cy="171450"/>
          <wp:effectExtent l="0" t="0" r="0" b="0"/>
          <wp:docPr id="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71450"/>
                  </a:xfrm>
                  <a:prstGeom prst="rect">
                    <a:avLst/>
                  </a:prstGeom>
                  <a:noFill/>
                  <a:ln>
                    <a:noFill/>
                  </a:ln>
                </pic:spPr>
              </pic:pic>
            </a:graphicData>
          </a:graphic>
        </wp:inline>
      </w:drawing>
    </w:r>
    <w:r w:rsidR="00416865">
      <w:rPr>
        <w:rFonts w:ascii="Arial" w:hAnsi="Arial"/>
        <w:b/>
        <w:bCs/>
        <w:color w:val="9E0000"/>
        <w:kern w:val="24"/>
        <w:sz w:val="26"/>
        <w:szCs w:val="26"/>
      </w:rPr>
      <w:tab/>
    </w:r>
    <w:r w:rsidR="00416865">
      <w:rPr>
        <w:rFonts w:ascii="Arial" w:hAnsi="Arial"/>
        <w:b/>
        <w:bCs/>
        <w:color w:val="9E0000"/>
        <w:kern w:val="24"/>
        <w:sz w:val="26"/>
        <w:szCs w:val="26"/>
      </w:rPr>
      <w:tab/>
    </w:r>
    <w:r w:rsidR="00416865">
      <w:rPr>
        <w:rFonts w:ascii="Arial" w:hAnsi="Arial"/>
        <w:b/>
        <w:bCs/>
        <w:color w:val="9E0000"/>
        <w:kern w:val="24"/>
        <w:sz w:val="20"/>
        <w:szCs w:val="20"/>
      </w:rPr>
      <w:t>C1_TP2</w:t>
    </w:r>
    <w:r w:rsidR="00416865" w:rsidRPr="005D0325">
      <w:rPr>
        <w:rFonts w:ascii="Arial" w:hAnsi="Arial"/>
        <w:b/>
        <w:bCs/>
        <w:color w:val="9E0000"/>
        <w:kern w:val="24"/>
        <w:sz w:val="20"/>
        <w:szCs w:val="20"/>
      </w:rPr>
      <w:t>_Sources du droit et Organisation judiciaire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B3110"/>
    <w:multiLevelType w:val="singleLevel"/>
    <w:tmpl w:val="2344750A"/>
    <w:lvl w:ilvl="0">
      <w:start w:val="1"/>
      <w:numFmt w:val="decimal"/>
      <w:lvlText w:val="%1."/>
      <w:lvlJc w:val="left"/>
      <w:pPr>
        <w:tabs>
          <w:tab w:val="num" w:pos="216"/>
        </w:tabs>
        <w:ind w:firstLine="72"/>
      </w:pPr>
      <w:rPr>
        <w:rFonts w:ascii="Arial" w:hAnsi="Arial" w:cs="Arial"/>
        <w:b/>
        <w:bCs/>
        <w:snapToGrid/>
        <w:color w:val="2D74B5"/>
        <w:spacing w:val="-6"/>
        <w:w w:val="105"/>
        <w:sz w:val="20"/>
        <w:szCs w:val="20"/>
      </w:rPr>
    </w:lvl>
  </w:abstractNum>
  <w:abstractNum w:abstractNumId="1" w15:restartNumberingAfterBreak="0">
    <w:nsid w:val="0B06057F"/>
    <w:multiLevelType w:val="hybridMultilevel"/>
    <w:tmpl w:val="8780C3BA"/>
    <w:lvl w:ilvl="0" w:tplc="040C000F">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15:restartNumberingAfterBreak="0">
    <w:nsid w:val="38705F78"/>
    <w:multiLevelType w:val="hybridMultilevel"/>
    <w:tmpl w:val="8780C3BA"/>
    <w:lvl w:ilvl="0" w:tplc="040C000F">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 w15:restartNumberingAfterBreak="0">
    <w:nsid w:val="5BAC2EFA"/>
    <w:multiLevelType w:val="hybridMultilevel"/>
    <w:tmpl w:val="60E6E928"/>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0"/>
  </w:num>
  <w:num w:numId="2">
    <w:abstractNumId w:val="0"/>
    <w:lvlOverride w:ilvl="0">
      <w:lvl w:ilvl="0">
        <w:numFmt w:val="decimal"/>
        <w:lvlText w:val="%1."/>
        <w:lvlJc w:val="left"/>
        <w:pPr>
          <w:tabs>
            <w:tab w:val="num" w:pos="216"/>
          </w:tabs>
          <w:ind w:left="72"/>
        </w:pPr>
        <w:rPr>
          <w:rFonts w:ascii="Arial" w:hAnsi="Arial" w:cs="Arial"/>
          <w:snapToGrid/>
          <w:color w:val="2D74B5"/>
          <w:spacing w:val="-1"/>
          <w:sz w:val="20"/>
          <w:szCs w:val="20"/>
        </w:rPr>
      </w:lvl>
    </w:lvlOverride>
  </w:num>
  <w:num w:numId="3">
    <w:abstractNumId w:val="0"/>
    <w:lvlOverride w:ilvl="0">
      <w:lvl w:ilvl="0">
        <w:numFmt w:val="decimal"/>
        <w:lvlText w:val="%1."/>
        <w:lvlJc w:val="left"/>
        <w:pPr>
          <w:tabs>
            <w:tab w:val="num" w:pos="288"/>
          </w:tabs>
          <w:ind w:left="72"/>
        </w:pPr>
        <w:rPr>
          <w:rFonts w:ascii="Arial" w:hAnsi="Arial" w:cs="Arial"/>
          <w:b/>
          <w:bCs/>
          <w:snapToGrid/>
          <w:color w:val="2D74B5"/>
          <w:spacing w:val="2"/>
          <w:w w:val="105"/>
          <w:sz w:val="20"/>
          <w:szCs w:val="20"/>
        </w:rPr>
      </w:lvl>
    </w:lvlOverride>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65"/>
    <w:rsid w:val="000322AB"/>
    <w:rsid w:val="000C4CD8"/>
    <w:rsid w:val="00242CB8"/>
    <w:rsid w:val="003157DC"/>
    <w:rsid w:val="00317756"/>
    <w:rsid w:val="00416865"/>
    <w:rsid w:val="00463E17"/>
    <w:rsid w:val="005B5B1F"/>
    <w:rsid w:val="005D0325"/>
    <w:rsid w:val="006F1AEA"/>
    <w:rsid w:val="007400D2"/>
    <w:rsid w:val="007773C8"/>
    <w:rsid w:val="007A395F"/>
    <w:rsid w:val="007E2A40"/>
    <w:rsid w:val="009B45D4"/>
    <w:rsid w:val="009D511A"/>
    <w:rsid w:val="009F3C43"/>
    <w:rsid w:val="00EB77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B76B28-7D14-4431-8513-5FFB77F1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kinsoku w:val="0"/>
      <w:spacing w:after="0" w:line="240" w:lineRule="auto"/>
    </w:pPr>
    <w:rPr>
      <w:rFonts w:ascii="Times New Roman" w:hAnsi="Times New Roman"/>
      <w:sz w:val="24"/>
      <w:szCs w:val="24"/>
    </w:rPr>
  </w:style>
  <w:style w:type="character" w:default="1" w:styleId="Policepardfaut">
    <w:name w:val="Default Paragraph Font"/>
    <w:uiPriority w:val="99"/>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6865"/>
    <w:pPr>
      <w:tabs>
        <w:tab w:val="center" w:pos="4536"/>
        <w:tab w:val="right" w:pos="9072"/>
      </w:tabs>
    </w:pPr>
  </w:style>
  <w:style w:type="character" w:customStyle="1" w:styleId="En-tteCar">
    <w:name w:val="En-tête Car"/>
    <w:basedOn w:val="Policepardfaut"/>
    <w:link w:val="En-tte"/>
    <w:uiPriority w:val="99"/>
    <w:locked/>
    <w:rsid w:val="00416865"/>
    <w:rPr>
      <w:rFonts w:ascii="Times New Roman" w:hAnsi="Times New Roman" w:cs="Times New Roman"/>
      <w:sz w:val="24"/>
      <w:szCs w:val="24"/>
    </w:rPr>
  </w:style>
  <w:style w:type="paragraph" w:styleId="Pieddepage">
    <w:name w:val="footer"/>
    <w:basedOn w:val="Normal"/>
    <w:link w:val="PieddepageCar"/>
    <w:uiPriority w:val="99"/>
    <w:unhideWhenUsed/>
    <w:rsid w:val="00416865"/>
    <w:pPr>
      <w:tabs>
        <w:tab w:val="center" w:pos="4536"/>
        <w:tab w:val="right" w:pos="9072"/>
      </w:tabs>
    </w:pPr>
  </w:style>
  <w:style w:type="character" w:customStyle="1" w:styleId="PieddepageCar">
    <w:name w:val="Pied de page Car"/>
    <w:basedOn w:val="Policepardfaut"/>
    <w:link w:val="Pieddepage"/>
    <w:uiPriority w:val="99"/>
    <w:locked/>
    <w:rsid w:val="00416865"/>
    <w:rPr>
      <w:rFonts w:ascii="Times New Roman" w:hAnsi="Times New Roman" w:cs="Times New Roman"/>
      <w:sz w:val="24"/>
      <w:szCs w:val="24"/>
    </w:rPr>
  </w:style>
  <w:style w:type="paragraph" w:styleId="NormalWeb">
    <w:name w:val="Normal (Web)"/>
    <w:basedOn w:val="Normal"/>
    <w:uiPriority w:val="99"/>
    <w:unhideWhenUsed/>
    <w:rsid w:val="00416865"/>
    <w:pPr>
      <w:widowControl/>
      <w:kinsoku/>
      <w:spacing w:before="100" w:beforeAutospacing="1" w:after="100" w:afterAutospacing="1"/>
    </w:pPr>
  </w:style>
  <w:style w:type="character" w:styleId="Numrodepage">
    <w:name w:val="page number"/>
    <w:basedOn w:val="Policepardfaut"/>
    <w:uiPriority w:val="99"/>
    <w:rsid w:val="00416865"/>
    <w:rPr>
      <w:rFonts w:cs="Times New Roman"/>
    </w:rPr>
  </w:style>
  <w:style w:type="paragraph" w:styleId="Paragraphedeliste">
    <w:name w:val="List Paragraph"/>
    <w:basedOn w:val="Normal"/>
    <w:uiPriority w:val="34"/>
    <w:qFormat/>
    <w:rsid w:val="005B5B1F"/>
    <w:pPr>
      <w:widowControl/>
      <w:kinsoku/>
      <w:spacing w:after="160" w:line="259" w:lineRule="auto"/>
      <w:ind w:left="720"/>
      <w:contextualSpacing/>
    </w:pPr>
    <w:rPr>
      <w:rFonts w:ascii="Calibri" w:eastAsia="Times New Roman"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binetaci.com/la-notion-doblig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onomie.gouv.fr/dgccrf/Publications/Vie-pratique/Fiches-pratiques/Contra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axicours.com/se/cours/les-contrats-effets-et-consequences-de-l-inexecution/"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4460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Chabanat Matis</dc:creator>
  <cp:keywords/>
  <dc:description/>
  <cp:lastModifiedBy>Chabanat Matis</cp:lastModifiedBy>
  <cp:revision>2</cp:revision>
  <dcterms:created xsi:type="dcterms:W3CDTF">2022-02-15T15:49:00Z</dcterms:created>
  <dcterms:modified xsi:type="dcterms:W3CDTF">2022-02-15T15:49:00Z</dcterms:modified>
</cp:coreProperties>
</file>