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https://trello.com/invite/b/mSuuclMc/c3ce96a09b0138ef51ae14f2e2918344/sport-track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Semaine du 07/05 Fonctionnalitées et acteurs, Diagramme des cas d’utilisation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Semaine du 14/05 Scénarios nominaux, alternatifs et exceptionnels de chaque CU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Semaine du 21/05 WBS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Semaine du 28/05 Description et argumentation du WBS de S2: ensemble des niveaux et sous-niveaux (tâches et sous-tâches) avec les livrables associés.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Semaine du 04/04 Description et argumentation du WBS de S3: ensemble des niveaux et sous-niveaux (tâches et sous-tâches) avec les livrables associés.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Semaine du 11/04 Description et argumentation du WBS de S4: ensemble des niveaux et sous-niveaux (tâches et sous-tâches) avec les livrables associés.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Semaine du 18/04 Explication de la méthode suivie WBS et justification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Semaine du 25/04 </w:t>
        <w:br w:type="textWrapping"/>
        <w:t xml:space="preserve">Semaine du 02/05 Chapitre 1 à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Semaine du 09/05 Planification S2 et analyse critique des différences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Semaine du 16/05 Planification S3, S4 et analyse critique des différences,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Semaine du 23/05 Présentation des outils avec analyse critique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Semaine du 30/06 Coût associés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Semaine du 06/06 Remise des chapitre 1 à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Semaine du 13/06 Bilan et perspectives, webographie, remise du document final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mSuuclMc/c3ce96a09b0138ef51ae14f2e2918344/sport-tr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