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864"/>
          <w:sz w:val="36"/>
          <w:szCs w:val="36"/>
        </w:rPr>
        <w:t xml:space="preserve">CHURCH IN CONVERSATION</w:t>
      </w:r>
    </w:p>
    <w:p>
      <w:pPr>
        <w:spacing w:after="40"/>
        <w:jc w:val="center"/>
      </w:pPr>
      <w:r>
        <w:rPr>
          <w:sz w:val="30"/>
          <w:szCs w:val="30"/>
        </w:rPr>
        <w:t xml:space="preserve">Seminary Alignment Analysis</w:t>
      </w:r>
    </w:p>
    <w:p>
      <w:pPr>
        <w:spacing w:after="260"/>
        <w:jc w:val="center"/>
      </w:pPr>
      <w:r>
        <w:rPr>
          <w:i/>
          <w:iCs/>
          <w:sz w:val="20"/>
          <w:szCs w:val="20"/>
        </w:rPr>
        <w:t xml:space="preserve">DRAFT V0.1 · July 16, 2026 · Ministry/Funding · Research current as of this date</w:t>
      </w:r>
    </w:p>
    <w:p>
      <w:pPr>
        <w:pStyle w:val="Heading1"/>
        <w:spacing w:after="140" w:before="320"/>
      </w:pPr>
      <w:r>
        <w:rPr>
          <w:color w:val="1F3864"/>
        </w:rPr>
        <w:t xml:space="preserve">Purpose and Method</w:t>
      </w:r>
    </w:p>
    <w:p>
      <w:pPr>
        <w:spacing w:after="120"/>
      </w:pPr>
      <w:r>
        <w:t xml:space="preserve">Mark’s direction (2026-07-16): a deep analysis of which seminaries best align with CiC’s commitments and its historical-world focus — </w:t>
      </w:r>
      <w:r>
        <w:rPr>
          <w:b/>
          <w:bCs/>
        </w:rPr>
        <w:t xml:space="preserve">not just denominational agenda or lens</w:t>
      </w:r>
      <w:r>
        <w:t xml:space="preserve"> — run alongside, not instead of, the existing TEDS-professor follow-up. Two live web-research passes (July 2026) fed this document: one mapping genuine early-church scholarly strength across North American institutions, one mapping institutional posture (AI engagement, ecumenical breadth, digital-education capacity, financial health, partnership precedents). Every claim carries its source in the research record; items the research could not verify are flagged, not smoothed over.</w:t>
      </w:r>
    </w:p>
    <w:p>
      <w:pPr>
        <w:spacing w:after="120"/>
      </w:pPr>
      <w:r>
        <w:t xml:space="preserve">The criteria come from CiC’s own commitments, in this order of weight:</w:t>
      </w:r>
    </w:p>
    <w:p>
      <w:pPr>
        <w:pStyle w:val="ListParagraph"/>
        <w:numPr>
          <w:ilvl w:val="0"/>
          <w:numId w:val="2"/>
        </w:numPr>
        <w:spacing w:after="80"/>
      </w:pPr>
      <w:r>
        <w:rPr>
          <w:b/>
          <w:bCs/>
        </w:rPr>
        <w:t xml:space="preserve">1. Subject-matter standing (Article 31): </w:t>
      </w:r>
      <w:r>
        <w:t xml:space="preserve">real scholarly depth in CiC’s actual worlds — post-apostolic, Alexandrian, Desert, Syriac (Edessa-Nisibis), Nicene-Cappadocian, Early Latin — not church history generally.</w:t>
      </w:r>
    </w:p>
    <w:p>
      <w:pPr>
        <w:pStyle w:val="ListParagraph"/>
        <w:numPr>
          <w:ilvl w:val="0"/>
          <w:numId w:val="2"/>
        </w:numPr>
        <w:spacing w:after="80"/>
      </w:pPr>
      <w:r>
        <w:rPr>
          <w:b/>
          <w:bCs/>
        </w:rPr>
        <w:t xml:space="preserve">2. Multi-tradition tolerance (Convictions 1 and 3): </w:t>
      </w:r>
      <w:r>
        <w:t xml:space="preserve">the institution must be structurally comfortable hosting Alexandrian, Desert, Syriac, and eventually Reformation voices speaking on their own terms, un-adjudicated. Confessional-subscription schools can teach about other traditions; hosting them unfiltered is a different posture.</w:t>
      </w:r>
    </w:p>
    <w:p>
      <w:pPr>
        <w:pStyle w:val="ListParagraph"/>
        <w:numPr>
          <w:ilvl w:val="0"/>
          <w:numId w:val="2"/>
        </w:numPr>
        <w:spacing w:after="80"/>
      </w:pPr>
      <w:r>
        <w:rPr>
          <w:b/>
          <w:bCs/>
        </w:rPr>
        <w:t xml:space="preserve">3. Pilot capacity: </w:t>
      </w:r>
      <w:r>
        <w:t xml:space="preserve">online/hybrid infrastructure, ed-tech openness, and ideally demonstrated AI engagement.</w:t>
      </w:r>
    </w:p>
    <w:p>
      <w:pPr>
        <w:pStyle w:val="ListParagraph"/>
        <w:numPr>
          <w:ilvl w:val="0"/>
          <w:numId w:val="2"/>
        </w:numPr>
        <w:spacing w:after="80"/>
      </w:pPr>
      <w:r>
        <w:rPr>
          <w:b/>
          <w:bCs/>
        </w:rPr>
        <w:t xml:space="preserve">4. Stability: </w:t>
      </w:r>
      <w:r>
        <w:t xml:space="preserve">seminaries are consolidating (Memphis closing 2026; Multnomah online-only; Phoenix acquired by Biola; TEDS transferred to Trinity Western). A partner mid-crisis is a risk.</w:t>
      </w:r>
    </w:p>
    <w:p>
      <w:pPr>
        <w:pStyle w:val="ListParagraph"/>
        <w:numPr>
          <w:ilvl w:val="0"/>
          <w:numId w:val="2"/>
        </w:numPr>
        <w:spacing w:after="80"/>
      </w:pPr>
      <w:r>
        <w:rPr>
          <w:b/>
          <w:bCs/>
        </w:rPr>
        <w:t xml:space="preserve">5. Funding-vehicle potential: </w:t>
      </w:r>
      <w:r>
        <w:t xml:space="preserve">can the relationship carry a grant (Wabash, Lilly) or a paying pilot?</w:t>
      </w:r>
    </w:p>
    <w:p>
      <w:pPr>
        <w:pStyle w:val="Heading1"/>
        <w:spacing w:after="140" w:before="320"/>
      </w:pPr>
      <w:r>
        <w:rPr>
          <w:color w:val="1F3864"/>
        </w:rPr>
        <w:t xml:space="preserve">The Headline Findings</w:t>
      </w:r>
    </w:p>
    <w:p>
      <w:pPr>
        <w:pStyle w:val="ListParagraph"/>
        <w:numPr>
          <w:ilvl w:val="0"/>
          <w:numId w:val="2"/>
        </w:numPr>
        <w:spacing w:after="80"/>
      </w:pPr>
      <w:r>
        <w:rPr>
          <w:b/>
          <w:bCs/>
        </w:rPr>
        <w:t xml:space="preserve">The exact use-case already ran in a seminary classroom — successfully and recently. </w:t>
      </w:r>
      <w:r>
        <w:t xml:space="preserve">Acadia Divinity College (Wolfville, Nova Scotia): church-history professor Melody Maxwell used an AI chatbot letting students question historical Christian figures, framed as building “historical empathy” (CBC News, July 2025). Acadia’s president, Anna Robbins, personally leads a “Futuring Lab” running structured AI experiments, AI micro-credentials, and an AI-literacy curriculum. This is the only seminary-classroom deployment of CiC’s concept found anywhere — proof the door is open, and a natural peer conversation.</w:t>
      </w:r>
    </w:p>
    <w:p>
      <w:pPr>
        <w:pStyle w:val="ListParagraph"/>
        <w:numPr>
          <w:ilvl w:val="0"/>
          <w:numId w:val="2"/>
        </w:numPr>
        <w:spacing w:after="80"/>
      </w:pPr>
      <w:r>
        <w:rPr>
          <w:b/>
          <w:bCs/>
        </w:rPr>
        <w:t xml:space="preserve">Wheaton is the closest scholarly-mission alignment. </w:t>
      </w:r>
      <w:r>
        <w:t xml:space="preserve">The Wheaton Center for Early Christian Studies (founding director George Kalantzis) is a dedicated patristics center at a pan-evangelical, non-denominational institution whose stated mission — retrieving the early church for evangelicals (its own volume: </w:t>
      </w:r>
      <w:r>
        <w:rPr>
          <w:i/>
          <w:iCs/>
        </w:rPr>
        <w:t xml:space="preserve">Evangelicals and the Early Church</w:t>
      </w:r>
      <w:r>
        <w:t xml:space="preserve">) — is nearly CiC’s mission in academic form. Stable institution; real hybrid-degree infrastructure; Kalantzis also holds a part-time post at Regent College (Vancouver), a bridge to Mark’s west-coast connections.</w:t>
      </w:r>
    </w:p>
    <w:p>
      <w:pPr>
        <w:pStyle w:val="ListParagraph"/>
        <w:numPr>
          <w:ilvl w:val="0"/>
          <w:numId w:val="2"/>
        </w:numPr>
        <w:spacing w:after="80"/>
      </w:pPr>
      <w:r>
        <w:rPr>
          <w:b/>
          <w:bCs/>
        </w:rPr>
        <w:t xml:space="preserve">The TEDS connection has changed shape — and may have improved. </w:t>
      </w:r>
      <w:r>
        <w:t xml:space="preserve">TEDS completed its transfer to Trinity Western University (Langley, BC) in January 2026 and relaunches there September 2026 in in-person, hybrid, and online formats, acquired debt-free. Mid-transition = wrong window for anchoring a pilot now; but a relaunching, online-first evangelical divinity school inside Canada’s largest Christian university is plausibly an unusually open door 18+ months out. The professor relationship is unaffected as a reviewer lead.</w:t>
      </w:r>
    </w:p>
    <w:p>
      <w:pPr>
        <w:pStyle w:val="ListParagraph"/>
        <w:numPr>
          <w:ilvl w:val="0"/>
          <w:numId w:val="2"/>
        </w:numPr>
        <w:spacing w:after="80"/>
      </w:pPr>
      <w:r>
        <w:rPr>
          <w:b/>
          <w:bCs/>
        </w:rPr>
        <w:t xml:space="preserve">A purpose-built first funding vehicle exists. </w:t>
      </w:r>
      <w:r>
        <w:t xml:space="preserve">The Wabash Center’s AI-experimentation grants (up to $30K, two years, seminary faculty apply) fund exactly “educational experimentation in the integration of AI into theological teaching and learning” — the classroom pilot, funded, with the faculty partner as applicant. Vanderbilt, Trinity College Toronto, and Hartford International have already won them.</w:t>
      </w:r>
    </w:p>
    <w:p>
      <w:pPr>
        <w:pStyle w:val="ListParagraph"/>
        <w:numPr>
          <w:ilvl w:val="0"/>
          <w:numId w:val="2"/>
        </w:numPr>
        <w:spacing w:after="80"/>
      </w:pPr>
      <w:r>
        <w:rPr>
          <w:b/>
          <w:bCs/>
        </w:rPr>
        <w:t xml:space="preserve">The institutional-scale vehicle is Lilly Pathways for Tomorrow, </w:t>
      </w:r>
      <w:r>
        <w:t xml:space="preserve">which has granted &gt;$700M to 163 schools since 2021 and explicitly funds “shared digital educational platforms” ($2.5–10M rounds; 45 grants in Nov 2025) — alongside the Exploring Christian Practices initiative already mapped (2026-07-15). Fuller’s new $10M Lilly-funded FORWARD Consortium for digital-forward ministry training (Dec 2025, seven partner institutions) shows what funded digital consortia look like — a future distribution channel even though Fuller itself has no patristics strength.</w:t>
      </w:r>
    </w:p>
    <w:p>
      <w:pPr>
        <w:pStyle w:val="Heading1"/>
        <w:spacing w:after="140" w:before="320"/>
      </w:pPr>
      <w:r>
        <w:rPr>
          <w:color w:val="1F3864"/>
        </w:rPr>
        <w:t xml:space="preserve">Anchor-Partner Shortlist (ranked by combined fit)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000"/>
        <w:gridCol w:w="1900"/>
        <w:gridCol w:w="1720"/>
      </w:tblGrid>
      <w:tr>
        <w:tc>
          <w:tcPr>
            <w:tcW w:type="dxa" w:w="1900"/>
            <w:shd w:fill="F2F2F2" w:val="clear"/>
            <w:tcMar>
              <w:top w:type="dxa" w:w="60"/>
              <w:left w:type="dxa" w:w="100"/>
              <w:bottom w:type="dxa" w:w="60"/>
              <w:right w:type="dxa" w:w="100"/>
            </w:tcMar>
          </w:tcPr>
          <w:p>
            <w:r>
              <w:rPr>
                <w:b/>
                <w:bCs/>
                <w:sz w:val="19"/>
                <w:szCs w:val="19"/>
              </w:rPr>
              <w:t xml:space="preserve">Institution</w:t>
            </w:r>
          </w:p>
        </w:tc>
        <w:tc>
          <w:tcPr>
            <w:tcW w:type="dxa" w:w="2200"/>
            <w:shd w:fill="F2F2F2" w:val="clear"/>
            <w:tcMar>
              <w:top w:type="dxa" w:w="60"/>
              <w:left w:type="dxa" w:w="100"/>
              <w:bottom w:type="dxa" w:w="60"/>
              <w:right w:type="dxa" w:w="100"/>
            </w:tcMar>
          </w:tcPr>
          <w:p>
            <w:r>
              <w:rPr>
                <w:b/>
                <w:bCs/>
                <w:sz w:val="19"/>
                <w:szCs w:val="19"/>
              </w:rPr>
              <w:t xml:space="preserve">Scholarly fit (Art. 31 worlds)</w:t>
            </w:r>
          </w:p>
        </w:tc>
        <w:tc>
          <w:tcPr>
            <w:tcW w:type="dxa" w:w="2000"/>
            <w:shd w:fill="F2F2F2" w:val="clear"/>
            <w:tcMar>
              <w:top w:type="dxa" w:w="60"/>
              <w:left w:type="dxa" w:w="100"/>
              <w:bottom w:type="dxa" w:w="60"/>
              <w:right w:type="dxa" w:w="100"/>
            </w:tcMar>
          </w:tcPr>
          <w:p>
            <w:r>
              <w:rPr>
                <w:b/>
                <w:bCs/>
                <w:sz w:val="19"/>
                <w:szCs w:val="19"/>
              </w:rPr>
              <w:t xml:space="preserve">Multi-tradition posture</w:t>
            </w:r>
          </w:p>
        </w:tc>
        <w:tc>
          <w:tcPr>
            <w:tcW w:type="dxa" w:w="1900"/>
            <w:shd w:fill="F2F2F2" w:val="clear"/>
            <w:tcMar>
              <w:top w:type="dxa" w:w="60"/>
              <w:left w:type="dxa" w:w="100"/>
              <w:bottom w:type="dxa" w:w="60"/>
              <w:right w:type="dxa" w:w="100"/>
            </w:tcMar>
          </w:tcPr>
          <w:p>
            <w:r>
              <w:rPr>
                <w:b/>
                <w:bCs/>
                <w:sz w:val="19"/>
                <w:szCs w:val="19"/>
              </w:rPr>
              <w:t xml:space="preserve">Pilot capacity / AI posture</w:t>
            </w:r>
          </w:p>
        </w:tc>
        <w:tc>
          <w:tcPr>
            <w:tcW w:type="dxa" w:w="1720"/>
            <w:shd w:fill="F2F2F2" w:val="clear"/>
            <w:tcMar>
              <w:top w:type="dxa" w:w="60"/>
              <w:left w:type="dxa" w:w="100"/>
              <w:bottom w:type="dxa" w:w="60"/>
              <w:right w:type="dxa" w:w="100"/>
            </w:tcMar>
          </w:tcPr>
          <w:p>
            <w:r>
              <w:rPr>
                <w:b/>
                <w:bCs/>
                <w:sz w:val="19"/>
                <w:szCs w:val="19"/>
              </w:rPr>
              <w:t xml:space="preserve">Stability</w:t>
            </w:r>
          </w:p>
        </w:tc>
      </w:tr>
      <w:tr>
        <w:tc>
          <w:tcPr>
            <w:tcW w:type="dxa" w:w="1900"/>
            <w:tcMar>
              <w:top w:type="dxa" w:w="60"/>
              <w:left w:type="dxa" w:w="100"/>
              <w:bottom w:type="dxa" w:w="60"/>
              <w:right w:type="dxa" w:w="100"/>
            </w:tcMar>
          </w:tcPr>
          <w:p>
            <w:r>
              <w:rPr>
                <w:sz w:val="19"/>
                <w:szCs w:val="19"/>
              </w:rPr>
              <w:t xml:space="preserve">Wheaton (Center for Early Christian Studies)</w:t>
            </w:r>
          </w:p>
        </w:tc>
        <w:tc>
          <w:tcPr>
            <w:tcW w:type="dxa" w:w="2200"/>
            <w:tcMar>
              <w:top w:type="dxa" w:w="60"/>
              <w:left w:type="dxa" w:w="100"/>
              <w:bottom w:type="dxa" w:w="60"/>
              <w:right w:type="dxa" w:w="100"/>
            </w:tcMar>
          </w:tcPr>
          <w:p>
            <w:r>
              <w:rPr>
                <w:sz w:val="19"/>
                <w:szCs w:val="19"/>
              </w:rPr>
              <w:t xml:space="preserve">Excellent — dedicated patristics center; Kalantzis (post-apostolic, Nicene)</w:t>
            </w:r>
          </w:p>
        </w:tc>
        <w:tc>
          <w:tcPr>
            <w:tcW w:type="dxa" w:w="2000"/>
            <w:tcMar>
              <w:top w:type="dxa" w:w="60"/>
              <w:left w:type="dxa" w:w="100"/>
              <w:bottom w:type="dxa" w:w="60"/>
              <w:right w:type="dxa" w:w="100"/>
            </w:tcMar>
          </w:tcPr>
          <w:p>
            <w:r>
              <w:rPr>
                <w:sz w:val="19"/>
                <w:szCs w:val="19"/>
              </w:rPr>
              <w:t xml:space="preserve">Pan-evangelical, non-denominational; retrieval mission</w:t>
            </w:r>
          </w:p>
        </w:tc>
        <w:tc>
          <w:tcPr>
            <w:tcW w:type="dxa" w:w="1900"/>
            <w:tcMar>
              <w:top w:type="dxa" w:w="60"/>
              <w:left w:type="dxa" w:w="100"/>
              <w:bottom w:type="dxa" w:w="60"/>
              <w:right w:type="dxa" w:w="100"/>
            </w:tcMar>
          </w:tcPr>
          <w:p>
            <w:r>
              <w:rPr>
                <w:sz w:val="19"/>
                <w:szCs w:val="19"/>
              </w:rPr>
              <w:t xml:space="preserve">Hybrid degrees since 2020; moderate ed-tech; no AI program found</w:t>
            </w:r>
          </w:p>
        </w:tc>
        <w:tc>
          <w:tcPr>
            <w:tcW w:type="dxa" w:w="1720"/>
            <w:tcMar>
              <w:top w:type="dxa" w:w="60"/>
              <w:left w:type="dxa" w:w="100"/>
              <w:bottom w:type="dxa" w:w="60"/>
              <w:right w:type="dxa" w:w="100"/>
            </w:tcMar>
          </w:tcPr>
          <w:p>
            <w:r>
              <w:rPr>
                <w:sz w:val="19"/>
                <w:szCs w:val="19"/>
              </w:rPr>
              <w:t xml:space="preserve">Strong</w:t>
            </w:r>
          </w:p>
        </w:tc>
      </w:tr>
      <w:tr>
        <w:tc>
          <w:tcPr>
            <w:tcW w:type="dxa" w:w="1900"/>
            <w:tcMar>
              <w:top w:type="dxa" w:w="60"/>
              <w:left w:type="dxa" w:w="100"/>
              <w:bottom w:type="dxa" w:w="60"/>
              <w:right w:type="dxa" w:w="100"/>
            </w:tcMar>
          </w:tcPr>
          <w:p>
            <w:r>
              <w:rPr>
                <w:sz w:val="19"/>
                <w:szCs w:val="19"/>
              </w:rPr>
              <w:t xml:space="preserve">Acadia Divinity (NS, Canada)</w:t>
            </w:r>
          </w:p>
        </w:tc>
        <w:tc>
          <w:tcPr>
            <w:tcW w:type="dxa" w:w="2200"/>
            <w:tcMar>
              <w:top w:type="dxa" w:w="60"/>
              <w:left w:type="dxa" w:w="100"/>
              <w:bottom w:type="dxa" w:w="60"/>
              <w:right w:type="dxa" w:w="100"/>
            </w:tcMar>
          </w:tcPr>
          <w:p>
            <w:r>
              <w:rPr>
                <w:sz w:val="19"/>
                <w:szCs w:val="19"/>
              </w:rPr>
              <w:t xml:space="preserve">Modest — church history, no patristics center</w:t>
            </w:r>
          </w:p>
        </w:tc>
        <w:tc>
          <w:tcPr>
            <w:tcW w:type="dxa" w:w="2000"/>
            <w:tcMar>
              <w:top w:type="dxa" w:w="60"/>
              <w:left w:type="dxa" w:w="100"/>
              <w:bottom w:type="dxa" w:w="60"/>
              <w:right w:type="dxa" w:w="100"/>
            </w:tcMar>
          </w:tcPr>
          <w:p>
            <w:r>
              <w:rPr>
                <w:sz w:val="19"/>
                <w:szCs w:val="19"/>
              </w:rPr>
              <w:t xml:space="preserve">Baptist (Acadia Univ.-affiliated); open posture</w:t>
            </w:r>
          </w:p>
        </w:tc>
        <w:tc>
          <w:tcPr>
            <w:tcW w:type="dxa" w:w="1900"/>
            <w:tcMar>
              <w:top w:type="dxa" w:w="60"/>
              <w:left w:type="dxa" w:w="100"/>
              <w:bottom w:type="dxa" w:w="60"/>
              <w:right w:type="dxa" w:w="100"/>
            </w:tcMar>
          </w:tcPr>
          <w:p>
            <w:r>
              <w:rPr>
                <w:sz w:val="19"/>
                <w:szCs w:val="19"/>
              </w:rPr>
              <w:t xml:space="preserve">Best in class — historical-figure chatbot already used in class; presidential AI champion</w:t>
            </w:r>
          </w:p>
        </w:tc>
        <w:tc>
          <w:tcPr>
            <w:tcW w:type="dxa" w:w="1720"/>
            <w:tcMar>
              <w:top w:type="dxa" w:w="60"/>
              <w:left w:type="dxa" w:w="100"/>
              <w:bottom w:type="dxa" w:w="60"/>
              <w:right w:type="dxa" w:w="100"/>
            </w:tcMar>
          </w:tcPr>
          <w:p>
            <w:r>
              <w:rPr>
                <w:sz w:val="19"/>
                <w:szCs w:val="19"/>
              </w:rPr>
              <w:t xml:space="preserve">Small but committed</w:t>
            </w:r>
          </w:p>
        </w:tc>
      </w:tr>
      <w:tr>
        <w:tc>
          <w:tcPr>
            <w:tcW w:type="dxa" w:w="1900"/>
            <w:tcMar>
              <w:top w:type="dxa" w:w="60"/>
              <w:left w:type="dxa" w:w="100"/>
              <w:bottom w:type="dxa" w:w="60"/>
              <w:right w:type="dxa" w:w="100"/>
            </w:tcMar>
          </w:tcPr>
          <w:p>
            <w:r>
              <w:rPr>
                <w:sz w:val="19"/>
                <w:szCs w:val="19"/>
              </w:rPr>
              <w:t xml:space="preserve">Gordon-Conwell</w:t>
            </w:r>
          </w:p>
        </w:tc>
        <w:tc>
          <w:tcPr>
            <w:tcW w:type="dxa" w:w="2200"/>
            <w:tcMar>
              <w:top w:type="dxa" w:w="60"/>
              <w:left w:type="dxa" w:w="100"/>
              <w:bottom w:type="dxa" w:w="60"/>
              <w:right w:type="dxa" w:w="100"/>
            </w:tcMar>
          </w:tcPr>
          <w:p>
            <w:r>
              <w:rPr>
                <w:sz w:val="19"/>
                <w:szCs w:val="19"/>
              </w:rPr>
              <w:t xml:space="preserve">Strong — Fairbairn endowed chair in Early Christianity (Alexandrian, Nicene)</w:t>
            </w:r>
          </w:p>
        </w:tc>
        <w:tc>
          <w:tcPr>
            <w:tcW w:type="dxa" w:w="2000"/>
            <w:tcMar>
              <w:top w:type="dxa" w:w="60"/>
              <w:left w:type="dxa" w:w="100"/>
              <w:bottom w:type="dxa" w:w="60"/>
              <w:right w:type="dxa" w:w="100"/>
            </w:tcMar>
          </w:tcPr>
          <w:p>
            <w:r>
              <w:rPr>
                <w:sz w:val="19"/>
                <w:szCs w:val="19"/>
              </w:rPr>
              <w:t xml:space="preserve">~85 denominations; intentionally multidenominational</w:t>
            </w:r>
          </w:p>
        </w:tc>
        <w:tc>
          <w:tcPr>
            <w:tcW w:type="dxa" w:w="1900"/>
            <w:tcMar>
              <w:top w:type="dxa" w:w="60"/>
              <w:left w:type="dxa" w:w="100"/>
              <w:bottom w:type="dxa" w:w="60"/>
              <w:right w:type="dxa" w:w="100"/>
            </w:tcMar>
          </w:tcPr>
          <w:p>
            <w:r>
              <w:rPr>
                <w:sz w:val="19"/>
                <w:szCs w:val="19"/>
              </w:rPr>
              <w:t xml:space="preserve">Heavy online/hybrid (post-campus-sale)</w:t>
            </w:r>
          </w:p>
        </w:tc>
        <w:tc>
          <w:tcPr>
            <w:tcW w:type="dxa" w:w="1720"/>
            <w:tcMar>
              <w:top w:type="dxa" w:w="60"/>
              <w:left w:type="dxa" w:w="100"/>
              <w:bottom w:type="dxa" w:w="60"/>
              <w:right w:type="dxa" w:w="100"/>
            </w:tcMar>
          </w:tcPr>
          <w:p>
            <w:r>
              <w:rPr>
                <w:sz w:val="19"/>
                <w:szCs w:val="19"/>
              </w:rPr>
              <w:t xml:space="preserve">Caution — campus sale unresolved</w:t>
            </w:r>
          </w:p>
        </w:tc>
      </w:tr>
      <w:tr>
        <w:tc>
          <w:tcPr>
            <w:tcW w:type="dxa" w:w="1900"/>
            <w:tcMar>
              <w:top w:type="dxa" w:w="60"/>
              <w:left w:type="dxa" w:w="100"/>
              <w:bottom w:type="dxa" w:w="60"/>
              <w:right w:type="dxa" w:w="100"/>
            </w:tcMar>
          </w:tcPr>
          <w:p>
            <w:r>
              <w:rPr>
                <w:sz w:val="19"/>
                <w:szCs w:val="19"/>
              </w:rPr>
              <w:t xml:space="preserve">Talbot / Biola</w:t>
            </w:r>
          </w:p>
        </w:tc>
        <w:tc>
          <w:tcPr>
            <w:tcW w:type="dxa" w:w="2200"/>
            <w:tcMar>
              <w:top w:type="dxa" w:w="60"/>
              <w:left w:type="dxa" w:w="100"/>
              <w:bottom w:type="dxa" w:w="60"/>
              <w:right w:type="dxa" w:w="100"/>
            </w:tcMar>
          </w:tcPr>
          <w:p>
            <w:r>
              <w:rPr>
                <w:sz w:val="19"/>
                <w:szCs w:val="19"/>
              </w:rPr>
              <w:t xml:space="preserve">Modest</w:t>
            </w:r>
          </w:p>
        </w:tc>
        <w:tc>
          <w:tcPr>
            <w:tcW w:type="dxa" w:w="2000"/>
            <w:tcMar>
              <w:top w:type="dxa" w:w="60"/>
              <w:left w:type="dxa" w:w="100"/>
              <w:bottom w:type="dxa" w:w="60"/>
              <w:right w:type="dxa" w:w="100"/>
            </w:tcMar>
          </w:tcPr>
          <w:p>
            <w:r>
              <w:rPr>
                <w:sz w:val="19"/>
                <w:szCs w:val="19"/>
              </w:rPr>
              <w:t xml:space="preserve">Interdenominational (2nd-largest post-Phoenix)</w:t>
            </w:r>
          </w:p>
        </w:tc>
        <w:tc>
          <w:tcPr>
            <w:tcW w:type="dxa" w:w="1900"/>
            <w:tcMar>
              <w:top w:type="dxa" w:w="60"/>
              <w:left w:type="dxa" w:w="100"/>
              <w:bottom w:type="dxa" w:w="60"/>
              <w:right w:type="dxa" w:w="100"/>
            </w:tcMar>
          </w:tcPr>
          <w:p>
            <w:r>
              <w:rPr>
                <w:sz w:val="19"/>
                <w:szCs w:val="19"/>
              </w:rPr>
              <w:t xml:space="preserve">AI Lab (2024, first at a Christian univ.); Stetzer a public AI voice</w:t>
            </w:r>
          </w:p>
        </w:tc>
        <w:tc>
          <w:tcPr>
            <w:tcW w:type="dxa" w:w="1720"/>
            <w:tcMar>
              <w:top w:type="dxa" w:w="60"/>
              <w:left w:type="dxa" w:w="100"/>
              <w:bottom w:type="dxa" w:w="60"/>
              <w:right w:type="dxa" w:w="100"/>
            </w:tcMar>
          </w:tcPr>
          <w:p>
            <w:r>
              <w:rPr>
                <w:sz w:val="19"/>
                <w:szCs w:val="19"/>
              </w:rPr>
              <w:t xml:space="preserve">Mid-acquisition of Phoenix</w:t>
            </w:r>
          </w:p>
        </w:tc>
      </w:tr>
      <w:tr>
        <w:tc>
          <w:tcPr>
            <w:tcW w:type="dxa" w:w="1900"/>
            <w:tcMar>
              <w:top w:type="dxa" w:w="60"/>
              <w:left w:type="dxa" w:w="100"/>
              <w:bottom w:type="dxa" w:w="60"/>
              <w:right w:type="dxa" w:w="100"/>
            </w:tcMar>
          </w:tcPr>
          <w:p>
            <w:r>
              <w:rPr>
                <w:sz w:val="19"/>
                <w:szCs w:val="19"/>
              </w:rPr>
              <w:t xml:space="preserve">Dallas Theological</w:t>
            </w:r>
          </w:p>
        </w:tc>
        <w:tc>
          <w:tcPr>
            <w:tcW w:type="dxa" w:w="2200"/>
            <w:tcMar>
              <w:top w:type="dxa" w:w="60"/>
              <w:left w:type="dxa" w:w="100"/>
              <w:bottom w:type="dxa" w:w="60"/>
              <w:right w:type="dxa" w:w="100"/>
            </w:tcMar>
          </w:tcPr>
          <w:p>
            <w:r>
              <w:rPr>
                <w:sz w:val="19"/>
                <w:szCs w:val="19"/>
              </w:rPr>
              <w:t xml:space="preserve">Modest</w:t>
            </w:r>
          </w:p>
        </w:tc>
        <w:tc>
          <w:tcPr>
            <w:tcW w:type="dxa" w:w="2000"/>
            <w:tcMar>
              <w:top w:type="dxa" w:w="60"/>
              <w:left w:type="dxa" w:w="100"/>
              <w:bottom w:type="dxa" w:w="60"/>
              <w:right w:type="dxa" w:w="100"/>
            </w:tcMar>
          </w:tcPr>
          <w:p>
            <w:r>
              <w:rPr>
                <w:sz w:val="19"/>
                <w:szCs w:val="19"/>
              </w:rPr>
              <w:t xml:space="preserve">Dispensationalist identity — real multi-tradition constraint</w:t>
            </w:r>
          </w:p>
        </w:tc>
        <w:tc>
          <w:tcPr>
            <w:tcW w:type="dxa" w:w="1900"/>
            <w:tcMar>
              <w:top w:type="dxa" w:w="60"/>
              <w:left w:type="dxa" w:w="100"/>
              <w:bottom w:type="dxa" w:w="60"/>
              <w:right w:type="dxa" w:w="100"/>
            </w:tcMar>
          </w:tcPr>
          <w:p>
            <w:r>
              <w:rPr>
                <w:sz w:val="19"/>
                <w:szCs w:val="19"/>
              </w:rPr>
              <w:t xml:space="preserve">John Dyer (dean of ed-tech, leading evangelical AI voice); 4th-largest; mature online</w:t>
            </w:r>
          </w:p>
        </w:tc>
        <w:tc>
          <w:tcPr>
            <w:tcW w:type="dxa" w:w="1720"/>
            <w:tcMar>
              <w:top w:type="dxa" w:w="60"/>
              <w:left w:type="dxa" w:w="100"/>
              <w:bottom w:type="dxa" w:w="60"/>
              <w:right w:type="dxa" w:w="100"/>
            </w:tcMar>
          </w:tcPr>
          <w:p>
            <w:r>
              <w:rPr>
                <w:sz w:val="19"/>
                <w:szCs w:val="19"/>
              </w:rPr>
              <w:t xml:space="preserve">Strong</w:t>
            </w:r>
          </w:p>
        </w:tc>
      </w:tr>
      <w:tr>
        <w:tc>
          <w:tcPr>
            <w:tcW w:type="dxa" w:w="1900"/>
            <w:tcMar>
              <w:top w:type="dxa" w:w="60"/>
              <w:left w:type="dxa" w:w="100"/>
              <w:bottom w:type="dxa" w:w="60"/>
              <w:right w:type="dxa" w:w="100"/>
            </w:tcMar>
          </w:tcPr>
          <w:p>
            <w:r>
              <w:rPr>
                <w:sz w:val="19"/>
                <w:szCs w:val="19"/>
              </w:rPr>
              <w:t xml:space="preserve">TEDS @ Trinity Western (wildcard)</w:t>
            </w:r>
          </w:p>
        </w:tc>
        <w:tc>
          <w:tcPr>
            <w:tcW w:type="dxa" w:w="2200"/>
            <w:tcMar>
              <w:top w:type="dxa" w:w="60"/>
              <w:left w:type="dxa" w:w="100"/>
              <w:bottom w:type="dxa" w:w="60"/>
              <w:right w:type="dxa" w:w="100"/>
            </w:tcMar>
          </w:tcPr>
          <w:p>
            <w:r>
              <w:rPr>
                <w:sz w:val="19"/>
                <w:szCs w:val="19"/>
              </w:rPr>
              <w:t xml:space="preserve">Historic strength; post-move faculty unconfirmed</w:t>
            </w:r>
          </w:p>
        </w:tc>
        <w:tc>
          <w:tcPr>
            <w:tcW w:type="dxa" w:w="2000"/>
            <w:tcMar>
              <w:top w:type="dxa" w:w="60"/>
              <w:left w:type="dxa" w:w="100"/>
              <w:bottom w:type="dxa" w:w="60"/>
              <w:right w:type="dxa" w:w="100"/>
            </w:tcMar>
          </w:tcPr>
          <w:p>
            <w:r>
              <w:rPr>
                <w:sz w:val="19"/>
                <w:szCs w:val="19"/>
              </w:rPr>
              <w:t xml:space="preserve">Broad evangelical</w:t>
            </w:r>
          </w:p>
        </w:tc>
        <w:tc>
          <w:tcPr>
            <w:tcW w:type="dxa" w:w="1900"/>
            <w:tcMar>
              <w:top w:type="dxa" w:w="60"/>
              <w:left w:type="dxa" w:w="100"/>
              <w:bottom w:type="dxa" w:w="60"/>
              <w:right w:type="dxa" w:w="100"/>
            </w:tcMar>
          </w:tcPr>
          <w:p>
            <w:r>
              <w:rPr>
                <w:sz w:val="19"/>
                <w:szCs w:val="19"/>
              </w:rPr>
              <w:t xml:space="preserve">Relaunching Sept 2026 online/hybrid-first</w:t>
            </w:r>
          </w:p>
        </w:tc>
        <w:tc>
          <w:tcPr>
            <w:tcW w:type="dxa" w:w="1720"/>
            <w:tcMar>
              <w:top w:type="dxa" w:w="60"/>
              <w:left w:type="dxa" w:w="100"/>
              <w:bottom w:type="dxa" w:w="60"/>
              <w:right w:type="dxa" w:w="100"/>
            </w:tcMar>
          </w:tcPr>
          <w:p>
            <w:r>
              <w:rPr>
                <w:sz w:val="19"/>
                <w:szCs w:val="19"/>
              </w:rPr>
              <w:t xml:space="preserve">Mid-transition; debt-free acquirer</w:t>
            </w:r>
          </w:p>
        </w:tc>
      </w:tr>
      <w:tr>
        <w:tc>
          <w:tcPr>
            <w:tcW w:type="dxa" w:w="1900"/>
            <w:tcMar>
              <w:top w:type="dxa" w:w="60"/>
              <w:left w:type="dxa" w:w="100"/>
              <w:bottom w:type="dxa" w:w="60"/>
              <w:right w:type="dxa" w:w="100"/>
            </w:tcMar>
          </w:tcPr>
          <w:p>
            <w:r>
              <w:rPr>
                <w:sz w:val="19"/>
                <w:szCs w:val="19"/>
              </w:rPr>
              <w:t xml:space="preserve">Duke / Vanderbilt divinity</w:t>
            </w:r>
          </w:p>
        </w:tc>
        <w:tc>
          <w:tcPr>
            <w:tcW w:type="dxa" w:w="2200"/>
            <w:tcMar>
              <w:top w:type="dxa" w:w="60"/>
              <w:left w:type="dxa" w:w="100"/>
              <w:bottom w:type="dxa" w:w="60"/>
              <w:right w:type="dxa" w:w="100"/>
            </w:tcMar>
          </w:tcPr>
          <w:p>
            <w:r>
              <w:rPr>
                <w:sz w:val="19"/>
                <w:szCs w:val="19"/>
              </w:rPr>
              <w:t xml:space="preserve">Good (J. Warren Smith at Duke); reviewer pools</w:t>
            </w:r>
          </w:p>
        </w:tc>
        <w:tc>
          <w:tcPr>
            <w:tcW w:type="dxa" w:w="2000"/>
            <w:tcMar>
              <w:top w:type="dxa" w:w="60"/>
              <w:left w:type="dxa" w:w="100"/>
              <w:bottom w:type="dxa" w:w="60"/>
              <w:right w:type="dxa" w:w="100"/>
            </w:tcMar>
          </w:tcPr>
          <w:p>
            <w:r>
              <w:rPr>
                <w:sz w:val="19"/>
                <w:szCs w:val="19"/>
              </w:rPr>
              <w:t xml:space="preserve">Ecumenical by design</w:t>
            </w:r>
          </w:p>
        </w:tc>
        <w:tc>
          <w:tcPr>
            <w:tcW w:type="dxa" w:w="1900"/>
            <w:tcMar>
              <w:top w:type="dxa" w:w="60"/>
              <w:left w:type="dxa" w:w="100"/>
              <w:bottom w:type="dxa" w:w="60"/>
              <w:right w:type="dxa" w:w="100"/>
            </w:tcMar>
          </w:tcPr>
          <w:p>
            <w:r>
              <w:rPr>
                <w:sz w:val="19"/>
                <w:szCs w:val="19"/>
              </w:rPr>
              <w:t xml:space="preserve">Vanderbilt holds a Wabash AI grant; slower institutional metabolism</w:t>
            </w:r>
          </w:p>
        </w:tc>
        <w:tc>
          <w:tcPr>
            <w:tcW w:type="dxa" w:w="1720"/>
            <w:tcMar>
              <w:top w:type="dxa" w:w="60"/>
              <w:left w:type="dxa" w:w="100"/>
              <w:bottom w:type="dxa" w:w="60"/>
              <w:right w:type="dxa" w:w="100"/>
            </w:tcMar>
          </w:tcPr>
          <w:p>
            <w:r>
              <w:rPr>
                <w:sz w:val="19"/>
                <w:szCs w:val="19"/>
              </w:rPr>
              <w:t xml:space="preserve">Strong</w:t>
            </w:r>
          </w:p>
        </w:tc>
      </w:tr>
    </w:tbl>
    <w:p>
      <w:pPr>
        <w:spacing w:after="120"/>
      </w:pPr>
      <w:r>
        <w:t xml:space="preserve"/>
      </w:r>
    </w:p>
    <w:p>
      <w:pPr>
        <w:spacing w:after="120"/>
      </w:pPr>
      <w:r>
        <w:rPr>
          <w:b/>
          <w:bCs/>
        </w:rPr>
        <w:t xml:space="preserve">Reading the table honestly: </w:t>
      </w:r>
      <w:r>
        <w:t xml:space="preserve">no single institution is strong on every axis. Wheaton leads on mission-and-scholarship alignment; Acadia leads on demonstrated willingness; Gordon-Conwell pairs the best endowed chair with the shakiest balance sheet; the AI-forward schools (Talbot, DTS) are scholarly-modest for the ancient worlds. This argues for the growth plan’s existing architecture: one anchor for the classroom pilot, with the </w:t>
      </w:r>
      <w:r>
        <w:rPr>
          <w:b/>
          <w:bCs/>
        </w:rPr>
        <w:t xml:space="preserve">Scholars’ Advisory Council</w:t>
      </w:r>
      <w:r>
        <w:t xml:space="preserve"> drawing reviewers from wherever the actual expertise lives, unbound by the anchor choice.</w:t>
      </w:r>
    </w:p>
    <w:p>
      <w:pPr>
        <w:pStyle w:val="Heading1"/>
        <w:spacing w:after="140" w:before="320"/>
      </w:pPr>
      <w:r>
        <w:rPr>
          <w:color w:val="1F3864"/>
        </w:rPr>
        <w:t xml:space="preserve">The Article 31 Reviewer Map, by World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50"/>
        <w:gridCol w:w="5250"/>
        <w:gridCol w:w="2020"/>
      </w:tblGrid>
      <w:tr>
        <w:tc>
          <w:tcPr>
            <w:tcW w:type="dxa" w:w="2450"/>
            <w:shd w:fill="F2F2F2" w:val="clear"/>
            <w:tcMar>
              <w:top w:type="dxa" w:w="60"/>
              <w:left w:type="dxa" w:w="100"/>
              <w:bottom w:type="dxa" w:w="60"/>
              <w:right w:type="dxa" w:w="100"/>
            </w:tcMar>
          </w:tcPr>
          <w:p>
            <w:r>
              <w:rPr>
                <w:b/>
                <w:bCs/>
                <w:sz w:val="19"/>
                <w:szCs w:val="19"/>
              </w:rPr>
              <w:t xml:space="preserve">World</w:t>
            </w:r>
          </w:p>
        </w:tc>
        <w:tc>
          <w:tcPr>
            <w:tcW w:type="dxa" w:w="5250"/>
            <w:shd w:fill="F2F2F2" w:val="clear"/>
            <w:tcMar>
              <w:top w:type="dxa" w:w="60"/>
              <w:left w:type="dxa" w:w="100"/>
              <w:bottom w:type="dxa" w:w="60"/>
              <w:right w:type="dxa" w:w="100"/>
            </w:tcMar>
          </w:tcPr>
          <w:p>
            <w:r>
              <w:rPr>
                <w:b/>
                <w:bCs/>
                <w:sz w:val="19"/>
                <w:szCs w:val="19"/>
              </w:rPr>
              <w:t xml:space="preserve">Strongest reviewer candidates found</w:t>
            </w:r>
          </w:p>
        </w:tc>
        <w:tc>
          <w:tcPr>
            <w:tcW w:type="dxa" w:w="2020"/>
            <w:shd w:fill="F2F2F2" w:val="clear"/>
            <w:tcMar>
              <w:top w:type="dxa" w:w="60"/>
              <w:left w:type="dxa" w:w="100"/>
              <w:bottom w:type="dxa" w:w="60"/>
              <w:right w:type="dxa" w:w="100"/>
            </w:tcMar>
          </w:tcPr>
          <w:p>
            <w:r>
              <w:rPr>
                <w:b/>
                <w:bCs/>
                <w:sz w:val="19"/>
                <w:szCs w:val="19"/>
              </w:rPr>
              <w:t xml:space="preserve">Institution</w:t>
            </w:r>
          </w:p>
        </w:tc>
      </w:tr>
      <w:tr>
        <w:tc>
          <w:tcPr>
            <w:tcW w:type="dxa" w:w="2450"/>
            <w:tcMar>
              <w:top w:type="dxa" w:w="60"/>
              <w:left w:type="dxa" w:w="100"/>
              <w:bottom w:type="dxa" w:w="60"/>
              <w:right w:type="dxa" w:w="100"/>
            </w:tcMar>
          </w:tcPr>
          <w:p>
            <w:r>
              <w:rPr>
                <w:sz w:val="19"/>
                <w:szCs w:val="19"/>
              </w:rPr>
              <w:t xml:space="preserve">Post-Apostolic House Church</w:t>
            </w:r>
          </w:p>
        </w:tc>
        <w:tc>
          <w:tcPr>
            <w:tcW w:type="dxa" w:w="5250"/>
            <w:tcMar>
              <w:top w:type="dxa" w:w="60"/>
              <w:left w:type="dxa" w:w="100"/>
              <w:bottom w:type="dxa" w:w="60"/>
              <w:right w:type="dxa" w:w="100"/>
            </w:tcMar>
          </w:tcPr>
          <w:p>
            <w:r>
              <w:rPr>
                <w:sz w:val="19"/>
                <w:szCs w:val="19"/>
              </w:rPr>
              <w:t xml:space="preserve">George Kalantzis (also part-time Regent College); Stefana Dan Laing (memory/identity formation in the early church — thematically on-target)</w:t>
            </w:r>
          </w:p>
        </w:tc>
        <w:tc>
          <w:tcPr>
            <w:tcW w:type="dxa" w:w="2020"/>
            <w:tcMar>
              <w:top w:type="dxa" w:w="60"/>
              <w:left w:type="dxa" w:w="100"/>
              <w:bottom w:type="dxa" w:w="60"/>
              <w:right w:type="dxa" w:w="100"/>
            </w:tcMar>
          </w:tcPr>
          <w:p>
            <w:r>
              <w:rPr>
                <w:sz w:val="19"/>
                <w:szCs w:val="19"/>
              </w:rPr>
              <w:t xml:space="preserve">Wheaton; Beeson</w:t>
            </w:r>
          </w:p>
        </w:tc>
      </w:tr>
      <w:tr>
        <w:tc>
          <w:tcPr>
            <w:tcW w:type="dxa" w:w="2450"/>
            <w:tcMar>
              <w:top w:type="dxa" w:w="60"/>
              <w:left w:type="dxa" w:w="100"/>
              <w:bottom w:type="dxa" w:w="60"/>
              <w:right w:type="dxa" w:w="100"/>
            </w:tcMar>
          </w:tcPr>
          <w:p>
            <w:r>
              <w:rPr>
                <w:sz w:val="19"/>
                <w:szCs w:val="19"/>
              </w:rPr>
              <w:t xml:space="preserve">Alexandrian</w:t>
            </w:r>
          </w:p>
        </w:tc>
        <w:tc>
          <w:tcPr>
            <w:tcW w:type="dxa" w:w="5250"/>
            <w:tcMar>
              <w:top w:type="dxa" w:w="60"/>
              <w:left w:type="dxa" w:w="100"/>
              <w:bottom w:type="dxa" w:w="60"/>
              <w:right w:type="dxa" w:w="100"/>
            </w:tcMar>
          </w:tcPr>
          <w:p>
            <w:r>
              <w:rPr>
                <w:sz w:val="19"/>
                <w:szCs w:val="19"/>
              </w:rPr>
              <w:t xml:space="preserve">Donald Fairbairn (Cyril of Alexandria, patristic soteriology); David Brakke (Athanasius, Egyptian Christianity)</w:t>
            </w:r>
          </w:p>
        </w:tc>
        <w:tc>
          <w:tcPr>
            <w:tcW w:type="dxa" w:w="2020"/>
            <w:tcMar>
              <w:top w:type="dxa" w:w="60"/>
              <w:left w:type="dxa" w:w="100"/>
              <w:bottom w:type="dxa" w:w="60"/>
              <w:right w:type="dxa" w:w="100"/>
            </w:tcMar>
          </w:tcPr>
          <w:p>
            <w:r>
              <w:rPr>
                <w:sz w:val="19"/>
                <w:szCs w:val="19"/>
              </w:rPr>
              <w:t xml:space="preserve">Gordon-Conwell; Ohio State</w:t>
            </w:r>
          </w:p>
        </w:tc>
      </w:tr>
      <w:tr>
        <w:tc>
          <w:tcPr>
            <w:tcW w:type="dxa" w:w="2450"/>
            <w:tcMar>
              <w:top w:type="dxa" w:w="60"/>
              <w:left w:type="dxa" w:w="100"/>
              <w:bottom w:type="dxa" w:w="60"/>
              <w:right w:type="dxa" w:w="100"/>
            </w:tcMar>
          </w:tcPr>
          <w:p>
            <w:r>
              <w:rPr>
                <w:sz w:val="19"/>
                <w:szCs w:val="19"/>
              </w:rPr>
              <w:t xml:space="preserve">Desert Christianity</w:t>
            </w:r>
          </w:p>
        </w:tc>
        <w:tc>
          <w:tcPr>
            <w:tcW w:type="dxa" w:w="5250"/>
            <w:tcMar>
              <w:top w:type="dxa" w:w="60"/>
              <w:left w:type="dxa" w:w="100"/>
              <w:bottom w:type="dxa" w:w="60"/>
              <w:right w:type="dxa" w:w="100"/>
            </w:tcMar>
          </w:tcPr>
          <w:p>
            <w:r>
              <w:rPr>
                <w:sz w:val="19"/>
                <w:szCs w:val="19"/>
              </w:rPr>
              <w:t xml:space="preserve">Columba Stewart OSB (world authority on early monasticism; NEH Jefferson Lecturer; leads HMML’s Eastern-manuscript digitization — also a digital-scholarship ally); David Brakke</w:t>
            </w:r>
          </w:p>
        </w:tc>
        <w:tc>
          <w:tcPr>
            <w:tcW w:type="dxa" w:w="2020"/>
            <w:tcMar>
              <w:top w:type="dxa" w:w="60"/>
              <w:left w:type="dxa" w:w="100"/>
              <w:bottom w:type="dxa" w:w="60"/>
              <w:right w:type="dxa" w:w="100"/>
            </w:tcMar>
          </w:tcPr>
          <w:p>
            <w:r>
              <w:rPr>
                <w:sz w:val="19"/>
                <w:szCs w:val="19"/>
              </w:rPr>
              <w:t xml:space="preserve">Saint John’s/HMML; Ohio State</w:t>
            </w:r>
          </w:p>
        </w:tc>
      </w:tr>
      <w:tr>
        <w:tc>
          <w:tcPr>
            <w:tcW w:type="dxa" w:w="2450"/>
            <w:tcMar>
              <w:top w:type="dxa" w:w="60"/>
              <w:left w:type="dxa" w:w="100"/>
              <w:bottom w:type="dxa" w:w="60"/>
              <w:right w:type="dxa" w:w="100"/>
            </w:tcMar>
          </w:tcPr>
          <w:p>
            <w:r>
              <w:rPr>
                <w:sz w:val="19"/>
                <w:szCs w:val="19"/>
              </w:rPr>
              <w:t xml:space="preserve">Syriac (Edessa-Nisibis)</w:t>
            </w:r>
          </w:p>
        </w:tc>
        <w:tc>
          <w:tcPr>
            <w:tcW w:type="dxa" w:w="5250"/>
            <w:tcMar>
              <w:top w:type="dxa" w:w="60"/>
              <w:left w:type="dxa" w:w="100"/>
              <w:bottom w:type="dxa" w:w="60"/>
              <w:right w:type="dxa" w:w="100"/>
            </w:tcMar>
          </w:tcPr>
          <w:p>
            <w:r>
              <w:rPr>
                <w:sz w:val="19"/>
                <w:szCs w:val="19"/>
              </w:rPr>
              <w:t xml:space="preserve">Joseph Amar (Syriac studies director); Jeanne-Nicole Saint-Laurent (Syriac Christianity; NAPS Digital Humanities Committee — expertise plus digital-methods openness); Susan Ashbrook Harvey (premier, near-emerita); Kathleen McVey (Ephrem translator, emerita); Beth Mardutho institute (George Kiraz) as network hub. CUA has the deepest Syriac program but current faculty roster unverified.</w:t>
            </w:r>
          </w:p>
        </w:tc>
        <w:tc>
          <w:tcPr>
            <w:tcW w:type="dxa" w:w="2020"/>
            <w:tcMar>
              <w:top w:type="dxa" w:w="60"/>
              <w:left w:type="dxa" w:w="100"/>
              <w:bottom w:type="dxa" w:w="60"/>
              <w:right w:type="dxa" w:w="100"/>
            </w:tcMar>
          </w:tcPr>
          <w:p>
            <w:r>
              <w:rPr>
                <w:sz w:val="19"/>
                <w:szCs w:val="19"/>
              </w:rPr>
              <w:t xml:space="preserve">Notre Dame; Marquette; Brown; Princeton Sem.; Beth Mardutho; CUA</w:t>
            </w:r>
          </w:p>
        </w:tc>
      </w:tr>
      <w:tr>
        <w:tc>
          <w:tcPr>
            <w:tcW w:type="dxa" w:w="2450"/>
            <w:tcMar>
              <w:top w:type="dxa" w:w="60"/>
              <w:left w:type="dxa" w:w="100"/>
              <w:bottom w:type="dxa" w:w="60"/>
              <w:right w:type="dxa" w:w="100"/>
            </w:tcMar>
          </w:tcPr>
          <w:p>
            <w:r>
              <w:rPr>
                <w:sz w:val="19"/>
                <w:szCs w:val="19"/>
              </w:rPr>
              <w:t xml:space="preserve">Nicene-Cappadocian</w:t>
            </w:r>
          </w:p>
        </w:tc>
        <w:tc>
          <w:tcPr>
            <w:tcW w:type="dxa" w:w="5250"/>
            <w:tcMar>
              <w:top w:type="dxa" w:w="60"/>
              <w:left w:type="dxa" w:w="100"/>
              <w:bottom w:type="dxa" w:w="60"/>
              <w:right w:type="dxa" w:w="100"/>
            </w:tcMar>
          </w:tcPr>
          <w:p>
            <w:r>
              <w:rPr>
                <w:sz w:val="19"/>
                <w:szCs w:val="19"/>
              </w:rPr>
              <w:t xml:space="preserve">J. Warren Smith (Gregory of Nyssa, Ambrose); Bogdan Bucur (patristics); Kalantzis; Pappas Patristic Institute (Greek Fathers; institutional caveats)</w:t>
            </w:r>
          </w:p>
        </w:tc>
        <w:tc>
          <w:tcPr>
            <w:tcW w:type="dxa" w:w="2020"/>
            <w:tcMar>
              <w:top w:type="dxa" w:w="60"/>
              <w:left w:type="dxa" w:w="100"/>
              <w:bottom w:type="dxa" w:w="60"/>
              <w:right w:type="dxa" w:w="100"/>
            </w:tcMar>
          </w:tcPr>
          <w:p>
            <w:r>
              <w:rPr>
                <w:sz w:val="19"/>
                <w:szCs w:val="19"/>
              </w:rPr>
              <w:t xml:space="preserve">Duke; St. Vladimir’s; Wheaton; Holy Cross</w:t>
            </w:r>
          </w:p>
        </w:tc>
      </w:tr>
      <w:tr>
        <w:tc>
          <w:tcPr>
            <w:tcW w:type="dxa" w:w="2450"/>
            <w:tcMar>
              <w:top w:type="dxa" w:w="60"/>
              <w:left w:type="dxa" w:w="100"/>
              <w:bottom w:type="dxa" w:w="60"/>
              <w:right w:type="dxa" w:w="100"/>
            </w:tcMar>
          </w:tcPr>
          <w:p>
            <w:r>
              <w:rPr>
                <w:sz w:val="19"/>
                <w:szCs w:val="19"/>
              </w:rPr>
              <w:t xml:space="preserve">Early Latin</w:t>
            </w:r>
          </w:p>
        </w:tc>
        <w:tc>
          <w:tcPr>
            <w:tcW w:type="dxa" w:w="5250"/>
            <w:tcMar>
              <w:top w:type="dxa" w:w="60"/>
              <w:left w:type="dxa" w:w="100"/>
              <w:bottom w:type="dxa" w:w="60"/>
              <w:right w:type="dxa" w:w="100"/>
            </w:tcMar>
          </w:tcPr>
          <w:p>
            <w:r>
              <w:rPr>
                <w:sz w:val="19"/>
                <w:szCs w:val="19"/>
              </w:rPr>
              <w:t xml:space="preserve">James Wetzel (Augustinian Endowed Chair, Augustinian Studies); J. Warren Smith; George Demacopoulos (Gregory the Great)</w:t>
            </w:r>
          </w:p>
        </w:tc>
        <w:tc>
          <w:tcPr>
            <w:tcW w:type="dxa" w:w="2020"/>
            <w:tcMar>
              <w:top w:type="dxa" w:w="60"/>
              <w:left w:type="dxa" w:w="100"/>
              <w:bottom w:type="dxa" w:w="60"/>
              <w:right w:type="dxa" w:w="100"/>
            </w:tcMar>
          </w:tcPr>
          <w:p>
            <w:r>
              <w:rPr>
                <w:sz w:val="19"/>
                <w:szCs w:val="19"/>
              </w:rPr>
              <w:t xml:space="preserve">Villanova; Duke; Fordham</w:t>
            </w:r>
          </w:p>
        </w:tc>
      </w:tr>
    </w:tbl>
    <w:p>
      <w:pPr>
        <w:spacing w:after="120"/>
      </w:pPr>
      <w:r>
        <w:t xml:space="preserve"/>
      </w:r>
    </w:p>
    <w:p>
      <w:pPr>
        <w:pStyle w:val="ListParagraph"/>
        <w:numPr>
          <w:ilvl w:val="0"/>
          <w:numId w:val="2"/>
        </w:numPr>
        <w:spacing w:after="80"/>
      </w:pPr>
      <w:r>
        <w:rPr>
          <w:b/>
          <w:bCs/>
        </w:rPr>
        <w:t xml:space="preserve">Recruiting venue: </w:t>
      </w:r>
      <w:r>
        <w:t xml:space="preserve">the North American Patristics Society (NAPS) annual meeting in Chicago is the single most efficient place to meet reviewers across all six worlds.</w:t>
      </w:r>
    </w:p>
    <w:p>
      <w:pPr>
        <w:pStyle w:val="ListParagraph"/>
        <w:numPr>
          <w:ilvl w:val="0"/>
          <w:numId w:val="2"/>
        </w:numPr>
        <w:spacing w:after="80"/>
      </w:pPr>
      <w:r>
        <w:rPr>
          <w:b/>
          <w:bCs/>
        </w:rPr>
        <w:t xml:space="preserve">The TEDS professor remains the holistic-review lead</w:t>
      </w:r>
      <w:r>
        <w:t xml:space="preserve"> (methodology + constitution + sampled depth, per the 2026-07-15 model) — this map supplies the per-world specialists that model always anticipated adding at grant-funded later phases, plus alternates if the personal lead declines.</w:t>
      </w:r>
    </w:p>
    <w:p>
      <w:pPr>
        <w:pStyle w:val="ListParagraph"/>
        <w:numPr>
          <w:ilvl w:val="0"/>
          <w:numId w:val="2"/>
        </w:numPr>
        <w:spacing w:after="80"/>
      </w:pPr>
      <w:r>
        <w:rPr>
          <w:b/>
          <w:bCs/>
        </w:rPr>
        <w:t xml:space="preserve">Orthodox/Catholic balance: </w:t>
      </w:r>
      <w:r>
        <w:t xml:space="preserve">Bucur, Stewart, Wetzel, Demacopoulos, and the Pappas Institute give the reviewer pool genuine Orthodox and Catholic representation — important for Living-Tradition credibility (Articles 28–29), since several worlds’ descendant communities are not Protestant.</w:t>
      </w:r>
    </w:p>
    <w:p>
      <w:pPr>
        <w:pStyle w:val="Heading1"/>
        <w:spacing w:after="140" w:before="320"/>
      </w:pPr>
      <w:r>
        <w:rPr>
          <w:color w:val="1F3864"/>
        </w:rPr>
        <w:t xml:space="preserve">Funding Vehicles Attached to Partnership</w:t>
      </w:r>
    </w:p>
    <w:p>
      <w:pPr>
        <w:pStyle w:val="ListParagraph"/>
        <w:numPr>
          <w:ilvl w:val="0"/>
          <w:numId w:val="2"/>
        </w:numPr>
        <w:spacing w:after="80"/>
      </w:pPr>
      <w:r>
        <w:rPr>
          <w:b/>
          <w:bCs/>
        </w:rPr>
        <w:t xml:space="preserve">First money — Wabash Center AI grant (up to $30K, 2 yrs): </w:t>
      </w:r>
      <w:r>
        <w:t xml:space="preserve">seminary faculty apply; funds classroom AI experimentation explicitly. The pilot design: the anchor’s church-history faculty member runs a semester course unit on CiC worlds, Wabash funds it, CiC provides the platform at academic tier. Precedents: Vanderbilt, Trinity College Toronto, Hartford International.</w:t>
      </w:r>
    </w:p>
    <w:p>
      <w:pPr>
        <w:pStyle w:val="ListParagraph"/>
        <w:numPr>
          <w:ilvl w:val="0"/>
          <w:numId w:val="2"/>
        </w:numPr>
        <w:spacing w:after="80"/>
      </w:pPr>
      <w:r>
        <w:rPr>
          <w:b/>
          <w:bCs/>
        </w:rPr>
        <w:t xml:space="preserve">Institutional scale — Lilly Pathways for Tomorrow: </w:t>
      </w:r>
      <w:r>
        <w:t xml:space="preserve">funds “shared digital educational platforms” at $2.5–10M; 45 grants in Nov 2025 alone. Alongside Exploring Christian Practices (mapped 2026-07-15), this is the second Lilly lane, and it is aimed at exactly what a CiC–seminary consortium would be.</w:t>
      </w:r>
    </w:p>
    <w:p>
      <w:pPr>
        <w:pStyle w:val="ListParagraph"/>
        <w:numPr>
          <w:ilvl w:val="0"/>
          <w:numId w:val="2"/>
        </w:numPr>
        <w:spacing w:after="80"/>
      </w:pPr>
      <w:r>
        <w:rPr>
          <w:b/>
          <w:bCs/>
        </w:rPr>
        <w:t xml:space="preserve">Adoption precedents that price a partnership: </w:t>
      </w:r>
      <w:r>
        <w:t xml:space="preserve">Logos in curricula (Southern bundles Logos Max into tuition; Lancaster charges a per-semester fee; DTS negotiates a custom package) — three working models for how a seminary pays for a third-party digital tool. BibleProject Classroom → Northern Seminary shows free third-party digital content accepted for up to 6 credits — precedent for credit-bearing recognition.</w:t>
      </w:r>
    </w:p>
    <w:p>
      <w:pPr>
        <w:pStyle w:val="Heading1"/>
        <w:spacing w:after="140" w:before="320"/>
      </w:pPr>
      <w:r>
        <w:rPr>
          <w:color w:val="1F3864"/>
        </w:rPr>
        <w:t xml:space="preserve">Poor Fits and Cautions (named plainly)</w:t>
      </w:r>
    </w:p>
    <w:p>
      <w:pPr>
        <w:pStyle w:val="ListParagraph"/>
        <w:numPr>
          <w:ilvl w:val="0"/>
          <w:numId w:val="2"/>
        </w:numPr>
        <w:spacing w:after="80"/>
      </w:pPr>
      <w:r>
        <w:rPr>
          <w:b/>
          <w:bCs/>
        </w:rPr>
        <w:t xml:space="preserve">Confessional-subscription schools </w:t>
      </w:r>
      <w:r>
        <w:t xml:space="preserve">(Westminster, Concordia LCMS, the six SBC seminaries): can teach about other traditions, but hosting Alexandrian, Desert, and Syriac voices un-adjudicated is in tension with their charters. Nuance: the SBC schools are among the most tech-forward and fastest-growing (Midwestern: 12 straight growth years) — narrowness and innovation capacity cut in opposite directions. Southern’s Michael Haykin remains a fine individual reviewer regardless. Note: his Andrew Fuller Center is Baptist studies, not patristics — a correction to earlier framing.</w:t>
      </w:r>
    </w:p>
    <w:p>
      <w:pPr>
        <w:pStyle w:val="ListParagraph"/>
        <w:numPr>
          <w:ilvl w:val="0"/>
          <w:numId w:val="2"/>
        </w:numPr>
        <w:spacing w:after="80"/>
      </w:pPr>
      <w:r>
        <w:rPr>
          <w:b/>
          <w:bCs/>
        </w:rPr>
        <w:t xml:space="preserve">Institutions in crisis: </w:t>
      </w:r>
      <w:r>
        <w:t xml:space="preserve">Memphis Theological (closing 2026), Multnomah (online-only), Phoenix (mid-acquisition). Fuller: stabilizing after deep restructuring, and its FORWARD consortium matters — but it has no early-church strength; treat as future distribution channel, not anchor.</w:t>
      </w:r>
    </w:p>
    <w:p>
      <w:pPr>
        <w:pStyle w:val="ListParagraph"/>
        <w:numPr>
          <w:ilvl w:val="0"/>
          <w:numId w:val="2"/>
        </w:numPr>
        <w:spacing w:after="80"/>
      </w:pPr>
      <w:r>
        <w:rPr>
          <w:b/>
          <w:bCs/>
        </w:rPr>
        <w:t xml:space="preserve">Beeson: </w:t>
      </w:r>
      <w:r>
        <w:t xml:space="preserve">good reviewer (Laing), poor pilot venue — small, residential-formation ethos, historically resistant to online delivery (inference).</w:t>
      </w:r>
    </w:p>
    <w:p>
      <w:pPr>
        <w:pStyle w:val="ListParagraph"/>
        <w:numPr>
          <w:ilvl w:val="0"/>
          <w:numId w:val="2"/>
        </w:numPr>
        <w:spacing w:after="80"/>
      </w:pPr>
      <w:r>
        <w:rPr>
          <w:b/>
          <w:bCs/>
        </w:rPr>
        <w:t xml:space="preserve">Calvin and Westminster </w:t>
      </w:r>
      <w:r>
        <w:t xml:space="preserve">fit the Reformation phase far better than the ancient worlds — hold for Phase 2.</w:t>
      </w:r>
    </w:p>
    <w:p>
      <w:pPr>
        <w:pStyle w:val="ListParagraph"/>
        <w:numPr>
          <w:ilvl w:val="0"/>
          <w:numId w:val="2"/>
        </w:numPr>
        <w:spacing w:after="80"/>
      </w:pPr>
      <w:r>
        <w:rPr>
          <w:b/>
          <w:bCs/>
        </w:rPr>
        <w:t xml:space="preserve">Gloo: </w:t>
      </w:r>
      <w:r>
        <w:t xml:space="preserve">no formal Gloo–seminary institutional partnership exists in the public record; seminary engagement runs through individuals and hackathons. The Tom Beck → Gloo channel stays on its own demonstration-first track.</w:t>
      </w:r>
    </w:p>
    <w:p>
      <w:pPr>
        <w:pStyle w:val="Heading1"/>
        <w:spacing w:after="140" w:before="320"/>
      </w:pPr>
      <w:r>
        <w:rPr>
          <w:color w:val="1F3864"/>
        </w:rPr>
        <w:t xml:space="preserve">Recommended Sequence (feeds the growth plan’s §5)</w:t>
      </w:r>
    </w:p>
    <w:p>
      <w:pPr>
        <w:pStyle w:val="ListParagraph"/>
        <w:numPr>
          <w:ilvl w:val="0"/>
          <w:numId w:val="2"/>
        </w:numPr>
        <w:spacing w:after="80"/>
      </w:pPr>
      <w:r>
        <w:rPr>
          <w:b/>
          <w:bCs/>
        </w:rPr>
        <w:t xml:space="preserve">Now: </w:t>
      </w:r>
      <w:r>
        <w:t xml:space="preserve">TEDS-professor outreach proceeds unchanged (holistic reviewer; personal relationship; his institution’s transition doesn’t affect the review).</w:t>
      </w:r>
    </w:p>
    <w:p>
      <w:pPr>
        <w:pStyle w:val="ListParagraph"/>
        <w:numPr>
          <w:ilvl w:val="0"/>
          <w:numId w:val="2"/>
        </w:numPr>
        <w:spacing w:after="80"/>
      </w:pPr>
      <w:r>
        <w:rPr>
          <w:b/>
          <w:bCs/>
        </w:rPr>
        <w:t xml:space="preserve">Now, low-stakes: </w:t>
      </w:r>
      <w:r>
        <w:t xml:space="preserve">a peer conversation with Acadia Divinity (Melody Maxwell and/or Anna Robbins) — not a pitch; two builders comparing notes on the same experiment. They have crossed the conceptual bridge already; what they learned about student reception is directly useful to P1/P2, and the relationship could become pilot #2 or a public reference.</w:t>
      </w:r>
    </w:p>
    <w:p>
      <w:pPr>
        <w:pStyle w:val="ListParagraph"/>
        <w:numPr>
          <w:ilvl w:val="0"/>
          <w:numId w:val="2"/>
        </w:numPr>
        <w:spacing w:after="80"/>
      </w:pPr>
      <w:r>
        <w:rPr>
          <w:b/>
          <w:bCs/>
        </w:rPr>
        <w:t xml:space="preserve">Post-P1 evidence (fall 2026): </w:t>
      </w:r>
      <w:r>
        <w:t xml:space="preserve">open the Wheaton conversation (Kalantzis / the Center for Early Christian Studies) as the prime anchor cultivation — with the packet, a demo, and the Wabash grant as the concrete, funded, bounded first ask.</w:t>
      </w:r>
    </w:p>
    <w:p>
      <w:pPr>
        <w:pStyle w:val="ListParagraph"/>
        <w:numPr>
          <w:ilvl w:val="0"/>
          <w:numId w:val="2"/>
        </w:numPr>
        <w:spacing w:after="80"/>
      </w:pPr>
      <w:r>
        <w:rPr>
          <w:b/>
          <w:bCs/>
        </w:rPr>
        <w:t xml:space="preserve">Watch through 2027: </w:t>
      </w:r>
      <w:r>
        <w:t xml:space="preserve">TEDS@TWU as it relaunches — the personal connection plus an online-first rebuild could make it the second anchor or the Praxis-era partner.</w:t>
      </w:r>
    </w:p>
    <w:p>
      <w:pPr>
        <w:pStyle w:val="ListParagraph"/>
        <w:numPr>
          <w:ilvl w:val="0"/>
          <w:numId w:val="2"/>
        </w:numPr>
        <w:spacing w:after="80"/>
      </w:pPr>
      <w:r>
        <w:rPr>
          <w:b/>
          <w:bCs/>
        </w:rPr>
        <w:t xml:space="preserve">Continuous: </w:t>
      </w:r>
      <w:r>
        <w:t xml:space="preserve">build the Scholars’ Advisory Council from the reviewer map above as worlds reach review — people first, institutions attached to them (growth plan §5, Step 3).</w:t>
      </w:r>
    </w:p>
    <w:p>
      <w:pPr>
        <w:pStyle w:val="Heading1"/>
        <w:spacing w:after="140" w:before="320"/>
      </w:pPr>
      <w:r>
        <w:rPr>
          <w:color w:val="1F3864"/>
        </w:rPr>
        <w:t xml:space="preserve">Verification Honesty</w:t>
      </w:r>
    </w:p>
    <w:p>
      <w:pPr>
        <w:spacing w:after="120"/>
      </w:pPr>
      <w:r>
        <w:t xml:space="preserve">Flagged unverified by the research and carried as such: current CUA Syriac faculty roster; Baylor’s current patristics chair holder; TEDS@TWU faculty relocations and 2026 hires; the platform Acadia’s chatbot ran on (CBC article fetch was blocked; content confirmed via excerpts and Acadia’s own pages); Denver Seminary’s exact enrollment; several institutional-health judgments marked as inference (Wheaton endowment scale, CUA budget pressure, Regent College finances, St. Vladimir’s relocation, Beeson’s online resistance). Whether Maria Doerfler is now at Yale is recollection, not verified. Re-verify any fact here before it appears in outreach or external materials.</w:t>
      </w:r>
    </w:p>
    <w:p>
      <w:pPr>
        <w:spacing w:after="120"/>
      </w:pPr>
      <w:r>
        <w:rPr>
          <w:i/>
          <w:iCs/>
        </w:rPr>
        <w:t xml:space="preserve">Draft V0.1 — for Mark’s markup. Research record with full sources lives in this session’s log; decisions belong in the funding decision log. This analysis chooses no partner — it maps the field so Mark chooses from evidence.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2026-07-16T13:57:47.147Z</dcterms:created>
  <dcterms:modified xsi:type="dcterms:W3CDTF">2026-07-16T13:57:47.148Z</dcterms:modified>
</cp:coreProperties>
</file>

<file path=docProps/custom.xml><?xml version="1.0" encoding="utf-8"?>
<Properties xmlns="http://schemas.openxmlformats.org/officeDocument/2006/custom-properties" xmlns:vt="http://schemas.openxmlformats.org/officeDocument/2006/docPropsVTypes"/>
</file>