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5E4E"/>
          <w:sz w:val="34"/>
          <w:szCs w:val="34"/>
        </w:rPr>
        <w:t xml:space="preserve">Church in Conversation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Nonprofit Formation Roadmap — from decision to determination letter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DRAFT V0.1 · July 15, 2026 · Exploration with real stakes, not legal advice — attorney items flagged ◆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structure decision is made (funding log, 2026-07-15): CiC will be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earned-revenue nonprofit</w:t>
      </w:r>
      <w:r>
        <w:rPr>
          <w:rFonts w:ascii="Calibri" w:cs="Calibri" w:eastAsia="Calibri" w:hAnsi="Calibri"/>
          <w:sz w:val="21"/>
          <w:szCs w:val="21"/>
        </w:rPr>
        <w:t xml:space="preserve"> — pay-for-service tiers, grants, and crowdfunding all live inside it, and access-for-all gets locked into the charter. This page is the whole path from that decision to a 501(c)(3) determination letter, so every single step can be seen before any single step is taken.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2E5E4E"/>
          <w:sz w:val="26"/>
          <w:szCs w:val="26"/>
        </w:rPr>
        <w:t xml:space="preserve">The path, dated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4700"/>
        <w:gridCol w:w="3200"/>
      </w:tblGrid>
      <w:tr>
        <w:tc>
          <w:tcPr>
            <w:tcW w:type="dxa" w:w="1700"/>
            <w:shd w:fill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700"/>
            <w:shd w:fill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shd w:fill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/ gate</w:t>
            </w:r>
          </w:p>
        </w:tc>
      </w:tr>
      <w:t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Jul–Aug 2026</w:t>
            </w:r>
          </w:p>
        </w:tc>
        <w:tc>
          <w:tcPr>
            <w:tcW w:type="dxa" w:w="4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Church-designated fund conversation (Ring 1 giving channel — already this week’s item). Name check: “Church in Conversation” on CO SOS database + basic trademark scan. Confirm Colorado as the state (registered agent needs a physical CO street address).</w:t>
            </w:r>
          </w:p>
        </w:tc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Gate: giving channel open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Sep–Oct 2026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Board cultivation: 3–5 candidate conversations from a composition strategy (finance, legal, academic credibility). Draft articles + bylaws lock-language skeleton. ◆ Attorney consult: lock language, IP assignment (worlds/constitution/code from Mark to the nonprofit), founder-compensation procedure.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$500–1,500 (attorney — already budgeted)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Gate: 3 committed board yes’s</w:t>
            </w:r>
          </w:p>
        </w:tc>
      </w:tr>
      <w:t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 2026 – mid-Jan 2027</w:t>
            </w:r>
          </w:p>
        </w:tc>
        <w:tc>
          <w:tcPr>
            <w:tcW w:type="dxa" w:w="4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 Articles of Incorporation (CO SOS, online). Get EIN (same week, free). Organizational meeting: adopt bylaws + conflict-of-interest policy, elect officers, founder-comp resolution ($0 stipend until board-approved visible line).</w:t>
            </w:r>
          </w:p>
        </w:tc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$50 state fee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Gate: entity exists — ahead of the Q1 2027 target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Jan–Feb 2027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bank account. Register under CO Charitable Solicitations Act (required before soliciting). File Form 1023 — full form, not EZ (see page 2) — using the Proposal Packet’s 3-year budget and narrative.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$10 CCSA + $600 IRS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Gate: 1023 submitted inside 27-month retroactivity window</w:t>
            </w:r>
          </w:p>
        </w:tc>
      </w:tr>
      <w:t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Apr 2027</w:t>
            </w:r>
          </w:p>
        </w:tc>
        <w:tc>
          <w:tcPr>
            <w:tcW w:type="dxa" w:w="4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Praxis 2028 nonprofit-track application window opens — apply as a registered nonprofit carrying P2 data, validation, and testimonials. (Interest form + calendar already flagged in funding log.)</w:t>
            </w:r>
          </w:p>
        </w:tc>
        <w:tc>
          <w:tcPr>
            <w:tcW w:type="dxa" w:w="3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Gate: the deadline that set this whole timeline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~Apr–Aug 2027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IRS determination letter expected (3–6 months typical; 80% within ~191 days). Then: direct receipting, church fund grants over its balance ◆, DAF/NCF gifts open, AWS/Google/Microsoft nonprofit credits, next-Lilly-wave positioning with seminary partner.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Gate: 501(c)(3) in hand, retroactive to incorporation date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December–January and not late Q1: </w:t>
      </w:r>
      <w:r>
        <w:rPr>
          <w:rFonts w:ascii="Calibri" w:cs="Calibri" w:eastAsia="Calibri" w:hAnsi="Calibri"/>
          <w:sz w:val="21"/>
          <w:szCs w:val="21"/>
        </w:rPr>
        <w:t xml:space="preserve">filing the 1023 in January gives the determination its 3–6 months to land around the Praxis window and before serious Ring 2 fundraising. Retroactivity makes early incorporation nearly free — exemption applied for within 27 months of formation reaches back to the incorporation date.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2E5E4E"/>
          <w:sz w:val="26"/>
          <w:szCs w:val="26"/>
        </w:rPr>
        <w:t xml:space="preserve">What formation actually costs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300"/>
        <w:gridCol w:w="2300"/>
        <w:gridCol w:w="3000"/>
      </w:tblGrid>
      <w:tr>
        <w:tc>
          <w:tcPr>
            <w:tcW w:type="dxa" w:w="4300"/>
            <w:shd w:fill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00"/>
            <w:shd w:fill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shd w:fill="2E5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 Articles of Incorporation</w:t>
            </w:r>
          </w:p>
        </w:tc>
        <w:tc>
          <w:tcPr>
            <w:tcW w:type="dxa" w:w="2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$50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Online only, immediate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EIN (IRS)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week as filing</w:t>
            </w:r>
          </w:p>
        </w:tc>
      </w:tr>
      <w:tr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 charitable solicitation registration</w:t>
            </w:r>
          </w:p>
        </w:tc>
        <w:tc>
          <w:tcPr>
            <w:tcW w:type="dxa" w:w="2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$10 + annual renewal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any CO soliciting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 periodic report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$25/yr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From first anniversary</w:t>
            </w:r>
          </w:p>
        </w:tc>
      </w:tr>
      <w:tr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IRS Form 1023 (full)</w:t>
            </w:r>
          </w:p>
        </w:tc>
        <w:tc>
          <w:tcPr>
            <w:tcW w:type="dxa" w:w="2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$600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1023-EZ would be $275 — see page 2 for why not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Attorney consult ◆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$500–1,500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Already budgeted in the Proposal Packet</w:t>
            </w:r>
          </w:p>
        </w:tc>
      </w:tr>
      <w:tr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D&amp;O insurance</w:t>
            </w:r>
          </w:p>
        </w:tc>
        <w:tc>
          <w:tcPr>
            <w:tcW w:type="dxa" w:w="2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~$600–1,200/yr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Quote when board is seated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Registered agent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 (Mark) or ~$100–150/yr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Needs physical CO street address</w:t>
            </w:r>
          </w:p>
        </w:tc>
      </w:tr>
      <w:tr>
        <w:tc>
          <w:tcPr>
            <w:tcW w:type="dxa" w:w="4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— bare filings</w:t>
            </w:r>
          </w:p>
        </w:tc>
        <w:tc>
          <w:tcPr>
            <w:tcW w:type="dxa" w:w="2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$660–685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 + IRS only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— full first year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$1,800–3,400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With attorney + D&amp;O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2E5E4E"/>
          <w:sz w:val="26"/>
          <w:szCs w:val="26"/>
        </w:rPr>
        <w:t xml:space="preserve">Form 1023-EZ vs. full Form 1023 — the eligibility read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test. </w:t>
      </w:r>
      <w:r>
        <w:rPr>
          <w:rFonts w:ascii="Calibri" w:cs="Calibri" w:eastAsia="Calibri" w:hAnsi="Calibri"/>
          <w:sz w:val="21"/>
          <w:szCs w:val="21"/>
        </w:rPr>
        <w:t xml:space="preserve">Form 1023-EZ ($275, typically weeks) requires attesting that projected annual gross receipts will not exceed $50,000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each of the next three years</w:t>
      </w:r>
      <w:r>
        <w:rPr>
          <w:rFonts w:ascii="Calibri" w:cs="Calibri" w:eastAsia="Calibri" w:hAnsi="Calibri"/>
          <w:sz w:val="21"/>
          <w:szCs w:val="21"/>
        </w:rPr>
        <w:t xml:space="preserve"> (and did not in the past three), with total assets under $250,000. “Gross receipts” means everything combined — gifts, grants, and earned revenue.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CiC against the test. </w:t>
      </w:r>
      <w:r>
        <w:rPr>
          <w:rFonts w:ascii="Calibri" w:cs="Calibri" w:eastAsia="Calibri" w:hAnsi="Calibri"/>
          <w:sz w:val="21"/>
          <w:szCs w:val="21"/>
        </w:rPr>
        <w:t xml:space="preserve">The Ministry Proposal Packet’s own midpoint planning scenario is $55.1K in Phase 1 Year 1, growing to ~$105K by Year 3; its Track A midpoint funding target is $55K. Only the minimum scenario ($18.1K → $28K) stays under the line — and a single Praxis grant ($50K unrestricted) or any Lilly-scale award crosses it instantly.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recommendation: file the full Form 1023. Three reasons.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Integrity. </w:t>
      </w:r>
      <w:r>
        <w:rPr>
          <w:rFonts w:ascii="Calibri" w:cs="Calibri" w:eastAsia="Calibri" w:hAnsi="Calibri"/>
          <w:sz w:val="21"/>
          <w:szCs w:val="21"/>
        </w:rPr>
        <w:t xml:space="preserve">CiC cannot circulate a funding packet whose planning figure is $55K while attesting to the IRS that it projects under $50K. Trustworthy Transparency applies to government forms, not just to conversations at the Table. Filing the full form is this project’s own conviction applied to its own paperwork.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Credibility. </w:t>
      </w:r>
      <w:r>
        <w:rPr>
          <w:rFonts w:ascii="Calibri" w:cs="Calibri" w:eastAsia="Calibri" w:hAnsi="Calibri"/>
          <w:sz w:val="21"/>
          <w:szCs w:val="21"/>
        </w:rPr>
        <w:t xml:space="preserve">The full 1023’s narrative and 3-year budget become a reusable credibility artifact — funders, DAF sponsors, and grant officers sometimes ask for it. The Proposal Packet has already written most of it; the work is adaptation, not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timeline absorbs it. </w:t>
      </w:r>
      <w:r>
        <w:rPr>
          <w:rFonts w:ascii="Calibri" w:cs="Calibri" w:eastAsia="Calibri" w:hAnsi="Calibri"/>
          <w:sz w:val="21"/>
          <w:szCs w:val="21"/>
        </w:rPr>
        <w:t xml:space="preserve">The full form costs $325 more and roughly 3–5 extra months. Filed in January 2027, the determination lands ~April–August 2027 — inside the window everything else needs anyway.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the 1023 needs from the project (mostly already exists): </w:t>
      </w:r>
      <w:r>
        <w:rPr>
          <w:rFonts w:ascii="Calibri" w:cs="Calibri" w:eastAsia="Calibri" w:hAnsi="Calibri"/>
          <w:sz w:val="21"/>
          <w:szCs w:val="21"/>
        </w:rPr>
        <w:t xml:space="preserve">narrative of activities (the packet’s ministry case, adapted) · 3-year budget (the packet’s scenarios) · board names and addresses · bylaws + conflict-of-interest policy · articles with the IRS-required purpose, inurement, and dissolution clauses · compensation explanation ($0 founder stipend now; the board-approved-visible-line rule, stated plainly).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5E4E"/>
          <w:sz w:val="23"/>
          <w:szCs w:val="23"/>
        </w:rPr>
        <w:t xml:space="preserve">Interim giving — what changes when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Now → determination letter: </w:t>
      </w:r>
      <w:r>
        <w:rPr>
          <w:rFonts w:ascii="Calibri" w:cs="Calibri" w:eastAsia="Calibri" w:hAnsi="Calibri"/>
          <w:sz w:val="21"/>
          <w:szCs w:val="21"/>
        </w:rPr>
        <w:t xml:space="preserve">the church-designated fund is the giving channel. It stays primary past incorporation — gifts made directly to the new corporation before determination become deductible only retroactively if approval comes; the church fund carries zero donor risk.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 determination: </w:t>
      </w:r>
      <w:r>
        <w:rPr>
          <w:rFonts w:ascii="Calibri" w:cs="Calibri" w:eastAsia="Calibri" w:hAnsi="Calibri"/>
          <w:sz w:val="21"/>
          <w:szCs w:val="21"/>
        </w:rPr>
        <w:t xml:space="preserve">direct receipting begins; the church grants over the remaining designated balance ◆; NCF/DAF gifts and nonprofit cloud credits open; exemption is retroactive to the incorporation date (1023 filed within 27 months).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5E4E"/>
          <w:sz w:val="23"/>
          <w:szCs w:val="23"/>
        </w:rPr>
        <w:t xml:space="preserve">The four items that are genuinely attorney work ◆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Lock language: </w:t>
      </w:r>
      <w:r>
        <w:rPr>
          <w:rFonts w:ascii="Calibri" w:cs="Calibri" w:eastAsia="Calibri" w:hAnsi="Calibri"/>
          <w:sz w:val="21"/>
          <w:szCs w:val="21"/>
        </w:rPr>
        <w:t xml:space="preserve">access-for-all and never-gated transparency written into the articles of incorporation (hardest document to amend), with supermajority protection on mission provisions. Honest note: nothing is un-amendable — the durable lock is articles + supermajority + board composition together.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IP assignment: </w:t>
      </w:r>
      <w:r>
        <w:rPr>
          <w:rFonts w:ascii="Calibri" w:cs="Calibri" w:eastAsia="Calibri" w:hAnsi="Calibri"/>
          <w:sz w:val="21"/>
          <w:szCs w:val="21"/>
        </w:rPr>
        <w:t xml:space="preserve">the constitution, worlds, code, and methodology currently belong to Mark personally and must be formally transferred (and the $750 personal spend characterized — gift vs. reimbursable).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compensation: </w:t>
      </w:r>
      <w:r>
        <w:rPr>
          <w:rFonts w:ascii="Calibri" w:cs="Calibri" w:eastAsia="Calibri" w:hAnsi="Calibri"/>
          <w:sz w:val="21"/>
          <w:szCs w:val="21"/>
        </w:rPr>
        <w:t xml:space="preserve">the visible-line rule drafted to fit the IRS rebuttable-presumption safe harbor (disinterested directors, comparability data, contemporaneous minutes).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Church-fund wind-down: </w:t>
      </w:r>
      <w:r>
        <w:rPr>
          <w:rFonts w:ascii="Calibri" w:cs="Calibri" w:eastAsia="Calibri" w:hAnsi="Calibri"/>
          <w:sz w:val="21"/>
          <w:szCs w:val="21"/>
        </w:rPr>
        <w:t xml:space="preserve">the church must hold real discretion while the fund operates; the transfer at determination should be clean.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5E4E"/>
          <w:sz w:val="23"/>
          <w:szCs w:val="23"/>
        </w:rPr>
        <w:t xml:space="preserve">Three decisions this page asks of you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Timing — </w:t>
      </w:r>
      <w:r>
        <w:rPr>
          <w:rFonts w:ascii="Calibri" w:cs="Calibri" w:eastAsia="Calibri" w:hAnsi="Calibri"/>
          <w:sz w:val="21"/>
          <w:szCs w:val="21"/>
        </w:rPr>
        <w:t xml:space="preserve">incorporate December 2026–mid-January 2027 (recommended) rather than later in Q1?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 — </w:t>
      </w:r>
      <w:r>
        <w:rPr>
          <w:rFonts w:ascii="Calibri" w:cs="Calibri" w:eastAsia="Calibri" w:hAnsi="Calibri"/>
          <w:sz w:val="21"/>
          <w:szCs w:val="21"/>
        </w:rPr>
        <w:t xml:space="preserve">full Form 1023 over 1023-EZ, for the reasons above?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Next build — </w:t>
      </w:r>
      <w:r>
        <w:rPr>
          <w:rFonts w:ascii="Calibri" w:cs="Calibri" w:eastAsia="Calibri" w:hAnsi="Calibri"/>
          <w:sz w:val="21"/>
          <w:szCs w:val="21"/>
        </w:rPr>
        <w:t xml:space="preserve">green-light the board composition strategy and 3–5-candidate cultivation list as this workstream’s next deliverable?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Sources verified 2026-07-15: Colorado SOS fee schedule and charities pages; IRS Form 1023/1023-EZ pages, instructions, and user-fee schedule; Colorado Charitable Solicitations Act (C.R.S. § 6-16-104). Full reasoning and citations: Ministry/Organization/CiC_Nonprofit_Formation_Decision_Log.md.</w:t>
      </w:r>
    </w:p>
    <w:sectPr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2026-07-15T19:29:13.292Z</dcterms:created>
  <dcterms:modified xsi:type="dcterms:W3CDTF">2026-07-15T19:29:13.293Z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