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0"/>
          <w:szCs w:val="40"/>
        </w:rPr>
        <w:t xml:space="preserve">Alexandria V7 — Viability Review</w:t>
      </w:r>
    </w:p>
    <w:p>
      <w:pPr>
        <w:spacing w:after="160"/>
      </w:pPr>
      <w:r>
        <w:rPr>
          <w:color w:val="444444"/>
          <w:sz w:val="28"/>
          <w:szCs w:val="28"/>
        </w:rPr>
        <w:t xml:space="preserve">Encounter Viability and Mission Alignment</w:t>
      </w:r>
    </w:p>
    <w:p>
      <w:pPr>
        <w:pBdr>
          <w:bottom w:val="single" w:color="6A4C93" w:sz="6" w:space="1"/>
        </w:pBdr>
        <w:spacing w:after="140"/>
      </w:pPr>
    </w:p>
    <w:p>
      <w:pPr>
        <w:spacing w:after="160" w:line="276"/>
      </w:pPr>
      <w:r>
        <w:rPr>
          <w:b/>
          <w:bCs/>
        </w:rPr>
        <w:t xml:space="preserve">Document designation: </w:t>
      </w:r>
      <w:r>
        <w:t xml:space="preserve">alex_Alexandria_Viability_Review_V7_r1</w:t>
      </w:r>
    </w:p>
    <w:p>
      <w:pPr>
        <w:spacing w:after="160" w:line="276"/>
      </w:pPr>
      <w:r>
        <w:rPr>
          <w:b/>
          <w:bCs/>
        </w:rPr>
        <w:t xml:space="preserve">World: </w:t>
      </w:r>
      <w:r>
        <w:t xml:space="preserve">Alexandria (world code: alex), c. 150–400 CE. Representative: Theon. Living-tradition heir: Coptic Orthodox Church.</w:t>
      </w:r>
    </w:p>
    <w:p>
      <w:pPr>
        <w:spacing w:after="160" w:line="276"/>
      </w:pPr>
      <w:r>
        <w:rPr>
          <w:b/>
          <w:bCs/>
        </w:rPr>
        <w:t xml:space="preserve">Held against: </w:t>
      </w:r>
      <w:r>
        <w:t xml:space="preserve">CiC Vision/Mission/Convictions v1.1; Constitution v7.4.1 (esp. Article 6 Encounter-Success Standard, Article 23 Writing-From-Inside, Article 24 Witness-Not-Recruitment, Article 25 Christ-Ward Telos); Essential Experience v6.2.</w:t>
      </w:r>
    </w:p>
    <w:p>
      <w:pPr>
        <w:spacing w:after="160" w:line="276"/>
      </w:pPr>
      <w:r>
        <w:rPr>
          <w:b/>
          <w:bCs/>
        </w:rPr>
        <w:t xml:space="preserve">Read for this review: </w:t>
      </w:r>
      <w:r>
        <w:t xml:space="preserve">alex_Checkpoint_One_V7_r1; Doc_07 r1 (1E, 2C, 3C); Doc_08 r2 (5A, 5B); lexicon entries Logos (001), Teacher (029), Transformation (021), Martyrdom (033), Hope (045).</w:t>
      </w:r>
    </w:p>
    <w:p>
      <w:pPr>
        <w:spacing w:after="160" w:line="276"/>
      </w:pPr>
      <w:r>
        <w:rPr>
          <w:b/>
          <w:bCs/>
        </w:rPr>
        <w:t xml:space="preserve">Status: </w:t>
      </w:r>
      <w:r>
        <w:t xml:space="preserve">Simulated viability assessment — informational only. Not an Article 22 substitute. This is not a consistency check (Checkpoint One found the build coherent with no blocking inconsistencies); it asks whether the world works as an encounter system for real people.</w:t>
      </w:r>
    </w:p>
    <w:p>
      <w:pPr>
        <w:pBdr>
          <w:bottom w:val="single" w:color="6A4C93" w:sz="6" w:space="1"/>
        </w:pBdr>
        <w:spacing w:after="140"/>
      </w:pPr>
    </w:p>
    <w:p>
      <w:pPr>
        <w:pStyle w:val="Heading1"/>
      </w:pPr>
      <w:r>
        <w:t xml:space="preserve">Preamble: The Viability Standard</w:t>
      </w:r>
    </w:p>
    <w:p>
      <w:pPr>
        <w:spacing w:after="160" w:line="276"/>
      </w:pPr>
      <w:r>
        <w:t xml:space="preserve">Checkpoint One established that the build is internally coherent. That is not this question. This review asks whether Alexandria, as built, will produce what CiC exists to produce: genuine encounter with a historical Christian formation voice that opens the participant toward Christ. The mission statement names the measure plainly — a successful encounter is one in which a participant leaves having genuinely met something they had not met before and carries it forward in whatever direction is their own.</w:t>
      </w:r>
    </w:p>
    <w:p>
      <w:pPr>
        <w:spacing w:after="160" w:line="276"/>
      </w:pPr>
      <w:r>
        <w:t xml:space="preserve">Three governing convictions discipline every judgment below. Encounter over instruction: a participant who leaves knowing more about Alexandrian formation has not necessarily been formed. Discovery rather than telling: Theon must create conditions for discovery, not deliver conclusions. A doorway not a home: the encounter succeeds if it makes the participant want to go somewhere real — toward Christ, toward the living tradition, toward their own formation community — not if it makes them want to return to the encounter.</w:t>
      </w:r>
    </w:p>
    <w:p>
      <w:pPr>
        <w:spacing w:after="160" w:line="276"/>
      </w:pPr>
      <w:r>
        <w:rPr>
          <w:b/>
          <w:bCs/>
          <w:i w:val="false"/>
          <w:iCs w:val="false"/>
        </w:rPr>
        <w:t xml:space="preserve">One refinement governs the behavioral test throughout, drawn from Constitution Article 6: </w:t>
      </w:r>
      <w:r>
        <w:rPr>
          <w:b w:val="false"/>
          <w:bCs w:val="false"/>
          <w:i w:val="false"/>
          <w:iCs w:val="false"/>
        </w:rPr>
        <w:t xml:space="preserve">the success of an encounter is not measured by the participant's inner change, which belongs to them and to God and cannot be assessed from outside. It is measured by the conditions the architecture created — whether the encounter kept the Representative genuinely itself, protected the participant's authorship of their own direction, presented the world honestly with its tensions held as the world held them, and left every interpretation to the participant. So where Section 3D asks what the participant does differently, the honest form of that test is whether the world creates the conditions under which doing-differently becomes the participant's own possibility — not whether it engineers an outcome. A world that manufactured a behavioral result would fail Article 6, not pass it.</w:t>
      </w:r>
    </w:p>
    <w:p>
      <w:pPr>
        <w:pStyle w:val="Heading1"/>
      </w:pPr>
      <w:r>
        <w:t xml:space="preserve">Section 1: Mission Alignment</w:t>
      </w:r>
    </w:p>
    <w:p>
      <w:pPr>
        <w:pStyle w:val="Heading2"/>
      </w:pPr>
      <w:r>
        <w:t xml:space="preserve">1A — Does Alexandria serve the CiC vision?</w:t>
      </w:r>
    </w:p>
    <w:p>
      <w:pPr>
        <w:spacing w:after="160" w:line="276"/>
      </w:pPr>
      <w:r>
        <w:t xml:space="preserve">The direct question the brief poses is whether the Alexandrian formation logic is encounter-compatible at all, given that the ecology's own account of formation is the gradual deepening of perceptual capacity across decades — the Participation↔Perception Dynamic that Doc_07 1E names as the mechanism by which the Primary Gravities operate. There is a real tension here, and it must be named before it is answered: the ecology's formation account is structurally long-form. Its own self-understanding is that formation is a cumulative spiral that does not complete within a present life, let alone within a conversation. A naive reading would conclude the world is resistant to short-form encounter by its own theology.</w:t>
      </w:r>
    </w:p>
    <w:p>
      <w:pPr>
        <w:spacing w:after="160" w:line="276"/>
      </w:pPr>
      <w:r>
        <w:t xml:space="preserve">But the resistance dissolves on a closer look, and the thing that dissolves it is the same thing that makes Alexandria distinctively valuable. The Alexandrian account does not locate formation in the accumulation of content — it locates it in a change of perception. The Participation↔Perception Dynamic says the soul comes to see what it could not see before, and that seeing is occasioned, not transferred. The Teacher entry is explicit: the teacher does not hand over conclusions; the teacher's perception, exercised in the student's presence, creates the conditions in which the student's own perceiving begins. That is a formation logic that scales down to a single encounter without distortion, because a single occasion of perception-shift is the same kind of event as the decades-long spiral — only smaller. A participant cannot complete the Alexandrian formation sequence in one encounter. But the encounter can be a genuine instance of the dynamic the sequence is made of: a moment in which the participant begins to see their own Scripture, their own incompleteness, their own desire, differently than they did. The ecology is encounter-compatible not despite requiring gradual formation but because its account of what formation is — perception occasioned in the presence of one who sees — is exactly what a single encounter can host.</w:t>
      </w:r>
    </w:p>
    <w:p>
      <w:pPr>
        <w:spacing w:after="160" w:line="276"/>
      </w:pPr>
      <w:r>
        <w:rPr>
          <w:b/>
          <w:bCs/>
          <w:i w:val="false"/>
          <w:iCs w:val="false"/>
        </w:rPr>
        <w:t xml:space="preserve">What this means for deployment: </w:t>
      </w:r>
      <w:r>
        <w:rPr>
          <w:b w:val="false"/>
          <w:bCs w:val="false"/>
          <w:i w:val="false"/>
          <w:iCs w:val="false"/>
        </w:rPr>
        <w:t xml:space="preserve">the Facilitator must protect the encounter from being measured as content-delivery, including by the participant. The well-formed Alexandria encounter does not end with the participant possessing a doctrine of theosis; it ends with the participant having glimpsed that their formation has a horizon they had not reckoned with, or that their reading of a text was skimming a surface. The Facilitator's framing — before and after — must set the expectation that the gift of this encounter is a shift in seeing, not a quantum of knowledge. Left unframed, the long-form formation logic invites the participant to treat the encounter as a lecture on a process too long to start, which is the precise failure the mission names.</w:t>
      </w:r>
    </w:p>
    <w:p>
      <w:pPr>
        <w:pStyle w:val="Heading2"/>
      </w:pPr>
      <w:r>
        <w:t xml:space="preserve">1B — Does Theon's voice serve the constitution's formation principles?</w:t>
      </w:r>
    </w:p>
    <w:p>
      <w:pPr>
        <w:spacing w:after="160" w:line="276"/>
      </w:pPr>
      <w:r>
        <w:t xml:space="preserve">Four principles, assessed against what the build produced.</w:t>
      </w:r>
    </w:p>
    <w:p>
      <w:pPr>
        <w:spacing w:after="160" w:line="276"/>
      </w:pPr>
      <w:r>
        <w:rPr>
          <w:b/>
          <w:bCs/>
        </w:rPr>
        <w:t xml:space="preserve">Historically grounded and faithfully reconstructed — strongest. </w:t>
      </w:r>
      <w:r>
        <w:t xml:space="preserve">The build's confidence discipline (five-level vocabulary, Author Gravity flags, [PV]/[CT] tags, the standing Doc_04 AQ1 stratum acknowledgment) is the most rigorous in the corpus, and Theon's voice is bounded to what the evidence warrants — post-Nicene configuration governing his world, school inheritance governing his grammar. Risk: the rigor lives in the documents, not in Theon's speech; he must embody calibration he cannot narrate (see 2D, 3A).</w:t>
      </w:r>
    </w:p>
    <w:p>
      <w:pPr>
        <w:spacing w:after="160" w:line="276"/>
      </w:pPr>
      <w:r>
        <w:rPr>
          <w:b/>
          <w:bCs/>
        </w:rPr>
        <w:t xml:space="preserve">Writing-from-inside the world's own formation logic — strong. </w:t>
      </w:r>
      <w:r>
        <w:t xml:space="preserve">Every lexicon World Meaning is written from inside the Alexandrian account, not as an external description of it; the Distortion Risk sections stage the modern hearing and displace it from within the world's logic rather than refuting it from outside. The Logos entry's Always-Present Deployment Status and the four ache postures are inside-voice, not analyst's voice. Risk: the Writing-From-Inside Principle (Article 23) governs how Theon speaks of those the community combated — Gnostic and Arian opponents — and the encounter must let him speak from inside the boundary without modernizing it into either tolerance or polemic.</w:t>
      </w:r>
    </w:p>
    <w:p>
      <w:pPr>
        <w:spacing w:after="160" w:line="276"/>
      </w:pPr>
      <w:r>
        <w:rPr>
          <w:b/>
          <w:bCs/>
        </w:rPr>
        <w:t xml:space="preserve">Capable of genuine encounter rather than information delivery — strong but conditional. </w:t>
      </w:r>
      <w:r>
        <w:t xml:space="preserve">The ache postures, the shown live-speech examples (Martyrdom, Teacher, the Stratum Ache, the transmission-position knowing), and the displacement structure of the Distortion Risk sections are genuine encounter resources — they press rather than inform. This is conditional because it depends on construction and Facilitation holding the line against the default drift to lecture (4B). The build supplies the materials for encounter; it does not guarantee them.</w:t>
      </w:r>
    </w:p>
    <w:p>
      <w:pPr>
        <w:spacing w:after="160" w:line="276"/>
      </w:pPr>
      <w:r>
        <w:rPr>
          <w:b/>
          <w:bCs/>
        </w:rPr>
        <w:t xml:space="preserve">A voice that points toward Christ rather than toward itself or the tradition — strong, with the Christ-ward telos running through the world's own logic. </w:t>
      </w:r>
      <w:r>
        <w:t xml:space="preserve">Article 25 requires the Christ-ward telos to run through each world's own formation logic rather than as a uniform caption, and Alexandria's logic carries it natively: the Logos is the integrating center, and the entire formation sequence is oriented toward participation in the life of the One the Logos is. Theon does not need an added christological caption — his world points to Christ by its own structure (the Logos through whom all things were made, whom Scripture addresses, into whose life the soul is drawn). Risk: the same Logos-centered intellectual richness that makes the pointing native can become fascinating in itself; the telos points to Christ only if the encounter does not terminate in admiration of the Logos-architecture as a beautiful idea (1D, 4A).</w:t>
      </w:r>
    </w:p>
    <w:p>
      <w:pPr>
        <w:pStyle w:val="Heading2"/>
      </w:pPr>
      <w:r>
        <w:t xml:space="preserve">1C — Where the world is strongest for the mission</w:t>
      </w:r>
    </w:p>
    <w:p>
      <w:pPr>
        <w:spacing w:after="160" w:line="276"/>
      </w:pPr>
      <w:r>
        <w:t xml:space="preserve">Alexandria's formation gift to the Phase 1 table is something the other planned worlds cannot offer: it is the world that refuses the separation between the intellectual and the spiritual life, and can press that refusal on a participant as a formation reality rather than a slogan. The Logos entry's deployment grammar — Theon does not fragment a conversation into intellectual questions and spiritual questions because the Logos is the single reality both trace — is a posture no other Phase 1 Representative is built to carry. Antony (Desert) offers ascetic combat and the democratized contemplative mode; Basil (Cappadocian) offers doctrinal synthesis and the communal-liturgical; Ambrose (Early Latin) offers the pastoral-institutional. None of them offers what Theon offers: a Christianity in which a person's honest intellectual hunger and their spiritual hunger are revealed to be the same hunger, tracing the same Logos.</w:t>
      </w:r>
    </w:p>
    <w:p>
      <w:pPr>
        <w:spacing w:after="160" w:line="276"/>
      </w:pPr>
      <w:r>
        <w:t xml:space="preserve">Three more distinctive gifts. The therapeutic-not-forensic salvation grammar (the whole Cluster 4 arc) gives Theon the capacity to meet a participant whose Christianity has been organized around guilt and acquittal and show them, from inside a genuine tradition, that the problem was never primarily legal — a reframe few participants have encountered as anything but a modern therapeutic preference rather than an ancient conviction. The Hope entry's account of the always-incomplete present held as expected-not-disconfirming is a precise gift to anyone discouraged by the slowness of their own formation. And the Martyrdom entry's structural humility — the scholar who cannot claim the martyr's depth and says so — models an honesty about the limits of one's own formation that is itself formative.</w:t>
      </w:r>
    </w:p>
    <w:p>
      <w:pPr>
        <w:pStyle w:val="Heading2"/>
      </w:pPr>
      <w:r>
        <w:t xml:space="preserve">1D — Where the world carries mission risk</w:t>
      </w:r>
    </w:p>
    <w:p>
      <w:pPr>
        <w:spacing w:after="160" w:line="276"/>
      </w:pPr>
      <w:r>
        <w:t xml:space="preserve">The mission risk is the inverse of the gift, and it is structural, not incidental. The world that refuses to separate intellect from spirit is the world most able to become an intellectual exercise. Three specific risks.</w:t>
      </w:r>
    </w:p>
    <w:p>
      <w:pPr>
        <w:spacing w:after="160" w:line="276"/>
      </w:pPr>
      <w:r>
        <w:rPr>
          <w:b/>
          <w:bCs/>
        </w:rPr>
        <w:t xml:space="preserve">Fascination capture. </w:t>
      </w:r>
      <w:r>
        <w:t xml:space="preserve">Alexandria is the most philosophically engaged Phase 1 world (Doc_07 1B). The Logos-architecture, the epinoiai, the multilevel reading, the theosis horizon — these are genuinely fascinating, and a participant (especially the academic or the intellectually-formed seeker) can be captured by the fascination and leave having had an absorbing encounter with a beautiful system of ideas, formed in nothing. This is the doorway-becoming-a-home risk in its Alexandrian form: not over-attachment to CiC, but over-attachment to the ideas as ideas.</w:t>
      </w:r>
    </w:p>
    <w:p>
      <w:pPr>
        <w:spacing w:after="160" w:line="276"/>
      </w:pPr>
      <w:r>
        <w:rPr>
          <w:b/>
          <w:bCs/>
        </w:rPr>
        <w:t xml:space="preserve">The vocabulary wall. </w:t>
      </w:r>
      <w:r>
        <w:t xml:space="preserve">Logos, nous, theosis, allegory, apatheia, gnosis — the world's native vocabulary is demanding, and the formation assumptions beneath it (Scripture as the primary formation instrument, perception as the thing being formed) are not assumptions most participants share. The complexity that is the gift to one participant is the barrier that loses another before encounter can begin (2E, 4A).</w:t>
      </w:r>
    </w:p>
    <w:p>
      <w:pPr>
        <w:spacing w:after="160" w:line="276"/>
      </w:pPr>
      <w:r>
        <w:rPr>
          <w:b/>
          <w:bCs/>
        </w:rPr>
        <w:t xml:space="preserve">Stratum-narrowness becoming a Christ-ward narrowness. </w:t>
      </w:r>
      <w:r>
        <w:t xml:space="preserve">The standing Doc_04 AQ1 dependency is not only a scholarly caveat — it is a mission risk. The two Primary Gravities are confirmed for the literate-attested ecology. If the encounter lets Theon present the school tradition's formation as the formation, it will quietly tell a participant that genuine formation requires literacy, study, and intellectual capacity — which is false to the ecology's own martyrdom logic and corrosive to the mission's reach. The build guards this with the Stratum Ache and the Martyrdom entry's whole-community reach, but the guard is only as good as its deployment (4A, 4B).</w:t>
      </w:r>
    </w:p>
    <w:p>
      <w:pPr>
        <w:pStyle w:val="Heading1"/>
      </w:pPr>
      <w:r>
        <w:t xml:space="preserve">Section 2: Participant Viability by Population</w:t>
      </w:r>
    </w:p>
    <w:p>
      <w:pPr>
        <w:pStyle w:val="Heading2"/>
      </w:pPr>
      <w:r>
        <w:t xml:space="preserve">2A — The Well-Seeker</w:t>
      </w:r>
    </w:p>
    <w:p>
      <w:pPr>
        <w:spacing w:after="160" w:line="276"/>
      </w:pPr>
      <w:r>
        <w:rPr>
          <w:b/>
          <w:bCs/>
        </w:rPr>
        <w:t xml:space="preserve">What works. </w:t>
      </w:r>
      <w:r>
        <w:t xml:space="preserve">The Hope entry (045) is built for this person. The well-seeker who feels something missing and is discouraged by the slowness of their formation meets, in Theon's world, a tradition that holds the always-incomplete present as exactly what the divine pedagogy predicts — not as failure. That is a genuine formation gift, and it presses on a real experience this participant carries. The Participation↔Perception Dynamic and the Transformation entry (021) offer the same person an account in which formation is not moral effort but the reorientation of desire — which reframes their hunger itself as the image's capacity seeking its telos.</w:t>
      </w:r>
    </w:p>
    <w:p>
      <w:pPr>
        <w:spacing w:after="160" w:line="276"/>
      </w:pPr>
      <w:r>
        <w:rPr>
          <w:b/>
          <w:bCs/>
        </w:rPr>
        <w:t xml:space="preserve">What may not. </w:t>
      </w:r>
      <w:r>
        <w:t xml:space="preserve">The well-seeker who arrives wanting an experience — a felt encounter, a moment of spiritual intensity — will find the Alexandrian account feels slow and cognitive. Theon's formation logic is perceptual and gradual; it does not deliver the affective hit. The Transformation entry's own displacement (transformation is not feeling) can land as a rebuke to a seeker who came for feeling. And the vocabulary can make the seeker feel they have arrived under-equipped.</w:t>
      </w:r>
    </w:p>
    <w:p>
      <w:pPr>
        <w:spacing w:after="160" w:line="276"/>
      </w:pPr>
      <w:r>
        <w:rPr>
          <w:b/>
          <w:bCs/>
        </w:rPr>
        <w:t xml:space="preserve">Facilitator priority. </w:t>
      </w:r>
      <w:r>
        <w:t xml:space="preserve">Frame the encounter's gift as a reframe of the seeker's own hunger, not as a technique for spiritual experience. The Facilitator should be ready to translate the perceptual-formation account into the seeker's lived terms (“the slowness you feel is not the system failing”) and to protect against the seeker hearing the gradual account as a verdict on their impatience.</w:t>
      </w:r>
    </w:p>
    <w:p>
      <w:pPr>
        <w:pStyle w:val="Heading2"/>
      </w:pPr>
      <w:r>
        <w:t xml:space="preserve">2B — The Deconstructing Believer</w:t>
      </w:r>
    </w:p>
    <w:p>
      <w:pPr>
        <w:spacing w:after="160" w:line="276"/>
      </w:pPr>
      <w:r>
        <w:rPr>
          <w:b/>
          <w:bCs/>
        </w:rPr>
        <w:t xml:space="preserve">What works. </w:t>
      </w:r>
      <w:r>
        <w:t xml:space="preserve">This is, potentially, Alexandria's highest-value population, and the reason is specific: the deconstructing believer is usually reacting against a forensic, guilt-organized, intellectually-foreclosed Christianity, and Theon's world is none of those. The Cluster 4 salvation grammar (Sin as mis-orientation not crime, Salvation as restoration not acquittal) can show this person that the frame they are leaving is not the only Christian frame, and is not even the ancient one. The Restoration entry's [CT] handling — Theon holding the apokatastasis hope as inheritance and ache, loving what he cannot fully affirm in his post-Nicene context — models a way of staying inside a tradition while holding its unresolved questions honestly, which is precisely the posture this person has been told is unavailable. The four ache postures collectively show a Christianity that holds tension without resolving it, which is what this participant most needs to see exists.</w:t>
      </w:r>
    </w:p>
    <w:p>
      <w:pPr>
        <w:spacing w:after="160" w:line="276"/>
      </w:pPr>
      <w:r>
        <w:rPr>
          <w:b/>
          <w:bCs/>
        </w:rPr>
        <w:t xml:space="preserve">What may not. </w:t>
      </w:r>
      <w:r>
        <w:t xml:space="preserve">The brief names the real risk precisely: this participant may hear intellectual sophistication as apologetics — as a defense mechanism dressed up as honesty. If Theon's complexity reads as a cleverer way of defending the institution, the deconstructing believer feels confirmed in their suspicion, not opened. The Teacher-Bishop tension is the specific danger zone: a participant primed to distrust institutional Christianity can hear the tension as evidence that the institution always wins (the bishop dominates the teacher post-Nicaea) rather than as a genuine, unresolved, productive tension. The build's honesty can be metabolized as cynicism.</w:t>
      </w:r>
    </w:p>
    <w:p>
      <w:pPr>
        <w:spacing w:after="160" w:line="276"/>
      </w:pPr>
      <w:r>
        <w:rPr>
          <w:b/>
          <w:bCs/>
        </w:rPr>
        <w:t xml:space="preserve">Facilitator priority. </w:t>
      </w:r>
      <w:r>
        <w:t xml:space="preserve">The Facilitator must protect the genuineness of the tension — must not let the encounter resolve the Teacher-Bishop tension into either institutional vindication or institutional critique, because both betray how the world held it. Witness-Not-Recruitment (Article 24) is load-bearing here: the instant Theon's voice tilts toward defending the tradition, this participant is lost. The Facilitator should be ready to name explicitly that Theon is not arguing the participant back in — that the world is being shown, not sold.</w:t>
      </w:r>
    </w:p>
    <w:p>
      <w:pPr>
        <w:pStyle w:val="Heading2"/>
      </w:pPr>
      <w:r>
        <w:t xml:space="preserve">2C — The Pastor or Teacher</w:t>
      </w:r>
    </w:p>
    <w:p>
      <w:pPr>
        <w:spacing w:after="160" w:line="276"/>
      </w:pPr>
      <w:r>
        <w:rPr>
          <w:b/>
          <w:bCs/>
        </w:rPr>
        <w:t xml:space="preserve">What works. </w:t>
      </w:r>
      <w:r>
        <w:t xml:space="preserve">Alexandria is the highest-yield encounter in the Phase 1 set for this person, and the build supplies it almost entirely. The Teacher-Bishop tension is this participant's lived tension — the authority that rests on what one has become versus the authority that rests on office. Theon's authority-ache, now carrying a shown live-speech example (“governs is not the same as surpasses”), is this participant's ache rendered from inside a tradition that took it seriously. The transmission-fragility awareness from Doc_08 5A — that the most irreplaceable thing the teacher carries is the perceptual capacity that cannot be transmitted as content, only formed in relationship — may be the single most formative thing this participant encounters anywhere in CiC, because it names the quiet grief of formation work: that what you most want to give cannot be handed over.</w:t>
      </w:r>
    </w:p>
    <w:p>
      <w:pPr>
        <w:spacing w:after="160" w:line="276"/>
      </w:pPr>
      <w:r>
        <w:rPr>
          <w:b/>
          <w:bCs/>
        </w:rPr>
        <w:t xml:space="preserve">What may not. </w:t>
      </w:r>
      <w:r>
        <w:t xml:space="preserve">The risk is that this participant receives the encounter professionally rather than personally — takes Theon's aches as material for their own teaching rather than letting the aches press on their own formation. The very fit that makes the encounter high-yield (“this is my tension”) can become a defense (“this is useful for my work”) that keeps the formation pressure at arm's length.</w:t>
      </w:r>
    </w:p>
    <w:p>
      <w:pPr>
        <w:spacing w:after="160" w:line="276"/>
      </w:pPr>
      <w:r>
        <w:rPr>
          <w:b/>
          <w:bCs/>
        </w:rPr>
        <w:t xml:space="preserve">Facilitator priority. </w:t>
      </w:r>
      <w:r>
        <w:t xml:space="preserve">Turn the professional recognition into personal pressure. When the pastor says “yes, this is exactly the tension I navigate,” the Facilitator's work is to ask what it costs them personally, not how they will use it. The transmission-fragility theme is the lever: it presses on the pastor's own formation, not their craft.</w:t>
      </w:r>
    </w:p>
    <w:p>
      <w:pPr>
        <w:pStyle w:val="Heading2"/>
      </w:pPr>
      <w:r>
        <w:t xml:space="preserve">2D — The Academic</w:t>
      </w:r>
    </w:p>
    <w:p>
      <w:pPr>
        <w:spacing w:after="160" w:line="276"/>
      </w:pPr>
      <w:r>
        <w:rPr>
          <w:b/>
          <w:bCs/>
        </w:rPr>
        <w:t xml:space="preserve">What works. </w:t>
      </w:r>
      <w:r>
        <w:t xml:space="preserve">The academic who knows Origen, Clement, and Athanasius at scholarly depth is the participant most able to recognize that the encounter offers what study cannot: the formation logic operating from inside rather than described from outside. Theon does not explain the epinoiai as Origen's framework; he meets the participant according to their need as the framework itself describes. The build's confidence discipline is partly a safeguard for exactly this participant — when Theon's claims are bounded to what the evidence warrants (the post-Nicene/school-inheritance distinction, the [PV] and [CT] tags' underlying restraint), the scholar encounters a voice that does not overclaim, which earns the scholar's trust and opens the encounter.</w:t>
      </w:r>
    </w:p>
    <w:p>
      <w:pPr>
        <w:spacing w:after="160" w:line="276"/>
      </w:pPr>
      <w:r>
        <w:rPr>
          <w:b/>
          <w:bCs/>
        </w:rPr>
        <w:t xml:space="preserve">What may not. </w:t>
      </w:r>
      <w:r>
        <w:t xml:space="preserve">Two failure modes, both real. First, if Theon is constructed to sound like popular simplification of sources the scholar knows at depth, the scholar disengages immediately — the encounter reads as a confident undergraduate. Second, and subtler: the build's confidence discipline lives in the documents, and Theon cannot narrate it in the encounter — he must embody it. A scholar who hears Theon assert as settled something the scholar knows is Eusebius-mediated (the Origen-Demetrius episode) or desert-attributed (Evagrian content) will catch the overreach the build worked to prevent, and the trust collapses. The standing Doc_04 AQ1 dependency is the scholar's most likely point of challenge: a patristics scholar may press exactly on whether the two Primary Gravities organize the whole ecology or only the literate record.</w:t>
      </w:r>
    </w:p>
    <w:p>
      <w:pPr>
        <w:spacing w:after="160" w:line="276"/>
      </w:pPr>
      <w:r>
        <w:rPr>
          <w:b/>
          <w:bCs/>
        </w:rPr>
        <w:t xml:space="preserve">Facilitator priority. </w:t>
      </w:r>
      <w:r>
        <w:t xml:space="preserve">The Facilitator must be equipped to surface the confidence discipline that Theon embodies but cannot explain — to make the build's calibration legible when the scholar tests it (“Theon is speaking from the school tradition's attestation here; the whole-ecology claim is held open”). This is the participant for whom the Three-Level Transparency function and the Facilitator's access to the build's confidence apparatus matter most. The scholar's challenge is not a threat to be managed; it is the encounter working as designed, and the Facilitator should welcome it.</w:t>
      </w:r>
    </w:p>
    <w:p>
      <w:pPr>
        <w:pStyle w:val="Heading2"/>
      </w:pPr>
      <w:r>
        <w:t xml:space="preserve">2E — The General or Curious User</w:t>
      </w:r>
    </w:p>
    <w:p>
      <w:pPr>
        <w:spacing w:after="160" w:line="276"/>
      </w:pPr>
      <w:r>
        <w:rPr>
          <w:b/>
          <w:bCs/>
        </w:rPr>
        <w:t xml:space="preserve">What works. </w:t>
      </w:r>
      <w:r>
        <w:t xml:space="preserve">The genuine entry points that require no prior formation are the human ones, not the conceptual ones. The Martyrdom entry (033) is the most accessible door in the world: the choice between two kinds of death needs no Greek vocabulary, and the scholar's honest “I do not know what I would do if it were” is immediately human. The Hope entry's distinction between hope and optimism is accessible to anyone who has been discouraged. Sin-as-mis-orientation (the arrow missing the mark) is a concrete image before it is a concept. These are the entry points that do not require the participant to already inhabit the world's assumptions.</w:t>
      </w:r>
    </w:p>
    <w:p>
      <w:pPr>
        <w:spacing w:after="160" w:line="276"/>
      </w:pPr>
      <w:r>
        <w:rPr>
          <w:b/>
          <w:bCs/>
        </w:rPr>
        <w:t xml:space="preserve">What may not. </w:t>
      </w:r>
      <w:r>
        <w:t xml:space="preserve">The conceptual vocabulary risks losing this participant entirely. If the encounter opens on Logos, nous, theosis, or allegorical reading, the general user hits the vocabulary wall before any human entry point is reached. The world's formation assumptions (Scripture as primary instrument, perception as the thing formed) are not this participant's assumptions, and an encounter that presumes them produces confusion, not discovery.</w:t>
      </w:r>
    </w:p>
    <w:p>
      <w:pPr>
        <w:spacing w:after="160" w:line="276"/>
      </w:pPr>
      <w:r>
        <w:rPr>
          <w:b/>
          <w:bCs/>
        </w:rPr>
        <w:t xml:space="preserve">Facilitator priority. </w:t>
      </w:r>
      <w:r>
        <w:t xml:space="preserve">Route the encounter through the human doors (martyrdom, hope, the misdirected arrow) before any conceptual vocabulary, and let the vocabulary arrive only when the participant's own question reaches for it. This is the population for whom the Facilitator's entry-point selection most determines whether encounter happens at all. For a general user with no Christian background, the Facilitator should be ready to judge whether Alexandria is even the right first world (2F).</w:t>
      </w:r>
    </w:p>
    <w:p>
      <w:pPr>
        <w:pStyle w:val="Heading2"/>
      </w:pPr>
      <w:r>
        <w:t xml:space="preserve">2F — Cross-population observations</w:t>
      </w:r>
    </w:p>
    <w:p>
      <w:pPr>
        <w:spacing w:after="160" w:line="276"/>
      </w:pPr>
      <w:r>
        <w:t xml:space="preserve">The clearest pattern: Alexandria serves most naturally the participants who arrive with a formation life already in motion — the pastor/teacher (whose tension is Theon's), the deconstructing believer (whose abandoned frame Theon displaces), and the well-seeker (whose discouragement Hope meets). It serves the academic powerfully but conditionally, on construction quality and Facilitator transparency support. It serves the general/curious user only with substantial Facilitator routing work, and is the highest-risk population for disengagement.</w:t>
      </w:r>
    </w:p>
    <w:p>
      <w:pPr>
        <w:spacing w:after="160" w:line="276"/>
      </w:pPr>
      <w:r>
        <w:rPr>
          <w:b/>
          <w:bCs/>
          <w:i w:val="false"/>
          <w:iCs w:val="false"/>
        </w:rPr>
        <w:t xml:space="preserve">Is there a population for whom Alexandria is the wrong encounter? </w:t>
      </w:r>
      <w:r>
        <w:rPr>
          <w:b w:val="false"/>
          <w:bCs w:val="false"/>
          <w:i w:val="false"/>
          <w:iCs w:val="false"/>
        </w:rPr>
        <w:t xml:space="preserve">Yes, conditionally: the general user with no Christian background and no particular formation hunger may be better served by a first encounter with a world whose entry is more concrete and less vocabulary-dense. Alexandria's gift is the refusal to separate intellect from spirit — which presupposes the participant has some intellectual-or-spiritual hunger for the refusal to land on. A purely curious user with neither may find Antony's ascetic concreteness or a more practice-centered world a better doorway, with Alexandria as a later room. This is a multi-world-table judgment the Facilitator should be empowered to make, not a defect in Alexandria; the world is rightly built for the hunger it serves, and the mission's own logic (the right witness for the right encounter) supports routing rather than forcing.</w:t>
      </w:r>
    </w:p>
    <w:p>
      <w:pPr>
        <w:pStyle w:val="Heading1"/>
      </w:pPr>
      <w:r>
        <w:t xml:space="preserve">Section 3: Encounter Mechanics Viability</w:t>
      </w:r>
    </w:p>
    <w:p>
      <w:pPr>
        <w:pStyle w:val="Heading2"/>
      </w:pPr>
      <w:r>
        <w:t xml:space="preserve">3A — Is Theon's voice constructible?</w:t>
      </w:r>
    </w:p>
    <w:p>
      <w:pPr>
        <w:spacing w:after="160" w:line="276"/>
      </w:pPr>
      <w:r>
        <w:t xml:space="preserve">Substantially yes, and more constructibly than any prior point in the build, because the corpus now supplies what voice construction most needs: shown examples, not only described postures. The Logos entry's Always-Present Deployment Status section gives the builder the single most important constructibility key — the seamlessness instruction (no seam between Theon-as-reader, teacher, philosopher, confessor) that distinguishes Theon from Generic Early Christian Teacher. The four ache postures are specified, and three now carry live-speech examples (Martyrdom, Teacher authority-ache, the Stratum Ache, plus Doc_08's transmission-position example). These examples are the difference between a builder knowing Theon has an ache and knowing what the ache sounds like.</w:t>
      </w:r>
    </w:p>
    <w:p>
      <w:pPr>
        <w:spacing w:after="160" w:line="276"/>
      </w:pPr>
      <w:r>
        <w:rPr>
          <w:b/>
          <w:bCs/>
          <w:i w:val="false"/>
          <w:iCs w:val="false"/>
        </w:rPr>
        <w:t xml:space="preserve">What remains underspecified, and it is the brief's exact catch: </w:t>
      </w:r>
      <w:r>
        <w:rPr>
          <w:b w:val="false"/>
          <w:bCs w:val="false"/>
          <w:i w:val="false"/>
          <w:iCs w:val="false"/>
        </w:rPr>
        <w:t xml:space="preserve">the build specifies Theon at rest — his characteristic grammar, his aches, his settled postures — far better than it specifies Theon in motion. What Theon sounds like when he is surprised by a participant's question, when he is genuinely challenged by something he had not considered, when he is moved — these are underspecified. The shown examples are all examples of Theon holding a known posture; none shows Theon meeting something new. This matters for encounter viability specifically, because encounter (unlike a lecture) is unpredictable, and a voice specified only at rest tends to default, under surprise, to the lecturer (4B). The deployment package needs at least a few examples of Theon responsive — receiving a hard question without retreating to exposition, being pressed and staying present rather than defending.</w:t>
      </w:r>
    </w:p>
    <w:p>
      <w:pPr>
        <w:pStyle w:val="Heading2"/>
      </w:pPr>
      <w:r>
        <w:t xml:space="preserve">3B — Can encounters produce genuine surprise and resistance?</w:t>
      </w:r>
    </w:p>
    <w:p>
      <w:pPr>
        <w:spacing w:after="160" w:line="276"/>
      </w:pPr>
      <w:r>
        <w:t xml:space="preserve">Yes — and the build's resistance resources are genuine because they press on what modern participants actually believe, not on what is merely old or exotic. Four specific formation claims with real surprise-and-resistance potential:</w:t>
      </w:r>
    </w:p>
    <w:p>
      <w:pPr>
        <w:pStyle w:val="ListParagraph"/>
        <w:numPr>
          <w:ilvl w:val="0"/>
          <w:numId w:val="2"/>
        </w:numPr>
        <w:spacing w:after="90" w:line="270"/>
      </w:pPr>
      <w:r>
        <w:rPr>
          <w:b/>
          <w:bCs/>
          <w:i w:val="false"/>
          <w:iCs w:val="false"/>
        </w:rPr>
        <w:t xml:space="preserve">Sin is not primarily wrongdoing. </w:t>
      </w:r>
      <w:r>
        <w:rPr>
          <w:b w:val="false"/>
          <w:bCs w:val="false"/>
          <w:i w:val="false"/>
          <w:iCs w:val="false"/>
        </w:rPr>
        <w:t xml:space="preserve">The Sin entry's displacement of the forensic frame (sin as the soul's mis-orientation, not a catalogue of acts requiring forgiveness) presses directly on the frame most modern Christians and post-Christians carry. The resistance is real: a participant has to reckon with the possibility that being forgiven and being changed are different things, and that they may have organized their faith around the wrong one. This is the build's sharpest resistance resource because the Sin entry stages the failure (the acquitted-but-unreoriented soul) rather than asserting it.</w:t>
      </w:r>
    </w:p>
    <w:p>
      <w:pPr>
        <w:pStyle w:val="ListParagraph"/>
        <w:numPr>
          <w:ilvl w:val="0"/>
          <w:numId w:val="2"/>
        </w:numPr>
        <w:spacing w:after="90" w:line="270"/>
      </w:pPr>
      <w:r>
        <w:rPr>
          <w:b/>
          <w:bCs/>
          <w:i w:val="false"/>
          <w:iCs w:val="false"/>
        </w:rPr>
        <w:t xml:space="preserve">Formation is the reorientation of desire, not moral effort. </w:t>
      </w:r>
      <w:r>
        <w:rPr>
          <w:b w:val="false"/>
          <w:bCs w:val="false"/>
          <w:i w:val="false"/>
          <w:iCs w:val="false"/>
        </w:rPr>
        <w:t xml:space="preserve">The Transformation entry presses on the participant who believes spiritual growth is trying harder to be good. That the practices are desire-retraining rather than behavior-regulation is genuinely other to the effort-and-achievement frame most participants assume.</w:t>
      </w:r>
    </w:p>
    <w:p>
      <w:pPr>
        <w:pStyle w:val="ListParagraph"/>
        <w:numPr>
          <w:ilvl w:val="0"/>
          <w:numId w:val="2"/>
        </w:numPr>
        <w:spacing w:after="90" w:line="270"/>
      </w:pPr>
      <w:r>
        <w:rPr>
          <w:b/>
          <w:bCs/>
          <w:i w:val="false"/>
          <w:iCs w:val="false"/>
        </w:rPr>
        <w:t xml:space="preserve">The intellectual and the spiritual are the same hunger. </w:t>
      </w:r>
      <w:r>
        <w:rPr>
          <w:b w:val="false"/>
          <w:bCs w:val="false"/>
          <w:i w:val="false"/>
          <w:iCs w:val="false"/>
        </w:rPr>
        <w:t xml:space="preserve">The Logos entry's refusal to fragment presses on the participant — religious or secular — who has filed reason and faith in separate drawers. The claim that studying anything honestly is tracing the Logos is genuinely disorienting to the modern settlement.</w:t>
      </w:r>
    </w:p>
    <w:p>
      <w:pPr>
        <w:pStyle w:val="ListParagraph"/>
        <w:numPr>
          <w:ilvl w:val="0"/>
          <w:numId w:val="2"/>
        </w:numPr>
        <w:spacing w:after="90" w:line="270"/>
      </w:pPr>
      <w:r>
        <w:rPr>
          <w:b/>
          <w:bCs/>
          <w:i w:val="false"/>
          <w:iCs w:val="false"/>
        </w:rPr>
        <w:t xml:space="preserve">The martyr and the scholar are aimed at the same God, and the scholar cannot claim the martyr's depth. </w:t>
      </w:r>
      <w:r>
        <w:rPr>
          <w:b w:val="false"/>
          <w:bCs w:val="false"/>
          <w:i w:val="false"/>
          <w:iCs w:val="false"/>
        </w:rPr>
        <w:t xml:space="preserve">The Martyrdom entry's structural humility resists the participant's instinct to rank formation modes, and presses on anyone who quietly believes their own mode (intellectual, experiential, activist) is the real one.</w:t>
      </w:r>
    </w:p>
    <w:p>
      <w:pPr>
        <w:spacing w:after="160" w:line="276"/>
      </w:pPr>
      <w:r>
        <w:t xml:space="preserve">These resist by formation logic, not by being difficult or strange — which is the right kind of resistance for the mission. The build has the resources to surprise.</w:t>
      </w:r>
    </w:p>
    <w:p>
      <w:pPr>
        <w:pStyle w:val="Heading2"/>
      </w:pPr>
      <w:r>
        <w:t xml:space="preserve">3C — Does the world sustain multiple encounters without repetition?</w:t>
      </w:r>
    </w:p>
    <w:p>
      <w:pPr>
        <w:spacing w:after="160" w:line="276"/>
      </w:pPr>
      <w:r>
        <w:t xml:space="preserve">Yes, comfortably. Mapping the world's encounter territories: the salvation arc (five distinct entries, each a different door — the nature of the problem, the meaning of death, what the body is for, what God is restoring toward, what transformation is); the authority territory (Teacher, Bishop, Rule of Faith — and the live Teacher-Bishop tension); the formation-sequence territory (catechesis through theosis, with the Participation↔Perception Dynamic); the four tensional gravities, each a distinct formation territory (Teacher-Bishop, Learning-Community, Speculative-Doctrinal, Martyrdom-Contemplative); the four ache postures; and the always-present anchors (Logos, Hope) that recolor every encounter without being its subject. These are not variations on one theme — they are genuinely different formation territories. A participant could have a salvation-frame encounter, an authority-and-tradition encounter, a discouragement-and-hope encounter, and a martyrdom-and-cost encounter and traverse four genuinely different regions of the same coherent world. The world supports many non-repetitive encounters; the constraint on repetition is the Facilitator's territory-selection, not the world's depth.</w:t>
      </w:r>
    </w:p>
    <w:p>
      <w:pPr>
        <w:pStyle w:val="Heading2"/>
      </w:pPr>
      <w:r>
        <w:t xml:space="preserve">3D — Does the world produce formation or information?</w:t>
      </w:r>
    </w:p>
    <w:p>
      <w:pPr>
        <w:spacing w:after="160" w:line="276"/>
      </w:pPr>
      <w:r>
        <w:t xml:space="preserve">The governing question. Held to the Article 6 refinement — the test is whether the world creates the conditions under which formation becomes the participant's own possibility, not whether it engineers an outcome — the five attached entries produce formation, not information, and the structural reason is the Distortion Risk architecture. Each entry does not merely state the Alexandrian account; it stages the modern hearing the participant actually holds and displaces it from inside. That displacement is a formation event, not an information transfer, because it presses on something the participant already believes.</w:t>
      </w:r>
    </w:p>
    <w:p>
      <w:pPr>
        <w:spacing w:after="160" w:line="276"/>
      </w:pPr>
      <w:r>
        <w:t xml:space="preserve">Entry by entry, the conditions-for-doing-differently each creates:</w:t>
      </w:r>
    </w:p>
    <w:p>
      <w:pPr>
        <w:pStyle w:val="ListParagraph"/>
        <w:numPr>
          <w:ilvl w:val="0"/>
          <w:numId w:val="2"/>
        </w:numPr>
        <w:spacing w:after="90" w:line="270"/>
      </w:pPr>
      <w:r>
        <w:rPr>
          <w:b/>
          <w:bCs/>
          <w:i w:val="false"/>
          <w:iCs w:val="false"/>
        </w:rPr>
        <w:t xml:space="preserve">Logos (001): </w:t>
      </w:r>
      <w:r>
        <w:rPr>
          <w:b w:val="false"/>
          <w:bCs w:val="false"/>
          <w:i w:val="false"/>
          <w:iCs w:val="false"/>
        </w:rPr>
        <w:t xml:space="preserve">creates the condition for the participant to stop fragmenting their own intellectual and spiritual life — to bring a question they had filed as “just intellectual” into their formation. The doing-differently: the participant who carries this stops quarantining their honest questions from their prayer.</w:t>
      </w:r>
    </w:p>
    <w:p>
      <w:pPr>
        <w:pStyle w:val="ListParagraph"/>
        <w:numPr>
          <w:ilvl w:val="0"/>
          <w:numId w:val="2"/>
        </w:numPr>
        <w:spacing w:after="90" w:line="270"/>
      </w:pPr>
      <w:r>
        <w:rPr>
          <w:b/>
          <w:bCs/>
          <w:i w:val="false"/>
          <w:iCs w:val="false"/>
        </w:rPr>
        <w:t xml:space="preserve">Teacher (029): </w:t>
      </w:r>
      <w:r>
        <w:rPr>
          <w:b w:val="false"/>
          <w:bCs w:val="false"/>
          <w:i w:val="false"/>
          <w:iCs w:val="false"/>
        </w:rPr>
        <w:t xml:space="preserve">creates the condition for the participant to ask what they are actually being formed by, and by whom — to distinguish having received conclusions from having had their perception opened. The doing-differently: the participant attends differently to who their real formation-companions are.</w:t>
      </w:r>
    </w:p>
    <w:p>
      <w:pPr>
        <w:pStyle w:val="ListParagraph"/>
        <w:numPr>
          <w:ilvl w:val="0"/>
          <w:numId w:val="2"/>
        </w:numPr>
        <w:spacing w:after="90" w:line="270"/>
      </w:pPr>
      <w:r>
        <w:rPr>
          <w:b/>
          <w:bCs/>
          <w:i w:val="false"/>
          <w:iCs w:val="false"/>
        </w:rPr>
        <w:t xml:space="preserve">Transformation (021): </w:t>
      </w:r>
      <w:r>
        <w:rPr>
          <w:b w:val="false"/>
          <w:bCs w:val="false"/>
          <w:i w:val="false"/>
          <w:iCs w:val="false"/>
        </w:rPr>
        <w:t xml:space="preserve">creates the condition for the participant to stop measuring their formation by behavior and start attending to the direction of their desire. The doing-differently: the participant's self-examination changes register, from did-I-do-right to what-am-I-actually-reaching-for.</w:t>
      </w:r>
    </w:p>
    <w:p>
      <w:pPr>
        <w:pStyle w:val="ListParagraph"/>
        <w:numPr>
          <w:ilvl w:val="0"/>
          <w:numId w:val="2"/>
        </w:numPr>
        <w:spacing w:after="90" w:line="270"/>
      </w:pPr>
      <w:r>
        <w:rPr>
          <w:b/>
          <w:bCs/>
          <w:i w:val="false"/>
          <w:iCs w:val="false"/>
        </w:rPr>
        <w:t xml:space="preserve">Martyrdom (033): </w:t>
      </w:r>
      <w:r>
        <w:rPr>
          <w:b w:val="false"/>
          <w:bCs w:val="false"/>
          <w:i w:val="false"/>
          <w:iCs w:val="false"/>
        </w:rPr>
        <w:t xml:space="preserve">creates the condition for the participant to confront what their formation is actually oriented toward when the lesser goods are stripped away — and to hold their own mode without ranking it above others'. The doing-differently: the participant carries a question about what they would not give up, which presses on what they are actually formed toward.</w:t>
      </w:r>
    </w:p>
    <w:p>
      <w:pPr>
        <w:pStyle w:val="ListParagraph"/>
        <w:numPr>
          <w:ilvl w:val="0"/>
          <w:numId w:val="2"/>
        </w:numPr>
        <w:spacing w:after="90" w:line="270"/>
      </w:pPr>
      <w:r>
        <w:rPr>
          <w:b/>
          <w:bCs/>
          <w:i w:val="false"/>
          <w:iCs w:val="false"/>
        </w:rPr>
        <w:t xml:space="preserve">Hope (045): </w:t>
      </w:r>
      <w:r>
        <w:rPr>
          <w:b w:val="false"/>
          <w:bCs w:val="false"/>
          <w:i w:val="false"/>
          <w:iCs w:val="false"/>
        </w:rPr>
        <w:t xml:space="preserve">creates the condition for the participant to hold their own incompleteness as expected rather than disconfirming. The doing-differently: the participant stops reading the slowness of their formation as evidence it is not working.</w:t>
      </w:r>
    </w:p>
    <w:p>
      <w:pPr>
        <w:spacing w:after="160" w:line="276"/>
      </w:pPr>
      <w:r>
        <w:t xml:space="preserve">In each case the entry presses on a real formation framework the participant holds, rather than supplying a fact they can carry away inert. That is the mark of formation over information, in the only form Article 6 permits a viability review to claim it: the conditions are present. Whether the participant is changed belongs to them and to God.</w:t>
      </w:r>
    </w:p>
    <w:p>
      <w:pPr>
        <w:pStyle w:val="Heading1"/>
      </w:pPr>
      <w:r>
        <w:t xml:space="preserve">Section 4: Risk Assessment</w:t>
      </w:r>
    </w:p>
    <w:p>
      <w:pPr>
        <w:pStyle w:val="Heading2"/>
      </w:pPr>
      <w:r>
        <w:t xml:space="preserve">4A — Where the world may fail participants</w:t>
      </w:r>
    </w:p>
    <w:p>
      <w:pPr>
        <w:spacing w:after="160" w:line="276"/>
      </w:pPr>
      <w:r>
        <w:t xml:space="preserve">The likely failure patterns, named honestly as structural risks in the build's actual character, not as manageable implementation details:</w:t>
      </w:r>
    </w:p>
    <w:p>
      <w:pPr>
        <w:pStyle w:val="ListParagraph"/>
        <w:numPr>
          <w:ilvl w:val="0"/>
          <w:numId w:val="2"/>
        </w:numPr>
        <w:spacing w:after="90" w:line="270"/>
      </w:pPr>
      <w:r>
        <w:rPr>
          <w:b/>
          <w:bCs/>
          <w:i w:val="false"/>
          <w:iCs w:val="false"/>
        </w:rPr>
        <w:t xml:space="preserve">The general user hits the vocabulary wall and disengages before any human door opens. </w:t>
      </w:r>
      <w:r>
        <w:rPr>
          <w:b w:val="false"/>
          <w:bCs w:val="false"/>
          <w:i w:val="false"/>
          <w:iCs w:val="false"/>
        </w:rPr>
        <w:t xml:space="preserve">Structural: the world's native vocabulary is genuinely demanding, and the most accessible doors (martyrdom, hope, the misdirected arrow) are not the world's organizing center (the Logos-architecture). An encounter that opens at the center loses this participant. This is the most likely outright failure.</w:t>
      </w:r>
    </w:p>
    <w:p>
      <w:pPr>
        <w:pStyle w:val="ListParagraph"/>
        <w:numPr>
          <w:ilvl w:val="0"/>
          <w:numId w:val="2"/>
        </w:numPr>
        <w:spacing w:after="90" w:line="270"/>
      </w:pPr>
      <w:r>
        <w:rPr>
          <w:b/>
          <w:bCs/>
          <w:i w:val="false"/>
          <w:iCs w:val="false"/>
        </w:rPr>
        <w:t xml:space="preserve">The deconstructing believer metabolizes the build's honesty as cynicism. </w:t>
      </w:r>
      <w:r>
        <w:rPr>
          <w:b w:val="false"/>
          <w:bCs w:val="false"/>
          <w:i w:val="false"/>
          <w:iCs w:val="false"/>
        </w:rPr>
        <w:t xml:space="preserve">Structural: the Teacher-Bishop tension genuinely resolved post-Nicaea toward episcopal dominance, and a participant primed to distrust institutions will hear the true history as confirmation. The build cannot prevent this; only the Facilitator's protection of the tension-as-tension can.</w:t>
      </w:r>
    </w:p>
    <w:p>
      <w:pPr>
        <w:pStyle w:val="ListParagraph"/>
        <w:numPr>
          <w:ilvl w:val="0"/>
          <w:numId w:val="2"/>
        </w:numPr>
        <w:spacing w:after="90" w:line="270"/>
      </w:pPr>
      <w:r>
        <w:rPr>
          <w:b/>
          <w:bCs/>
          <w:i w:val="false"/>
          <w:iCs w:val="false"/>
        </w:rPr>
        <w:t xml:space="preserve">Any participant is captured by fascination and formed in nothing. </w:t>
      </w:r>
      <w:r>
        <w:rPr>
          <w:b w:val="false"/>
          <w:bCs w:val="false"/>
          <w:i w:val="false"/>
          <w:iCs w:val="false"/>
        </w:rPr>
        <w:t xml:space="preserve">Structural: Alexandria is the most intellectually beautiful Phase 1 world, and beauty-of-ideas is the specific seduction that lets an encounter feel rich while pressing on nothing. The academic and intellectual seeker are most at risk; the doorway becomes a home made of ideas.</w:t>
      </w:r>
    </w:p>
    <w:p>
      <w:pPr>
        <w:pStyle w:val="ListParagraph"/>
        <w:numPr>
          <w:ilvl w:val="0"/>
          <w:numId w:val="2"/>
        </w:numPr>
        <w:spacing w:after="90" w:line="270"/>
      </w:pPr>
      <w:r>
        <w:rPr>
          <w:b/>
          <w:bCs/>
          <w:i w:val="false"/>
          <w:iCs w:val="false"/>
        </w:rPr>
        <w:t xml:space="preserve">The stratum-narrowness tells a participant that formation requires intellect. </w:t>
      </w:r>
      <w:r>
        <w:rPr>
          <w:b w:val="false"/>
          <w:bCs w:val="false"/>
          <w:i w:val="false"/>
          <w:iCs w:val="false"/>
        </w:rPr>
        <w:t xml:space="preserve">Structural: the Primary Gravities are confirmed for the literate-attested ecology, and if Theon presents the school tradition's formation as the formation, the encounter quietly excludes the participant who is not intellectually formed — the precise opposite of the martyrdom logic's whole-community reach. The Stratum Ache guards this but does not eliminate the risk.</w:t>
      </w:r>
    </w:p>
    <w:p>
      <w:pPr>
        <w:pStyle w:val="Heading2"/>
      </w:pPr>
      <w:r>
        <w:t xml:space="preserve">4B — Where Theon's voice may drift or flatten</w:t>
      </w:r>
    </w:p>
    <w:p>
      <w:pPr>
        <w:spacing w:after="160" w:line="276"/>
      </w:pPr>
      <w:r>
        <w:t xml:space="preserve">Of the standard AI voice-construction failure modes, Theon is most vulnerable to one specifically: the lecturer. The reason is structural and worth naming plainly — Theon is a teacher, his world is the most intellectually elaborated in the set, and the build specifies him more richly at rest (settled postures) than in motion (responsive to surprise, 3A). Under an unexpected or challenging participant question, a voice specified mainly at rest defaults to its most over-determined register, and for Theon that register is exposition. The drift to lecturer is not a risk Theon happens to carry; it is the drift his character and his build most invite.</w:t>
      </w:r>
    </w:p>
    <w:p>
      <w:pPr>
        <w:spacing w:after="160" w:line="276"/>
      </w:pPr>
      <w:r>
        <w:t xml:space="preserve">The build's safeguards against each drift: against the lecturer, the Logos entry's living-address posture (Theon listens for the one speaking, does not catalogue) and the Teacher entry's accompaniment-not-information grammar — but these are at-rest specifications and do not yet show Theon resisting the drift under pressure. Against the therapist, the build is well-guarded: Theon's aches are his own, not mirrors of the participant's feelings, and the Distortion Risk structure presses rather than soothes. Against the mirror, the build is strongly guarded: the four resistance claims (3B) and the Witness-Not-Recruitment boundary mean Theon offers genuine otherness, not reflection. Against the historical-information-delivery system, the build is guarded by the Writing-From-Inside discipline — but this is the drift adjacent to the lecturer, and the same at-rest-only specification leaves it as the second-most-likely flattening.</w:t>
      </w:r>
    </w:p>
    <w:p>
      <w:pPr>
        <w:spacing w:after="160" w:line="276"/>
      </w:pPr>
      <w:r>
        <w:rPr>
          <w:b/>
          <w:bCs/>
        </w:rPr>
        <w:t xml:space="preserve">The targeted need: </w:t>
      </w:r>
      <w:r>
        <w:t xml:space="preserve">examples of Theon in motion — surprised, challenged, moved — so the builder can construct the voice that stays present under pressure rather than retreating to exposition. This is the single most important addition to the deployment package for voice viability (3A, 5C).</w:t>
      </w:r>
    </w:p>
    <w:p>
      <w:pPr>
        <w:pStyle w:val="Heading2"/>
      </w:pPr>
      <w:r>
        <w:t xml:space="preserve">4C — What the Facilitator must carry that Theon cannot</w:t>
      </w:r>
    </w:p>
    <w:p>
      <w:pPr>
        <w:spacing w:after="160" w:line="276"/>
      </w:pPr>
      <w:r>
        <w:t xml:space="preserve">Specific formation work the Facilitator must do that Theon's voice structurally cannot:</w:t>
      </w:r>
    </w:p>
    <w:p>
      <w:pPr>
        <w:pStyle w:val="ListParagraph"/>
        <w:numPr>
          <w:ilvl w:val="0"/>
          <w:numId w:val="2"/>
        </w:numPr>
        <w:spacing w:after="90" w:line="270"/>
      </w:pPr>
      <w:r>
        <w:rPr>
          <w:b/>
          <w:bCs/>
          <w:i w:val="false"/>
          <w:iCs w:val="false"/>
        </w:rPr>
        <w:t xml:space="preserve">Before: entry-point selection and expectation-framing. </w:t>
      </w:r>
      <w:r>
        <w:rPr>
          <w:b w:val="false"/>
          <w:bCs w:val="false"/>
          <w:i w:val="false"/>
          <w:iCs w:val="false"/>
        </w:rPr>
        <w:t xml:space="preserve">Theon cannot choose which door the encounter opens or set the participant's expectation that the gift is a shift in seeing, not a quantum of knowledge (1A, 2E). The Facilitator routes, especially for the general user and the discouraged seeker.</w:t>
      </w:r>
    </w:p>
    <w:p>
      <w:pPr>
        <w:pStyle w:val="ListParagraph"/>
        <w:numPr>
          <w:ilvl w:val="0"/>
          <w:numId w:val="2"/>
        </w:numPr>
        <w:spacing w:after="90" w:line="270"/>
      </w:pPr>
      <w:r>
        <w:rPr>
          <w:b/>
          <w:bCs/>
          <w:i w:val="false"/>
          <w:iCs w:val="false"/>
        </w:rPr>
        <w:t xml:space="preserve">During: protecting the tension and the witness boundary. </w:t>
      </w:r>
      <w:r>
        <w:rPr>
          <w:b w:val="false"/>
          <w:bCs w:val="false"/>
          <w:i w:val="false"/>
          <w:iCs w:val="false"/>
        </w:rPr>
        <w:t xml:space="preserve">Theon, from inside his world, holds the Teacher-Bishop tension as live; he cannot step outside to protect the participant from metabolizing it as cynicism, nor narrate the Witness-Not-Recruitment boundary the deconstructing believer needs made explicit (2B). The Facilitator carries the two-presence distinction.</w:t>
      </w:r>
    </w:p>
    <w:p>
      <w:pPr>
        <w:pStyle w:val="ListParagraph"/>
        <w:numPr>
          <w:ilvl w:val="0"/>
          <w:numId w:val="2"/>
        </w:numPr>
        <w:spacing w:after="90" w:line="270"/>
      </w:pPr>
      <w:r>
        <w:rPr>
          <w:b/>
          <w:bCs/>
          <w:i w:val="false"/>
          <w:iCs w:val="false"/>
        </w:rPr>
        <w:t xml:space="preserve">During: making the confidence discipline legible. </w:t>
      </w:r>
      <w:r>
        <w:rPr>
          <w:b w:val="false"/>
          <w:bCs w:val="false"/>
          <w:i w:val="false"/>
          <w:iCs w:val="false"/>
        </w:rPr>
        <w:t xml:space="preserve">Theon embodies but cannot narrate his own calibration; when the academic tests an overclaim, the Facilitator surfaces the build's confidence apparatus and the standing AQ1 stratum boundary (2D). This is the Three-Level Transparency function.</w:t>
      </w:r>
    </w:p>
    <w:p>
      <w:pPr>
        <w:pStyle w:val="ListParagraph"/>
        <w:numPr>
          <w:ilvl w:val="0"/>
          <w:numId w:val="2"/>
        </w:numPr>
        <w:spacing w:after="90" w:line="270"/>
      </w:pPr>
      <w:r>
        <w:rPr>
          <w:b/>
          <w:bCs/>
          <w:i w:val="false"/>
          <w:iCs w:val="false"/>
        </w:rPr>
        <w:t xml:space="preserve">During: the limit-as-door. </w:t>
      </w:r>
      <w:r>
        <w:rPr>
          <w:b w:val="false"/>
          <w:bCs w:val="false"/>
          <w:i w:val="false"/>
          <w:iCs w:val="false"/>
        </w:rPr>
        <w:t xml:space="preserve">When the encounter reaches what Theon cannot speak to (the non-literate interior he is constrained from narrating; the living Coptic tradition his historical voice must not be confused with), the Facilitator carries the limit as a door rather than a dead end — including the Living-Traditions distinction that protects the present-day Coptic community from being spoken for.</w:t>
      </w:r>
    </w:p>
    <w:p>
      <w:pPr>
        <w:pStyle w:val="ListParagraph"/>
        <w:numPr>
          <w:ilvl w:val="0"/>
          <w:numId w:val="2"/>
        </w:numPr>
        <w:spacing w:after="90" w:line="270"/>
      </w:pPr>
      <w:r>
        <w:rPr>
          <w:b/>
          <w:bCs/>
          <w:i w:val="false"/>
          <w:iCs w:val="false"/>
        </w:rPr>
        <w:t xml:space="preserve">After: pointing out the doorway. </w:t>
      </w:r>
      <w:r>
        <w:rPr>
          <w:b w:val="false"/>
          <w:bCs w:val="false"/>
          <w:i w:val="false"/>
          <w:iCs w:val="false"/>
        </w:rPr>
        <w:t xml:space="preserve">Theon points toward Christ through his world's logic, but he cannot point the participant toward their own next step — their own formation community, their own tradition, their own practice. The doorway-not-home conviction depends on the Facilitator turning the participant outward, toward something real, rather than back toward another encounter.</w:t>
      </w:r>
    </w:p>
    <w:p>
      <w:pPr>
        <w:pStyle w:val="Heading1"/>
      </w:pPr>
      <w:r>
        <w:t xml:space="preserve">Section 5: Viability Findings</w:t>
      </w:r>
    </w:p>
    <w:p>
      <w:pPr>
        <w:pStyle w:val="Heading2"/>
      </w:pPr>
      <w:r>
        <w:t xml:space="preserve">5A — Overall viability verdict</w:t>
      </w:r>
    </w:p>
    <w:p>
      <w:pPr>
        <w:spacing w:after="160" w:line="276"/>
      </w:pPr>
      <w:r>
        <w:rPr>
          <w:b/>
          <w:bCs/>
        </w:rPr>
        <w:t xml:space="preserve">Viable with attention. </w:t>
      </w:r>
      <w:r>
        <w:t xml:space="preserve">Alexandria is a genuinely formative encounter world whose materials meet the mission's standard: it creates the conditions for encounter over instruction, it presses rather than tells, and its Christ-ward telos runs natively through its own Logos-centered logic rather than as an applied caption. The attention it requires is concentrated in two places — the voice is specified richly at rest but thinly in motion (risking the drift to lecturer under the unpredictability that encounter requires), and the world's intellectual richness and demanding vocabulary create real population-specific failure modes (fascination capture, the vocabulary wall, stratum-narrowness). None of these is disqualifying; all are addressable in the deployment package and the Facilitator calibration. The world is ready to become an encounter, with the attention below.</w:t>
      </w:r>
    </w:p>
    <w:p>
      <w:pPr>
        <w:pStyle w:val="Heading2"/>
      </w:pPr>
      <w:r>
        <w:t xml:space="preserve">5B — What works and for whom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2700"/>
        <w:gridCol w:w="2460"/>
      </w:tblGrid>
      <w:tr>
        <w:trPr>
          <w:tblHeader/>
        </w:trPr>
        <w:tc>
          <w:tcPr>
            <w:tcW w:type="dxa" w:w="1500"/>
            <w:tcBorders>
              <w:top w:val="single" w:color="CCCCCC" w:sz="1"/>
              <w:left w:val="single" w:color="CCCCCC" w:sz="1"/>
              <w:bottom w:val="single" w:color="CCCCCC" w:sz="1"/>
              <w:right w:val="single" w:color="CCCCCC" w:sz="1"/>
            </w:tcBorders>
            <w:shd w:fill="E6DCF2" w:val="clear"/>
            <w:tcMar>
              <w:top w:type="dxa" w:w="80"/>
              <w:left w:type="dxa" w:w="110"/>
              <w:bottom w:type="dxa" w:w="80"/>
              <w:right w:type="dxa" w:w="110"/>
            </w:tcMar>
          </w:tcPr>
          <w:p>
            <w:r>
              <w:rPr>
                <w:b/>
                <w:bCs/>
                <w:sz w:val="18"/>
                <w:szCs w:val="18"/>
              </w:rPr>
              <w:t xml:space="preserve">Participant</w:t>
            </w:r>
          </w:p>
        </w:tc>
        <w:tc>
          <w:tcPr>
            <w:tcW w:type="dxa" w:w="2700"/>
            <w:tcBorders>
              <w:top w:val="single" w:color="CCCCCC" w:sz="1"/>
              <w:left w:val="single" w:color="CCCCCC" w:sz="1"/>
              <w:bottom w:val="single" w:color="CCCCCC" w:sz="1"/>
              <w:right w:val="single" w:color="CCCCCC" w:sz="1"/>
            </w:tcBorders>
            <w:shd w:fill="E6DCF2" w:val="clear"/>
            <w:tcMar>
              <w:top w:type="dxa" w:w="80"/>
              <w:left w:type="dxa" w:w="110"/>
              <w:bottom w:type="dxa" w:w="80"/>
              <w:right w:type="dxa" w:w="110"/>
            </w:tcMar>
          </w:tcPr>
          <w:p>
            <w:r>
              <w:rPr>
                <w:b/>
                <w:bCs/>
                <w:sz w:val="18"/>
                <w:szCs w:val="18"/>
              </w:rPr>
              <w:t xml:space="preserve">What works</w:t>
            </w:r>
          </w:p>
        </w:tc>
        <w:tc>
          <w:tcPr>
            <w:tcW w:type="dxa" w:w="2700"/>
            <w:tcBorders>
              <w:top w:val="single" w:color="CCCCCC" w:sz="1"/>
              <w:left w:val="single" w:color="CCCCCC" w:sz="1"/>
              <w:bottom w:val="single" w:color="CCCCCC" w:sz="1"/>
              <w:right w:val="single" w:color="CCCCCC" w:sz="1"/>
            </w:tcBorders>
            <w:shd w:fill="E6DCF2" w:val="clear"/>
            <w:tcMar>
              <w:top w:type="dxa" w:w="80"/>
              <w:left w:type="dxa" w:w="110"/>
              <w:bottom w:type="dxa" w:w="80"/>
              <w:right w:type="dxa" w:w="110"/>
            </w:tcMar>
          </w:tcPr>
          <w:p>
            <w:r>
              <w:rPr>
                <w:b/>
                <w:bCs/>
                <w:sz w:val="18"/>
                <w:szCs w:val="18"/>
              </w:rPr>
              <w:t xml:space="preserve">What may not</w:t>
            </w:r>
          </w:p>
        </w:tc>
        <w:tc>
          <w:tcPr>
            <w:tcW w:type="dxa" w:w="2460"/>
            <w:tcBorders>
              <w:top w:val="single" w:color="CCCCCC" w:sz="1"/>
              <w:left w:val="single" w:color="CCCCCC" w:sz="1"/>
              <w:bottom w:val="single" w:color="CCCCCC" w:sz="1"/>
              <w:right w:val="single" w:color="CCCCCC" w:sz="1"/>
            </w:tcBorders>
            <w:shd w:fill="E6DCF2" w:val="clear"/>
            <w:tcMar>
              <w:top w:type="dxa" w:w="80"/>
              <w:left w:type="dxa" w:w="110"/>
              <w:bottom w:type="dxa" w:w="80"/>
              <w:right w:type="dxa" w:w="110"/>
            </w:tcMar>
          </w:tcPr>
          <w:p>
            <w:r>
              <w:rPr>
                <w:b/>
                <w:bCs/>
                <w:sz w:val="18"/>
                <w:szCs w:val="18"/>
              </w:rPr>
              <w:t xml:space="preserve">Facilitator priority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b w:val="false"/>
                <w:bCs w:val="false"/>
                <w:sz w:val="18"/>
                <w:szCs w:val="18"/>
              </w:rPr>
              <w:t xml:space="preserve">Well-Seeker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b w:val="false"/>
                <w:bCs w:val="false"/>
                <w:sz w:val="18"/>
                <w:szCs w:val="18"/>
              </w:rPr>
              <w:t xml:space="preserve">Hope meets discouragement; desire-reorientation reframes the hunger itself</w:t>
            </w:r>
          </w:p>
        </w:tc>
        <w:tc>
          <w:tcPr>
            <w:tcW w:type="dxa" w:w="2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b w:val="false"/>
                <w:bCs w:val="false"/>
                <w:sz w:val="18"/>
                <w:szCs w:val="18"/>
              </w:rPr>
              <w:t xml:space="preserve">Wants felt experience; gradual account feels slow/cognitive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b w:val="false"/>
                <w:bCs w:val="false"/>
                <w:sz w:val="18"/>
                <w:szCs w:val="18"/>
              </w:rPr>
              <w:t xml:space="preserve">Frame gift as reframe of hunger, not technique for experience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b w:val="false"/>
                <w:bCs w:val="false"/>
                <w:sz w:val="18"/>
                <w:szCs w:val="18"/>
              </w:rPr>
              <w:t xml:space="preserve">Deconstructing Believer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b w:val="false"/>
                <w:bCs w:val="false"/>
                <w:sz w:val="18"/>
                <w:szCs w:val="18"/>
              </w:rPr>
              <w:t xml:space="preserve">Displaces the forensic/guilt frame; ache postures model honest unresolved tension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b w:val="false"/>
                <w:bCs w:val="false"/>
                <w:sz w:val="18"/>
                <w:szCs w:val="18"/>
              </w:rPr>
              <w:t xml:space="preserve">May hear sophistication as apologetics; tension as institutional vindication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b w:val="false"/>
                <w:bCs w:val="false"/>
                <w:sz w:val="18"/>
                <w:szCs w:val="18"/>
              </w:rPr>
              <w:t xml:space="preserve">Protect the tension as tension; make Witness-Not-Recruitment explicit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b w:val="false"/>
                <w:bCs w:val="false"/>
                <w:sz w:val="18"/>
                <w:szCs w:val="18"/>
              </w:rPr>
              <w:t xml:space="preserve">Pastor/Teacher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b w:val="false"/>
                <w:bCs w:val="false"/>
                <w:sz w:val="18"/>
                <w:szCs w:val="18"/>
              </w:rPr>
              <w:t xml:space="preserve">Teacher-Bishop tension and transmission-fragility are their lived tension and quiet grief</w:t>
            </w:r>
          </w:p>
        </w:tc>
        <w:tc>
          <w:tcPr>
            <w:tcW w:type="dxa" w:w="2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b w:val="false"/>
                <w:bCs w:val="false"/>
                <w:sz w:val="18"/>
                <w:szCs w:val="18"/>
              </w:rPr>
              <w:t xml:space="preserve">May receive it professionally, keeping formation pressure at arm's length</w:t>
            </w:r>
          </w:p>
        </w:tc>
        <w:tc>
          <w:tcPr>
            <w:tcW w:type="dxa" w:w="24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b w:val="false"/>
                <w:bCs w:val="false"/>
                <w:sz w:val="18"/>
                <w:szCs w:val="18"/>
              </w:rPr>
              <w:t xml:space="preserve">Turn professional recognition into personal pressure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b w:val="false"/>
                <w:bCs w:val="false"/>
                <w:sz w:val="18"/>
                <w:szCs w:val="18"/>
              </w:rPr>
              <w:t xml:space="preserve">Academic</w:t>
            </w:r>
          </w:p>
        </w:tc>
        <w:tc>
          <w:tcPr>
            <w:tcW w:type="dxa" w:w="2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b w:val="false"/>
                <w:bCs w:val="false"/>
                <w:sz w:val="18"/>
                <w:szCs w:val="18"/>
              </w:rPr>
              <w:t xml:space="preserve">Inside-view of formation logic operating; confidence discipline earns trust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b w:val="false"/>
                <w:bCs w:val="false"/>
                <w:sz w:val="18"/>
                <w:szCs w:val="18"/>
              </w:rPr>
              <w:t xml:space="preserve">Popular-simplification disengages; un-narrated overclaim collapses trust</w:t>
            </w:r>
          </w:p>
        </w:tc>
        <w:tc>
          <w:tcPr>
            <w:tcW w:type="dxa" w:w="24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b w:val="false"/>
                <w:bCs w:val="false"/>
                <w:sz w:val="18"/>
                <w:szCs w:val="18"/>
              </w:rPr>
              <w:t xml:space="preserve">Make the embodied confidence discipline legible when tested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b w:val="false"/>
                <w:bCs w:val="false"/>
                <w:sz w:val="18"/>
                <w:szCs w:val="18"/>
              </w:rPr>
              <w:t xml:space="preserve">General/Curious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b w:val="false"/>
                <w:bCs w:val="false"/>
                <w:sz w:val="18"/>
                <w:szCs w:val="18"/>
              </w:rPr>
              <w:t xml:space="preserve">Human doors: martyrdom, hope, the misdirected arrow</w:t>
            </w:r>
          </w:p>
        </w:tc>
        <w:tc>
          <w:tcPr>
            <w:tcW w:type="dxa" w:w="2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b w:val="false"/>
                <w:bCs w:val="false"/>
                <w:sz w:val="18"/>
                <w:szCs w:val="18"/>
              </w:rPr>
              <w:t xml:space="preserve">Vocabulary wall; unshared formation assumptions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b w:val="false"/>
                <w:bCs w:val="false"/>
                <w:sz w:val="18"/>
                <w:szCs w:val="18"/>
              </w:rPr>
              <w:t xml:space="preserve">Route through human doors first; judge if Alexandria is the right first world</w:t>
            </w:r>
          </w:p>
        </w:tc>
      </w:tr>
    </w:tbl>
    <w:p>
      <w:pPr>
        <w:pStyle w:val="Heading2"/>
      </w:pPr>
      <w:r>
        <w:t xml:space="preserve">5C — What needs attention before or during deployment</w:t>
      </w:r>
    </w:p>
    <w:p>
      <w:pPr>
        <w:spacing w:after="160" w:line="276"/>
      </w:pPr>
      <w:r>
        <w:t xml:space="preserve">Items surfaced by this viability assessment (distinct from prior reviews' findings):</w:t>
      </w:r>
    </w:p>
    <w:p>
      <w:pPr>
        <w:pStyle w:val="ListParagraph"/>
        <w:numPr>
          <w:ilvl w:val="0"/>
          <w:numId w:val="2"/>
        </w:numPr>
        <w:spacing w:after="90" w:line="270"/>
      </w:pPr>
      <w:r>
        <w:rPr>
          <w:b/>
          <w:bCs/>
          <w:i w:val="false"/>
          <w:iCs w:val="false"/>
        </w:rPr>
        <w:t xml:space="preserve">Theon-in-motion examples (highest priority). </w:t>
      </w:r>
      <w:r>
        <w:rPr>
          <w:b w:val="false"/>
          <w:bCs w:val="false"/>
          <w:i w:val="false"/>
          <w:iCs w:val="false"/>
        </w:rPr>
        <w:t xml:space="preserve">The deployment package needs live-speech examples of Theon surprised, challenged, and moved — not only holding settled aches. Without these, voice construction defaults to the lecturer under the unpredictability encounter requires (3A, 4B). This is the single most important viability addition.</w:t>
      </w:r>
    </w:p>
    <w:p>
      <w:pPr>
        <w:pStyle w:val="ListParagraph"/>
        <w:numPr>
          <w:ilvl w:val="0"/>
          <w:numId w:val="2"/>
        </w:numPr>
        <w:spacing w:after="90" w:line="270"/>
      </w:pPr>
      <w:r>
        <w:rPr>
          <w:b/>
          <w:bCs/>
          <w:i w:val="false"/>
          <w:iCs w:val="false"/>
        </w:rPr>
        <w:t xml:space="preserve">An entry-point routing guide for the Facilitator. </w:t>
      </w:r>
      <w:r>
        <w:rPr>
          <w:b w:val="false"/>
          <w:bCs w:val="false"/>
          <w:i w:val="false"/>
          <w:iCs w:val="false"/>
        </w:rPr>
        <w:t xml:space="preserve">The world's accessible doors (martyrdom, hope, the misdirected arrow) are not its organizing center (Logos), so the Facilitator needs explicit guidance on opening through human doors before conceptual vocabulary, especially for the general user and the discouraged seeker (2A, 2E).</w:t>
      </w:r>
    </w:p>
    <w:p>
      <w:pPr>
        <w:pStyle w:val="ListParagraph"/>
        <w:numPr>
          <w:ilvl w:val="0"/>
          <w:numId w:val="2"/>
        </w:numPr>
        <w:spacing w:after="90" w:line="270"/>
      </w:pPr>
      <w:r>
        <w:rPr>
          <w:b/>
          <w:bCs/>
          <w:i w:val="false"/>
          <w:iCs w:val="false"/>
        </w:rPr>
        <w:t xml:space="preserve">A fascination-capture watch for the Facilitator calibration library. </w:t>
      </w:r>
      <w:r>
        <w:rPr>
          <w:b w:val="false"/>
          <w:bCs w:val="false"/>
          <w:i w:val="false"/>
          <w:iCs w:val="false"/>
        </w:rPr>
        <w:t xml:space="preserve">Alexandria's specific failure mode — the absorbing encounter that forms nothing — needs a named recognition-and-redirect pattern: how the Facilitator notices the encounter has become admiration of ideas and turns it back toward formation pressure (1D, 4A).</w:t>
      </w:r>
    </w:p>
    <w:p>
      <w:pPr>
        <w:pStyle w:val="ListParagraph"/>
        <w:numPr>
          <w:ilvl w:val="0"/>
          <w:numId w:val="2"/>
        </w:numPr>
        <w:spacing w:after="90" w:line="270"/>
      </w:pPr>
      <w:r>
        <w:rPr>
          <w:b/>
          <w:bCs/>
          <w:i w:val="false"/>
          <w:iCs w:val="false"/>
        </w:rPr>
        <w:t xml:space="preserve">A confidence-transparency support for the academic encounter. </w:t>
      </w:r>
      <w:r>
        <w:rPr>
          <w:b w:val="false"/>
          <w:bCs w:val="false"/>
          <w:i w:val="false"/>
          <w:iCs w:val="false"/>
        </w:rPr>
        <w:t xml:space="preserve">The Facilitator needs ready access to the build's confidence apparatus (the post-Nicene/school-inheritance distinction, the AQ1 stratum boundary, the Eusebius and desert-attribution flags) to make legible, when tested, the calibration Theon embodies but cannot narrate (2D, 4C).</w:t>
      </w:r>
    </w:p>
    <w:p>
      <w:pPr>
        <w:pStyle w:val="ListParagraph"/>
        <w:numPr>
          <w:ilvl w:val="0"/>
          <w:numId w:val="2"/>
        </w:numPr>
        <w:spacing w:after="90" w:line="270"/>
      </w:pPr>
      <w:r>
        <w:rPr>
          <w:b/>
          <w:bCs/>
          <w:i w:val="false"/>
          <w:iCs w:val="false"/>
        </w:rPr>
        <w:t xml:space="preserve">A doorway-out prompt set for the Facilitator. </w:t>
      </w:r>
      <w:r>
        <w:rPr>
          <w:b w:val="false"/>
          <w:bCs w:val="false"/>
          <w:i w:val="false"/>
          <w:iCs w:val="false"/>
        </w:rPr>
        <w:t xml:space="preserve">Because the doorway-not-home conviction depends on the Facilitator turning the participant outward, the package should include guidance on pointing the participant toward their own next real step rather than another encounter (4C).</w:t>
      </w:r>
    </w:p>
    <w:p>
      <w:pPr>
        <w:pStyle w:val="Heading2"/>
      </w:pPr>
      <w:r>
        <w:t xml:space="preserve">5D — Recommendations for the deployment package</w:t>
      </w:r>
    </w:p>
    <w:p>
      <w:pPr>
        <w:spacing w:after="160" w:line="276"/>
      </w:pPr>
      <w:r>
        <w:t xml:space="preserve">Shaping recommendations, given this assessment:</w:t>
      </w:r>
    </w:p>
    <w:p>
      <w:pPr>
        <w:pStyle w:val="ListParagraph"/>
        <w:numPr>
          <w:ilvl w:val="0"/>
          <w:numId w:val="2"/>
        </w:numPr>
        <w:spacing w:after="90" w:line="270"/>
      </w:pPr>
      <w:r>
        <w:rPr>
          <w:b/>
          <w:bCs/>
          <w:i w:val="false"/>
          <w:iCs w:val="false"/>
        </w:rPr>
        <w:t xml:space="preserve">Prioritize the Theon-in-motion voice work. </w:t>
      </w:r>
      <w:r>
        <w:rPr>
          <w:b w:val="false"/>
          <w:bCs w:val="false"/>
          <w:i w:val="false"/>
          <w:iCs w:val="false"/>
        </w:rPr>
        <w:t xml:space="preserve">Before Theon is deployed for open encounter, construct and test the responsive-voice examples (4B). The at-rest specification is deployment-ready; the in-motion specification is the gap that most threatens encounter viability.</w:t>
      </w:r>
    </w:p>
    <w:p>
      <w:pPr>
        <w:pStyle w:val="ListParagraph"/>
        <w:numPr>
          <w:ilvl w:val="0"/>
          <w:numId w:val="2"/>
        </w:numPr>
        <w:spacing w:after="90" w:line="270"/>
      </w:pPr>
      <w:r>
        <w:rPr>
          <w:b/>
          <w:bCs/>
          <w:i w:val="false"/>
          <w:iCs w:val="false"/>
        </w:rPr>
        <w:t xml:space="preserve">Handle the deconstructing-believer and academic encounters with particular care. </w:t>
      </w:r>
      <w:r>
        <w:rPr>
          <w:b w:val="false"/>
          <w:bCs w:val="false"/>
          <w:i w:val="false"/>
          <w:iCs w:val="false"/>
        </w:rPr>
        <w:t xml:space="preserve">These are Alexandria's highest-value and highest-volatility populations. The Facilitator brief for Alexandria should treat the protect-the-tension discipline (deconstructing believer) and the make-confidence-legible discipline (academic) as primary, not secondary.</w:t>
      </w:r>
    </w:p>
    <w:p>
      <w:pPr>
        <w:pStyle w:val="ListParagraph"/>
        <w:numPr>
          <w:ilvl w:val="0"/>
          <w:numId w:val="2"/>
        </w:numPr>
        <w:spacing w:after="90" w:line="270"/>
      </w:pPr>
      <w:r>
        <w:rPr>
          <w:b/>
          <w:bCs/>
          <w:i w:val="false"/>
          <w:iCs w:val="false"/>
        </w:rPr>
        <w:t xml:space="preserve">Build the Alexandria Facilitator brief around its distinctive gift and its distinctive risk together. </w:t>
      </w:r>
      <w:r>
        <w:rPr>
          <w:b w:val="false"/>
          <w:bCs w:val="false"/>
          <w:i w:val="false"/>
          <w:iCs w:val="false"/>
        </w:rPr>
        <w:t xml:space="preserve">The gift (intellect and spirit are one hunger) and the risk (fascination capture) are the same feature seen from two sides. The brief should make this explicit so the Facilitator holds both at once: lead with the gift, watch for the risk.</w:t>
      </w:r>
    </w:p>
    <w:p>
      <w:pPr>
        <w:pStyle w:val="ListParagraph"/>
        <w:numPr>
          <w:ilvl w:val="0"/>
          <w:numId w:val="2"/>
        </w:numPr>
        <w:spacing w:after="90" w:line="270"/>
      </w:pPr>
      <w:r>
        <w:rPr>
          <w:b/>
          <w:bCs/>
          <w:i w:val="false"/>
          <w:iCs w:val="false"/>
        </w:rPr>
        <w:t xml:space="preserve">Carry the stratum discipline into the Facilitator brief as a mission item, not only a scholarly one. </w:t>
      </w:r>
      <w:r>
        <w:rPr>
          <w:b w:val="false"/>
          <w:bCs w:val="false"/>
          <w:i w:val="false"/>
          <w:iCs w:val="false"/>
        </w:rPr>
        <w:t xml:space="preserve">The AQ1 stratum boundary is not just a confidence caveat for the academic; it is a guard against the encounter telling any participant that formation requires intellect. The brief should name the Martyrdom entry's whole-community reach as the counterweight the Facilitator deploys when the encounter narrows toward the school tradition (1D, 4A).</w:t>
      </w:r>
    </w:p>
    <w:p>
      <w:pPr>
        <w:pStyle w:val="ListParagraph"/>
        <w:numPr>
          <w:ilvl w:val="0"/>
          <w:numId w:val="2"/>
        </w:numPr>
        <w:spacing w:after="90" w:line="270"/>
      </w:pPr>
      <w:r>
        <w:rPr>
          <w:b/>
          <w:bCs/>
          <w:i w:val="false"/>
          <w:iCs w:val="false"/>
        </w:rPr>
        <w:t xml:space="preserve">Make the Living-Traditions (Coptic) distinction a standing Facilitator responsibility. </w:t>
      </w:r>
      <w:r>
        <w:rPr>
          <w:b w:val="false"/>
          <w:bCs w:val="false"/>
          <w:i w:val="false"/>
          <w:iCs w:val="false"/>
        </w:rPr>
        <w:t xml:space="preserve">Theon's historical voice must not be confused with the present-day Coptic Orthodox tradition that descends from this world; the package should carry the distinction as a Facilitator-held boundary, per the mission's Living Traditions commitment and Article 25's particularity requirement.</w:t>
      </w:r>
    </w:p>
    <w:p>
      <w:pPr>
        <w:pBdr>
          <w:bottom w:val="single" w:color="6A4C93" w:sz="6" w:space="1"/>
        </w:pBdr>
        <w:spacing w:after="140"/>
      </w:pPr>
    </w:p>
    <w:p>
      <w:pPr>
        <w:pStyle w:val="Heading1"/>
      </w:pPr>
      <w:r>
        <w:t xml:space="preserve">Article 31 Disclaimer</w:t>
      </w:r>
    </w:p>
    <w:p>
      <w:pPr>
        <w:spacing w:after="160" w:line="276"/>
      </w:pPr>
      <w:r>
        <w:t xml:space="preserve">Simulated review — informational only, not an Article 31 substitute. External scholarly review by a qualified human reviewer with recognized standing in the relevant subfield remains required before any formation world is considered validated or advanced toward freeze.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B2E83" w:sz="4" w:space="2"/>
      </w:pBdr>
      <w:spacing w:after="160" w:before="280"/>
      <w:outlineLvl w:val="0"/>
    </w:pPr>
    <w:rPr>
      <w:rFonts w:ascii="Arial" w:cs="Arial" w:eastAsia="Arial" w:hAnsi="Arial"/>
      <w:b/>
      <w:bCs/>
      <w:color w:val="4B2E83"/>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6A4C9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2026-06-25T18:29:48.663Z</dcterms:created>
  <dcterms:modified xsi:type="dcterms:W3CDTF">2026-06-25T18:29:48.677Z</dcterms:modified>
</cp:coreProperties>
</file>

<file path=docProps/custom.xml><?xml version="1.0" encoding="utf-8"?>
<Properties xmlns="http://schemas.openxmlformats.org/officeDocument/2006/custom-properties" xmlns:vt="http://schemas.openxmlformats.org/officeDocument/2006/docPropsVTypes"/>
</file>