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Doc_02 — Source Ecology and Evidence Assessment</w:t>
      </w:r>
    </w:p>
    <w:p>
      <w:pPr>
        <w:spacing w:after="160"/>
      </w:pPr>
      <w:r>
        <w:rPr>
          <w:rFonts w:ascii="Arial" w:cs="Arial" w:eastAsia="Arial" w:hAnsi="Arial"/>
          <w:b/>
          <w:bCs/>
          <w:sz w:val="24"/>
          <w:szCs w:val="24"/>
        </w:rPr>
        <w:t xml:space="preserve">Document designation: </w:t>
      </w:r>
      <w:r>
        <w:rPr>
          <w:rFonts w:ascii="Arial" w:cs="Arial" w:eastAsia="Arial" w:hAnsi="Arial"/>
          <w:sz w:val="24"/>
          <w:szCs w:val="24"/>
        </w:rPr>
        <w:t xml:space="preserve">Doc_02</w:t>
      </w:r>
    </w:p>
    <w:p>
      <w:pPr>
        <w:spacing w:after="160"/>
      </w:pPr>
      <w:r>
        <w:rPr>
          <w:rFonts w:ascii="Arial" w:cs="Arial" w:eastAsia="Arial" w:hAnsi="Arial"/>
          <w:b/>
          <w:bCs/>
          <w:sz w:val="24"/>
          <w:szCs w:val="24"/>
        </w:rPr>
        <w:t xml:space="preserve">File naming convention: </w:t>
      </w:r>
      <w:r>
        <w:rPr>
          <w:rFonts w:ascii="Arial" w:cs="Arial" w:eastAsia="Arial" w:hAnsi="Arial"/>
          <w:sz w:val="24"/>
          <w:szCs w:val="24"/>
        </w:rPr>
        <w:t xml:space="preserve">alex_Source_Ecology_Evidence_Assessment.md</w:t>
      </w:r>
    </w:p>
    <w:p>
      <w:pPr>
        <w:spacing w:after="16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6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60"/>
      </w:pPr>
      <w:r>
        <w:rPr>
          <w:rFonts w:ascii="Arial" w:cs="Arial" w:eastAsia="Arial" w:hAnsi="Arial"/>
          <w:b/>
          <w:bCs/>
          <w:sz w:val="24"/>
          <w:szCs w:val="24"/>
        </w:rPr>
        <w:t xml:space="preserve">Produced at: </w:t>
      </w:r>
      <w:r>
        <w:rPr>
          <w:rFonts w:ascii="Arial" w:cs="Arial" w:eastAsia="Arial" w:hAnsi="Arial"/>
          <w:sz w:val="24"/>
          <w:szCs w:val="24"/>
        </w:rPr>
        <w:t xml:space="preserve">Construction Step 2</w:t>
      </w:r>
    </w:p>
    <w:p>
      <w:pPr>
        <w:spacing w:after="160"/>
      </w:pPr>
      <w:r>
        <w:rPr>
          <w:rFonts w:ascii="Arial" w:cs="Arial" w:eastAsia="Arial" w:hAnsi="Arial"/>
          <w:b/>
          <w:bCs/>
          <w:sz w:val="24"/>
          <w:szCs w:val="24"/>
        </w:rPr>
        <w:t xml:space="preserve">Required before: </w:t>
      </w:r>
      <w:r>
        <w:rPr>
          <w:rFonts w:ascii="Arial" w:cs="Arial" w:eastAsia="Arial" w:hAnsi="Arial"/>
          <w:sz w:val="24"/>
          <w:szCs w:val="24"/>
        </w:rPr>
        <w:t xml:space="preserve">Doc_03 (Lexicon Candidate List) and Doc_04 (Gravity Discovery)</w:t>
      </w:r>
    </w:p>
    <w:p>
      <w:pPr>
        <w:spacing w:after="16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 II, Forces Framework v1, Constitution Articles 16, 20, 26, 28</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60"/>
      </w:pPr>
      <w:r>
        <w:rPr>
          <w:rFonts w:ascii="Arial" w:cs="Arial" w:eastAsia="Arial" w:hAnsi="Arial"/>
          <w:i/>
          <w:iCs/>
          <w:sz w:val="24"/>
          <w:szCs w:val="24"/>
        </w:rPr>
        <w:t xml:space="preserve">v0.1 — initial working draft; world identification and source ecology combined.</w:t>
      </w:r>
    </w:p>
    <w:p>
      <w:pPr>
        <w:spacing w:after="160"/>
      </w:pPr>
      <w:r>
        <w:rPr>
          <w:rFonts w:ascii="Arial" w:cs="Arial" w:eastAsia="Arial" w:hAnsi="Arial"/>
          <w:i/>
          <w:iCs/>
          <w:sz w:val="24"/>
          <w:szCs w:val="24"/>
        </w:rPr>
        <w:t xml:space="preserve">v0.2 — revised combined document; source ecology developed to twelve evidence streams with confidence calibrations; source asymmetry and author gravity assessment added.</w:t>
      </w:r>
    </w:p>
    <w:p>
      <w:pPr>
        <w:spacing w:after="160"/>
      </w:pPr>
      <w:r>
        <w:rPr>
          <w:rFonts w:ascii="Arial" w:cs="Arial" w:eastAsia="Arial" w:hAnsi="Arial"/>
          <w:i/>
          <w:iCs/>
          <w:sz w:val="24"/>
          <w:szCs w:val="24"/>
        </w:rPr>
        <w:t xml:space="preserve">v0.3 — split into two separate documents. This document (Document 2) covers Source Ecology &amp; Evidence Assessment only. Changes from v0.2: (1) Author Gravity Assessment substantially expanded for Clement, Origen, and Athanasius to include all four Construction Framework dimensions; systemic Author Gravity risk for Origen named explicitly; (2) Didymus the Blind added as a fourth Author Gravity entry; (3) Philo of Alexandria added as a pre-Christian formative influence entry; (4) temporal caution note added to Athanasius entry; (5) Coptic-language evidence sub-section added to Source Asymmetry Assessment; (6) Missing Voices Assessment formalized as a named section; (7) Preliminary Terminology Observations section added for Lexicon Development (Phase 4.1); (8) Stream 9 (Monastic Emergence) provisional determination added. No evidence stream content removed from v0.2.</w:t>
      </w:r>
    </w:p>
    <w:p>
      <w:pPr>
        <w:spacing w:after="160"/>
      </w:pPr>
      <w:r>
        <w:rPr>
          <w:rFonts w:ascii="Arial" w:cs="Arial" w:eastAsia="Arial" w:hAnsi="Arial"/>
          <w:i/>
          <w:iCs/>
          <w:sz w:val="24"/>
          <w:szCs w:val="24"/>
        </w:rPr>
        <w:t xml:space="preserve">v0.4 — brings this document into agreement with Construction Framework v1.6 and Blueprint v1.5's expanded source identification requirements, following direct review identifying that source depth had been underspecified in ways affecting Document 03's gravity discovery quality. Six additions: (1) Secondary Scholarship Assessment naming the major modern scholarship through which this world's primary sources are read; (2) Formation Narrative Sources evaluating six major sources with tier pre-classification; (3) Material Culture &amp; Daily Life Sources; (4) Supplementary Author Gravity Entries for Dionysius of Alexandria, Gregory Thaumaturgus, Eusebius of Caesarea, and Palladius; (5) Transmission History Note on Origen's Latin corpus; (6) Story and Narrative Sources applying the four-tier classification framework. No existing content removed.</w:t>
      </w:r>
    </w:p>
    <w:p>
      <w:pPr>
        <w:spacing w:after="160"/>
      </w:pPr>
      <w:r>
        <w:rPr>
          <w:rFonts w:ascii="Arial" w:cs="Arial" w:eastAsia="Arial" w:hAnsi="Arial"/>
          <w:i/>
          <w:iCs/>
          <w:sz w:val="24"/>
          <w:szCs w:val="24"/>
        </w:rPr>
        <w:t xml:space="preserve">V7 alignment — five additions: (1) V7 document header, naming convention, and dependency notation. (2) Confidence vocabulary converted throughout from three-level to five-level constitutional vocabulary (Documented, Widely Accepted, Dominant Modern Reconstruction, Contested, Inferential/Thin), with genuine calibration rather than mechanical substitution — each stream reassessed against the actual scholarly situation described in its remaining questions and evidence sources. (3) Forces-Lens Reading section added after the Author Gravity Assessment, orienting each evidence stream to the preliminary forces identification established in Doc_01, with specific source-level naming of which streams speak to which forces dimensions and which are silent. (4) Desert Christianity provisional notation added to Formation Narrative Sources and Story and Narrative Sources sections where Apophthegmata, Pachomian material, and Evagrius appear as evidence of the desert formation tradition itself. (5) Temporal location note added to Origen entry in Author Gravity Assessment. Article references updated to v7.4.1 numbering. All existing evidence stream content, author gravity assessments, secondary scholarship assessment, formation narrative sources, material culture assessment, and missing voices assessment retained verbatim except confidence vocabulary updates.</w:t>
      </w:r>
    </w:p>
    <w:p>
      <w:pPr>
        <w:spacing w:after="160"/>
      </w:pPr>
      <w:r>
        <w:rPr>
          <w:rFonts w:ascii="Arial" w:cs="Arial" w:eastAsia="Arial" w:hAnsi="Arial"/>
          <w:i/>
          <w:iCs/>
          <w:sz w:val="24"/>
          <w:szCs w:val="24"/>
        </w:rPr>
        <w:t xml:space="preserve">Doc_02 revision pass — Opus critic findings addressed. Five targeted corrections: (1) Stream 9 confidence split to Widely Accepted for emergence-of-practice (c. 270–400 CE) / Contested for world-attribution question, using the split-level method applied to Streams 6 and 12; intensification determination reframed from adopted substantive position to procedural working assumption with explicit no-prejudgment statement — both readings remain live pending Phase 3 gravity discovery. (2) Stream 4 scope qualification added: Widely Accepted applies to the literate school-and-monastic tradition; ordinary-believer reconstruction constraint cross-referenced. (3) Forces-Lens section rewording: every forces-claim confidence statement converted to source-capacity form per the section’s own framing rule; “doctrinal-boundary and Nicene controversy forces dominate the late horizon” revised to “the sources attesting doctrinal-boundary and Nicene controversy dimensions are concentrated in the late horizon, with Athanasius’s output as the primary locus.” (4) Pachomian and Evagrius cross-build provisional notations added in Stream 9 source list and Source Asymmetry Coptic-Language Evidence section. (5) Life of Antony notation tightened in both Formation Narrative Sources and Story and Narrative Sources: constraint explicitly extended to desert-formation substance used to argue continuity or intensification, regardless of framing; distinction named as Athanasius’s theological-literary project versus desert-formation substance. No other content changed.</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60"/>
      </w:pPr>
      <w:r>
        <w:rPr>
          <w:rFonts w:ascii="Arial" w:cs="Arial" w:eastAsia="Arial" w:hAnsi="Arial"/>
          <w:sz w:val="24"/>
          <w:szCs w:val="24"/>
        </w:rPr>
        <w:t xml:space="preserve">Working Draft. Phase 2 substantially complete. No gravity conclusions have been finalized. This document establishes the evidential foundation for Phase 3 (Gravity Discovery) only.</w:t>
      </w:r>
    </w:p>
    <w:p>
      <w:pPr>
        <w:spacing w:after="80"/>
      </w:pPr>
      <w:r>
        <w:t xml:space="preserve"/>
      </w:r>
    </w:p>
    <w:p>
      <w:pPr>
        <w:pStyle w:val="Heading2"/>
        <w:spacing w:after="120" w:before="240"/>
      </w:pPr>
      <w:r>
        <w:rPr>
          <w:rFonts w:ascii="Arial" w:cs="Arial" w:eastAsia="Arial" w:hAnsi="Arial"/>
          <w:b/>
          <w:bCs/>
          <w:sz w:val="28"/>
          <w:szCs w:val="28"/>
        </w:rPr>
        <w:t xml:space="preserve">Purpose of This Document</w:t>
      </w:r>
    </w:p>
    <w:p>
      <w:pPr>
        <w:spacing w:after="160"/>
      </w:pPr>
      <w:r>
        <w:rPr>
          <w:rFonts w:ascii="Arial" w:cs="Arial" w:eastAsia="Arial" w:hAnsi="Arial"/>
          <w:sz w:val="24"/>
          <w:szCs w:val="24"/>
        </w:rPr>
        <w:t xml:space="preserve">This document maps the surviving evidence through which Alexandrian Christianity becomes visible. Evidence streams identify what we have to work with. They reveal the world's contours without yet explaining them.</w:t>
      </w:r>
    </w:p>
    <w:p>
      <w:pPr>
        <w:spacing w:after="160"/>
      </w:pPr>
      <w:r>
        <w:rPr>
          <w:rFonts w:ascii="Arial" w:cs="Arial" w:eastAsia="Arial" w:hAnsi="Arial"/>
          <w:sz w:val="24"/>
          <w:szCs w:val="24"/>
        </w:rPr>
        <w:t xml:space="preserve">Evidence streams reveal the world. They do not yet explain the world. No gravity conclusions should be drawn from this document.</w:t>
      </w:r>
    </w:p>
    <w:p>
      <w:pPr>
        <w:spacing w:after="80"/>
      </w:pPr>
      <w:r>
        <w:t xml:space="preserve"/>
      </w:r>
    </w:p>
    <w:p>
      <w:pPr>
        <w:pStyle w:val="Heading1"/>
        <w:spacing w:after="160" w:before="320"/>
      </w:pPr>
      <w:r>
        <w:rPr>
          <w:rFonts w:ascii="Arial" w:cs="Arial" w:eastAsia="Arial" w:hAnsi="Arial"/>
          <w:b/>
          <w:bCs/>
          <w:sz w:val="32"/>
          <w:szCs w:val="32"/>
        </w:rPr>
        <w:t xml:space="preserve">Source Ecology Map</w:t>
      </w:r>
    </w:p>
    <w:p>
      <w:pPr>
        <w:pStyle w:val="Heading2"/>
        <w:spacing w:after="120" w:before="240"/>
      </w:pPr>
      <w:r>
        <w:rPr>
          <w:rFonts w:ascii="Arial" w:cs="Arial" w:eastAsia="Arial" w:hAnsi="Arial"/>
          <w:b/>
          <w:bCs/>
          <w:sz w:val="28"/>
          <w:szCs w:val="28"/>
        </w:rPr>
        <w:t xml:space="preserve">Evidence Stream 1: Scriptural Interpretation</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Very 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Clement of Alexandria — Stromata, Paedagogus, Protreptikos</w:t>
      </w:r>
    </w:p>
    <w:p>
      <w:pPr>
        <w:pStyle w:val="ListParagraph"/>
        <w:numPr>
          <w:ilvl w:val="0"/>
          <w:numId w:val="2"/>
        </w:numPr>
        <w:spacing w:after="80"/>
      </w:pPr>
      <w:r>
        <w:rPr>
          <w:rFonts w:ascii="Arial" w:cs="Arial" w:eastAsia="Arial" w:hAnsi="Arial"/>
          <w:sz w:val="24"/>
          <w:szCs w:val="24"/>
        </w:rPr>
        <w:t xml:space="preserve">Origen — biblical commentaries (On John, On Matthew, On Romans), Peri Archon, Philocalia</w:t>
      </w:r>
    </w:p>
    <w:p>
      <w:pPr>
        <w:pStyle w:val="ListParagraph"/>
        <w:numPr>
          <w:ilvl w:val="0"/>
          <w:numId w:val="2"/>
        </w:numPr>
        <w:spacing w:after="80"/>
      </w:pPr>
      <w:r>
        <w:rPr>
          <w:rFonts w:ascii="Arial" w:cs="Arial" w:eastAsia="Arial" w:hAnsi="Arial"/>
          <w:sz w:val="24"/>
          <w:szCs w:val="24"/>
        </w:rPr>
        <w:t xml:space="preserve">Didymus the Blind — commentaries on Psalms, Job, Zechariah</w:t>
      </w:r>
    </w:p>
    <w:p>
      <w:pPr>
        <w:pStyle w:val="ListParagraph"/>
        <w:numPr>
          <w:ilvl w:val="0"/>
          <w:numId w:val="2"/>
        </w:numPr>
        <w:spacing w:after="80"/>
      </w:pPr>
      <w:r>
        <w:rPr>
          <w:rFonts w:ascii="Arial" w:cs="Arial" w:eastAsia="Arial" w:hAnsi="Arial"/>
          <w:sz w:val="24"/>
          <w:szCs w:val="24"/>
        </w:rPr>
        <w:t xml:space="preserve">Athanasius — Letter to Marcellinus, Festal Letters, Against the Arians</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Surviving evidence consistently associates scriptural interpretation with Christian formation and spiritual development</w:t>
      </w:r>
    </w:p>
    <w:p>
      <w:pPr>
        <w:pStyle w:val="ListParagraph"/>
        <w:numPr>
          <w:ilvl w:val="0"/>
          <w:numId w:val="2"/>
        </w:numPr>
        <w:spacing w:after="80"/>
      </w:pPr>
      <w:r>
        <w:rPr>
          <w:rFonts w:ascii="Arial" w:cs="Arial" w:eastAsia="Arial" w:hAnsi="Arial"/>
          <w:sz w:val="24"/>
          <w:szCs w:val="24"/>
        </w:rPr>
        <w:t xml:space="preserve">Multiple levels of meaning are frequently explored — literal, moral, and spiritual/allegorical</w:t>
      </w:r>
    </w:p>
    <w:p>
      <w:pPr>
        <w:pStyle w:val="ListParagraph"/>
        <w:numPr>
          <w:ilvl w:val="0"/>
          <w:numId w:val="2"/>
        </w:numPr>
        <w:spacing w:after="80"/>
      </w:pPr>
      <w:r>
        <w:rPr>
          <w:rFonts w:ascii="Arial" w:cs="Arial" w:eastAsia="Arial" w:hAnsi="Arial"/>
          <w:sz w:val="24"/>
          <w:szCs w:val="24"/>
        </w:rPr>
        <w:t xml:space="preserve">Symbolic and typological interpretation appear repeatedly across all major sources</w:t>
      </w:r>
    </w:p>
    <w:p>
      <w:pPr>
        <w:pStyle w:val="ListParagraph"/>
        <w:numPr>
          <w:ilvl w:val="0"/>
          <w:numId w:val="2"/>
        </w:numPr>
        <w:spacing w:after="80"/>
      </w:pPr>
      <w:r>
        <w:rPr>
          <w:rFonts w:ascii="Arial" w:cs="Arial" w:eastAsia="Arial" w:hAnsi="Arial"/>
          <w:sz w:val="24"/>
          <w:szCs w:val="24"/>
        </w:rPr>
        <w:t xml:space="preserve">Scripture appears in virtually every context of Alexandrian discourse: homilies, theological treatises, catechetical instruction, personal letters, polemical argument</w:t>
      </w:r>
    </w:p>
    <w:p>
      <w:pPr>
        <w:pStyle w:val="ListParagraph"/>
        <w:numPr>
          <w:ilvl w:val="0"/>
          <w:numId w:val="2"/>
        </w:numPr>
        <w:spacing w:after="80"/>
      </w:pPr>
      <w:r>
        <w:rPr>
          <w:rFonts w:ascii="Arial" w:cs="Arial" w:eastAsia="Arial" w:hAnsi="Arial"/>
          <w:sz w:val="24"/>
          <w:szCs w:val="24"/>
        </w:rPr>
        <w:t xml:space="preserve">Difficulty in the text is characteristically treated as invitation rather than problem</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widespread were these interpretive practices beyond educated circles?</w:t>
      </w:r>
    </w:p>
    <w:p>
      <w:pPr>
        <w:pStyle w:val="ListParagraph"/>
        <w:numPr>
          <w:ilvl w:val="0"/>
          <w:numId w:val="2"/>
        </w:numPr>
        <w:spacing w:after="80"/>
      </w:pPr>
      <w:r>
        <w:rPr>
          <w:rFonts w:ascii="Arial" w:cs="Arial" w:eastAsia="Arial" w:hAnsi="Arial"/>
          <w:sz w:val="24"/>
          <w:szCs w:val="24"/>
        </w:rPr>
        <w:t xml:space="preserve">What variation in interpretive method existed across communities and social groups?</w:t>
      </w:r>
    </w:p>
    <w:p>
      <w:pPr>
        <w:pStyle w:val="ListParagraph"/>
        <w:numPr>
          <w:ilvl w:val="0"/>
          <w:numId w:val="2"/>
        </w:numPr>
        <w:spacing w:after="80"/>
      </w:pPr>
      <w:r>
        <w:rPr>
          <w:rFonts w:ascii="Arial" w:cs="Arial" w:eastAsia="Arial" w:hAnsi="Arial"/>
          <w:sz w:val="24"/>
          <w:szCs w:val="24"/>
        </w:rPr>
        <w:t xml:space="preserve">How did non-elite believers encounter and receive Scripture?</w:t>
      </w:r>
    </w:p>
    <w:p>
      <w:pPr>
        <w:pStyle w:val="ListParagraph"/>
        <w:numPr>
          <w:ilvl w:val="0"/>
          <w:numId w:val="2"/>
        </w:numPr>
        <w:spacing w:after="80"/>
      </w:pPr>
      <w:r>
        <w:rPr>
          <w:rFonts w:ascii="Arial" w:cs="Arial" w:eastAsia="Arial" w:hAnsi="Arial"/>
          <w:sz w:val="24"/>
          <w:szCs w:val="24"/>
        </w:rPr>
        <w:t xml:space="preserve">How did interpretive practice change across the 150–400 CE horizon?</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The multilevel allegorical approach to scripture is attested across Clement (c. 150–215 CE), Origen (c. 185–254 CE), Didymus (c. 313–398 CE), and Athanasius (c. 296–373 CE) — four independent witnesses spanning the full horizon. At the level of the educated school tradition, the evidence for allegorical/multilevel interpretation is strong and genuinely recurrent. However, the remaining questions — how widespread these practices were beyond educated circles, what variation existed across social groups, how non-literate believers encountered scripture — are live and unresolved. Origen dominates the evidential base for the allegorical approach specifically. That this was the dominant mode of Alexandrian engagement with scripture in the school tradition is Widely Accepted; that it characterized the ecology broadly across all social groups and the full horizon is a leading reconstruction resting on heavily school-tradition-concentrated evidence. Dominant Modern Reconstruction captures the actual scholarly situation: the picture is dominant and well-supported for the educated stratum, provisional for the broader ecology.</w:t>
      </w:r>
    </w:p>
    <w:p>
      <w:pPr>
        <w:spacing w:after="120"/>
        <w:ind w:left="360"/>
      </w:pPr>
      <w:r>
        <w:rPr>
          <w:rFonts w:ascii="Arial" w:cs="Arial" w:eastAsia="Arial" w:hAnsi="Arial"/>
          <w:b/>
          <w:bCs/>
          <w:sz w:val="22"/>
          <w:szCs w:val="22"/>
        </w:rPr>
        <w:t xml:space="preserve">Origen dominance note: </w:t>
      </w:r>
      <w:r>
        <w:rPr>
          <w:rFonts w:ascii="Arial" w:cs="Arial" w:eastAsia="Arial" w:hAnsi="Arial"/>
          <w:sz w:val="22"/>
          <w:szCs w:val="22"/>
        </w:rPr>
        <w:t xml:space="preserve">Origen's commentaries constitute the largest single body of surviving evidence for Alexandrian scriptural interpretation. The strength of attestation for allegorical method within this stream should not be read as straightforward evidence that it was universal in the ecology — the Author Gravity risk named in the Author Gravity Assessment applies here directly.</w:t>
      </w:r>
    </w:p>
    <w:p>
      <w:pPr>
        <w:spacing w:after="80"/>
      </w:pPr>
      <w:r>
        <w:t xml:space="preserve"/>
      </w:r>
    </w:p>
    <w:p>
      <w:pPr>
        <w:pStyle w:val="Heading2"/>
        <w:spacing w:after="120" w:before="240"/>
      </w:pPr>
      <w:r>
        <w:rPr>
          <w:rFonts w:ascii="Arial" w:cs="Arial" w:eastAsia="Arial" w:hAnsi="Arial"/>
          <w:b/>
          <w:bCs/>
          <w:sz w:val="28"/>
          <w:szCs w:val="28"/>
        </w:rPr>
        <w:t xml:space="preserve">Evidence Stream 2: Catechetical Formation</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Clement of Alexandria — Paedagogus (explicit catechetical purpose)</w:t>
      </w:r>
    </w:p>
    <w:p>
      <w:pPr>
        <w:pStyle w:val="ListParagraph"/>
        <w:numPr>
          <w:ilvl w:val="0"/>
          <w:numId w:val="2"/>
        </w:numPr>
        <w:spacing w:after="80"/>
      </w:pPr>
      <w:r>
        <w:rPr>
          <w:rFonts w:ascii="Arial" w:cs="Arial" w:eastAsia="Arial" w:hAnsi="Arial"/>
          <w:sz w:val="24"/>
          <w:szCs w:val="24"/>
        </w:rPr>
        <w:t xml:space="preserve">Origen — homilies as catechetical documents; Against Celsus</w:t>
      </w:r>
    </w:p>
    <w:p>
      <w:pPr>
        <w:pStyle w:val="ListParagraph"/>
        <w:numPr>
          <w:ilvl w:val="0"/>
          <w:numId w:val="2"/>
        </w:numPr>
        <w:spacing w:after="80"/>
      </w:pPr>
      <w:r>
        <w:rPr>
          <w:rFonts w:ascii="Arial" w:cs="Arial" w:eastAsia="Arial" w:hAnsi="Arial"/>
          <w:sz w:val="24"/>
          <w:szCs w:val="24"/>
        </w:rPr>
        <w:t xml:space="preserve">Catechetical traditions embedded in multiple sources</w:t>
      </w:r>
    </w:p>
    <w:p>
      <w:pPr>
        <w:pStyle w:val="ListParagraph"/>
        <w:numPr>
          <w:ilvl w:val="0"/>
          <w:numId w:val="2"/>
        </w:numPr>
        <w:spacing w:after="80"/>
      </w:pPr>
      <w:r>
        <w:rPr>
          <w:rFonts w:ascii="Arial" w:cs="Arial" w:eastAsia="Arial" w:hAnsi="Arial"/>
          <w:sz w:val="24"/>
          <w:szCs w:val="24"/>
        </w:rPr>
        <w:t xml:space="preserve">Athanasius — Festal Letters as annual formation documents for the whole Egyptian church</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Formation was understood as developmental rather than informational</w:t>
      </w:r>
    </w:p>
    <w:p>
      <w:pPr>
        <w:pStyle w:val="ListParagraph"/>
        <w:numPr>
          <w:ilvl w:val="0"/>
          <w:numId w:val="2"/>
        </w:numPr>
        <w:spacing w:after="80"/>
      </w:pPr>
      <w:r>
        <w:rPr>
          <w:rFonts w:ascii="Arial" w:cs="Arial" w:eastAsia="Arial" w:hAnsi="Arial"/>
          <w:sz w:val="24"/>
          <w:szCs w:val="24"/>
        </w:rPr>
        <w:t xml:space="preserve">Instruction appears linked to spiritual maturation rather than doctrinal transmission alone</w:t>
      </w:r>
    </w:p>
    <w:p>
      <w:pPr>
        <w:pStyle w:val="ListParagraph"/>
        <w:numPr>
          <w:ilvl w:val="0"/>
          <w:numId w:val="2"/>
        </w:numPr>
        <w:spacing w:after="80"/>
      </w:pPr>
      <w:r>
        <w:rPr>
          <w:rFonts w:ascii="Arial" w:cs="Arial" w:eastAsia="Arial" w:hAnsi="Arial"/>
          <w:sz w:val="24"/>
          <w:szCs w:val="24"/>
        </w:rPr>
        <w:t xml:space="preserve">Learning and formation are closely integrated — becoming a Christian is becoming a certain kind of person</w:t>
      </w:r>
    </w:p>
    <w:p>
      <w:pPr>
        <w:pStyle w:val="ListParagraph"/>
        <w:numPr>
          <w:ilvl w:val="0"/>
          <w:numId w:val="2"/>
        </w:numPr>
        <w:spacing w:after="80"/>
      </w:pPr>
      <w:r>
        <w:rPr>
          <w:rFonts w:ascii="Arial" w:cs="Arial" w:eastAsia="Arial" w:hAnsi="Arial"/>
          <w:sz w:val="24"/>
          <w:szCs w:val="24"/>
        </w:rPr>
        <w:t xml:space="preserve">The catechumenate appears as a structured process of graduated entry into the community</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formalized were catechetical structures at different points in the horizon?</w:t>
      </w:r>
    </w:p>
    <w:p>
      <w:pPr>
        <w:pStyle w:val="ListParagraph"/>
        <w:numPr>
          <w:ilvl w:val="0"/>
          <w:numId w:val="2"/>
        </w:numPr>
        <w:spacing w:after="80"/>
      </w:pPr>
      <w:r>
        <w:rPr>
          <w:rFonts w:ascii="Arial" w:cs="Arial" w:eastAsia="Arial" w:hAnsi="Arial"/>
          <w:sz w:val="24"/>
          <w:szCs w:val="24"/>
        </w:rPr>
        <w:t xml:space="preserve">How much variation existed between communities and social groups?</w:t>
      </w:r>
    </w:p>
    <w:p>
      <w:pPr>
        <w:pStyle w:val="ListParagraph"/>
        <w:numPr>
          <w:ilvl w:val="0"/>
          <w:numId w:val="2"/>
        </w:numPr>
        <w:spacing w:after="80"/>
      </w:pPr>
      <w:r>
        <w:rPr>
          <w:rFonts w:ascii="Arial" w:cs="Arial" w:eastAsia="Arial" w:hAnsi="Arial"/>
          <w:sz w:val="24"/>
          <w:szCs w:val="24"/>
        </w:rPr>
        <w:t xml:space="preserve">How did catechesis differ for educated versus non-literate participants?</w:t>
      </w:r>
    </w:p>
    <w:p>
      <w:pPr>
        <w:pStyle w:val="ListParagraph"/>
        <w:numPr>
          <w:ilvl w:val="0"/>
          <w:numId w:val="2"/>
        </w:numPr>
        <w:spacing w:after="80"/>
      </w:pPr>
      <w:r>
        <w:rPr>
          <w:rFonts w:ascii="Arial" w:cs="Arial" w:eastAsia="Arial" w:hAnsi="Arial"/>
          <w:sz w:val="24"/>
          <w:szCs w:val="24"/>
        </w:rPr>
        <w:t xml:space="preserve">What was the relationship between catechesis and baptismal preparation?</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The pattern of developmental, integrative formation is visible across Clement's Paedagogus (early horizon), Origen's homilies (mid-horizon), and Athanasius's Festal Letters (late horizon). The picture of formation-as-becoming-a-different-kind-of-person is genuinely recurrent. However, the remaining questions are substantial and unresolved: how formalized catechetical structures actually were at different points in the horizon, how much variation existed between communities and social groups, and how catechesis worked for non-literate participants are all live scholarly questions. The sources that speak most directly to catechesis are produced by the educated tradition for the educated audience. Dominant Modern Reconstruction names the actual situation: a leading picture with substantial support, resting on evidence that may not speak for the full ecology.</w:t>
      </w:r>
    </w:p>
    <w:p>
      <w:pPr>
        <w:spacing w:after="80"/>
      </w:pPr>
      <w:r>
        <w:t xml:space="preserve"/>
      </w:r>
    </w:p>
    <w:p>
      <w:pPr>
        <w:pStyle w:val="Heading2"/>
        <w:spacing w:after="120" w:before="240"/>
      </w:pPr>
      <w:r>
        <w:rPr>
          <w:rFonts w:ascii="Arial" w:cs="Arial" w:eastAsia="Arial" w:hAnsi="Arial"/>
          <w:b/>
          <w:bCs/>
          <w:sz w:val="28"/>
          <w:szCs w:val="28"/>
        </w:rPr>
        <w:t xml:space="preserve">Evidence Stream 3: Worship &amp; Prayer</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 to 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Origen — On Prayer (explicit theology of prayer)</w:t>
      </w:r>
    </w:p>
    <w:p>
      <w:pPr>
        <w:pStyle w:val="ListParagraph"/>
        <w:numPr>
          <w:ilvl w:val="0"/>
          <w:numId w:val="2"/>
        </w:numPr>
        <w:spacing w:after="80"/>
      </w:pPr>
      <w:r>
        <w:rPr>
          <w:rFonts w:ascii="Arial" w:cs="Arial" w:eastAsia="Arial" w:hAnsi="Arial"/>
          <w:sz w:val="24"/>
          <w:szCs w:val="24"/>
        </w:rPr>
        <w:t xml:space="preserve">Athanasius — Festal Letters (annual liturgical calendar and paschal practice)</w:t>
      </w:r>
    </w:p>
    <w:p>
      <w:pPr>
        <w:pStyle w:val="ListParagraph"/>
        <w:numPr>
          <w:ilvl w:val="0"/>
          <w:numId w:val="2"/>
        </w:numPr>
        <w:spacing w:after="80"/>
      </w:pPr>
      <w:r>
        <w:rPr>
          <w:rFonts w:ascii="Arial" w:cs="Arial" w:eastAsia="Arial" w:hAnsi="Arial"/>
          <w:sz w:val="24"/>
          <w:szCs w:val="24"/>
        </w:rPr>
        <w:t xml:space="preserve">Eucharistic and baptismal references across multiple sources</w:t>
      </w:r>
    </w:p>
    <w:p>
      <w:pPr>
        <w:pStyle w:val="ListParagraph"/>
        <w:numPr>
          <w:ilvl w:val="0"/>
          <w:numId w:val="2"/>
        </w:numPr>
        <w:spacing w:after="80"/>
      </w:pPr>
      <w:r>
        <w:rPr>
          <w:rFonts w:ascii="Arial" w:cs="Arial" w:eastAsia="Arial" w:hAnsi="Arial"/>
          <w:sz w:val="24"/>
          <w:szCs w:val="24"/>
        </w:rPr>
        <w:t xml:space="preserve">Homiletical evidence (Origen's homilies as public liturgical acts)</w:t>
      </w:r>
    </w:p>
    <w:p>
      <w:pPr>
        <w:pStyle w:val="ListParagraph"/>
        <w:numPr>
          <w:ilvl w:val="0"/>
          <w:numId w:val="2"/>
        </w:numPr>
        <w:spacing w:after="80"/>
      </w:pPr>
      <w:r>
        <w:rPr>
          <w:rFonts w:ascii="Arial" w:cs="Arial" w:eastAsia="Arial" w:hAnsi="Arial"/>
          <w:sz w:val="24"/>
          <w:szCs w:val="24"/>
        </w:rPr>
        <w:t xml:space="preserve">Catechumen preparation materials</w:t>
      </w:r>
    </w:p>
    <w:p>
      <w:pPr>
        <w:pStyle w:val="ListParagraph"/>
        <w:numPr>
          <w:ilvl w:val="0"/>
          <w:numId w:val="2"/>
        </w:numPr>
        <w:spacing w:after="80"/>
      </w:pPr>
      <w:r>
        <w:rPr>
          <w:rFonts w:ascii="Arial" w:cs="Arial" w:eastAsia="Arial" w:hAnsi="Arial"/>
          <w:sz w:val="24"/>
          <w:szCs w:val="24"/>
        </w:rPr>
        <w:t xml:space="preserve">References to fasting, vigils, and penitential practice</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Worship appears throughout surviving evidence as a significant context for participation, formation, and communal identity</w:t>
      </w:r>
    </w:p>
    <w:p>
      <w:pPr>
        <w:pStyle w:val="ListParagraph"/>
        <w:numPr>
          <w:ilvl w:val="0"/>
          <w:numId w:val="2"/>
        </w:numPr>
        <w:spacing w:after="80"/>
      </w:pPr>
      <w:r>
        <w:rPr>
          <w:rFonts w:ascii="Arial" w:cs="Arial" w:eastAsia="Arial" w:hAnsi="Arial"/>
          <w:sz w:val="24"/>
          <w:szCs w:val="24"/>
        </w:rPr>
        <w:t xml:space="preserve">Prayer, scripture, sacramental participation, and communal gathering frequently appear interconnected rather than as separate activities</w:t>
      </w:r>
    </w:p>
    <w:p>
      <w:pPr>
        <w:pStyle w:val="ListParagraph"/>
        <w:numPr>
          <w:ilvl w:val="0"/>
          <w:numId w:val="2"/>
        </w:numPr>
        <w:spacing w:after="80"/>
      </w:pPr>
      <w:r>
        <w:rPr>
          <w:rFonts w:ascii="Arial" w:cs="Arial" w:eastAsia="Arial" w:hAnsi="Arial"/>
          <w:sz w:val="24"/>
          <w:szCs w:val="24"/>
        </w:rPr>
        <w:t xml:space="preserve">Baptism appears as illumination (photismos) — a transformative threshold rather than merely an initiation rite</w:t>
      </w:r>
    </w:p>
    <w:p>
      <w:pPr>
        <w:pStyle w:val="ListParagraph"/>
        <w:numPr>
          <w:ilvl w:val="0"/>
          <w:numId w:val="2"/>
        </w:numPr>
        <w:spacing w:after="80"/>
      </w:pPr>
      <w:r>
        <w:rPr>
          <w:rFonts w:ascii="Arial" w:cs="Arial" w:eastAsia="Arial" w:hAnsi="Arial"/>
          <w:sz w:val="24"/>
          <w:szCs w:val="24"/>
        </w:rPr>
        <w:t xml:space="preserve">The liturgical year (especially the Paschal cycle) appears as a formation structure shaping the whole community's perception of time</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consistent were worship practices across regions and social groups?</w:t>
      </w:r>
    </w:p>
    <w:p>
      <w:pPr>
        <w:pStyle w:val="ListParagraph"/>
        <w:numPr>
          <w:ilvl w:val="0"/>
          <w:numId w:val="2"/>
        </w:numPr>
        <w:spacing w:after="80"/>
      </w:pPr>
      <w:r>
        <w:rPr>
          <w:rFonts w:ascii="Arial" w:cs="Arial" w:eastAsia="Arial" w:hAnsi="Arial"/>
          <w:sz w:val="24"/>
          <w:szCs w:val="24"/>
        </w:rPr>
        <w:t xml:space="preserve">How did ordinary believers experience worship compared to what theological sources describe?</w:t>
      </w:r>
    </w:p>
    <w:p>
      <w:pPr>
        <w:pStyle w:val="ListParagraph"/>
        <w:numPr>
          <w:ilvl w:val="0"/>
          <w:numId w:val="2"/>
        </w:numPr>
        <w:spacing w:after="80"/>
      </w:pPr>
      <w:r>
        <w:rPr>
          <w:rFonts w:ascii="Arial" w:cs="Arial" w:eastAsia="Arial" w:hAnsi="Arial"/>
          <w:sz w:val="24"/>
          <w:szCs w:val="24"/>
        </w:rPr>
        <w:t xml:space="preserve">What was the relationship between worship and educational formation in the community's life?</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Worship and prayer are attested across multiple sources and periods, and the interconnection of prayer, scripture, and sacramental life is a genuinely recurrent observation. The core calibration challenge is structural: worship was primarily a practiced rather than written reality, so the literary evidence is thinner than worship's actual centrality in the ecology would predict. For the theology of worship and prayer (Origen's On Prayer; Athanasius's paschal letters), the evidence is Widely Accepted. For the actual lived experience of worship across the broader community — the questions about consistency across regions, how ordinary believers experienced it, how it related to educational formation — the evidence thins substantially. Dominant Modern Reconstruction applies to the stream as a whole: the centrality of worship and prayer is the dominant scholarly picture, and the specific sub-claims about how it functioned across the whole ecology carry significant qualification.</w:t>
      </w:r>
    </w:p>
    <w:p>
      <w:pPr>
        <w:spacing w:after="160"/>
      </w:pPr>
      <w:r>
        <w:rPr>
          <w:rFonts w:ascii="Arial" w:cs="Arial" w:eastAsia="Arial" w:hAnsi="Arial"/>
          <w:sz w:val="24"/>
          <w:szCs w:val="24"/>
        </w:rPr>
        <w:t xml:space="preserve">Note: The relative silence of texts about worship does not reflect the relative weight of worship in the ecology. This silence is itself a confidence constraint on claims about how worship was actually experienced by most participants.</w:t>
      </w:r>
    </w:p>
    <w:p>
      <w:pPr>
        <w:spacing w:after="80"/>
      </w:pPr>
      <w:r>
        <w:t xml:space="preserve"/>
      </w:r>
    </w:p>
    <w:p>
      <w:pPr>
        <w:pStyle w:val="Heading2"/>
        <w:spacing w:after="120" w:before="240"/>
      </w:pPr>
      <w:r>
        <w:rPr>
          <w:rFonts w:ascii="Arial" w:cs="Arial" w:eastAsia="Arial" w:hAnsi="Arial"/>
          <w:b/>
          <w:bCs/>
          <w:sz w:val="28"/>
          <w:szCs w:val="28"/>
        </w:rPr>
        <w:t xml:space="preserve">Evidence Stream 4: Spiritual Formation</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Clement — Stromata (the “true gnostic” and the path of formation)</w:t>
      </w:r>
    </w:p>
    <w:p>
      <w:pPr>
        <w:pStyle w:val="ListParagraph"/>
        <w:numPr>
          <w:ilvl w:val="0"/>
          <w:numId w:val="2"/>
        </w:numPr>
        <w:spacing w:after="80"/>
      </w:pPr>
      <w:r>
        <w:rPr>
          <w:rFonts w:ascii="Arial" w:cs="Arial" w:eastAsia="Arial" w:hAnsi="Arial"/>
          <w:sz w:val="24"/>
          <w:szCs w:val="24"/>
        </w:rPr>
        <w:t xml:space="preserve">Origen — On First Principles, Commentary on Song of Songs, Homilies</w:t>
      </w:r>
    </w:p>
    <w:p>
      <w:pPr>
        <w:pStyle w:val="ListParagraph"/>
        <w:numPr>
          <w:ilvl w:val="0"/>
          <w:numId w:val="2"/>
        </w:numPr>
        <w:spacing w:after="80"/>
      </w:pPr>
      <w:r>
        <w:rPr>
          <w:rFonts w:ascii="Arial" w:cs="Arial" w:eastAsia="Arial" w:hAnsi="Arial"/>
          <w:sz w:val="24"/>
          <w:szCs w:val="24"/>
        </w:rPr>
        <w:t xml:space="preserve">Egyptian ascetic literature (emerging across the later period)</w:t>
      </w:r>
    </w:p>
    <w:p>
      <w:pPr>
        <w:pStyle w:val="ListParagraph"/>
        <w:numPr>
          <w:ilvl w:val="0"/>
          <w:numId w:val="2"/>
        </w:numPr>
        <w:spacing w:after="80"/>
      </w:pPr>
      <w:r>
        <w:rPr>
          <w:rFonts w:ascii="Arial" w:cs="Arial" w:eastAsia="Arial" w:hAnsi="Arial"/>
          <w:sz w:val="24"/>
          <w:szCs w:val="24"/>
        </w:rPr>
        <w:t xml:space="preserve">Athanasius — Life of Antony (paradigmatic formation narrative)</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Transformation and spiritual maturation appear repeatedly within surviving sources</w:t>
      </w:r>
    </w:p>
    <w:p>
      <w:pPr>
        <w:pStyle w:val="ListParagraph"/>
        <w:numPr>
          <w:ilvl w:val="0"/>
          <w:numId w:val="2"/>
        </w:numPr>
        <w:spacing w:after="80"/>
      </w:pPr>
      <w:r>
        <w:rPr>
          <w:rFonts w:ascii="Arial" w:cs="Arial" w:eastAsia="Arial" w:hAnsi="Arial"/>
          <w:sz w:val="24"/>
          <w:szCs w:val="24"/>
        </w:rPr>
        <w:t xml:space="preserve">Moral development and growth in virtue are recurring concerns</w:t>
      </w:r>
    </w:p>
    <w:p>
      <w:pPr>
        <w:pStyle w:val="ListParagraph"/>
        <w:numPr>
          <w:ilvl w:val="0"/>
          <w:numId w:val="2"/>
        </w:numPr>
        <w:spacing w:after="80"/>
      </w:pPr>
      <w:r>
        <w:rPr>
          <w:rFonts w:ascii="Arial" w:cs="Arial" w:eastAsia="Arial" w:hAnsi="Arial"/>
          <w:sz w:val="24"/>
          <w:szCs w:val="24"/>
        </w:rPr>
        <w:t xml:space="preserve">The interior life — purification, illumination, union — appears as a coherent progressive movement</w:t>
      </w:r>
    </w:p>
    <w:p>
      <w:pPr>
        <w:pStyle w:val="ListParagraph"/>
        <w:numPr>
          <w:ilvl w:val="0"/>
          <w:numId w:val="2"/>
        </w:numPr>
        <w:spacing w:after="80"/>
      </w:pPr>
      <w:r>
        <w:rPr>
          <w:rFonts w:ascii="Arial" w:cs="Arial" w:eastAsia="Arial" w:hAnsi="Arial"/>
          <w:sz w:val="24"/>
          <w:szCs w:val="24"/>
        </w:rPr>
        <w:t xml:space="preserve">Formation is understood as real and gradual rather than instantaneous</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widely were advanced formation practices distributed beyond educated or monastic circles?</w:t>
      </w:r>
    </w:p>
    <w:p>
      <w:pPr>
        <w:pStyle w:val="ListParagraph"/>
        <w:numPr>
          <w:ilvl w:val="0"/>
          <w:numId w:val="2"/>
        </w:numPr>
        <w:spacing w:after="80"/>
      </w:pPr>
      <w:r>
        <w:rPr>
          <w:rFonts w:ascii="Arial" w:cs="Arial" w:eastAsia="Arial" w:hAnsi="Arial"/>
          <w:sz w:val="24"/>
          <w:szCs w:val="24"/>
        </w:rPr>
        <w:t xml:space="preserve">What distinguished ordinary formation from advanced contemplative practice?</w:t>
      </w:r>
    </w:p>
    <w:p>
      <w:pPr>
        <w:pStyle w:val="ListParagraph"/>
        <w:numPr>
          <w:ilvl w:val="0"/>
          <w:numId w:val="2"/>
        </w:numPr>
        <w:spacing w:after="80"/>
      </w:pPr>
      <w:r>
        <w:rPr>
          <w:rFonts w:ascii="Arial" w:cs="Arial" w:eastAsia="Arial" w:hAnsi="Arial"/>
          <w:sz w:val="24"/>
          <w:szCs w:val="24"/>
        </w:rPr>
        <w:t xml:space="preserve">How did formation practices change across the proposed horizon?</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Widely Accepted</w:t>
      </w:r>
    </w:p>
    <w:p>
      <w:pPr>
        <w:spacing w:after="160"/>
      </w:pPr>
      <w:r>
        <w:rPr>
          <w:rFonts w:ascii="Arial" w:cs="Arial" w:eastAsia="Arial" w:hAnsi="Arial"/>
          <w:sz w:val="24"/>
          <w:szCs w:val="24"/>
        </w:rPr>
        <w:t xml:space="preserve">The pattern of gradual spiritual transformation — purification, illumination, union as progressive movement — is attested across Clement (early horizon), Origen (mid-horizon), the ascetic literature (later horizon), and Athanasius's Life of Antony. The consistency of this formation pattern across different periods and genres of evidence is genuinely strong. The remaining questions concern reach and variation rather than whether the pattern exists: how widely advanced practices were distributed, what distinguished ordinary from contemplative formation. These questions moderate the confidence somewhat from Documented, but the core pattern is Widely Accepted among scholars of early Christian spirituality — the dominant agreement is real and the dissent is minor on the central claim that transformational formation was a defining concern of this tradition. Scope note: the Widely Accepted level applies to the pattern’s existence within the literate school-and-monastic tradition — across Clement, Origen, ascetic literature, and the Life of Antony. Whether the same transformational formation pattern characterized ordinary non-literate believers across the full ecology is an open question governed by the Doc_01 binding constraint on ordinary-believer reconstruction. Downstream builders should not read this confidence level as license for confident reconstruction of ordinary-believer interior formation experience.</w:t>
      </w:r>
    </w:p>
    <w:p>
      <w:pPr>
        <w:spacing w:after="80"/>
      </w:pPr>
      <w:r>
        <w:t xml:space="preserve"/>
      </w:r>
    </w:p>
    <w:p>
      <w:pPr>
        <w:pStyle w:val="Heading2"/>
        <w:spacing w:after="120" w:before="240"/>
      </w:pPr>
      <w:r>
        <w:rPr>
          <w:rFonts w:ascii="Arial" w:cs="Arial" w:eastAsia="Arial" w:hAnsi="Arial"/>
          <w:b/>
          <w:bCs/>
          <w:sz w:val="28"/>
          <w:szCs w:val="28"/>
        </w:rPr>
        <w:t xml:space="preserve">Evidence Stream 5: Educational Ecology</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The Alexandrian catechetical school tradition (Pantaenus, Clement, Origen, Heraclas, Dionysius, Didymus)</w:t>
      </w:r>
    </w:p>
    <w:p>
      <w:pPr>
        <w:pStyle w:val="ListParagraph"/>
        <w:numPr>
          <w:ilvl w:val="0"/>
          <w:numId w:val="2"/>
        </w:numPr>
        <w:spacing w:after="80"/>
      </w:pPr>
      <w:r>
        <w:rPr>
          <w:rFonts w:ascii="Arial" w:cs="Arial" w:eastAsia="Arial" w:hAnsi="Arial"/>
          <w:sz w:val="24"/>
          <w:szCs w:val="24"/>
        </w:rPr>
        <w:t xml:space="preserve">Educational practices embedded in the homilies</w:t>
      </w:r>
    </w:p>
    <w:p>
      <w:pPr>
        <w:pStyle w:val="ListParagraph"/>
        <w:numPr>
          <w:ilvl w:val="0"/>
          <w:numId w:val="2"/>
        </w:numPr>
        <w:spacing w:after="80"/>
      </w:pPr>
      <w:r>
        <w:rPr>
          <w:rFonts w:ascii="Arial" w:cs="Arial" w:eastAsia="Arial" w:hAnsi="Arial"/>
          <w:sz w:val="24"/>
          <w:szCs w:val="24"/>
        </w:rPr>
        <w:t xml:space="preserve">References to teacher-student relationships across multiple sources</w:t>
      </w:r>
    </w:p>
    <w:p>
      <w:pPr>
        <w:pStyle w:val="ListParagraph"/>
        <w:numPr>
          <w:ilvl w:val="0"/>
          <w:numId w:val="2"/>
        </w:numPr>
        <w:spacing w:after="80"/>
      </w:pPr>
      <w:r>
        <w:rPr>
          <w:rFonts w:ascii="Arial" w:cs="Arial" w:eastAsia="Arial" w:hAnsi="Arial"/>
          <w:sz w:val="24"/>
          <w:szCs w:val="24"/>
        </w:rPr>
        <w:t xml:space="preserve">Eusebius — Ecclesiastical History (institutional history of the school)</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Learning appears closely connected to discipleship and formation — education is not information transfer but soul-formation</w:t>
      </w:r>
    </w:p>
    <w:p>
      <w:pPr>
        <w:pStyle w:val="ListParagraph"/>
        <w:numPr>
          <w:ilvl w:val="0"/>
          <w:numId w:val="2"/>
        </w:numPr>
        <w:spacing w:after="80"/>
      </w:pPr>
      <w:r>
        <w:rPr>
          <w:rFonts w:ascii="Arial" w:cs="Arial" w:eastAsia="Arial" w:hAnsi="Arial"/>
          <w:sz w:val="24"/>
          <w:szCs w:val="24"/>
        </w:rPr>
        <w:t xml:space="preserve">Educational structures appear unusually visible within this world compared to other early Christian ecologies</w:t>
      </w:r>
    </w:p>
    <w:p>
      <w:pPr>
        <w:pStyle w:val="ListParagraph"/>
        <w:numPr>
          <w:ilvl w:val="0"/>
          <w:numId w:val="2"/>
        </w:numPr>
        <w:spacing w:after="80"/>
      </w:pPr>
      <w:r>
        <w:rPr>
          <w:rFonts w:ascii="Arial" w:cs="Arial" w:eastAsia="Arial" w:hAnsi="Arial"/>
          <w:sz w:val="24"/>
          <w:szCs w:val="24"/>
        </w:rPr>
        <w:t xml:space="preserve">Teacher authority appears grounded in demonstrated perception rather than institutional position alone</w:t>
      </w:r>
    </w:p>
    <w:p>
      <w:pPr>
        <w:pStyle w:val="ListParagraph"/>
        <w:numPr>
          <w:ilvl w:val="0"/>
          <w:numId w:val="2"/>
        </w:numPr>
        <w:spacing w:after="80"/>
      </w:pPr>
      <w:r>
        <w:rPr>
          <w:rFonts w:ascii="Arial" w:cs="Arial" w:eastAsia="Arial" w:hAnsi="Arial"/>
          <w:sz w:val="24"/>
          <w:szCs w:val="24"/>
        </w:rPr>
        <w:t xml:space="preserve">The catechetical school tradition shows unusual longevity and institutional coherence across multiple generations</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unique is this educational visibility compared to other early Christian contexts?</w:t>
      </w:r>
    </w:p>
    <w:p>
      <w:pPr>
        <w:pStyle w:val="ListParagraph"/>
        <w:numPr>
          <w:ilvl w:val="0"/>
          <w:numId w:val="2"/>
        </w:numPr>
        <w:spacing w:after="80"/>
      </w:pPr>
      <w:r>
        <w:rPr>
          <w:rFonts w:ascii="Arial" w:cs="Arial" w:eastAsia="Arial" w:hAnsi="Arial"/>
          <w:sz w:val="24"/>
          <w:szCs w:val="24"/>
        </w:rPr>
        <w:t xml:space="preserve">How broadly did participation in formal educational activity extend beyond social elites?</w:t>
      </w:r>
    </w:p>
    <w:p>
      <w:pPr>
        <w:pStyle w:val="ListParagraph"/>
        <w:numPr>
          <w:ilvl w:val="0"/>
          <w:numId w:val="2"/>
        </w:numPr>
        <w:spacing w:after="80"/>
      </w:pPr>
      <w:r>
        <w:rPr>
          <w:rFonts w:ascii="Arial" w:cs="Arial" w:eastAsia="Arial" w:hAnsi="Arial"/>
          <w:sz w:val="24"/>
          <w:szCs w:val="24"/>
        </w:rPr>
        <w:t xml:space="preserve">What was the relationship between the formal school and the broader catechetical process?</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The teacher-student formation model and the school's longevity are well-attested in Clement, Origen, Gregory Thaumaturgus's Address, Didymus's teaching practice (Palladius), and Eusebius's institutional account. However, Eusebius carries HIGH Author Gravity risk for institutional claims specifically — his account of the school's orderly succession may be retrojecting a cleaner structure than existed. The questions about how broadly educational participation extended beyond social elites, and the relationship between the formal school and ordinary catechesis, are live and unresolved. Dominant Modern Reconstruction captures the situation: the picture of an unusually integrated learning-formation tradition is the dominant scholarly reading, but it rests substantially on sources concentrated in the educated elite stratum and on Eusebius's retrospective institutional narrative.</w:t>
      </w:r>
    </w:p>
    <w:p>
      <w:pPr>
        <w:spacing w:after="80"/>
      </w:pPr>
      <w:r>
        <w:t xml:space="preserve"/>
      </w:r>
    </w:p>
    <w:p>
      <w:pPr>
        <w:pStyle w:val="Heading2"/>
        <w:spacing w:after="120" w:before="240"/>
      </w:pPr>
      <w:r>
        <w:rPr>
          <w:rFonts w:ascii="Arial" w:cs="Arial" w:eastAsia="Arial" w:hAnsi="Arial"/>
          <w:b/>
          <w:bCs/>
          <w:sz w:val="28"/>
          <w:szCs w:val="28"/>
        </w:rPr>
        <w:t xml:space="preserve">Evidence Stream 6: Philosophical Engagement</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Clement — Stromata (explicit engagement with Greek philosophy)</w:t>
      </w:r>
    </w:p>
    <w:p>
      <w:pPr>
        <w:pStyle w:val="ListParagraph"/>
        <w:numPr>
          <w:ilvl w:val="0"/>
          <w:numId w:val="2"/>
        </w:numPr>
        <w:spacing w:after="80"/>
      </w:pPr>
      <w:r>
        <w:rPr>
          <w:rFonts w:ascii="Arial" w:cs="Arial" w:eastAsia="Arial" w:hAnsi="Arial"/>
          <w:sz w:val="24"/>
          <w:szCs w:val="24"/>
        </w:rPr>
        <w:t xml:space="preserve">Origen — Against Celsus, On First Principles</w:t>
      </w:r>
    </w:p>
    <w:p>
      <w:pPr>
        <w:pStyle w:val="ListParagraph"/>
        <w:numPr>
          <w:ilvl w:val="0"/>
          <w:numId w:val="2"/>
        </w:numPr>
        <w:spacing w:after="80"/>
      </w:pPr>
      <w:r>
        <w:rPr>
          <w:rFonts w:ascii="Arial" w:cs="Arial" w:eastAsia="Arial" w:hAnsi="Arial"/>
          <w:sz w:val="24"/>
          <w:szCs w:val="24"/>
        </w:rPr>
        <w:t xml:space="preserve">Apologetic and anti-pagan writings</w:t>
      </w:r>
    </w:p>
    <w:p>
      <w:pPr>
        <w:pStyle w:val="ListParagraph"/>
        <w:numPr>
          <w:ilvl w:val="0"/>
          <w:numId w:val="2"/>
        </w:numPr>
        <w:spacing w:after="80"/>
      </w:pPr>
      <w:r>
        <w:rPr>
          <w:rFonts w:ascii="Arial" w:cs="Arial" w:eastAsia="Arial" w:hAnsi="Arial"/>
          <w:sz w:val="24"/>
          <w:szCs w:val="24"/>
        </w:rPr>
        <w:t xml:space="preserve">Philosophical references throughout theological works</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Christian engagement with Greek philosophical traditions is consistently visible — Platonism, Stoicism, Pythagorean currents</w:t>
      </w:r>
    </w:p>
    <w:p>
      <w:pPr>
        <w:pStyle w:val="ListParagraph"/>
        <w:numPr>
          <w:ilvl w:val="0"/>
          <w:numId w:val="2"/>
        </w:numPr>
        <w:spacing w:after="80"/>
      </w:pPr>
      <w:r>
        <w:rPr>
          <w:rFonts w:ascii="Arial" w:cs="Arial" w:eastAsia="Arial" w:hAnsi="Arial"/>
          <w:sz w:val="24"/>
          <w:szCs w:val="24"/>
        </w:rPr>
        <w:t xml:space="preserve">Philosophy appears as a dialogue partner and intellectual resource rather than merely an opponent</w:t>
      </w:r>
    </w:p>
    <w:p>
      <w:pPr>
        <w:pStyle w:val="ListParagraph"/>
        <w:numPr>
          <w:ilvl w:val="0"/>
          <w:numId w:val="2"/>
        </w:numPr>
        <w:spacing w:after="80"/>
      </w:pPr>
      <w:r>
        <w:rPr>
          <w:rFonts w:ascii="Arial" w:cs="Arial" w:eastAsia="Arial" w:hAnsi="Arial"/>
          <w:sz w:val="24"/>
          <w:szCs w:val="24"/>
        </w:rPr>
        <w:t xml:space="preserve">The conviction that all genuine truth participates in the Logos appears repeatedly as the ground for confident philosophical engagement</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broadly did philosophical engagement extend beyond educated circles?</w:t>
      </w:r>
    </w:p>
    <w:p>
      <w:pPr>
        <w:pStyle w:val="ListParagraph"/>
        <w:numPr>
          <w:ilvl w:val="0"/>
          <w:numId w:val="2"/>
        </w:numPr>
        <w:spacing w:after="80"/>
      </w:pPr>
      <w:r>
        <w:rPr>
          <w:rFonts w:ascii="Arial" w:cs="Arial" w:eastAsia="Arial" w:hAnsi="Arial"/>
          <w:sz w:val="24"/>
          <w:szCs w:val="24"/>
        </w:rPr>
        <w:t xml:space="preserve">How representative of ordinary Alexandrian Christian life are the surviving philosophical sources?</w:t>
      </w:r>
    </w:p>
    <w:p>
      <w:pPr>
        <w:pStyle w:val="ListParagraph"/>
        <w:numPr>
          <w:ilvl w:val="0"/>
          <w:numId w:val="2"/>
        </w:numPr>
        <w:spacing w:after="80"/>
      </w:pPr>
      <w:r>
        <w:rPr>
          <w:rFonts w:ascii="Arial" w:cs="Arial" w:eastAsia="Arial" w:hAnsi="Arial"/>
          <w:sz w:val="24"/>
          <w:szCs w:val="24"/>
        </w:rPr>
        <w:t xml:space="preserve">How did the relationship between Christianity and philosophy shift across the proposed horizon?</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Widely Accepted — for the educated stratum; Dominant Modern Reconstruction for the broader ecology</w:t>
      </w:r>
    </w:p>
    <w:p>
      <w:pPr>
        <w:spacing w:after="160"/>
      </w:pPr>
      <w:r>
        <w:rPr>
          <w:rFonts w:ascii="Arial" w:cs="Arial" w:eastAsia="Arial" w:hAnsi="Arial"/>
          <w:sz w:val="24"/>
          <w:szCs w:val="24"/>
        </w:rPr>
        <w:t xml:space="preserve">That the Alexandrian school tradition engaged Greek philosophy with unusual confidence and depth is Widely Accepted — the evidence from Clement's Stromata alone would establish this, and it is confirmed and extended by Origen's systematic works and apologetic output. The Logos-as-ground-of-philosophical-engagement is genuinely documented across these sources. However, how broadly philosophical engagement extended beyond educated circles, and how representative the surviving sources are of ordinary Alexandrian Christian life, are live questions. The philosophical engagement is Widely Accepted as a feature of the school tradition; whether it characterized the broader ecology is a Dominant Modern Reconstruction.</w:t>
      </w:r>
    </w:p>
    <w:p>
      <w:pPr>
        <w:spacing w:after="80"/>
      </w:pPr>
      <w:r>
        <w:t xml:space="preserve"/>
      </w:r>
    </w:p>
    <w:p>
      <w:pPr>
        <w:pStyle w:val="Heading2"/>
        <w:spacing w:after="120" w:before="240"/>
      </w:pPr>
      <w:r>
        <w:rPr>
          <w:rFonts w:ascii="Arial" w:cs="Arial" w:eastAsia="Arial" w:hAnsi="Arial"/>
          <w:b/>
          <w:bCs/>
          <w:sz w:val="28"/>
          <w:szCs w:val="28"/>
        </w:rPr>
        <w:t xml:space="preserve">Evidence Stream 7: Community &amp; Ecclesial Life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Episcopal writings — particularly Dionysius of Alexandria's extensive correspondence</w:t>
      </w:r>
    </w:p>
    <w:p>
      <w:pPr>
        <w:pStyle w:val="ListParagraph"/>
        <w:numPr>
          <w:ilvl w:val="0"/>
          <w:numId w:val="2"/>
        </w:numPr>
        <w:spacing w:after="80"/>
      </w:pPr>
      <w:r>
        <w:rPr>
          <w:rFonts w:ascii="Arial" w:cs="Arial" w:eastAsia="Arial" w:hAnsi="Arial"/>
          <w:sz w:val="24"/>
          <w:szCs w:val="24"/>
        </w:rPr>
        <w:t xml:space="preserve">Athanasius — Festal Letters (addressing the whole Egyptian church)</w:t>
      </w:r>
    </w:p>
    <w:p>
      <w:pPr>
        <w:pStyle w:val="ListParagraph"/>
        <w:numPr>
          <w:ilvl w:val="0"/>
          <w:numId w:val="2"/>
        </w:numPr>
        <w:spacing w:after="80"/>
      </w:pPr>
      <w:r>
        <w:rPr>
          <w:rFonts w:ascii="Arial" w:cs="Arial" w:eastAsia="Arial" w:hAnsi="Arial"/>
          <w:sz w:val="24"/>
          <w:szCs w:val="24"/>
        </w:rPr>
        <w:t xml:space="preserve">Ecclesiastical histories (Eusebius)</w:t>
      </w:r>
    </w:p>
    <w:p>
      <w:pPr>
        <w:pStyle w:val="ListParagraph"/>
        <w:numPr>
          <w:ilvl w:val="0"/>
          <w:numId w:val="2"/>
        </w:numPr>
        <w:spacing w:after="80"/>
      </w:pPr>
      <w:r>
        <w:rPr>
          <w:rFonts w:ascii="Arial" w:cs="Arial" w:eastAsia="Arial" w:hAnsi="Arial"/>
          <w:sz w:val="24"/>
          <w:szCs w:val="24"/>
        </w:rPr>
        <w:t xml:space="preserve">Church correspondence</w:t>
      </w:r>
    </w:p>
    <w:p>
      <w:pPr>
        <w:pStyle w:val="ListParagraph"/>
        <w:numPr>
          <w:ilvl w:val="0"/>
          <w:numId w:val="2"/>
        </w:numPr>
        <w:spacing w:after="80"/>
      </w:pPr>
      <w:r>
        <w:rPr>
          <w:rFonts w:ascii="Arial" w:cs="Arial" w:eastAsia="Arial" w:hAnsi="Arial"/>
          <w:sz w:val="24"/>
          <w:szCs w:val="24"/>
        </w:rPr>
        <w:t xml:space="preserve">Synodal materials</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Community identity, ecclesial order, and episcopal leadership appear repeatedly</w:t>
      </w:r>
    </w:p>
    <w:p>
      <w:pPr>
        <w:pStyle w:val="ListParagraph"/>
        <w:numPr>
          <w:ilvl w:val="0"/>
          <w:numId w:val="2"/>
        </w:numPr>
        <w:spacing w:after="80"/>
      </w:pPr>
      <w:r>
        <w:rPr>
          <w:rFonts w:ascii="Arial" w:cs="Arial" w:eastAsia="Arial" w:hAnsi="Arial"/>
          <w:sz w:val="24"/>
          <w:szCs w:val="24"/>
        </w:rPr>
        <w:t xml:space="preserve">Formation appears connected to communal participation rather than isolated individual development</w:t>
      </w:r>
    </w:p>
    <w:p>
      <w:pPr>
        <w:pStyle w:val="ListParagraph"/>
        <w:numPr>
          <w:ilvl w:val="0"/>
          <w:numId w:val="2"/>
        </w:numPr>
        <w:spacing w:after="80"/>
      </w:pPr>
      <w:r>
        <w:rPr>
          <w:rFonts w:ascii="Arial" w:cs="Arial" w:eastAsia="Arial" w:hAnsi="Arial"/>
          <w:sz w:val="24"/>
          <w:szCs w:val="24"/>
        </w:rPr>
        <w:t xml:space="preserve">The bishop emerges as a figure holding community coherence through doctrinal and pastoral authority</w:t>
      </w:r>
    </w:p>
    <w:p>
      <w:pPr>
        <w:pStyle w:val="ListParagraph"/>
        <w:numPr>
          <w:ilvl w:val="0"/>
          <w:numId w:val="2"/>
        </w:numPr>
        <w:spacing w:after="80"/>
      </w:pPr>
      <w:r>
        <w:rPr>
          <w:rFonts w:ascii="Arial" w:cs="Arial" w:eastAsia="Arial" w:hAnsi="Arial"/>
          <w:sz w:val="24"/>
          <w:szCs w:val="24"/>
        </w:rPr>
        <w:t xml:space="preserve">Community life includes diverse social groups — clergy, teachers, catechumens, ordinary believers</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did community life differ across regions within Egypt?</w:t>
      </w:r>
    </w:p>
    <w:p>
      <w:pPr>
        <w:pStyle w:val="ListParagraph"/>
        <w:numPr>
          <w:ilvl w:val="0"/>
          <w:numId w:val="2"/>
        </w:numPr>
        <w:spacing w:after="80"/>
      </w:pPr>
      <w:r>
        <w:rPr>
          <w:rFonts w:ascii="Arial" w:cs="Arial" w:eastAsia="Arial" w:hAnsi="Arial"/>
          <w:sz w:val="24"/>
          <w:szCs w:val="24"/>
        </w:rPr>
        <w:t xml:space="preserve">How did the teacher-bishop relationship function in practice, and how did it change over time?</w:t>
      </w:r>
    </w:p>
    <w:p>
      <w:pPr>
        <w:pStyle w:val="ListParagraph"/>
        <w:numPr>
          <w:ilvl w:val="0"/>
          <w:numId w:val="2"/>
        </w:numPr>
        <w:spacing w:after="80"/>
      </w:pPr>
      <w:r>
        <w:rPr>
          <w:rFonts w:ascii="Arial" w:cs="Arial" w:eastAsia="Arial" w:hAnsi="Arial"/>
          <w:sz w:val="24"/>
          <w:szCs w:val="24"/>
        </w:rPr>
        <w:t xml:space="preserve">What did ordinary communal life look like for non-literate believers?</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The evidence for episcopal leadership, communal identity, and the bishop's pastoral-doctrinal role is real and recurrent. But the remaining questions reveal the limits: how community life differed across regions within Egypt (substantially unrecoverable), how the teacher-bishop relationship actually functioned in practice (attested primarily through the Origen-Demetrius conflict, itself mediated through Eusebius — a HIGH Author Gravity risk for institutional claims), and what ordinary communal life looked like for non-literate believers (near-invisible in the surviving record). Dominant Modern Reconstruction is accurate: the dominant scholarly picture of episcopal community organization is well-supported, but it rests on sources concentrated in the episcopal and elite stratum, and the substantial unresolved questions about regional variation and non-literate participation prevent a higher confidence assignment.</w:t>
      </w:r>
    </w:p>
    <w:p>
      <w:pPr>
        <w:spacing w:after="80"/>
      </w:pPr>
      <w:r>
        <w:t xml:space="preserve"/>
      </w:r>
    </w:p>
    <w:p>
      <w:pPr>
        <w:pStyle w:val="Heading2"/>
        <w:spacing w:after="120" w:before="240"/>
      </w:pPr>
      <w:r>
        <w:rPr>
          <w:rFonts w:ascii="Arial" w:cs="Arial" w:eastAsia="Arial" w:hAnsi="Arial"/>
          <w:b/>
          <w:bCs/>
          <w:sz w:val="28"/>
          <w:szCs w:val="28"/>
        </w:rPr>
        <w:t xml:space="preserve">Evidence Stream 8: Martyr Memory</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Martyr narratives (Acts of the Alexandrian martyrs)</w:t>
      </w:r>
    </w:p>
    <w:p>
      <w:pPr>
        <w:pStyle w:val="ListParagraph"/>
        <w:numPr>
          <w:ilvl w:val="0"/>
          <w:numId w:val="2"/>
        </w:numPr>
        <w:spacing w:after="80"/>
      </w:pPr>
      <w:r>
        <w:rPr>
          <w:rFonts w:ascii="Arial" w:cs="Arial" w:eastAsia="Arial" w:hAnsi="Arial"/>
          <w:sz w:val="24"/>
          <w:szCs w:val="24"/>
        </w:rPr>
        <w:t xml:space="preserve">Persecution records</w:t>
      </w:r>
    </w:p>
    <w:p>
      <w:pPr>
        <w:pStyle w:val="ListParagraph"/>
        <w:numPr>
          <w:ilvl w:val="0"/>
          <w:numId w:val="2"/>
        </w:numPr>
        <w:spacing w:after="80"/>
      </w:pPr>
      <w:r>
        <w:rPr>
          <w:rFonts w:ascii="Arial" w:cs="Arial" w:eastAsia="Arial" w:hAnsi="Arial"/>
          <w:sz w:val="24"/>
          <w:szCs w:val="24"/>
        </w:rPr>
        <w:t xml:space="preserve">Ecclesiastical histories</w:t>
      </w:r>
    </w:p>
    <w:p>
      <w:pPr>
        <w:pStyle w:val="ListParagraph"/>
        <w:numPr>
          <w:ilvl w:val="0"/>
          <w:numId w:val="2"/>
        </w:numPr>
        <w:spacing w:after="80"/>
      </w:pPr>
      <w:r>
        <w:rPr>
          <w:rFonts w:ascii="Arial" w:cs="Arial" w:eastAsia="Arial" w:hAnsi="Arial"/>
          <w:sz w:val="24"/>
          <w:szCs w:val="24"/>
        </w:rPr>
        <w:t xml:space="preserve">Hagiographic literature</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Martyr memory remains visible within communal identity and historical self-understanding</w:t>
      </w:r>
    </w:p>
    <w:p>
      <w:pPr>
        <w:pStyle w:val="ListParagraph"/>
        <w:numPr>
          <w:ilvl w:val="0"/>
          <w:numId w:val="2"/>
        </w:numPr>
        <w:spacing w:after="80"/>
      </w:pPr>
      <w:r>
        <w:rPr>
          <w:rFonts w:ascii="Arial" w:cs="Arial" w:eastAsia="Arial" w:hAnsi="Arial"/>
          <w:sz w:val="24"/>
          <w:szCs w:val="24"/>
        </w:rPr>
        <w:t xml:space="preserve">Martyrdom appears as a paradigmatic expression of formation values — faithfulness, transformation, witness</w:t>
      </w:r>
    </w:p>
    <w:p>
      <w:pPr>
        <w:pStyle w:val="ListParagraph"/>
        <w:numPr>
          <w:ilvl w:val="0"/>
          <w:numId w:val="2"/>
        </w:numPr>
        <w:spacing w:after="80"/>
      </w:pPr>
      <w:r>
        <w:rPr>
          <w:rFonts w:ascii="Arial" w:cs="Arial" w:eastAsia="Arial" w:hAnsi="Arial"/>
          <w:sz w:val="24"/>
          <w:szCs w:val="24"/>
        </w:rPr>
        <w:t xml:space="preserve">Periods of persecution (particularly the Decian and Diocletianic persecutions) shaped the community's identity and memory</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central was martyr memory to ongoing formation after periods of active persecution ended?</w:t>
      </w:r>
    </w:p>
    <w:p>
      <w:pPr>
        <w:pStyle w:val="ListParagraph"/>
        <w:numPr>
          <w:ilvl w:val="0"/>
          <w:numId w:val="2"/>
        </w:numPr>
        <w:spacing w:after="80"/>
      </w:pPr>
      <w:r>
        <w:rPr>
          <w:rFonts w:ascii="Arial" w:cs="Arial" w:eastAsia="Arial" w:hAnsi="Arial"/>
          <w:sz w:val="24"/>
          <w:szCs w:val="24"/>
        </w:rPr>
        <w:t xml:space="preserve">How did memory of martyrs function differently in educated versus ordinary believer communities?</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That periods of persecution shaped communal identity and that martyr memory remained formatively significant is broadly supported across multiple source types. The Decian and Diocletianic persecutions are historically documented; their impact on Egyptian Christianity is Widely Accepted. However, the remaining questions are live: how central martyr memory was to ongoing formation after persecutions ended, and how it functioned differently across social groups, are genuine uncertainties. The sources for this stream are predominantly hagiographic and ecclesiastical-historical — genres with their own shaping conventions. Dominant Modern Reconstruction is appropriate: the martyr-memory-as-formative-force picture is dominant but rests on sources that reconstruct the significance of martyrdom through particular theological and communal lenses.</w:t>
      </w:r>
    </w:p>
    <w:p>
      <w:pPr>
        <w:spacing w:after="80"/>
      </w:pPr>
      <w:r>
        <w:t xml:space="preserve"/>
      </w:r>
    </w:p>
    <w:p>
      <w:pPr>
        <w:pStyle w:val="Heading2"/>
        <w:spacing w:after="120" w:before="240"/>
      </w:pPr>
      <w:r>
        <w:rPr>
          <w:rFonts w:ascii="Arial" w:cs="Arial" w:eastAsia="Arial" w:hAnsi="Arial"/>
          <w:b/>
          <w:bCs/>
          <w:sz w:val="28"/>
          <w:szCs w:val="28"/>
        </w:rPr>
        <w:t xml:space="preserve">Evidence Stream 9: Monastic Emergence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 to 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Athanasius — Life of Antony (foundational hagiography)</w:t>
      </w:r>
    </w:p>
    <w:p>
      <w:pPr>
        <w:pStyle w:val="ListParagraph"/>
        <w:numPr>
          <w:ilvl w:val="0"/>
          <w:numId w:val="2"/>
        </w:numPr>
        <w:spacing w:after="80"/>
      </w:pPr>
      <w:r>
        <w:rPr>
          <w:rFonts w:ascii="Arial" w:cs="Arial" w:eastAsia="Arial" w:hAnsi="Arial"/>
          <w:sz w:val="24"/>
          <w:szCs w:val="24"/>
        </w:rPr>
        <w:t xml:space="preserve">Pachomian rule literature (early Coptic monastic rules)</w:t>
      </w:r>
    </w:p>
    <w:p>
      <w:pPr>
        <w:pStyle w:val="ListParagraph"/>
        <w:numPr>
          <w:ilvl w:val="0"/>
          <w:numId w:val="2"/>
        </w:numPr>
        <w:spacing w:after="80"/>
      </w:pPr>
      <w:r>
        <w:rPr>
          <w:rFonts w:ascii="Arial" w:cs="Arial" w:eastAsia="Arial" w:hAnsi="Arial"/>
          <w:sz w:val="24"/>
          <w:szCs w:val="24"/>
        </w:rPr>
        <w:t xml:space="preserve">Sayings of the Desert Fathers (Apophthegmata Patrum)</w:t>
      </w:r>
    </w:p>
    <w:p>
      <w:pPr>
        <w:pStyle w:val="ListParagraph"/>
        <w:numPr>
          <w:ilvl w:val="0"/>
          <w:numId w:val="2"/>
        </w:numPr>
        <w:spacing w:after="80"/>
      </w:pPr>
      <w:r>
        <w:rPr>
          <w:rFonts w:ascii="Arial" w:cs="Arial" w:eastAsia="Arial" w:hAnsi="Arial"/>
          <w:sz w:val="24"/>
          <w:szCs w:val="24"/>
        </w:rPr>
        <w:t xml:space="preserve">Egyptian ascetic literature broadly</w:t>
      </w:r>
    </w:p>
    <w:p>
      <w:pPr>
        <w:pStyle w:val="ListParagraph"/>
        <w:numPr>
          <w:ilvl w:val="0"/>
          <w:numId w:val="2"/>
        </w:numPr>
        <w:spacing w:after="80"/>
      </w:pPr>
      <w:r>
        <w:rPr>
          <w:rFonts w:ascii="Arial" w:cs="Arial" w:eastAsia="Arial" w:hAnsi="Arial"/>
          <w:sz w:val="24"/>
          <w:szCs w:val="24"/>
        </w:rPr>
        <w:t xml:space="preserve">Evagrius Ponticus — Praktikos, Chapters on Prayer (late 4th century)</w:t>
      </w:r>
    </w:p>
    <w:p>
      <w:pPr>
        <w:spacing w:after="120"/>
        <w:ind w:left="360"/>
      </w:pPr>
      <w:r>
        <w:rPr>
          <w:rFonts w:ascii="Arial" w:cs="Arial" w:eastAsia="Arial" w:hAnsi="Arial"/>
          <w:i/>
          <w:iCs/>
          <w:sz w:val="22"/>
          <w:szCs w:val="22"/>
        </w:rPr>
        <w:t xml:space="preserve">[Cross-build provisional: the Pachomian rule literature and Evagrius Ponticus’s ascetic writings — as sources of the desert formation tradition itself — carry the cross-build provisional constraint. Their world-attribution is held open pending Phase 3 gravity discovery. See Doc_01, Geographic Scope, Note on Desert Christianity and Cross-Build Boundary. This document may assess these sources’ evidential quality. It may not pre-assign them as evidence of Alexandrian formation logic without the gravity demonstration that belongs to Phase 3.]</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Ascetic and monastic practices become increasingly visible across the later portions of the proposed horizon</w:t>
      </w:r>
    </w:p>
    <w:p>
      <w:pPr>
        <w:pStyle w:val="ListParagraph"/>
        <w:numPr>
          <w:ilvl w:val="0"/>
          <w:numId w:val="2"/>
        </w:numPr>
        <w:spacing w:after="80"/>
      </w:pPr>
      <w:r>
        <w:rPr>
          <w:rFonts w:ascii="Arial" w:cs="Arial" w:eastAsia="Arial" w:hAnsi="Arial"/>
          <w:sz w:val="24"/>
          <w:szCs w:val="24"/>
        </w:rPr>
        <w:t xml:space="preserve">Monastic concerns (prayer, scripture, transformation, virtue, community) echo and intensify concerns already present in urban Alexandrian Christianity</w:t>
      </w:r>
    </w:p>
    <w:p>
      <w:pPr>
        <w:pStyle w:val="ListParagraph"/>
        <w:numPr>
          <w:ilvl w:val="0"/>
          <w:numId w:val="2"/>
        </w:numPr>
        <w:spacing w:after="80"/>
      </w:pPr>
      <w:r>
        <w:rPr>
          <w:rFonts w:ascii="Arial" w:cs="Arial" w:eastAsia="Arial" w:hAnsi="Arial"/>
          <w:sz w:val="24"/>
          <w:szCs w:val="24"/>
        </w:rPr>
        <w:t xml:space="preserve">The relationship between the school tradition and the desert tradition is complex — Antony is illiterate but Evagrius is Origen's student</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should the relationship between urban Alexandrian Christianity and the desert tradition be characterized?</w:t>
      </w:r>
    </w:p>
    <w:p>
      <w:pPr>
        <w:pStyle w:val="ListParagraph"/>
        <w:numPr>
          <w:ilvl w:val="0"/>
          <w:numId w:val="2"/>
        </w:numPr>
        <w:spacing w:after="80"/>
      </w:pPr>
      <w:r>
        <w:rPr>
          <w:rFonts w:ascii="Arial" w:cs="Arial" w:eastAsia="Arial" w:hAnsi="Arial"/>
          <w:sz w:val="24"/>
          <w:szCs w:val="24"/>
        </w:rPr>
        <w:t xml:space="preserve">Does the desert represent a distinct world, or an intensification within this world?</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Contested</w:t>
      </w:r>
    </w:p>
    <w:p>
      <w:pPr>
        <w:spacing w:after="160"/>
      </w:pPr>
      <w:r>
        <w:rPr>
          <w:rFonts w:ascii="Arial" w:cs="Arial" w:eastAsia="Arial" w:hAnsi="Arial"/>
          <w:sz w:val="24"/>
          <w:szCs w:val="24"/>
        </w:rPr>
        <w:t xml:space="preserve">Confidence: Widely Accepted for the emergence and intensification of monastic practices across the later horizon; Contested for the world-attribution question.
That monastic practices emerged and intensified during the later portion of the proposed horizon (c. 270–400 CE) is Widely Accepted — the Life of Antony, the Pachomian rule literature, the Apophthegmata, and Evagrius’s writings establish this across multiple source types. The world-attribution question — whether the desert tradition represents intensification within Alexandria’s ecology, a distinct formation world with its own organizing gravities, or both through discovered convergence — is genuinely Contested. The Antony-illiteracy tension (attested in Athanasius’s Life of Antony, itself hagiographic) provides prima facie evidence of formation logic that may not be straightforward intensification of the school tradition’s primary gravity. The Evagrius evidence points in the other direction. Contested is the accurate level for the attribution question specifically — the evidence does not support a dominant resolution of that question.</w:t>
      </w:r>
    </w:p>
    <w:p>
      <w:pPr>
        <w:spacing w:after="160"/>
      </w:pPr>
      <w:r>
        <w:rPr>
          <w:rFonts w:ascii="Arial" w:cs="Arial" w:eastAsia="Arial" w:hAnsi="Arial"/>
          <w:sz w:val="24"/>
          <w:szCs w:val="24"/>
        </w:rPr>
        <w:t xml:space="preserve">Procedural working assumption: for construction continuity, this build proceeds without a strand split. This is a procedural choice — not a finding that the intensification reading is more probable than the distinct-world reading, and not a determination that governs downstream construction as if the attribution question were settled. Both the intensification reading and the distinct-world reading remain live. Phase 3 gravity discovery adjudicates the attribution question. If Phase 3 reveals the desert tradition generating gravities absent from the urban Alexandrian tradition, the distinct-world reading will be confirmed and the Desert Christianity build will proceed on that basis. If Phase 3 reveals the same gravities operating across both, the intensification reading will be confirmed. This document does not prejudge which finding Phase 3 will produce.</w:t>
      </w:r>
    </w:p>
    <w:p>
      <w:pPr>
        <w:spacing w:after="80"/>
      </w:pPr>
      <w:r>
        <w:t xml:space="preserve"/>
      </w:r>
    </w:p>
    <w:p>
      <w:pPr>
        <w:pStyle w:val="Heading2"/>
        <w:spacing w:after="120" w:before="240"/>
      </w:pPr>
      <w:r>
        <w:rPr>
          <w:rFonts w:ascii="Arial" w:cs="Arial" w:eastAsia="Arial" w:hAnsi="Arial"/>
          <w:b/>
          <w:bCs/>
          <w:sz w:val="28"/>
          <w:szCs w:val="28"/>
        </w:rPr>
        <w:t xml:space="preserve">Evidence Stream 10: Ordinary Believer Visibility</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Low</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Pastoral references in episcopal letters</w:t>
      </w:r>
    </w:p>
    <w:p>
      <w:pPr>
        <w:pStyle w:val="ListParagraph"/>
        <w:numPr>
          <w:ilvl w:val="0"/>
          <w:numId w:val="2"/>
        </w:numPr>
        <w:spacing w:after="80"/>
      </w:pPr>
      <w:r>
        <w:rPr>
          <w:rFonts w:ascii="Arial" w:cs="Arial" w:eastAsia="Arial" w:hAnsi="Arial"/>
          <w:sz w:val="24"/>
          <w:szCs w:val="24"/>
        </w:rPr>
        <w:t xml:space="preserve">Indirect evidence in homilies (addressed to mixed assemblies)</w:t>
      </w:r>
    </w:p>
    <w:p>
      <w:pPr>
        <w:pStyle w:val="ListParagraph"/>
        <w:numPr>
          <w:ilvl w:val="0"/>
          <w:numId w:val="2"/>
        </w:numPr>
        <w:spacing w:after="80"/>
      </w:pPr>
      <w:r>
        <w:rPr>
          <w:rFonts w:ascii="Arial" w:cs="Arial" w:eastAsia="Arial" w:hAnsi="Arial"/>
          <w:sz w:val="24"/>
          <w:szCs w:val="24"/>
        </w:rPr>
        <w:t xml:space="preserve">Liturgical participation (implied by liturgical sources)</w:t>
      </w:r>
    </w:p>
    <w:p>
      <w:pPr>
        <w:pStyle w:val="ListParagraph"/>
        <w:numPr>
          <w:ilvl w:val="0"/>
          <w:numId w:val="2"/>
        </w:numPr>
        <w:spacing w:after="80"/>
      </w:pPr>
      <w:r>
        <w:rPr>
          <w:rFonts w:ascii="Arial" w:cs="Arial" w:eastAsia="Arial" w:hAnsi="Arial"/>
          <w:sz w:val="24"/>
          <w:szCs w:val="24"/>
        </w:rPr>
        <w:t xml:space="preserve">Catechetical materials (implying the existence of the catechized)</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Ordinary Christian experience remains difficult to recover directly from surviving sources</w:t>
      </w:r>
    </w:p>
    <w:p>
      <w:pPr>
        <w:pStyle w:val="ListParagraph"/>
        <w:numPr>
          <w:ilvl w:val="0"/>
          <w:numId w:val="2"/>
        </w:numPr>
        <w:spacing w:after="80"/>
      </w:pPr>
      <w:r>
        <w:rPr>
          <w:rFonts w:ascii="Arial" w:cs="Arial" w:eastAsia="Arial" w:hAnsi="Arial"/>
          <w:sz w:val="24"/>
          <w:szCs w:val="24"/>
        </w:rPr>
        <w:t xml:space="preserve">The vast majority of Alexandrian Christians — merchants, dockworkers, artisans, household servants — left almost no direct literary trace</w:t>
      </w:r>
    </w:p>
    <w:p>
      <w:pPr>
        <w:pStyle w:val="ListParagraph"/>
        <w:numPr>
          <w:ilvl w:val="0"/>
          <w:numId w:val="2"/>
        </w:numPr>
        <w:spacing w:after="80"/>
      </w:pPr>
      <w:r>
        <w:rPr>
          <w:rFonts w:ascii="Arial" w:cs="Arial" w:eastAsia="Arial" w:hAnsi="Arial"/>
          <w:sz w:val="24"/>
          <w:szCs w:val="24"/>
        </w:rPr>
        <w:t xml:space="preserve">Evidence suggests broad liturgical participation and formation through communal practice even where formal instruction was limited</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Which dimensions of the ecology were broadly shared across social groups?</w:t>
      </w:r>
    </w:p>
    <w:p>
      <w:pPr>
        <w:pStyle w:val="ListParagraph"/>
        <w:numPr>
          <w:ilvl w:val="0"/>
          <w:numId w:val="2"/>
        </w:numPr>
        <w:spacing w:after="80"/>
      </w:pPr>
      <w:r>
        <w:rPr>
          <w:rFonts w:ascii="Arial" w:cs="Arial" w:eastAsia="Arial" w:hAnsi="Arial"/>
          <w:sz w:val="24"/>
          <w:szCs w:val="24"/>
        </w:rPr>
        <w:t xml:space="preserve">Which dimensions remained concentrated among educated elites?</w:t>
      </w:r>
    </w:p>
    <w:p>
      <w:pPr>
        <w:pStyle w:val="ListParagraph"/>
        <w:numPr>
          <w:ilvl w:val="0"/>
          <w:numId w:val="2"/>
        </w:numPr>
        <w:spacing w:after="80"/>
      </w:pPr>
      <w:r>
        <w:rPr>
          <w:rFonts w:ascii="Arial" w:cs="Arial" w:eastAsia="Arial" w:hAnsi="Arial"/>
          <w:sz w:val="24"/>
          <w:szCs w:val="24"/>
        </w:rPr>
        <w:t xml:space="preserve">How did ordinary believers actually experience what the literary sources describe?</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Inferential/Thin</w:t>
      </w:r>
    </w:p>
    <w:p>
      <w:pPr>
        <w:spacing w:after="160"/>
      </w:pPr>
      <w:r>
        <w:rPr>
          <w:rFonts w:ascii="Arial" w:cs="Arial" w:eastAsia="Arial" w:hAnsi="Arial"/>
          <w:sz w:val="24"/>
          <w:szCs w:val="24"/>
        </w:rPr>
        <w:t xml:space="preserve">The evidence for ordinary believer experience is almost entirely indirect: pastoral concern expressed in letters written to congregations rather than by them, homilies whose addresses imply the existence of hearers but whose content reflects the preacher's perspective, liturgical sources that describe practice rather than the experience of practicing. There is no direct first-person testimony from ordinary Alexandrian Christians in the surviving record. Reconstruction of their formation experience requires inference from sources produced by others for other purposes. Inferential/Thin is accurate: the evidence base is genuinely thin for this population, and reconstruction claims about their experience carry Limited confidence throughout.</w:t>
      </w:r>
    </w:p>
    <w:p>
      <w:pPr>
        <w:spacing w:after="80"/>
      </w:pPr>
      <w:r>
        <w:t xml:space="preserve"/>
      </w:r>
    </w:p>
    <w:p>
      <w:pPr>
        <w:pStyle w:val="Heading2"/>
        <w:spacing w:after="120" w:before="240"/>
      </w:pPr>
      <w:r>
        <w:rPr>
          <w:rFonts w:ascii="Arial" w:cs="Arial" w:eastAsia="Arial" w:hAnsi="Arial"/>
          <w:b/>
          <w:bCs/>
          <w:sz w:val="28"/>
          <w:szCs w:val="28"/>
        </w:rPr>
        <w:t xml:space="preserve">Evidence Stream 11: Women &amp; Household Visibility</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Low</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Martyr narratives (several feature women prominently)</w:t>
      </w:r>
    </w:p>
    <w:p>
      <w:pPr>
        <w:pStyle w:val="ListParagraph"/>
        <w:numPr>
          <w:ilvl w:val="0"/>
          <w:numId w:val="2"/>
        </w:numPr>
        <w:spacing w:after="80"/>
      </w:pPr>
      <w:r>
        <w:rPr>
          <w:rFonts w:ascii="Arial" w:cs="Arial" w:eastAsia="Arial" w:hAnsi="Arial"/>
          <w:sz w:val="24"/>
          <w:szCs w:val="24"/>
        </w:rPr>
        <w:t xml:space="preserve">Household references in pastoral letters</w:t>
      </w:r>
    </w:p>
    <w:p>
      <w:pPr>
        <w:pStyle w:val="ListParagraph"/>
        <w:numPr>
          <w:ilvl w:val="0"/>
          <w:numId w:val="2"/>
        </w:numPr>
        <w:spacing w:after="80"/>
      </w:pPr>
      <w:r>
        <w:rPr>
          <w:rFonts w:ascii="Arial" w:cs="Arial" w:eastAsia="Arial" w:hAnsi="Arial"/>
          <w:sz w:val="24"/>
          <w:szCs w:val="24"/>
        </w:rPr>
        <w:t xml:space="preserve">Scattered hagiographic evidence</w:t>
      </w:r>
    </w:p>
    <w:p>
      <w:pPr>
        <w:pStyle w:val="ListParagraph"/>
        <w:numPr>
          <w:ilvl w:val="0"/>
          <w:numId w:val="2"/>
        </w:numPr>
        <w:spacing w:after="80"/>
      </w:pPr>
      <w:r>
        <w:rPr>
          <w:rFonts w:ascii="Arial" w:cs="Arial" w:eastAsia="Arial" w:hAnsi="Arial"/>
          <w:sz w:val="24"/>
          <w:szCs w:val="24"/>
        </w:rPr>
        <w:t xml:space="preserve">References to consecrated virgins and widows in ecclesiastical sources</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Women and household life remain substantially underrepresented within surviving evidence</w:t>
      </w:r>
    </w:p>
    <w:p>
      <w:pPr>
        <w:pStyle w:val="ListParagraph"/>
        <w:numPr>
          <w:ilvl w:val="0"/>
          <w:numId w:val="2"/>
        </w:numPr>
        <w:spacing w:after="80"/>
      </w:pPr>
      <w:r>
        <w:rPr>
          <w:rFonts w:ascii="Arial" w:cs="Arial" w:eastAsia="Arial" w:hAnsi="Arial"/>
          <w:sz w:val="24"/>
          <w:szCs w:val="24"/>
        </w:rPr>
        <w:t xml:space="preserve">Women appear primarily as recipients of formation, as martyrs, and as consecrated women — rarely as theological voices</w:t>
      </w:r>
    </w:p>
    <w:p>
      <w:pPr>
        <w:pStyle w:val="ListParagraph"/>
        <w:numPr>
          <w:ilvl w:val="0"/>
          <w:numId w:val="2"/>
        </w:numPr>
        <w:spacing w:after="80"/>
      </w:pPr>
      <w:r>
        <w:rPr>
          <w:rFonts w:ascii="Arial" w:cs="Arial" w:eastAsia="Arial" w:hAnsi="Arial"/>
          <w:sz w:val="24"/>
          <w:szCs w:val="24"/>
        </w:rPr>
        <w:t xml:space="preserve">Household formation — where much of ordinary Christian life was actually lived — is almost entirely invisible in literary sources</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What role did women play in the transmission of formation practices (particularly within households)?</w:t>
      </w:r>
    </w:p>
    <w:p>
      <w:pPr>
        <w:pStyle w:val="ListParagraph"/>
        <w:numPr>
          <w:ilvl w:val="0"/>
          <w:numId w:val="2"/>
        </w:numPr>
        <w:spacing w:after="80"/>
      </w:pPr>
      <w:r>
        <w:rPr>
          <w:rFonts w:ascii="Arial" w:cs="Arial" w:eastAsia="Arial" w:hAnsi="Arial"/>
          <w:sz w:val="24"/>
          <w:szCs w:val="24"/>
        </w:rPr>
        <w:t xml:space="preserve">How did female participation in worship and community life shape the ecology?</w:t>
      </w:r>
    </w:p>
    <w:p>
      <w:pPr>
        <w:pStyle w:val="ListParagraph"/>
        <w:numPr>
          <w:ilvl w:val="0"/>
          <w:numId w:val="2"/>
        </w:numPr>
        <w:spacing w:after="80"/>
      </w:pPr>
      <w:r>
        <w:rPr>
          <w:rFonts w:ascii="Arial" w:cs="Arial" w:eastAsia="Arial" w:hAnsi="Arial"/>
          <w:sz w:val="24"/>
          <w:szCs w:val="24"/>
        </w:rPr>
        <w:t xml:space="preserve">What variation existed in women's access to catechetical and educational formation?</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Inferential/Thin</w:t>
      </w:r>
    </w:p>
    <w:p>
      <w:pPr>
        <w:spacing w:after="160"/>
      </w:pPr>
      <w:r>
        <w:rPr>
          <w:rFonts w:ascii="Arial" w:cs="Arial" w:eastAsia="Arial" w:hAnsi="Arial"/>
          <w:sz w:val="24"/>
          <w:szCs w:val="24"/>
        </w:rPr>
        <w:t xml:space="preserve">Women appear in the surviving sources as subjects of others' writing — as martyrs whose deaths are narrated, as recipients of pastoral letters, as consecrated virgins mentioned in ecclesiastical regulations. They do not appear as authors in this period's surviving Alexandrian record. Household formation, which may have been the primary formative environment for most Alexandrian Christians, is almost entirely invisible in the literary evidence. The evidence for this stream is fragmentary, mediated, and primarily non-narrative in form in ways that severely limit reconstruction confidence. Inferential/Thin is accurate and necessary: what can be said about women's and household formation experience is reconstruction from very limited and structurally biased evidence.</w:t>
      </w:r>
    </w:p>
    <w:p>
      <w:pPr>
        <w:spacing w:after="80"/>
      </w:pPr>
      <w:r>
        <w:t xml:space="preserve"/>
      </w:r>
    </w:p>
    <w:p>
      <w:pPr>
        <w:pStyle w:val="Heading2"/>
        <w:spacing w:after="120" w:before="240"/>
      </w:pPr>
      <w:r>
        <w:rPr>
          <w:rFonts w:ascii="Arial" w:cs="Arial" w:eastAsia="Arial" w:hAnsi="Arial"/>
          <w:b/>
          <w:bCs/>
          <w:sz w:val="28"/>
          <w:szCs w:val="28"/>
        </w:rPr>
        <w:t xml:space="preserve">Evidence Stream 12: Doctrinal Controversy &amp; Boundary Formation</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Arian controversy materials</w:t>
      </w:r>
    </w:p>
    <w:p>
      <w:pPr>
        <w:pStyle w:val="ListParagraph"/>
        <w:numPr>
          <w:ilvl w:val="0"/>
          <w:numId w:val="2"/>
        </w:numPr>
        <w:spacing w:after="80"/>
      </w:pPr>
      <w:r>
        <w:rPr>
          <w:rFonts w:ascii="Arial" w:cs="Arial" w:eastAsia="Arial" w:hAnsi="Arial"/>
          <w:sz w:val="24"/>
          <w:szCs w:val="24"/>
        </w:rPr>
        <w:t xml:space="preserve">Nicene and post-Nicene documents</w:t>
      </w:r>
    </w:p>
    <w:p>
      <w:pPr>
        <w:pStyle w:val="ListParagraph"/>
        <w:numPr>
          <w:ilvl w:val="0"/>
          <w:numId w:val="2"/>
        </w:numPr>
        <w:spacing w:after="80"/>
      </w:pPr>
      <w:r>
        <w:rPr>
          <w:rFonts w:ascii="Arial" w:cs="Arial" w:eastAsia="Arial" w:hAnsi="Arial"/>
          <w:sz w:val="24"/>
          <w:szCs w:val="24"/>
        </w:rPr>
        <w:t xml:space="preserve">Conciliar records</w:t>
      </w:r>
    </w:p>
    <w:p>
      <w:pPr>
        <w:pStyle w:val="ListParagraph"/>
        <w:numPr>
          <w:ilvl w:val="0"/>
          <w:numId w:val="2"/>
        </w:numPr>
        <w:spacing w:after="80"/>
      </w:pPr>
      <w:r>
        <w:rPr>
          <w:rFonts w:ascii="Arial" w:cs="Arial" w:eastAsia="Arial" w:hAnsi="Arial"/>
          <w:sz w:val="24"/>
          <w:szCs w:val="24"/>
        </w:rPr>
        <w:t xml:space="preserve">Athanasius — extensive anti-Arian and apologetic writings</w:t>
      </w:r>
    </w:p>
    <w:p>
      <w:pPr>
        <w:pStyle w:val="ListParagraph"/>
        <w:numPr>
          <w:ilvl w:val="0"/>
          <w:numId w:val="2"/>
        </w:numPr>
        <w:spacing w:after="80"/>
      </w:pPr>
      <w:r>
        <w:rPr>
          <w:rFonts w:ascii="Arial" w:cs="Arial" w:eastAsia="Arial" w:hAnsi="Arial"/>
          <w:sz w:val="24"/>
          <w:szCs w:val="24"/>
        </w:rPr>
        <w:t xml:space="preserve">Episcopal correspondence relating to theological boundaries</w:t>
      </w:r>
    </w:p>
    <w:p>
      <w:pPr>
        <w:pStyle w:val="ListParagraph"/>
        <w:numPr>
          <w:ilvl w:val="0"/>
          <w:numId w:val="2"/>
        </w:numPr>
        <w:spacing w:after="80"/>
      </w:pPr>
      <w:r>
        <w:rPr>
          <w:rFonts w:ascii="Arial" w:cs="Arial" w:eastAsia="Arial" w:hAnsi="Arial"/>
          <w:sz w:val="24"/>
          <w:szCs w:val="24"/>
        </w:rPr>
        <w:t xml:space="preserve">Anti-heretical writings (against Gnostic movements, Manichaeism, Neoplatonism)</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Doctrinal controversy appears repeatedly within surviving evidence and affects community identity, authority, belonging, and theological language</w:t>
      </w:r>
    </w:p>
    <w:p>
      <w:pPr>
        <w:pStyle w:val="ListParagraph"/>
        <w:numPr>
          <w:ilvl w:val="0"/>
          <w:numId w:val="2"/>
        </w:numPr>
        <w:spacing w:after="80"/>
      </w:pPr>
      <w:r>
        <w:rPr>
          <w:rFonts w:ascii="Arial" w:cs="Arial" w:eastAsia="Arial" w:hAnsi="Arial"/>
          <w:sz w:val="24"/>
          <w:szCs w:val="24"/>
        </w:rPr>
        <w:t xml:space="preserve">Conflict over theological boundaries becomes increasingly visible during the latter portion of the proposed horizon (particularly post-300 CE)</w:t>
      </w:r>
    </w:p>
    <w:p>
      <w:pPr>
        <w:pStyle w:val="ListParagraph"/>
        <w:numPr>
          <w:ilvl w:val="0"/>
          <w:numId w:val="2"/>
        </w:numPr>
        <w:spacing w:after="80"/>
      </w:pPr>
      <w:r>
        <w:rPr>
          <w:rFonts w:ascii="Arial" w:cs="Arial" w:eastAsia="Arial" w:hAnsi="Arial"/>
          <w:sz w:val="24"/>
          <w:szCs w:val="24"/>
        </w:rPr>
        <w:t xml:space="preserve">Controversy appears as a mechanism by which the ecology's existing commitments are sharpened and made explicit rather than generated from nothing</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deeply did doctrinal controversy penetrate ordinary Christian life?</w:t>
      </w:r>
    </w:p>
    <w:p>
      <w:pPr>
        <w:pStyle w:val="ListParagraph"/>
        <w:numPr>
          <w:ilvl w:val="0"/>
          <w:numId w:val="2"/>
        </w:numPr>
        <w:spacing w:after="80"/>
      </w:pPr>
      <w:r>
        <w:rPr>
          <w:rFonts w:ascii="Arial" w:cs="Arial" w:eastAsia="Arial" w:hAnsi="Arial"/>
          <w:sz w:val="24"/>
          <w:szCs w:val="24"/>
        </w:rPr>
        <w:t xml:space="preserve">How did controversy reshape authority and belonging for non-elite participants?</w:t>
      </w:r>
    </w:p>
    <w:p>
      <w:pPr>
        <w:pStyle w:val="ListParagraph"/>
        <w:numPr>
          <w:ilvl w:val="0"/>
          <w:numId w:val="2"/>
        </w:numPr>
        <w:spacing w:after="80"/>
      </w:pPr>
      <w:r>
        <w:rPr>
          <w:rFonts w:ascii="Arial" w:cs="Arial" w:eastAsia="Arial" w:hAnsi="Arial"/>
          <w:sz w:val="24"/>
          <w:szCs w:val="24"/>
        </w:rPr>
        <w:t xml:space="preserve">How should controversy be weighted relative to ongoing worship, formation, and education in the ecology?</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Widely Accepted for the post-325 CE period; Dominant Modern Reconstruction across the full horizon</w:t>
      </w:r>
    </w:p>
    <w:p>
      <w:pPr>
        <w:spacing w:after="160"/>
      </w:pPr>
      <w:r>
        <w:rPr>
          <w:rFonts w:ascii="Arial" w:cs="Arial" w:eastAsia="Arial" w:hAnsi="Arial"/>
          <w:sz w:val="24"/>
          <w:szCs w:val="24"/>
        </w:rPr>
        <w:t xml:space="preserve">The doctrinal controversy evidence is genuinely strong and multiply-attested: Arian controversy materials, Nicene records, Athanasius's extensive writings, anti-heretical literature from the earlier period. That doctrinal controversy was a significant organizing force in this ecology during the post-300 CE period is Widely Accepted. The temporal qualification is essential: this stream's strength is concentrated in the post-325 CE period. Athanasius dominates the late-horizon evidence, and his sources should not be used to characterize ordinary formation in the pre-Nicene period. The earlier anti-heretical writings speak to a different controversy with different characteristics — treating the stream as uniform across 150–400 CE would misrepresent both periods. For the full 250-year span, confidence is Dominant Modern Reconstruction; for the post-325 CE period specifically, Widely Accepted.</w:t>
      </w:r>
    </w:p>
    <w:p>
      <w:pPr>
        <w:spacing w:after="160"/>
      </w:pPr>
      <w:r>
        <w:rPr>
          <w:rFonts w:ascii="Arial" w:cs="Arial" w:eastAsia="Arial" w:hAnsi="Arial"/>
          <w:sz w:val="24"/>
          <w:szCs w:val="24"/>
        </w:rPr>
        <w:t xml:space="preserve">Note: Athanasius's work dominates this stream, and his sources are primarily post-325 CE. This stream should not be used to characterize the character of ordinary formation in the earlier portion of the proposed horizon. See Author Gravity Assessment.</w:t>
      </w:r>
    </w:p>
    <w:p>
      <w:pPr>
        <w:spacing w:after="80"/>
      </w:pPr>
      <w:r>
        <w:t xml:space="preserve"/>
      </w:r>
    </w:p>
    <w:p>
      <w:pPr>
        <w:pStyle w:val="Heading1"/>
        <w:spacing w:after="160" w:before="320"/>
      </w:pPr>
      <w:r>
        <w:rPr>
          <w:rFonts w:ascii="Arial" w:cs="Arial" w:eastAsia="Arial" w:hAnsi="Arial"/>
          <w:b/>
          <w:bCs/>
          <w:sz w:val="32"/>
          <w:szCs w:val="32"/>
        </w:rPr>
        <w:t xml:space="preserve">Source Asymmetry Assessment</w:t>
      </w:r>
    </w:p>
    <w:p>
      <w:pPr>
        <w:pStyle w:val="Heading2"/>
        <w:spacing w:after="120" w:before="240"/>
      </w:pPr>
      <w:r>
        <w:rPr>
          <w:rFonts w:ascii="Arial" w:cs="Arial" w:eastAsia="Arial" w:hAnsi="Arial"/>
          <w:b/>
          <w:bCs/>
          <w:sz w:val="28"/>
          <w:szCs w:val="28"/>
        </w:rPr>
        <w:t xml:space="preserve">Overrepresented Groups</w:t>
      </w:r>
    </w:p>
    <w:p>
      <w:pPr>
        <w:pStyle w:val="ListParagraph"/>
        <w:numPr>
          <w:ilvl w:val="0"/>
          <w:numId w:val="2"/>
        </w:numPr>
        <w:spacing w:after="80"/>
      </w:pPr>
      <w:r>
        <w:rPr>
          <w:rFonts w:ascii="Arial" w:cs="Arial" w:eastAsia="Arial" w:hAnsi="Arial"/>
          <w:sz w:val="24"/>
          <w:szCs w:val="24"/>
        </w:rPr>
        <w:t xml:space="preserve">Bishops and episcopal leaders</w:t>
      </w:r>
    </w:p>
    <w:p>
      <w:pPr>
        <w:pStyle w:val="ListParagraph"/>
        <w:numPr>
          <w:ilvl w:val="0"/>
          <w:numId w:val="2"/>
        </w:numPr>
        <w:spacing w:after="80"/>
      </w:pPr>
      <w:r>
        <w:rPr>
          <w:rFonts w:ascii="Arial" w:cs="Arial" w:eastAsia="Arial" w:hAnsi="Arial"/>
          <w:sz w:val="24"/>
          <w:szCs w:val="24"/>
        </w:rPr>
        <w:t xml:space="preserve">Teachers and theological scholars</w:t>
      </w:r>
    </w:p>
    <w:p>
      <w:pPr>
        <w:pStyle w:val="ListParagraph"/>
        <w:numPr>
          <w:ilvl w:val="0"/>
          <w:numId w:val="2"/>
        </w:numPr>
        <w:spacing w:after="80"/>
      </w:pPr>
      <w:r>
        <w:rPr>
          <w:rFonts w:ascii="Arial" w:cs="Arial" w:eastAsia="Arial" w:hAnsi="Arial"/>
          <w:sz w:val="24"/>
          <w:szCs w:val="24"/>
        </w:rPr>
        <w:t xml:space="preserve">Educated elites capable of literary production</w:t>
      </w:r>
    </w:p>
    <w:p>
      <w:pPr>
        <w:pStyle w:val="ListParagraph"/>
        <w:numPr>
          <w:ilvl w:val="0"/>
          <w:numId w:val="2"/>
        </w:numPr>
        <w:spacing w:after="80"/>
      </w:pPr>
      <w:r>
        <w:rPr>
          <w:rFonts w:ascii="Arial" w:cs="Arial" w:eastAsia="Arial" w:hAnsi="Arial"/>
          <w:sz w:val="24"/>
          <w:szCs w:val="24"/>
        </w:rPr>
        <w:t xml:space="preserve">Greek-speaking Alexandrians</w:t>
      </w:r>
    </w:p>
    <w:p>
      <w:pPr>
        <w:pStyle w:val="Heading2"/>
        <w:spacing w:after="120" w:before="240"/>
      </w:pPr>
      <w:r>
        <w:rPr>
          <w:rFonts w:ascii="Arial" w:cs="Arial" w:eastAsia="Arial" w:hAnsi="Arial"/>
          <w:b/>
          <w:bCs/>
          <w:sz w:val="28"/>
          <w:szCs w:val="28"/>
        </w:rPr>
        <w:t xml:space="preserve">Underrepresented Groups</w:t>
      </w:r>
    </w:p>
    <w:p>
      <w:pPr>
        <w:pStyle w:val="ListParagraph"/>
        <w:numPr>
          <w:ilvl w:val="0"/>
          <w:numId w:val="2"/>
        </w:numPr>
        <w:spacing w:after="80"/>
      </w:pPr>
      <w:r>
        <w:rPr>
          <w:rFonts w:ascii="Arial" w:cs="Arial" w:eastAsia="Arial" w:hAnsi="Arial"/>
          <w:sz w:val="24"/>
          <w:szCs w:val="24"/>
        </w:rPr>
        <w:t xml:space="preserve">Women (present in the ecology but rarely as literary voices)</w:t>
      </w:r>
    </w:p>
    <w:p>
      <w:pPr>
        <w:pStyle w:val="ListParagraph"/>
        <w:numPr>
          <w:ilvl w:val="0"/>
          <w:numId w:val="2"/>
        </w:numPr>
        <w:spacing w:after="80"/>
      </w:pPr>
      <w:r>
        <w:rPr>
          <w:rFonts w:ascii="Arial" w:cs="Arial" w:eastAsia="Arial" w:hAnsi="Arial"/>
          <w:sz w:val="24"/>
          <w:szCs w:val="24"/>
        </w:rPr>
        <w:t xml:space="preserve">Laborers, artisans, and merchants</w:t>
      </w:r>
    </w:p>
    <w:p>
      <w:pPr>
        <w:pStyle w:val="ListParagraph"/>
        <w:numPr>
          <w:ilvl w:val="0"/>
          <w:numId w:val="2"/>
        </w:numPr>
        <w:spacing w:after="80"/>
      </w:pPr>
      <w:r>
        <w:rPr>
          <w:rFonts w:ascii="Arial" w:cs="Arial" w:eastAsia="Arial" w:hAnsi="Arial"/>
          <w:sz w:val="24"/>
          <w:szCs w:val="24"/>
        </w:rPr>
        <w:t xml:space="preserve">Rural Egyptian Christians</w:t>
      </w:r>
    </w:p>
    <w:p>
      <w:pPr>
        <w:pStyle w:val="ListParagraph"/>
        <w:numPr>
          <w:ilvl w:val="0"/>
          <w:numId w:val="2"/>
        </w:numPr>
        <w:spacing w:after="80"/>
      </w:pPr>
      <w:r>
        <w:rPr>
          <w:rFonts w:ascii="Arial" w:cs="Arial" w:eastAsia="Arial" w:hAnsi="Arial"/>
          <w:sz w:val="24"/>
          <w:szCs w:val="24"/>
        </w:rPr>
        <w:t xml:space="preserve">Coptic-speaking communities</w:t>
      </w:r>
    </w:p>
    <w:p>
      <w:pPr>
        <w:pStyle w:val="ListParagraph"/>
        <w:numPr>
          <w:ilvl w:val="0"/>
          <w:numId w:val="2"/>
        </w:numPr>
        <w:spacing w:after="80"/>
      </w:pPr>
      <w:r>
        <w:rPr>
          <w:rFonts w:ascii="Arial" w:cs="Arial" w:eastAsia="Arial" w:hAnsi="Arial"/>
          <w:sz w:val="24"/>
          <w:szCs w:val="24"/>
        </w:rPr>
        <w:t xml:space="preserve">Enslaved persons within Christian households</w:t>
      </w:r>
    </w:p>
    <w:p>
      <w:pPr>
        <w:pStyle w:val="ListParagraph"/>
        <w:numPr>
          <w:ilvl w:val="0"/>
          <w:numId w:val="2"/>
        </w:numPr>
        <w:spacing w:after="80"/>
      </w:pPr>
      <w:r>
        <w:rPr>
          <w:rFonts w:ascii="Arial" w:cs="Arial" w:eastAsia="Arial" w:hAnsi="Arial"/>
          <w:sz w:val="24"/>
          <w:szCs w:val="24"/>
        </w:rPr>
        <w:t xml:space="preserve">Catechumens (present in sources only as recipients, never as authors)</w:t>
      </w:r>
    </w:p>
    <w:p>
      <w:pPr>
        <w:pStyle w:val="Heading2"/>
        <w:spacing w:after="120" w:before="240"/>
      </w:pPr>
      <w:r>
        <w:rPr>
          <w:rFonts w:ascii="Arial" w:cs="Arial" w:eastAsia="Arial" w:hAnsi="Arial"/>
          <w:b/>
          <w:bCs/>
          <w:sz w:val="28"/>
          <w:szCs w:val="28"/>
        </w:rPr>
        <w:t xml:space="preserve">The Greek–Coptic Asymmetry</w:t>
      </w:r>
    </w:p>
    <w:p>
      <w:pPr>
        <w:spacing w:after="160"/>
      </w:pPr>
      <w:r>
        <w:rPr>
          <w:rFonts w:ascii="Arial" w:cs="Arial" w:eastAsia="Arial" w:hAnsi="Arial"/>
          <w:sz w:val="24"/>
          <w:szCs w:val="24"/>
        </w:rPr>
        <w:t xml:space="preserve">Most surviving literary evidence from this world is in Greek. This creates a systematic distortion: the Greek-speaking intellectual tradition of Alexandria is thoroughly documented, while the Coptic-speaking majority of Egyptian Christianity is substantially invisible in the literary record. The ecological significance of this asymmetry is not merely that some voices are missing — it means the surviving record may systematically overrepresent urban Alexandrian concerns relative to the broader Egyptian Christian ecology.</w:t>
      </w:r>
    </w:p>
    <w:p>
      <w:pPr>
        <w:pStyle w:val="Heading3"/>
        <w:spacing w:after="100" w:before="200"/>
      </w:pPr>
      <w:r>
        <w:rPr>
          <w:rFonts w:ascii="Arial" w:cs="Arial" w:eastAsia="Arial" w:hAnsi="Arial"/>
          <w:b/>
          <w:bCs/>
          <w:sz w:val="26"/>
          <w:szCs w:val="26"/>
        </w:rPr>
        <w:t xml:space="preserve">Coptic-Language Evidence (Underrepresented but Available)</w:t>
      </w:r>
    </w:p>
    <w:p>
      <w:pPr>
        <w:spacing w:after="160"/>
      </w:pPr>
      <w:r>
        <w:rPr>
          <w:rFonts w:ascii="Arial" w:cs="Arial" w:eastAsia="Arial" w:hAnsi="Arial"/>
          <w:sz w:val="24"/>
          <w:szCs w:val="24"/>
        </w:rPr>
        <w:t xml:space="preserve">The following Coptic-language sources provide evidence for the ecology beyond what Greek sources reveal, and should be engaged specifically for their contribution to understanding non-elite and non-Alexandrian Christian formation:</w:t>
      </w:r>
    </w:p>
    <w:p>
      <w:pPr>
        <w:pStyle w:val="ListParagraph"/>
        <w:numPr>
          <w:ilvl w:val="0"/>
          <w:numId w:val="2"/>
        </w:numPr>
        <w:spacing w:after="80"/>
      </w:pPr>
      <w:r>
        <w:rPr>
          <w:rFonts w:ascii="Arial" w:cs="Arial" w:eastAsia="Arial" w:hAnsi="Arial"/>
          <w:sz w:val="24"/>
          <w:szCs w:val="24"/>
        </w:rPr>
        <w:t xml:space="preserve">Coptic versions of Scripture — evidence for what texts were treated as authoritative and how they were rendered in the vernacular</w:t>
      </w:r>
    </w:p>
    <w:p>
      <w:pPr>
        <w:pStyle w:val="ListParagraph"/>
        <w:numPr>
          <w:ilvl w:val="0"/>
          <w:numId w:val="2"/>
        </w:numPr>
        <w:spacing w:after="80"/>
      </w:pPr>
      <w:r>
        <w:rPr>
          <w:rFonts w:ascii="Arial" w:cs="Arial" w:eastAsia="Arial" w:hAnsi="Arial"/>
          <w:sz w:val="24"/>
          <w:szCs w:val="24"/>
        </w:rPr>
        <w:t xml:space="preserve">Acts of the Martyrs in Coptic — hagiographic literature about persecution and faithful witness, often centered on non-elite figures</w:t>
      </w:r>
    </w:p>
    <w:p>
      <w:pPr>
        <w:pStyle w:val="ListParagraph"/>
        <w:numPr>
          <w:ilvl w:val="0"/>
          <w:numId w:val="2"/>
        </w:numPr>
        <w:spacing w:after="80"/>
      </w:pPr>
      <w:r>
        <w:rPr>
          <w:rFonts w:ascii="Arial" w:cs="Arial" w:eastAsia="Arial" w:hAnsi="Arial"/>
          <w:sz w:val="24"/>
          <w:szCs w:val="24"/>
        </w:rPr>
        <w:t xml:space="preserve">Pachomian rule literature — foundational documents for Egyptian cenobitic monasticism, written in Coptic in the mid-4th century, representing a distinct formation vision for a broader population than the school tradition addressed [Cross-build provisional: world-attribution held open pending Phase 3 gravity discovery; see Doc_01 Desert Christianity boundary note]</w:t>
      </w:r>
    </w:p>
    <w:p>
      <w:pPr>
        <w:pStyle w:val="ListParagraph"/>
        <w:numPr>
          <w:ilvl w:val="0"/>
          <w:numId w:val="2"/>
        </w:numPr>
        <w:spacing w:after="80"/>
      </w:pPr>
      <w:r>
        <w:rPr>
          <w:rFonts w:ascii="Arial" w:cs="Arial" w:eastAsia="Arial" w:hAnsi="Arial"/>
          <w:sz w:val="24"/>
          <w:szCs w:val="24"/>
        </w:rPr>
        <w:t xml:space="preserve">Nag Hammadi texts — Coptic texts, complex in their relationship to mainstream Alexandrian Christianity; primarily associated with Gnostic movements but provide evidence for the diversity of Egyptian Christian textual culture and theological concerns</w:t>
      </w:r>
    </w:p>
    <w:p>
      <w:pPr>
        <w:pStyle w:val="ListParagraph"/>
        <w:numPr>
          <w:ilvl w:val="0"/>
          <w:numId w:val="2"/>
        </w:numPr>
        <w:spacing w:after="80"/>
      </w:pPr>
      <w:r>
        <w:rPr>
          <w:rFonts w:ascii="Arial" w:cs="Arial" w:eastAsia="Arial" w:hAnsi="Arial"/>
          <w:sz w:val="24"/>
          <w:szCs w:val="24"/>
        </w:rPr>
        <w:t xml:space="preserve">Letters and homilies of Shenoute of Atripe — technically outside the proposed horizon (late 4th–5th century) but indicative of Coptic Christian formation concerns in continuity with the earlier period</w:t>
      </w:r>
    </w:p>
    <w:p>
      <w:pPr>
        <w:spacing w:after="80"/>
      </w:pPr>
      <w:r>
        <w:t xml:space="preserve"/>
      </w:r>
    </w:p>
    <w:p>
      <w:pPr>
        <w:spacing w:after="160"/>
      </w:pPr>
      <w:r>
        <w:rPr>
          <w:rFonts w:ascii="Arial" w:cs="Arial" w:eastAsia="Arial" w:hAnsi="Arial"/>
          <w:sz w:val="24"/>
          <w:szCs w:val="24"/>
        </w:rPr>
        <w:t xml:space="preserve">These sources are underrepresented in standard patristics scholarship because they require Coptic-language access and fall outside the dominant Greco-Roman literary tradition. Their integration into ecological reconstruction requires deliberate effort.</w:t>
      </w:r>
    </w:p>
    <w:p>
      <w:pPr>
        <w:pStyle w:val="Heading2"/>
        <w:spacing w:after="120" w:before="240"/>
      </w:pPr>
      <w:r>
        <w:rPr>
          <w:rFonts w:ascii="Arial" w:cs="Arial" w:eastAsia="Arial" w:hAnsi="Arial"/>
          <w:b/>
          <w:bCs/>
          <w:sz w:val="28"/>
          <w:szCs w:val="28"/>
        </w:rPr>
        <w:t xml:space="preserve">Important Warning</w:t>
      </w:r>
    </w:p>
    <w:p>
      <w:pPr>
        <w:spacing w:after="160"/>
      </w:pPr>
      <w:r>
        <w:rPr>
          <w:rFonts w:ascii="Arial" w:cs="Arial" w:eastAsia="Arial" w:hAnsi="Arial"/>
          <w:sz w:val="24"/>
          <w:szCs w:val="24"/>
        </w:rPr>
        <w:t xml:space="preserve">Evidential visibility should not automatically be treated as ecological visibility. The surviving sources reflect who had access to literary production. They reveal the ecology imperfectly and asymmetrically. This limitation must remain visible throughout all subsequent reconstruction phases.</w:t>
      </w:r>
    </w:p>
    <w:p>
      <w:pPr>
        <w:spacing w:after="160"/>
      </w:pPr>
      <w:r>
        <w:rPr>
          <w:rFonts w:ascii="Arial" w:cs="Arial" w:eastAsia="Arial" w:hAnsi="Arial"/>
          <w:sz w:val="24"/>
          <w:szCs w:val="24"/>
        </w:rPr>
        <w:t xml:space="preserve">When a formation practice appears frequently in the surviving sources, this may indicate: (a) that it was genuinely central to the ecology, (b) that it was central to the concerns of the surviving authors but not necessarily to the broader ecology, or (c) some combination. Distinguishing between evidential visibility and ecological significance is a discipline that must be actively maintained, not assumed.</w:t>
      </w:r>
    </w:p>
    <w:p>
      <w:pPr>
        <w:spacing w:after="80"/>
      </w:pPr>
      <w:r>
        <w:t xml:space="preserve"/>
      </w:r>
    </w:p>
    <w:p>
      <w:pPr>
        <w:pStyle w:val="Heading1"/>
        <w:spacing w:after="160" w:before="320"/>
      </w:pPr>
      <w:r>
        <w:rPr>
          <w:rFonts w:ascii="Arial" w:cs="Arial" w:eastAsia="Arial" w:hAnsi="Arial"/>
          <w:b/>
          <w:bCs/>
          <w:sz w:val="32"/>
          <w:szCs w:val="32"/>
        </w:rPr>
        <w:t xml:space="preserve">Author Gravity Assessment</w:t>
      </w:r>
    </w:p>
    <w:p>
      <w:pPr>
        <w:spacing w:after="160"/>
      </w:pPr>
      <w:r>
        <w:rPr>
          <w:rFonts w:ascii="Arial" w:cs="Arial" w:eastAsia="Arial" w:hAnsi="Arial"/>
          <w:sz w:val="24"/>
          <w:szCs w:val="24"/>
        </w:rPr>
        <w:t xml:space="preserve">The Construction Framework requires evaluation of major voices along four dimensions: visibility (how much does this author's work dominate the surviving record?), representativeness (how broadly does this author speak for the ecology?), influence (how did this author shape subsequent development?), and limitations (what does this author systematically obscure?).</w:t>
      </w:r>
    </w:p>
    <w:p>
      <w:pPr>
        <w:pStyle w:val="Heading2"/>
        <w:spacing w:after="120" w:before="240"/>
      </w:pPr>
      <w:r>
        <w:rPr>
          <w:rFonts w:ascii="Arial" w:cs="Arial" w:eastAsia="Arial" w:hAnsi="Arial"/>
          <w:b/>
          <w:bCs/>
          <w:sz w:val="28"/>
          <w:szCs w:val="28"/>
        </w:rPr>
        <w:t xml:space="preserve">Clement of Alexandria (c. 150–215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Significant within the surviving record; several major works survive (Protreptikos, Paedagogus, Stromata), though many catechetical and homiletical works are lost. His visible output is substantial but represents a fraction of his probable production.</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Partial. Clement writes for and as an educated Christian teacher whose primary audience and concern is the formation of the Christian intellectual — what he calls the “true gnostic.” His vision of the fully formed Christian is heavily shaped by his own social location as an urban, philosophically trained teacher. Non-elite believers, women, and household Christians are largely invisible as subjects in his work (though they are addressed pastorally in the Paedagogus).</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Formative for Origen (who studied in the tradition Clement helped shape) and for the catechetical approach that defines Alexandrian Christianity's intellectual face. His confident synthesis of Christianity and Greek philosophy establishes the template the tradition follows. His work on the stages of Christian formation (faith leading to knowledge leading to wisdom) becomes foundational.</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His concern with the educated Christian's formation produces systematic under-representation of the majority of Alexandrian Christian life. His confidence that Greek philosophy and Christian faith belong together may overstate the actual comfort level with philosophical engagement in ordinary communities. His portrait of the “true gnostic” as the ideal Christian is a vision, not a description of most believers.</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Streams 5 (Educational Ecology) and 6 (Philosophical Engagement) may appear more prominent than they actually were in the broader ecology because Clement's work concentrated precisely there.</w:t>
      </w:r>
    </w:p>
    <w:p>
      <w:pPr>
        <w:spacing w:after="80"/>
      </w:pPr>
      <w:r>
        <w:t xml:space="preserve"/>
      </w:r>
    </w:p>
    <w:p>
      <w:pPr>
        <w:pStyle w:val="Heading2"/>
        <w:spacing w:after="120" w:before="240"/>
      </w:pPr>
      <w:r>
        <w:rPr>
          <w:rFonts w:ascii="Arial" w:cs="Arial" w:eastAsia="Arial" w:hAnsi="Arial"/>
          <w:b/>
          <w:bCs/>
          <w:sz w:val="28"/>
          <w:szCs w:val="28"/>
        </w:rPr>
        <w:t xml:space="preserve">Origen (c. 185–254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Extremely high. Origen was the most prolific writer in the early Church, producing commentaries on most of the biblical canon, thousands of homilies, systematic theological works, apologetic writings, and extensive correspondence. Even though much has been lost, his surviving output constitutes a significant portion of all surviving Alexandrian Christian literature. No other single author comes close to his evidential presence in this world.</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Partial, with critical qualifications. Origen represents one specific mode of Alexandrian Christianity — intellectually intensive, allegorically ambitious, spiritually systematic, philosophically sophisticated — at a pitch that may not characterize the broader ecology. His work is the lens through which most subsequent Alexandrian Christian thought has been transmitted and interpreted. This means he does not merely reflect the ecology but has substantially shaped how it appears in the historical record.</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Systemic and immense. Origen shapes Evidence Streams 1, 2, 4, 5, and 6 simultaneously. His students include Dionysius of Alexandria (later bishop), Gregory Thaumaturgus (who spread his method to Cappadocia and through whom the Cappadocian Fathers inherited it), and Didymus the Blind. His influence extends beyond Alexandria to shape Eastern and eventually Western Christian theology and hermeneutics. The tradition simultaneously reveres, inherits, cautions about, and in some respects condemns him — making him the most consequential and most complicated figure in this world.</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His theological adventurousness (on pre-existence of souls, apokatastasis, certain Christological formulations) was later condemned in part, which complicates how his work can be used as evidence for the ecology's mainstream. His emphasis on intellectual formation may create the impression that Alexandrian Christianity was primarily an intellectual movement. The experience of ordinary, non-literate Christians is virtually invisible in his work. His later years were spent in Caesarea rather than Alexandria, which means some of his later work reflects a different context.</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SYSTEMIC. Origen is an Author Gravity risk not only for individual evidence streams but for the entire reconstruction. Multiple candidate gravities that will emerge in Phase 3 — scriptural interpretation, spiritual transformation, educational formation, philosophical engagement — are all heavily attested primarily through his work. Before classifying any candidate as a Primary Gravity, the question must be actively asked: does this appear because it genuinely organized the broader ecology, or because it was Origen's particular emphasis and his output dominates the surviving record? This question must remain active throughout all subsequent reconstruction phases, not resolved once and assumed settled.</w:t>
      </w:r>
    </w:p>
    <w:p>
      <w:pPr>
        <w:spacing w:after="160"/>
      </w:pPr>
      <w:r>
        <w:rPr>
          <w:rFonts w:ascii="Arial" w:cs="Arial" w:eastAsia="Arial" w:hAnsi="Arial"/>
          <w:b/>
          <w:bCs/>
          <w:sz w:val="24"/>
          <w:szCs w:val="24"/>
        </w:rPr>
        <w:t xml:space="preserve">Living Tradition note: </w:t>
      </w:r>
      <w:r>
        <w:rPr>
          <w:rFonts w:ascii="Arial" w:cs="Arial" w:eastAsia="Arial" w:hAnsi="Arial"/>
          <w:sz w:val="24"/>
          <w:szCs w:val="24"/>
        </w:rPr>
        <w:t xml:space="preserve">The condemnations of specific Origenist propositions at the Fifth Ecumenical Council (553 CE) complicate his evidential status. He must be used as a primary Alexandrian source while the trajectory of his influence toward condemnation is held in view. See Living Tradition Status in Doc_01.</w:t>
      </w:r>
    </w:p>
    <w:p>
      <w:pPr>
        <w:spacing w:after="160"/>
      </w:pPr>
      <w:r>
        <w:rPr>
          <w:rFonts w:ascii="Arial" w:cs="Arial" w:eastAsia="Arial" w:hAnsi="Arial"/>
          <w:b/>
          <w:bCs/>
          <w:sz w:val="24"/>
          <w:szCs w:val="24"/>
        </w:rPr>
        <w:t xml:space="preserve">Temporal location note (V7 addition): </w:t>
      </w:r>
      <w:r>
        <w:rPr>
          <w:rFonts w:ascii="Arial" w:cs="Arial" w:eastAsia="Arial" w:hAnsi="Arial"/>
          <w:sz w:val="24"/>
          <w:szCs w:val="24"/>
        </w:rPr>
        <w:t xml:space="preserve">Origen's evidence is concentrated in the mid-horizon (c. 185–254 CE). Claims about the Alexandrian formation ecology drawn primarily from Origen should be assessed for whether they hold across the early horizon (Clement, c. 150–215 CE) and the late horizon (Athanasius, c. 296–373 CE) or are characteristic of the mid-horizon school tradition specifically. This temporal clustering compounds his Author Gravity risk — dominance of both author and period simultaneously. Where Clement's early-horizon evidence confirms a pattern, confidence increases; where only Origen attests it, the temporal concentration must be named as a further limit on confidence.</w:t>
      </w:r>
    </w:p>
    <w:p>
      <w:pPr>
        <w:spacing w:after="80"/>
      </w:pPr>
      <w:r>
        <w:t xml:space="preserve"/>
      </w:r>
    </w:p>
    <w:p>
      <w:pPr>
        <w:pStyle w:val="Heading2"/>
        <w:spacing w:after="120" w:before="240"/>
      </w:pPr>
      <w:r>
        <w:rPr>
          <w:rFonts w:ascii="Arial" w:cs="Arial" w:eastAsia="Arial" w:hAnsi="Arial"/>
          <w:b/>
          <w:bCs/>
          <w:sz w:val="28"/>
          <w:szCs w:val="28"/>
        </w:rPr>
        <w:t xml:space="preserve">Athanasius (c. 296–373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 but temporally concentrated in the post-Nicene period. His surviving work is substantial: the anti-Arian writings, the Festal Letters, the Life of Antony, apologetic works, and pastoral letters.</w:t>
      </w:r>
    </w:p>
    <w:p>
      <w:pPr>
        <w:spacing w:after="160"/>
      </w:pPr>
      <w:r>
        <w:rPr>
          <w:rFonts w:ascii="Arial" w:cs="Arial" w:eastAsia="Arial" w:hAnsi="Arial"/>
          <w:b/>
          <w:bCs/>
          <w:sz w:val="24"/>
          <w:szCs w:val="24"/>
        </w:rPr>
        <w:t xml:space="preserve">Temporal caution: </w:t>
      </w:r>
      <w:r>
        <w:rPr>
          <w:rFonts w:ascii="Arial" w:cs="Arial" w:eastAsia="Arial" w:hAnsi="Arial"/>
          <w:sz w:val="24"/>
          <w:szCs w:val="24"/>
        </w:rPr>
        <w:t xml:space="preserve">Athanasius's sources are primarily post-325 CE. His work represents the Nicene and post-Nicene phase of the proposed horizon and should not be used to characterize the pre-Nicene period. Evidence from Athanasius about the character of Alexandrian formation, Christological understanding, or communal life applies to the period after approximately 325 CE.</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Partial — episcopal leader whose work primarily addresses concerns of leadership, orthodoxy defense, and pastoral governance of the whole Egyptian church. His Festal Letters provide access to his communication with all of Egypt's Christians, but the perspective is that of the bishop addressing his community, not the community describing itself.</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He defines the Nicene Christological settlement for the Eastern church, ensuring the Logos's full divinity becomes the foundation on which all subsequent Alexandrian theological development stands. He connects the Alexandrian theological tradition to the emerging monastic movement through his relationship with Antony and his authorship of the Life of Antony.</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His concentration on Christological controversy may over-represent the period's doctrinal conflict relative to its ongoing formative life. The Arian controversy is not the whole story of Alexandrian Christianity in the 4th century, but Athanasius's survival and influence can make it appear so.</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Stream 12 (Doctrinal Controversy) may appear more central to ordinary Alexandrian formation than it was, because Athanasius's post-Nicene work dominates the later portion of the proposed horizon.</w:t>
      </w:r>
    </w:p>
    <w:p>
      <w:pPr>
        <w:spacing w:after="80"/>
      </w:pPr>
      <w:r>
        <w:t xml:space="preserve"/>
      </w:r>
    </w:p>
    <w:p>
      <w:pPr>
        <w:pStyle w:val="Heading2"/>
        <w:spacing w:after="120" w:before="240"/>
      </w:pPr>
      <w:r>
        <w:rPr>
          <w:rFonts w:ascii="Arial" w:cs="Arial" w:eastAsia="Arial" w:hAnsi="Arial"/>
          <w:b/>
          <w:bCs/>
          <w:sz w:val="28"/>
          <w:szCs w:val="28"/>
        </w:rPr>
        <w:t xml:space="preserve">Didymus the Blind (c. 313–398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 Significant surviving commentary work (Psalms, Job, Zechariah, recovered in the 20th century). His output was substantial but much less than Origen's.</w:t>
      </w:r>
    </w:p>
    <w:p>
      <w:pPr>
        <w:spacing w:after="160"/>
      </w:pPr>
      <w:r>
        <w:rPr>
          <w:rFonts w:ascii="Arial" w:cs="Arial" w:eastAsia="Arial" w:hAnsi="Arial"/>
          <w:b/>
          <w:bCs/>
          <w:sz w:val="24"/>
          <w:szCs w:val="24"/>
        </w:rPr>
        <w:t xml:space="preserve">Social Location: </w:t>
      </w:r>
      <w:r>
        <w:rPr>
          <w:rFonts w:ascii="Arial" w:cs="Arial" w:eastAsia="Arial" w:hAnsi="Arial"/>
          <w:sz w:val="24"/>
          <w:szCs w:val="24"/>
        </w:rPr>
        <w:t xml:space="preserve">Head of the Alexandrian catechetical school for approximately 50 years; remarkable for having been blind from early childhood, which means he engaged Scripture entirely through hearing and oral-memorial means, yet produced extensive scholarly commentary. His blindness shaped his relationship to text in distinctive ways that are not representative of the school tradition generally.</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Partial — scholarly teacher within the catechetical tradition. Similar limitations to Origen in terms of social location and concern.</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Significant for the continuity of the Origenian exegetical tradition into the late 4th century. He transmitted the method to a new generation of students including Jerome (briefly). His commentary work demonstrates the school tradition's remarkable persistence.</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Moderate. His work confirms and extends patterns visible in Origen without substantially introducing new ones. His distinctive situation (blindness) is a particularizing factor rather than a distorting one.</w:t>
      </w:r>
    </w:p>
    <w:p>
      <w:pPr>
        <w:spacing w:after="80"/>
      </w:pPr>
      <w:r>
        <w:t xml:space="preserve"/>
      </w:r>
    </w:p>
    <w:p>
      <w:pPr>
        <w:pStyle w:val="Heading2"/>
        <w:spacing w:after="120" w:before="240"/>
      </w:pPr>
      <w:r>
        <w:rPr>
          <w:rFonts w:ascii="Arial" w:cs="Arial" w:eastAsia="Arial" w:hAnsi="Arial"/>
          <w:b/>
          <w:bCs/>
          <w:sz w:val="28"/>
          <w:szCs w:val="28"/>
        </w:rPr>
        <w:t xml:space="preserve">Philo of Alexandria (c. 20 BCE–50 CE) — Pre-Christian Formative Influence</w:t>
      </w:r>
    </w:p>
    <w:p>
      <w:pPr>
        <w:spacing w:after="160"/>
      </w:pPr>
      <w:r>
        <w:rPr>
          <w:rFonts w:ascii="Arial" w:cs="Arial" w:eastAsia="Arial" w:hAnsi="Arial"/>
          <w:sz w:val="24"/>
          <w:szCs w:val="24"/>
        </w:rPr>
        <w:t xml:space="preserve">Philo is not a source within Alexandrian Christianity — he is Jewish, not Christian, and predates the proposed horizon. He does not appear in this world's evidence streams. He is listed here because his influence on how Alexandrian Christians read, think, and engage philosophy is so pervasive that the world cannot be fully understood without him.</w:t>
      </w:r>
    </w:p>
    <w:p>
      <w:pPr>
        <w:spacing w:after="160"/>
      </w:pPr>
      <w:r>
        <w:rPr>
          <w:rFonts w:ascii="Arial" w:cs="Arial" w:eastAsia="Arial" w:hAnsi="Arial"/>
          <w:b/>
          <w:bCs/>
          <w:sz w:val="24"/>
          <w:szCs w:val="24"/>
        </w:rPr>
        <w:t xml:space="preserve">What he reveals about this world: </w:t>
      </w:r>
      <w:r>
        <w:rPr>
          <w:rFonts w:ascii="Arial" w:cs="Arial" w:eastAsia="Arial" w:hAnsi="Arial"/>
          <w:sz w:val="24"/>
          <w:szCs w:val="24"/>
        </w:rPr>
        <w:t xml:space="preserve">The inherited interpretive grammar — allegorical reading of Scripture as philosophy, the Logos as divine intermediary between God and creation, Moses as the highest philosopher, the conviction that the strangeness of the text is pedagogical rather than problematic. Clement and Origen inherit these moves even where they transform them. The phrase “Philo in his instincts” (used in Theon's construction notes) captures the nature of the inheritance: not citation but embedded assumption.</w:t>
      </w:r>
    </w:p>
    <w:p>
      <w:pPr>
        <w:spacing w:after="160"/>
      </w:pPr>
      <w:r>
        <w:rPr>
          <w:rFonts w:ascii="Arial" w:cs="Arial" w:eastAsia="Arial" w:hAnsi="Arial"/>
          <w:b/>
          <w:bCs/>
          <w:sz w:val="24"/>
          <w:szCs w:val="24"/>
        </w:rPr>
        <w:t xml:space="preserve">How to use his evidence: </w:t>
      </w:r>
      <w:r>
        <w:rPr>
          <w:rFonts w:ascii="Arial" w:cs="Arial" w:eastAsia="Arial" w:hAnsi="Arial"/>
          <w:sz w:val="24"/>
          <w:szCs w:val="24"/>
        </w:rPr>
        <w:t xml:space="preserve">Philo should be used diagnostically — to understand the interpretive grammar that Alexandrian Christians inherited, to identify what they took for granted rather than what they invented. When Clement uses allegorical methods or Origen develops Logos theology, Philo's work helps distinguish what they are inheriting from what they are transforming. He should not be used as direct evidence for Christian formation practices.</w:t>
      </w:r>
    </w:p>
    <w:p>
      <w:pPr>
        <w:spacing w:after="160"/>
      </w:pPr>
      <w:r>
        <w:rPr>
          <w:rFonts w:ascii="Arial" w:cs="Arial" w:eastAsia="Arial" w:hAnsi="Arial"/>
          <w:b/>
          <w:bCs/>
          <w:sz w:val="24"/>
          <w:szCs w:val="24"/>
        </w:rPr>
        <w:t xml:space="preserve">Important distinction: </w:t>
      </w:r>
      <w:r>
        <w:rPr>
          <w:rFonts w:ascii="Arial" w:cs="Arial" w:eastAsia="Arial" w:hAnsi="Arial"/>
          <w:sz w:val="24"/>
          <w:szCs w:val="24"/>
        </w:rPr>
        <w:t xml:space="preserve">Philo's presence in the background of Alexandrian Christian reading does not make Alexandrian Christianity a form of Judaism. The transformation is real and substantial. But the inheritance is equally real and should not be minimized.</w:t>
      </w:r>
    </w:p>
    <w:p>
      <w:pPr>
        <w:spacing w:after="80"/>
      </w:pPr>
      <w:r>
        <w:t xml:space="preserve"/>
      </w:r>
    </w:p>
    <w:p>
      <w:pPr>
        <w:pStyle w:val="Heading1"/>
        <w:spacing w:after="160" w:before="320"/>
      </w:pPr>
      <w:r>
        <w:rPr>
          <w:rFonts w:ascii="Arial" w:cs="Arial" w:eastAsia="Arial" w:hAnsi="Arial"/>
          <w:b/>
          <w:bCs/>
          <w:sz w:val="32"/>
          <w:szCs w:val="32"/>
        </w:rPr>
        <w:t xml:space="preserve">Forces-Lens Reading</w:t>
      </w:r>
    </w:p>
    <w:p>
      <w:pPr>
        <w:spacing w:after="160"/>
      </w:pPr>
      <w:r>
        <w:rPr>
          <w:rFonts w:ascii="Arial" w:cs="Arial" w:eastAsia="Arial" w:hAnsi="Arial"/>
          <w:sz w:val="24"/>
          <w:szCs w:val="24"/>
        </w:rPr>
        <w:t xml:space="preserve">This section applies the preliminary forces identification established in Doc_01 to the specific sources named in this document. It does not repeat what Doc_01 established; it adds source-level specificity — naming which evidence streams and which specific sources speak most directly to each forces dimension, and which are silent on forces the preliminary identification predicted would be present. Confidence levels in this section apply to the source's capacity to speak to the named forces dimension, not to the forces claim itself.</w:t>
      </w:r>
    </w:p>
    <w:p>
      <w:pPr>
        <w:pStyle w:val="Heading2"/>
        <w:spacing w:after="120" w:before="240"/>
      </w:pPr>
      <w:r>
        <w:rPr>
          <w:rFonts w:ascii="Arial" w:cs="Arial" w:eastAsia="Arial" w:hAnsi="Arial"/>
          <w:b/>
          <w:bCs/>
          <w:sz w:val="28"/>
          <w:szCs w:val="28"/>
        </w:rPr>
        <w:t xml:space="preserve">What Generated This World — Initiating Forces</w:t>
      </w:r>
    </w:p>
    <w:p>
      <w:pPr>
        <w:spacing w:after="160"/>
      </w:pPr>
      <w:r>
        <w:rPr>
          <w:rFonts w:ascii="Arial" w:cs="Arial" w:eastAsia="Arial" w:hAnsi="Arial"/>
          <w:sz w:val="24"/>
          <w:szCs w:val="24"/>
        </w:rPr>
        <w:t xml:space="preserve">The primary initiating force identified in Doc_01 is the Philonic inheritance: the pre-existing synthesis of Jewish scripture and Greek philosophy that Alexandrian Christianity entered rather than constructed. The sources that speak most directly to this initiating force are concentrated in Evidence Stream 6 (Philosophical Engagement) and Evidence Stream 1 (Scriptural Interpretation).</w:t>
      </w:r>
    </w:p>
    <w:p>
      <w:pPr>
        <w:spacing w:after="160"/>
      </w:pPr>
      <w:r>
        <w:rPr>
          <w:rFonts w:ascii="Arial" w:cs="Arial" w:eastAsia="Arial" w:hAnsi="Arial"/>
          <w:sz w:val="24"/>
          <w:szCs w:val="24"/>
        </w:rPr>
        <w:t xml:space="preserve">Clement's Stromata (c. 195–215 CE, early horizon) is the single source that most directly addresses the inherited interpretive grammar. Clement engages Philo's allegorical moves explicitly, claims philosophy as a “schoolmaster” preparing the Greek-educated for Christ, and demonstrates in practice the synthesis that the Philonic inheritance made available. Van den Hoek's specialist scholarship confirms that Clement's engagement is not generic Platonism but specifically shaped by the Alexandrian synthesis Philo pioneered. Confidence for Clement’s Stromata and related sources to speak to the Philonic inheritance as an initiating forces dimension: Widely Accepted.</w:t>
      </w:r>
    </w:p>
    <w:p>
      <w:pPr>
        <w:spacing w:after="160"/>
      </w:pPr>
      <w:r>
        <w:rPr>
          <w:rFonts w:ascii="Arial" w:cs="Arial" w:eastAsia="Arial" w:hAnsi="Arial"/>
          <w:sz w:val="24"/>
          <w:szCs w:val="24"/>
        </w:rPr>
        <w:t xml:space="preserve">Origen's Against Celsus (c. 246–248 CE, mid-horizon) speaks to the initiating conditions from a different angle: it demonstrates the apologetic pressure that the philosophical environment exerted and how Alexandrian Christianity responded to it. The text is a point-by-point engagement with a sustained philosophical critique, revealing what the ecology felt it needed to answer. Confidence for Against Celsus to speak to the initiating external pressure from the philosophical environment as a forces dimension: Documented — this is what the text is.</w:t>
      </w:r>
    </w:p>
    <w:p>
      <w:pPr>
        <w:spacing w:after="160"/>
      </w:pPr>
      <w:r>
        <w:rPr>
          <w:rFonts w:ascii="Arial" w:cs="Arial" w:eastAsia="Arial" w:hAnsi="Arial"/>
          <w:sz w:val="24"/>
          <w:szCs w:val="24"/>
        </w:rPr>
        <w:t xml:space="preserve">The early apostolic and catechetical inheritance is most directly visible in Stream 2 through Clement's Paedagogus and the embedded catechetical traditions across multiple sources. Confidence: Widely Accepted for the presence of this inheritance; Dominant Modern Reconstruction for claims about how it functioned specifically for non-elite participants.</w:t>
      </w:r>
    </w:p>
    <w:p>
      <w:pPr>
        <w:spacing w:after="160"/>
      </w:pPr>
      <w:r>
        <w:rPr>
          <w:rFonts w:ascii="Arial" w:cs="Arial" w:eastAsia="Arial" w:hAnsi="Arial"/>
          <w:sz w:val="24"/>
          <w:szCs w:val="24"/>
        </w:rPr>
        <w:t xml:space="preserve">Temporal note: the sources that speak most clearly to initiating conditions are concentrated in the early-to-mid horizon (Clement c. 150–215 CE, Origen c. 185–254 CE). How the initiating forces continued to shape the ecology in the late horizon (Athanasius c. 296–373 CE) is attested primarily through their downstream effects rather than through the same directness of apologetic and philosophical engagement.</w:t>
      </w:r>
    </w:p>
    <w:p>
      <w:pPr>
        <w:pStyle w:val="Heading2"/>
        <w:spacing w:after="120" w:before="240"/>
      </w:pPr>
      <w:r>
        <w:rPr>
          <w:rFonts w:ascii="Arial" w:cs="Arial" w:eastAsia="Arial" w:hAnsi="Arial"/>
          <w:b/>
          <w:bCs/>
          <w:sz w:val="28"/>
          <w:szCs w:val="28"/>
        </w:rPr>
        <w:t xml:space="preserve">What Larger World Was It Embedded In — External Context</w:t>
      </w:r>
    </w:p>
    <w:p>
      <w:pPr>
        <w:spacing w:after="160"/>
      </w:pPr>
      <w:r>
        <w:rPr>
          <w:rFonts w:ascii="Arial" w:cs="Arial" w:eastAsia="Arial" w:hAnsi="Arial"/>
          <w:sz w:val="24"/>
          <w:szCs w:val="24"/>
        </w:rPr>
        <w:t xml:space="preserve">Doc_01 identified four external context dimensions: Neoplatonic competition, the Gnostic challenge, the Jewish hermeneutical near-inheritance, and the Egyptian indigenous religious environment. The sources speak to these with very different degrees of directness and at different periods of the horizon.</w:t>
      </w:r>
    </w:p>
    <w:p>
      <w:pPr>
        <w:spacing w:after="160"/>
      </w:pPr>
      <w:r>
        <w:rPr>
          <w:rFonts w:ascii="Arial" w:cs="Arial" w:eastAsia="Arial" w:hAnsi="Arial"/>
          <w:sz w:val="24"/>
          <w:szCs w:val="24"/>
        </w:rPr>
        <w:t xml:space="preserve">Neoplatonic competition: Evidence Stream 6 carries this most directly, concentrated in Clement and Origen. Confidence for Stream 6’s capacity to attest Neoplatonic competition as an external forces dimension: Widely Accepted. Confidence for Stream 6 sources to speak to how this pressure affected ordinary believers beyond the school tradition: Inferential/Thin — the sources that name the Neoplatonic competition are precisely those concentrated in the educated stratum.</w:t>
      </w:r>
    </w:p>
    <w:p>
      <w:pPr>
        <w:spacing w:after="160"/>
      </w:pPr>
      <w:r>
        <w:rPr>
          <w:rFonts w:ascii="Arial" w:cs="Arial" w:eastAsia="Arial" w:hAnsi="Arial"/>
          <w:sz w:val="24"/>
          <w:szCs w:val="24"/>
        </w:rPr>
        <w:t xml:space="preserve">Gnostic challenge: Evidence Streams 1 and 2 carry the Gnostic-response dimension. Clement’s portrait of the “true gnostic” and Origen’s counter-account of genuine knowledge are both shaped by the Gnostic claim. Stream 12’s anti-heretical writings provide further evidence. Confidence for Streams 1 and 12’s capacity to attest the Gnostic challenge as an external forces dimension in the early-to-mid horizon: Widely Accepted. Confidence for these sources to speak to how the Gnostic challenge operated across the broader ecology: Dominant Modern Reconstruction at best.</w:t>
      </w:r>
    </w:p>
    <w:p>
      <w:pPr>
        <w:spacing w:after="160"/>
      </w:pPr>
      <w:r>
        <w:rPr>
          <w:rFonts w:ascii="Arial" w:cs="Arial" w:eastAsia="Arial" w:hAnsi="Arial"/>
          <w:sz w:val="24"/>
          <w:szCs w:val="24"/>
        </w:rPr>
        <w:t xml:space="preserve">Jewish hermeneutical near-inheritance: Carried primarily through Philo (pre-horizon, diagnostic use only) and through how Clement and Origen use allegorical method. Confidence for Clement’s and Origen’s sources to speak to the Philonic inheritance as an external forces dimension: Widely Accepted. Confidence for these sources to speak to its specific effects in later figures where the inheritance is less explicitly named: Dominant Modern Reconstruction.</w:t>
      </w:r>
    </w:p>
    <w:p>
      <w:pPr>
        <w:spacing w:after="160"/>
      </w:pPr>
      <w:r>
        <w:rPr>
          <w:rFonts w:ascii="Arial" w:cs="Arial" w:eastAsia="Arial" w:hAnsi="Arial"/>
          <w:sz w:val="24"/>
          <w:szCs w:val="24"/>
        </w:rPr>
        <w:t xml:space="preserve">Egyptian indigenous religious environment: Carried primarily through the Material Culture and Daily Life Sources section. No literary source within this ecology explicitly names its Egyptian religious environment as a shaping force. Confidence for specific claims about how indigenous Egyptian religion shaped Christian formation: Inferential/Thin — the influence is probable but difficult to trace with textual specificity.</w:t>
      </w:r>
    </w:p>
    <w:p>
      <w:pPr>
        <w:spacing w:after="160"/>
      </w:pPr>
      <w:r>
        <w:rPr>
          <w:rFonts w:ascii="Arial" w:cs="Arial" w:eastAsia="Arial" w:hAnsi="Arial"/>
          <w:sz w:val="24"/>
          <w:szCs w:val="24"/>
        </w:rPr>
        <w:t xml:space="preserve">Named silence: The forces that Coptic-speaking Egyptian Christian communities experienced from Roman imperial administration and indigenous religious practice are substantially unrecoverable from the surviving literary sources. This is the silence Doc_01 identified as most meaningful, and the source ecology confirms it at the source level. Streams 10 and 11 speak to the existence of these communities; no surviving source speaks from inside their formation experience. This silence is forces evidence: it tells us what is absent from the preserved record, not that these forces were absent from the ecology.</w:t>
      </w:r>
    </w:p>
    <w:p>
      <w:pPr>
        <w:pStyle w:val="Heading2"/>
        <w:spacing w:after="120" w:before="240"/>
      </w:pPr>
      <w:r>
        <w:rPr>
          <w:rFonts w:ascii="Arial" w:cs="Arial" w:eastAsia="Arial" w:hAnsi="Arial"/>
          <w:b/>
          <w:bCs/>
          <w:sz w:val="28"/>
          <w:szCs w:val="28"/>
        </w:rPr>
        <w:t xml:space="preserve">What Was It Responding To — Ongoing Forces</w:t>
      </w:r>
    </w:p>
    <w:p>
      <w:pPr>
        <w:spacing w:after="160"/>
      </w:pPr>
      <w:r>
        <w:rPr>
          <w:rFonts w:ascii="Arial" w:cs="Arial" w:eastAsia="Arial" w:hAnsi="Arial"/>
          <w:sz w:val="24"/>
          <w:szCs w:val="24"/>
        </w:rPr>
        <w:t xml:space="preserve">The ongoing forces are distributed unevenly across the 250-year horizon, and the sources that speak to them are clustered at different periods. Treating ongoing forces as uniformly present across 150–400 CE would misrepresent both the evidence and the ecology.</w:t>
      </w:r>
    </w:p>
    <w:p>
      <w:pPr>
        <w:spacing w:after="160"/>
      </w:pPr>
      <w:r>
        <w:rPr>
          <w:rFonts w:ascii="Arial" w:cs="Arial" w:eastAsia="Arial" w:hAnsi="Arial"/>
          <w:sz w:val="24"/>
          <w:szCs w:val="24"/>
        </w:rPr>
        <w:t xml:space="preserve">Philosophical competition (early-to-mid horizon): Clement's Stromata and Protreptikos (c. 195–215 CE) and Origen's Against Celsus (c. 246–248 CE) are the primary sources. These texts are responses in real time to competitive philosophical pressure. Confidence: Widely Accepted for the early-to-mid horizon. How philosophical competition continued as an ongoing force in the late horizon is less directly attested — Didymus's commentary work continues the tradition but is not primarily apologetic in character.</w:t>
      </w:r>
    </w:p>
    <w:p>
      <w:pPr>
        <w:spacing w:after="160"/>
      </w:pPr>
      <w:r>
        <w:rPr>
          <w:rFonts w:ascii="Arial" w:cs="Arial" w:eastAsia="Arial" w:hAnsi="Arial"/>
          <w:sz w:val="24"/>
          <w:szCs w:val="24"/>
        </w:rPr>
        <w:t xml:space="preserve">Gnostic challenge (early-to-mid horizon): The primary sources for this ongoing response are concentrated in the early horizon. Stream 12’s anti-heretical writings and Clement’s Stromata engage it substantively. By the late horizon, the Gnostic challenge as a live competitive pressure is less prominent in the surviving sources — largely superseded by the Arian controversy. Confidence for Streams 1 and 12’s capacity to attest the Gnostic challenge as an ongoing forces dimension in the early-to-mid horizon: Widely Accepted. For the late horizon: Dominant Modern Reconstruction.</w:t>
      </w:r>
    </w:p>
    <w:p>
      <w:pPr>
        <w:spacing w:after="160"/>
      </w:pPr>
      <w:r>
        <w:rPr>
          <w:rFonts w:ascii="Arial" w:cs="Arial" w:eastAsia="Arial" w:hAnsi="Arial"/>
          <w:sz w:val="24"/>
          <w:szCs w:val="24"/>
        </w:rPr>
        <w:t xml:space="preserve">Persecution (mid-horizon, episodic): Evidence Stream 8 carries this. The Decian persecution (249–251 CE, mid-horizon) and the Diocletianic persecution (303–311 CE, late horizon) are historically documented. Confidence for Stream 8’s capacity to attest persecution as a forces dimension at the Decian and Diocletianic periods: Widely Accepted. Confidence for Stream 8 sources to speak to how persecution’s memory functioned in formation between persecution episodes: Dominant Modern Reconstruction.</w:t>
      </w:r>
    </w:p>
    <w:p>
      <w:pPr>
        <w:spacing w:after="160"/>
      </w:pPr>
      <w:r>
        <w:rPr>
          <w:rFonts w:ascii="Arial" w:cs="Arial" w:eastAsia="Arial" w:hAnsi="Arial"/>
          <w:sz w:val="24"/>
          <w:szCs w:val="24"/>
        </w:rPr>
        <w:t xml:space="preserve">Doctrinal controversy (late horizon): Evidence Stream 12 carries this, concentrated in the post-325 CE period. Athanasius's anti-Arian writings are the dominant source. This is the highest-confidence force for the late horizon and the lowest-confidence force for the early horizon. The Nicene controversy is Documented as a historical event; its effects on ordinary formation practice are Dominant Modern Reconstruction.</w:t>
      </w:r>
    </w:p>
    <w:p>
      <w:pPr>
        <w:spacing w:after="160"/>
      </w:pPr>
      <w:r>
        <w:rPr>
          <w:rFonts w:ascii="Arial" w:cs="Arial" w:eastAsia="Arial" w:hAnsi="Arial"/>
          <w:sz w:val="24"/>
          <w:szCs w:val="24"/>
        </w:rPr>
        <w:t xml:space="preserve">Temporal summary: the sources that speak to ongoing forces are clustered rather than uniformly distributed. Philosophical and Gnostic responses dominate the early-to-mid horizon (c. 150–254 CE); the sources attesting doctrinal-boundary and Nicene controversy dimensions are concentrated in the late horizon (post-325 CE), with Athanasius’s output as the primary locus. Martyr memory is episodic rather than continuous. A reconstruction that treats all ongoing forces as equally present across 150–400 CE is not calibrated to the actual temporal distribution of the evidence.</w:t>
      </w:r>
    </w:p>
    <w:p>
      <w:pPr>
        <w:pStyle w:val="Heading2"/>
        <w:spacing w:after="120" w:before="240"/>
      </w:pPr>
      <w:r>
        <w:rPr>
          <w:rFonts w:ascii="Arial" w:cs="Arial" w:eastAsia="Arial" w:hAnsi="Arial"/>
          <w:b/>
          <w:bCs/>
          <w:sz w:val="28"/>
          <w:szCs w:val="28"/>
        </w:rPr>
        <w:t xml:space="preserve">What Was It Refusing — Constitutive Refusals</w:t>
      </w:r>
    </w:p>
    <w:p>
      <w:pPr>
        <w:spacing w:after="160"/>
      </w:pPr>
      <w:r>
        <w:rPr>
          <w:rFonts w:ascii="Arial" w:cs="Arial" w:eastAsia="Arial" w:hAnsi="Arial"/>
          <w:sz w:val="24"/>
          <w:szCs w:val="24"/>
        </w:rPr>
        <w:t xml:space="preserve">Doc_01 identified four constitutive refusals: Gnostic esotericism, the purely literal reader, philosophical systems that cannot account for incarnation, and (in the Nicene period) Arianism. The sources that attest each refusal differ in period, confidence level, and ecology-wide reach.</w:t>
      </w:r>
    </w:p>
    <w:p>
      <w:pPr>
        <w:spacing w:after="160"/>
      </w:pPr>
      <w:r>
        <w:rPr>
          <w:rFonts w:ascii="Arial" w:cs="Arial" w:eastAsia="Arial" w:hAnsi="Arial"/>
          <w:sz w:val="24"/>
          <w:szCs w:val="24"/>
        </w:rPr>
        <w:t xml:space="preserve">Refusal of Gnostic esotericism: Attested in Clement’s Stromata (early horizon) and throughout Origen’s writings (mid-horizon). Streams 1 and 12 carry this most directly. Confidence for Streams 1 and 12’s capacity to attest the refusal of Gnostic esotericism as a constitutive refusals dimension in the school tradition: Widely Accepted. As noted in Doc_01, this refusal is attested through elite Greek-language sources and represents the self-understanding of the educated tradition; confidence for these sources to speak to this refusal as characterizing the ecology broadly: Dominant Modern Reconstruction.</w:t>
      </w:r>
    </w:p>
    <w:p>
      <w:pPr>
        <w:spacing w:after="160"/>
      </w:pPr>
      <w:r>
        <w:rPr>
          <w:rFonts w:ascii="Arial" w:cs="Arial" w:eastAsia="Arial" w:hAnsi="Arial"/>
          <w:sz w:val="24"/>
          <w:szCs w:val="24"/>
        </w:rPr>
        <w:t xml:space="preserve">Refusal of the purely literal reader: Attested in Clement and Origen specifically, concentrated in Stream 1. This is the most school-tradition-specific of the refusals — it requires literacy and access to the text. Confidence for Stream 1’s capacity to attest this refusal as a constitutive feature of the school tradition: Widely Accepted. Confidence for Stream 1 sources to speak to this refusal as characterizing the broader ecology: Inferential/Thin — the refusal presupposes reading, and the majority of the ecology did not read.</w:t>
      </w:r>
    </w:p>
    <w:p>
      <w:pPr>
        <w:spacing w:after="160"/>
      </w:pPr>
      <w:r>
        <w:rPr>
          <w:rFonts w:ascii="Arial" w:cs="Arial" w:eastAsia="Arial" w:hAnsi="Arial"/>
          <w:sz w:val="24"/>
          <w:szCs w:val="24"/>
        </w:rPr>
        <w:t xml:space="preserve">Refusal of philosophical systems that cannot account for incarnation: Attested across Clement and Origen, visible in Stream 6. Confidence for Stream 6’s capacity to attest this refusal as a constitutive dimension in the school tradition in the early-to-mid horizon: Widely Accepted. Less directly attested in the late horizon, where Athanasius’s Christological argument operates with different emphasis.</w:t>
      </w:r>
    </w:p>
    <w:p>
      <w:pPr>
        <w:spacing w:after="160"/>
      </w:pPr>
      <w:r>
        <w:rPr>
          <w:rFonts w:ascii="Arial" w:cs="Arial" w:eastAsia="Arial" w:hAnsi="Arial"/>
          <w:sz w:val="24"/>
          <w:szCs w:val="24"/>
        </w:rPr>
        <w:t xml:space="preserve">Refusal of Arianism (Nicene period): Attested in Stream 12, concentrated in post-325 CE sources. Confidence for Stream 12’s capacity to attest the refusal of Arianism as a forces dimension in the late horizon: Widely Accepted — the Nicene controversy is historically documented. It must be temporally located: it governs the ecology from 325 CE onward, not across the full 250-year span.</w:t>
      </w:r>
    </w:p>
    <w:p>
      <w:pPr>
        <w:pStyle w:val="Heading2"/>
        <w:spacing w:after="120" w:before="240"/>
      </w:pPr>
      <w:r>
        <w:rPr>
          <w:rFonts w:ascii="Arial" w:cs="Arial" w:eastAsia="Arial" w:hAnsi="Arial"/>
          <w:b/>
          <w:bCs/>
          <w:sz w:val="28"/>
          <w:szCs w:val="28"/>
        </w:rPr>
        <w:t xml:space="preserve">Forces Silences</w:t>
      </w:r>
    </w:p>
    <w:p>
      <w:pPr>
        <w:spacing w:after="160"/>
      </w:pPr>
      <w:r>
        <w:rPr>
          <w:rFonts w:ascii="Arial" w:cs="Arial" w:eastAsia="Arial" w:hAnsi="Arial"/>
          <w:sz w:val="24"/>
          <w:szCs w:val="24"/>
        </w:rPr>
        <w:t xml:space="preserve">The forces-lens reading confirms and deepens the silences Doc_01 identified. Several forces the preliminary identification predicted would be present are either thin or absent in the surviving sources.</w:t>
      </w:r>
    </w:p>
    <w:p>
      <w:pPr>
        <w:spacing w:after="160"/>
      </w:pPr>
      <w:r>
        <w:rPr>
          <w:rFonts w:ascii="Arial" w:cs="Arial" w:eastAsia="Arial" w:hAnsi="Arial"/>
          <w:sz w:val="24"/>
          <w:szCs w:val="24"/>
        </w:rPr>
        <w:t xml:space="preserve">The experience of Coptic-speaking Christians under Roman administration: predicted as a significant external pressure by Doc_01's embedding context analysis. Confirmed as substantially absent from the surviving literary sources. Streams 10 and 11 name the gap; no stream fills it. The Material Culture section (papyrological evidence) provides partial access but does not recover interior formation experience.</w:t>
      </w:r>
    </w:p>
    <w:p>
      <w:pPr>
        <w:spacing w:after="160"/>
      </w:pPr>
      <w:r>
        <w:rPr>
          <w:rFonts w:ascii="Arial" w:cs="Arial" w:eastAsia="Arial" w:hAnsi="Arial"/>
          <w:sz w:val="24"/>
          <w:szCs w:val="24"/>
        </w:rPr>
        <w:t xml:space="preserve">The formation logic of rural Egyptian Christianity: predicted as significant given the Egyptian hinterland's population, substantially invisible in the literary sources. The Pachomian material provides some access to rural cenobitic formation — but those sources carry the cross-build provisional notation, because their world-attribution is held open pending Phase 3. The silence in the literary sources about rural formation outside the monastic context is near-total.</w:t>
      </w:r>
    </w:p>
    <w:p>
      <w:pPr>
        <w:spacing w:after="160"/>
      </w:pPr>
      <w:r>
        <w:rPr>
          <w:rFonts w:ascii="Arial" w:cs="Arial" w:eastAsia="Arial" w:hAnsi="Arial"/>
          <w:sz w:val="24"/>
          <w:szCs w:val="24"/>
        </w:rPr>
        <w:t xml:space="preserve">The domestic and household formation of ordinary believers across the full horizon: Streams 10 and 11 name this gap. The Material Culture section provides documentary papyri traces. No stream speaks directly to what household Christian formation looked like for the majority of Alexandrian Christians outside catechetical instruction contexts.</w:t>
      </w:r>
    </w:p>
    <w:p>
      <w:pPr>
        <w:spacing w:after="160"/>
      </w:pPr>
      <w:r>
        <w:rPr>
          <w:rFonts w:ascii="Arial" w:cs="Arial" w:eastAsia="Arial" w:hAnsi="Arial"/>
          <w:sz w:val="24"/>
          <w:szCs w:val="24"/>
        </w:rPr>
        <w:t xml:space="preserve">These silences connect directly to the Missing Voices Assessment that follows. The absences in the source record are not neutral gaps — they are the preserved shape of what the ecology generated and what it did not preserve. Forces that operated on the majority of the population left the thinnest traces.</w:t>
      </w:r>
    </w:p>
    <w:p>
      <w:pPr>
        <w:spacing w:after="80"/>
      </w:pPr>
      <w:r>
        <w:t xml:space="preserve"/>
      </w:r>
    </w:p>
    <w:p>
      <w:pPr>
        <w:pStyle w:val="Heading1"/>
        <w:spacing w:after="160" w:before="320"/>
      </w:pPr>
      <w:r>
        <w:rPr>
          <w:rFonts w:ascii="Arial" w:cs="Arial" w:eastAsia="Arial" w:hAnsi="Arial"/>
          <w:b/>
          <w:bCs/>
          <w:sz w:val="32"/>
          <w:szCs w:val="32"/>
        </w:rPr>
        <w:t xml:space="preserve">Missing Voices Assessment</w:t>
      </w:r>
    </w:p>
    <w:p>
      <w:pPr>
        <w:spacing w:after="160"/>
      </w:pPr>
      <w:r>
        <w:rPr>
          <w:rFonts w:ascii="Arial" w:cs="Arial" w:eastAsia="Arial" w:hAnsi="Arial"/>
          <w:sz w:val="24"/>
          <w:szCs w:val="24"/>
        </w:rPr>
        <w:t xml:space="preserve">The Construction Framework requires special attention to voices not represented in the surviving record. These absences shape the ecological reconstruction as surely as the presences do.</w:t>
      </w:r>
    </w:p>
    <w:p>
      <w:pPr>
        <w:pStyle w:val="Heading2"/>
        <w:spacing w:after="120" w:before="240"/>
      </w:pPr>
      <w:r>
        <w:rPr>
          <w:rFonts w:ascii="Arial" w:cs="Arial" w:eastAsia="Arial" w:hAnsi="Arial"/>
          <w:b/>
          <w:bCs/>
          <w:sz w:val="28"/>
          <w:szCs w:val="28"/>
        </w:rPr>
        <w:t xml:space="preserve">Women</w:t>
      </w:r>
    </w:p>
    <w:p>
      <w:pPr>
        <w:spacing w:after="160"/>
      </w:pPr>
      <w:r>
        <w:rPr>
          <w:rFonts w:ascii="Arial" w:cs="Arial" w:eastAsia="Arial" w:hAnsi="Arial"/>
          <w:sz w:val="24"/>
          <w:szCs w:val="24"/>
        </w:rPr>
        <w:t xml:space="preserve">Most surviving literary evidence was produced by men. Women appear primarily in martyr narratives (occasionally as protagonists), as recipients of teaching in pastoral letters, and in references to consecrated virgins and widows. Their theological contribution was rarely recorded in their own voice. Scholarly consensus suggests women participated fully in liturgical life, in household formation, and in certain forms of the ascetic life. What the ecology of formation looked like from inside women's experience — particularly in households where women may have been primary transmitters of faith to children — is largely unrecoverable from surviving literary sources. Coptic hagiographic literature provides some access.</w:t>
      </w:r>
    </w:p>
    <w:p>
      <w:pPr>
        <w:pStyle w:val="Heading2"/>
        <w:spacing w:after="120" w:before="240"/>
      </w:pPr>
      <w:r>
        <w:rPr>
          <w:rFonts w:ascii="Arial" w:cs="Arial" w:eastAsia="Arial" w:hAnsi="Arial"/>
          <w:b/>
          <w:bCs/>
          <w:sz w:val="28"/>
          <w:szCs w:val="28"/>
        </w:rPr>
        <w:t xml:space="preserve">Ordinary Believers</w:t>
      </w:r>
    </w:p>
    <w:p>
      <w:pPr>
        <w:spacing w:after="160"/>
      </w:pPr>
      <w:r>
        <w:rPr>
          <w:rFonts w:ascii="Arial" w:cs="Arial" w:eastAsia="Arial" w:hAnsi="Arial"/>
          <w:sz w:val="24"/>
          <w:szCs w:val="24"/>
        </w:rPr>
        <w:t xml:space="preserve">The ecology of the majority — dockworkers, merchants, fishers, artisans, household slaves — is accessible only through the concerns expressed indirectly in sources written by and for others. Pastoral concern expressed in episcopal letters, the levels of understanding addressed in homilies, and the catechetical materials aimed at the newly converted allow inference but not direct access. Evidence suggests these believers participated in liturgical life, knew psalms and biblical narrative through hearing, and were formed through communal practice even where formal instruction was limited or unavailable.</w:t>
      </w:r>
    </w:p>
    <w:p>
      <w:pPr>
        <w:pStyle w:val="Heading2"/>
        <w:spacing w:after="120" w:before="240"/>
      </w:pPr>
      <w:r>
        <w:rPr>
          <w:rFonts w:ascii="Arial" w:cs="Arial" w:eastAsia="Arial" w:hAnsi="Arial"/>
          <w:b/>
          <w:bCs/>
          <w:sz w:val="28"/>
          <w:szCs w:val="28"/>
        </w:rPr>
        <w:t xml:space="preserve">Rural Communities</w:t>
      </w:r>
    </w:p>
    <w:p>
      <w:pPr>
        <w:spacing w:after="160"/>
      </w:pPr>
      <w:r>
        <w:rPr>
          <w:rFonts w:ascii="Arial" w:cs="Arial" w:eastAsia="Arial" w:hAnsi="Arial"/>
          <w:sz w:val="24"/>
          <w:szCs w:val="24"/>
        </w:rPr>
        <w:t xml:space="preserve">Egyptian Christianity spread rapidly beyond Alexandria into the Nile Delta and hinterland, but surviving literary evidence is concentrated in the urban centers. Rural communities were likely primarily Coptic-speaking, more directly shaped by indigenous Egyptian religious culture, less philosophically inflected than the urban school tradition, and embedded in agricultural rather than commercial rhythms. Their Christianity may have looked substantially different from what the Greek literary sources describe. The Pachomian monastic tradition provides some access to this rural Egyptian Christian world.</w:t>
      </w:r>
    </w:p>
    <w:p>
      <w:pPr>
        <w:pStyle w:val="Heading2"/>
        <w:spacing w:after="120" w:before="240"/>
      </w:pPr>
      <w:r>
        <w:rPr>
          <w:rFonts w:ascii="Arial" w:cs="Arial" w:eastAsia="Arial" w:hAnsi="Arial"/>
          <w:b/>
          <w:bCs/>
          <w:sz w:val="28"/>
          <w:szCs w:val="28"/>
        </w:rPr>
        <w:t xml:space="preserve">Coptic-Speaking Christians</w:t>
      </w:r>
    </w:p>
    <w:p>
      <w:pPr>
        <w:spacing w:after="160"/>
      </w:pPr>
      <w:r>
        <w:rPr>
          <w:rFonts w:ascii="Arial" w:cs="Arial" w:eastAsia="Arial" w:hAnsi="Arial"/>
          <w:sz w:val="24"/>
          <w:szCs w:val="24"/>
        </w:rPr>
        <w:t xml:space="preserve">Even within Alexandria itself, significant portions of the population were Coptic-speaking rather than Greek-speaking. The relationship between Greek-speaking and Coptic-speaking communities — whether they worshipped together, how catechesis worked across linguistic boundaries, how theological development in the Greek tradition reached Coptic-speaking communities — is not recoverable from surviving Greek sources.</w:t>
      </w:r>
    </w:p>
    <w:p>
      <w:pPr>
        <w:pStyle w:val="Heading2"/>
        <w:spacing w:after="120" w:before="240"/>
      </w:pPr>
      <w:r>
        <w:rPr>
          <w:rFonts w:ascii="Arial" w:cs="Arial" w:eastAsia="Arial" w:hAnsi="Arial"/>
          <w:b/>
          <w:bCs/>
          <w:sz w:val="28"/>
          <w:szCs w:val="28"/>
        </w:rPr>
        <w:t xml:space="preserve">Enslaved Persons</w:t>
      </w:r>
    </w:p>
    <w:p>
      <w:pPr>
        <w:spacing w:after="160"/>
      </w:pPr>
      <w:r>
        <w:rPr>
          <w:rFonts w:ascii="Arial" w:cs="Arial" w:eastAsia="Arial" w:hAnsi="Arial"/>
          <w:sz w:val="24"/>
          <w:szCs w:val="24"/>
        </w:rPr>
        <w:t xml:space="preserve">Enslaved persons are mentioned occasionally within surviving sources as members of Christian households. Their experience of Christian formation — including the profound tension between the faith's proclamation of spiritual equality and their social condition — is almost entirely unrecoverable from the surviving record.</w:t>
      </w:r>
    </w:p>
    <w:p>
      <w:pPr>
        <w:spacing w:after="80"/>
      </w:pPr>
      <w:r>
        <w:t xml:space="preserve"/>
      </w:r>
    </w:p>
    <w:p>
      <w:pPr>
        <w:pStyle w:val="Heading1"/>
        <w:spacing w:after="160" w:before="320"/>
      </w:pPr>
      <w:r>
        <w:rPr>
          <w:rFonts w:ascii="Arial" w:cs="Arial" w:eastAsia="Arial" w:hAnsi="Arial"/>
          <w:b/>
          <w:bCs/>
          <w:sz w:val="32"/>
          <w:szCs w:val="32"/>
        </w:rPr>
        <w:t xml:space="preserve">Secondary Scholarship Assessment</w:t>
      </w:r>
    </w:p>
    <w:p>
      <w:pPr>
        <w:spacing w:after="160"/>
      </w:pPr>
      <w:r>
        <w:rPr>
          <w:rFonts w:ascii="Arial" w:cs="Arial" w:eastAsia="Arial" w:hAnsi="Arial"/>
          <w:sz w:val="24"/>
          <w:szCs w:val="24"/>
        </w:rPr>
        <w:t xml:space="preserve">This section identifies the major modern scholarship through which the primary sources above are read, per Construction Framework v7 Part II requirements. This scholarship is not a source within the world — it is the interpretive layer through which the world's primary sources are accessed by this project.</w:t>
      </w:r>
    </w:p>
    <w:p>
      <w:pPr>
        <w:spacing w:after="160"/>
      </w:pPr>
      <w:r>
        <w:rPr>
          <w:rFonts w:ascii="Arial" w:cs="Arial" w:eastAsia="Arial" w:hAnsi="Arial"/>
          <w:b/>
          <w:bCs/>
          <w:sz w:val="24"/>
          <w:szCs w:val="24"/>
        </w:rPr>
        <w:t xml:space="preserve">Henry Chadwick — </w:t>
      </w:r>
      <w:r>
        <w:rPr>
          <w:rFonts w:ascii="Arial" w:cs="Arial" w:eastAsia="Arial" w:hAnsi="Arial"/>
          <w:sz w:val="24"/>
          <w:szCs w:val="24"/>
        </w:rPr>
        <w:t xml:space="preserve">his treatment of the early church, particularly his work on Origen, has substantially shaped how the English-speaking world reads Alexandrian Christianity. His framing of Origen as a bridge figure between Greek philosophy and Christian theology is embedded in much subsequent scholarship. His interpretive choices about what makes Origen significant should be held as one scholarly lens rather than a neutral baseline.</w:t>
      </w:r>
    </w:p>
    <w:p>
      <w:pPr>
        <w:spacing w:after="160"/>
      </w:pPr>
      <w:r>
        <w:rPr>
          <w:rFonts w:ascii="Arial" w:cs="Arial" w:eastAsia="Arial" w:hAnsi="Arial"/>
          <w:b/>
          <w:bCs/>
          <w:sz w:val="24"/>
          <w:szCs w:val="24"/>
        </w:rPr>
        <w:t xml:space="preserve">Justo González — </w:t>
      </w:r>
      <w:r>
        <w:rPr>
          <w:rFonts w:ascii="Arial" w:cs="Arial" w:eastAsia="Arial" w:hAnsi="Arial"/>
          <w:sz w:val="24"/>
          <w:szCs w:val="24"/>
        </w:rPr>
        <w:t xml:space="preserve">his church history synthesis work provides accessible institutional narrative for a broad audience. His framing tends toward institutional and chronological narrative; useful for the broad story of Alexandrian Christianity but less calibrated to formation ecology specifically, since that is not his book's purpose.</w:t>
      </w:r>
    </w:p>
    <w:p>
      <w:pPr>
        <w:spacing w:after="160"/>
      </w:pPr>
      <w:r>
        <w:rPr>
          <w:rFonts w:ascii="Arial" w:cs="Arial" w:eastAsia="Arial" w:hAnsi="Arial"/>
          <w:b/>
          <w:bCs/>
          <w:sz w:val="24"/>
          <w:szCs w:val="24"/>
        </w:rPr>
        <w:t xml:space="preserve">Frances Young — </w:t>
      </w:r>
      <w:r>
        <w:rPr>
          <w:rFonts w:ascii="Arial" w:cs="Arial" w:eastAsia="Arial" w:hAnsi="Arial"/>
          <w:sz w:val="24"/>
          <w:szCs w:val="24"/>
        </w:rPr>
        <w:t xml:space="preserve">her work on biblical exegesis and the formation of Christian culture is arguably the single most important secondary source for understanding how Alexandrian interpretation functioned as formation practice rather than abstract method. Her treatment of the relationship between rhetoric, education, and Christian formation directly informs how this project understands the Scripture &amp; Learning gravities.</w:t>
      </w:r>
    </w:p>
    <w:p>
      <w:pPr>
        <w:spacing w:after="160"/>
      </w:pPr>
      <w:r>
        <w:rPr>
          <w:rFonts w:ascii="Arial" w:cs="Arial" w:eastAsia="Arial" w:hAnsi="Arial"/>
          <w:b/>
          <w:bCs/>
          <w:sz w:val="24"/>
          <w:szCs w:val="24"/>
        </w:rPr>
        <w:t xml:space="preserve">Rowan Williams — </w:t>
      </w:r>
      <w:r>
        <w:rPr>
          <w:rFonts w:ascii="Arial" w:cs="Arial" w:eastAsia="Arial" w:hAnsi="Arial"/>
          <w:sz w:val="24"/>
          <w:szCs w:val="24"/>
        </w:rPr>
        <w:t xml:space="preserve">his treatment of the spiritual tradition surrounding Origen engages the interior and contemplative dimension of Alexandrian Christianity with unusual depth, particularly Origen's interior life and contemplative vision. His reading of how knowledge and transformation connect in this tradition directly informs the Scripture ↔ Transformation gravity relationship identified in Doc_04.</w:t>
      </w:r>
    </w:p>
    <w:p>
      <w:pPr>
        <w:spacing w:after="160"/>
      </w:pPr>
      <w:r>
        <w:rPr>
          <w:rFonts w:ascii="Arial" w:cs="Arial" w:eastAsia="Arial" w:hAnsi="Arial"/>
          <w:b/>
          <w:bCs/>
          <w:sz w:val="24"/>
          <w:szCs w:val="24"/>
        </w:rPr>
        <w:t xml:space="preserve">Annewies van den Hoek — </w:t>
      </w:r>
      <w:r>
        <w:rPr>
          <w:rFonts w:ascii="Arial" w:cs="Arial" w:eastAsia="Arial" w:hAnsi="Arial"/>
          <w:sz w:val="24"/>
          <w:szCs w:val="24"/>
        </w:rPr>
        <w:t xml:space="preserve">specialist scholarship on Clement of Alexandria's use of Greek philosophical sources. Essential for understanding how Clement's philosophical engagement actually works at the textual level, rather than the broad-strokes picture available from general histories.</w:t>
      </w:r>
    </w:p>
    <w:p>
      <w:pPr>
        <w:spacing w:after="160"/>
      </w:pPr>
      <w:r>
        <w:rPr>
          <w:rFonts w:ascii="Arial" w:cs="Arial" w:eastAsia="Arial" w:hAnsi="Arial"/>
          <w:b/>
          <w:bCs/>
          <w:sz w:val="24"/>
          <w:szCs w:val="24"/>
        </w:rPr>
        <w:t xml:space="preserve">Andrew Louth — </w:t>
      </w:r>
      <w:r>
        <w:rPr>
          <w:rFonts w:ascii="Arial" w:cs="Arial" w:eastAsia="Arial" w:hAnsi="Arial"/>
          <w:sz w:val="24"/>
          <w:szCs w:val="24"/>
        </w:rPr>
        <w:t xml:space="preserve">his work tracing the origins of the Christian mystical tradition follows the contemplative dimension of Alexandrian Christianity through to its later development. Directly relevant to the Transformation gravity and Stream 4 (Spiritual Formation).</w:t>
      </w:r>
    </w:p>
    <w:p>
      <w:pPr>
        <w:spacing w:after="160"/>
      </w:pPr>
      <w:r>
        <w:rPr>
          <w:rFonts w:ascii="Arial" w:cs="Arial" w:eastAsia="Arial" w:hAnsi="Arial"/>
          <w:b/>
          <w:bCs/>
          <w:sz w:val="24"/>
          <w:szCs w:val="24"/>
        </w:rPr>
        <w:t xml:space="preserve">Samuel Rubenson — </w:t>
      </w:r>
      <w:r>
        <w:rPr>
          <w:rFonts w:ascii="Arial" w:cs="Arial" w:eastAsia="Arial" w:hAnsi="Arial"/>
          <w:sz w:val="24"/>
          <w:szCs w:val="24"/>
        </w:rPr>
        <w:t xml:space="preserve">his work on the letters attributed to Antony demonstrated that the desert tradition was far more literate and theologically sophisticated than previously assumed. This directly affects how the relationship between the school tradition and the monastic tradition is understood — a tension named in the Tensional Gravity material in Doc_04.</w:t>
      </w:r>
    </w:p>
    <w:p>
      <w:pPr>
        <w:spacing w:after="160"/>
      </w:pPr>
      <w:r>
        <w:rPr>
          <w:rFonts w:ascii="Arial" w:cs="Arial" w:eastAsia="Arial" w:hAnsi="Arial"/>
          <w:b/>
          <w:bCs/>
          <w:sz w:val="24"/>
          <w:szCs w:val="24"/>
        </w:rPr>
        <w:t xml:space="preserve">Ewa Wipszycka — </w:t>
      </w:r>
      <w:r>
        <w:rPr>
          <w:rFonts w:ascii="Arial" w:cs="Arial" w:eastAsia="Arial" w:hAnsi="Arial"/>
          <w:sz w:val="24"/>
          <w:szCs w:val="24"/>
        </w:rPr>
        <w:t xml:space="preserve">her work on the church in Egypt, particularly on monastic communities, is essential for the Egyptian dimension of the world that Greek literary sources underrepresent. Her scholarship draws substantially on documentary and Coptic-language evidence rather than Greek literary sources alone.</w:t>
      </w:r>
    </w:p>
    <w:p>
      <w:pPr>
        <w:spacing w:after="160"/>
      </w:pPr>
      <w:r>
        <w:rPr>
          <w:rFonts w:ascii="Arial" w:cs="Arial" w:eastAsia="Arial" w:hAnsi="Arial"/>
          <w:b/>
          <w:bCs/>
          <w:sz w:val="24"/>
          <w:szCs w:val="24"/>
        </w:rPr>
        <w:t xml:space="preserve">Roger Bagnall, Naphtali Lewis, Alan Bowman — </w:t>
      </w:r>
      <w:r>
        <w:rPr>
          <w:rFonts w:ascii="Arial" w:cs="Arial" w:eastAsia="Arial" w:hAnsi="Arial"/>
          <w:sz w:val="24"/>
          <w:szCs w:val="24"/>
        </w:rPr>
        <w:t xml:space="preserve">papyrologists and historians of Roman Egypt whose work on documentary evidence and daily life provides the social-historical background otherwise absent from theological sources. See Material Culture &amp; Daily Life Sources.</w:t>
      </w:r>
    </w:p>
    <w:p>
      <w:pPr>
        <w:spacing w:after="160"/>
      </w:pPr>
      <w:r>
        <w:rPr>
          <w:rFonts w:ascii="Arial" w:cs="Arial" w:eastAsia="Arial" w:hAnsi="Arial"/>
          <w:b/>
          <w:bCs/>
          <w:sz w:val="24"/>
          <w:szCs w:val="24"/>
        </w:rPr>
        <w:t xml:space="preserve">Peter Brown — </w:t>
      </w:r>
      <w:r>
        <w:rPr>
          <w:rFonts w:ascii="Arial" w:cs="Arial" w:eastAsia="Arial" w:hAnsi="Arial"/>
          <w:sz w:val="24"/>
          <w:szCs w:val="24"/>
        </w:rPr>
        <w:t xml:space="preserve">his broader work on the world of late antiquity provides essential context for understanding the social and religious environment within which Alexandrian Christianity operated, including its relationship to philosophy, asceticism, and the wider late antique Mediterranean.</w:t>
      </w:r>
    </w:p>
    <w:p>
      <w:pPr>
        <w:spacing w:after="80"/>
      </w:pPr>
      <w:r>
        <w:t xml:space="preserve"/>
      </w:r>
    </w:p>
    <w:p>
      <w:pPr>
        <w:spacing w:after="160"/>
      </w:pPr>
      <w:r>
        <w:rPr>
          <w:rFonts w:ascii="Arial" w:cs="Arial" w:eastAsia="Arial" w:hAnsi="Arial"/>
          <w:sz w:val="24"/>
          <w:szCs w:val="24"/>
        </w:rPr>
        <w:t xml:space="preserve">Significant scholarly debate worth naming explicitly: the relationship between Origen's own theology and the “Origenism” condemned at the Fifth Ecumenical Council (553 CE) remains genuinely contested among specialists. Some scholars (following the trajectory in Williams and others) read the condemned propositions as later systematizations that distort Origen's own more exploratory and provisional theological method; others read meaningful continuity between Origen's own positions and what was later condemned. This project does not adjudicate that debate. Where Doc_04's gravity analysis and the world documents engage Origen, this uncertainty should be held as live rather than resolved.</w:t>
      </w:r>
    </w:p>
    <w:p>
      <w:pPr>
        <w:spacing w:after="80"/>
      </w:pPr>
      <w:r>
        <w:t xml:space="preserve"/>
      </w:r>
    </w:p>
    <w:p>
      <w:pPr>
        <w:pStyle w:val="Heading1"/>
        <w:spacing w:after="160" w:before="320"/>
      </w:pPr>
      <w:r>
        <w:rPr>
          <w:rFonts w:ascii="Arial" w:cs="Arial" w:eastAsia="Arial" w:hAnsi="Arial"/>
          <w:b/>
          <w:bCs/>
          <w:sz w:val="32"/>
          <w:szCs w:val="32"/>
        </w:rPr>
        <w:t xml:space="preserve">Formation Narrative Sources</w:t>
      </w:r>
    </w:p>
    <w:p>
      <w:pPr>
        <w:spacing w:after="160"/>
      </w:pPr>
      <w:r>
        <w:rPr>
          <w:rFonts w:ascii="Arial" w:cs="Arial" w:eastAsia="Arial" w:hAnsi="Arial"/>
          <w:sz w:val="24"/>
          <w:szCs w:val="24"/>
        </w:rPr>
        <w:t xml:space="preserve">Per Construction Framework v7 Part II, hagiographic, biographical, and collected-saying sources are evaluated here as a distinct source type, separate from the theological treatises and institutional records covered in the twelve evidence streams above. These sources carry formation ecology from the inside of individual lives and teacher-disciple relationships.</w:t>
      </w:r>
    </w:p>
    <w:p>
      <w:pPr>
        <w:spacing w:after="160"/>
      </w:pPr>
      <w:r>
        <w:rPr>
          <w:rFonts w:ascii="Arial" w:cs="Arial" w:eastAsia="Arial" w:hAnsi="Arial"/>
          <w:b/>
          <w:bCs/>
          <w:sz w:val="24"/>
          <w:szCs w:val="24"/>
        </w:rPr>
        <w:t xml:space="preserve">Gregory Thaumaturgus, “Address of Thanksgiving to Origen” — </w:t>
      </w:r>
      <w:r>
        <w:rPr>
          <w:rFonts w:ascii="Arial" w:cs="Arial" w:eastAsia="Arial" w:hAnsi="Arial"/>
          <w:sz w:val="24"/>
          <w:szCs w:val="24"/>
        </w:rPr>
        <w:t xml:space="preserve">Authorship and date: Gregory (c. 213–270 CE), a student of Origen, writing shortly after completing his studies, likely in the 230s CE. Proximity: direct, first-person student testimony — the single best account of what it was actually like to study under Origen, not Origen describing himself. Genre conventions: epideictic oratory (formal speech of praise), which shapes its idealizing tone but does not require inventing events. Formation ecology revealed: the text describes Origen's pedagogical method in sequence — logic and natural science before ethics, ethics before theology — and conveys the emotional and intellectual experience of being drawn by a teacher toward transformation rather than merely informed. This is primary evidence, at the formation-experience level, for Stream 5 (Educational Ecology) and the Wisdom-Seeking gravity. Tier classification: Tier 1, Documented Historical Narrative — named author, datable, direct attestation.</w:t>
      </w:r>
    </w:p>
    <w:p>
      <w:pPr>
        <w:spacing w:after="80"/>
      </w:pPr>
      <w:r>
        <w:t xml:space="preserve"/>
      </w:r>
    </w:p>
    <w:p>
      <w:pPr>
        <w:spacing w:after="160"/>
      </w:pPr>
      <w:r>
        <w:rPr>
          <w:rFonts w:ascii="Arial" w:cs="Arial" w:eastAsia="Arial" w:hAnsi="Arial"/>
          <w:b/>
          <w:bCs/>
          <w:sz w:val="24"/>
          <w:szCs w:val="24"/>
        </w:rPr>
        <w:t xml:space="preserve">Athanasius, Life of Antony — </w:t>
      </w:r>
      <w:r>
        <w:rPr>
          <w:rFonts w:ascii="Arial" w:cs="Arial" w:eastAsia="Arial" w:hAnsi="Arial"/>
          <w:sz w:val="24"/>
          <w:szCs w:val="24"/>
        </w:rPr>
        <w:t xml:space="preserve">Already represented in Stream 9 as a primary theological-biographical source; evaluated here specifically as formation narrative. Authorship and date: Athanasius, written shortly after Antony's death (c. 356–362 CE), within living memory. Genre conventions: hagiographic — the holy man's call narrative, temptation sequence, and exemplary death are conventional elements that shape how the account is told. Formation ecology revealed: what the community believed a fully formed ascetic life looked like, and how withdrawal, prayer, and spiritual combat were understood to form a person. This source is assessed here as evidence of Athanasius's authorial choices, author gravity, and what his community believed about formation — both fully within Alexandria's scope. Tier classification: Tier 3, Hagiographic Narrative — the formation ideal is credible evidence; specific episodes (visions, demonic combat, specific miracles) are not historically verifiable and should not be used as such.</w:t>
      </w:r>
    </w:p>
    <w:p>
      <w:pPr>
        <w:spacing w:after="120"/>
        <w:ind w:left="360"/>
      </w:pPr>
      <w:r>
        <w:rPr>
          <w:rFonts w:ascii="Arial" w:cs="Arial" w:eastAsia="Arial" w:hAnsi="Arial"/>
          <w:b/>
          <w:bCs/>
          <w:i/>
          <w:iCs/>
          <w:sz w:val="22"/>
          <w:szCs w:val="22"/>
        </w:rPr>
        <w:t xml:space="preserve">[Cross-build note on Antony's formation: </w:t>
      </w:r>
      <w:r>
        <w:rPr>
          <w:rFonts w:ascii="Arial" w:cs="Arial" w:eastAsia="Arial" w:hAnsi="Arial"/>
          <w:i/>
          <w:iCs/>
          <w:sz w:val="22"/>
          <w:szCs w:val="22"/>
        </w:rPr>
        <w:t xml:space="preserve">Athanasius’s Life of Antony is Alexandria’s source — it is Athanasius’s theological and hagiographic project. Where this source is used as evidence of Antony’s own formation logic or of what the desert formation tradition itself practiced, the cross-build provisional constraint applies: that use of the source’s desert-formation content is held open pending Phase 3 gravity discovery. See Doc_01, Geographic Scope, Note on Desert Christianity and Cross-Build Boundary. Note: where the desert-formation content of this source — withdrawal, physical ascesis, spiritual combat, the abba relationship — is used to argue continuity or intensification between Alexandria’s formation ecology and the desert tradition, that argument carries the cross-build provisional constraint regardless of how it is framed. The distinction is not between Alexandrian framing and desert framing; it is between Athanasius’s own theological-literary project and desert-formation substance, wherever that substance appears.]</w:t>
      </w:r>
    </w:p>
    <w:p>
      <w:pPr>
        <w:spacing w:after="80"/>
      </w:pPr>
      <w:r>
        <w:t xml:space="preserve"/>
      </w:r>
    </w:p>
    <w:p>
      <w:pPr>
        <w:spacing w:after="160"/>
      </w:pPr>
      <w:r>
        <w:rPr>
          <w:rFonts w:ascii="Arial" w:cs="Arial" w:eastAsia="Arial" w:hAnsi="Arial"/>
          <w:b/>
          <w:bCs/>
          <w:sz w:val="24"/>
          <w:szCs w:val="24"/>
        </w:rPr>
        <w:t xml:space="preserve">Palladius, Lausiac History — </w:t>
      </w:r>
      <w:r>
        <w:rPr>
          <w:rFonts w:ascii="Arial" w:cs="Arial" w:eastAsia="Arial" w:hAnsi="Arial"/>
          <w:sz w:val="24"/>
          <w:szCs w:val="24"/>
        </w:rPr>
        <w:t xml:space="preserve">Authorship and date: Palladius, writing c. 419–420 CE, recounting his own travels among Egyptian ascetics decades earlier, including direct testimony of meeting Didymus the Blind. Proximity: mixed — some accounts are personal memory, others are received report. Genre conventions: collected ascetic biography, with hagiographic shaping but less formal than the Life of Antony. Formation ecology revealed: the daily texture of desert formation — how visitors were received, how spiritual direction was given, what a teaching encounter with an abba actually looked like. The portrait of Didymus specifically shows him receiving visitors and engaging texts through memory despite blindness, providing rare direct testimony of his teaching practice. Tier classification: Tier 1 for Palladius's own direct encounters (including Didymus); Tier 3 for received accounts of figures Palladius did not personally meet.</w:t>
      </w:r>
    </w:p>
    <w:p>
      <w:pPr>
        <w:spacing w:after="120"/>
        <w:ind w:left="360"/>
      </w:pPr>
      <w:r>
        <w:rPr>
          <w:rFonts w:ascii="Arial" w:cs="Arial" w:eastAsia="Arial" w:hAnsi="Arial"/>
          <w:b/>
          <w:bCs/>
          <w:i/>
          <w:iCs/>
          <w:sz w:val="22"/>
          <w:szCs w:val="22"/>
        </w:rPr>
        <w:t xml:space="preserve">[Cross-build note on desert formation content: </w:t>
      </w:r>
      <w:r>
        <w:rPr>
          <w:rFonts w:ascii="Arial" w:cs="Arial" w:eastAsia="Arial" w:hAnsi="Arial"/>
          <w:i/>
          <w:iCs/>
          <w:sz w:val="22"/>
          <w:szCs w:val="22"/>
        </w:rPr>
        <w:t xml:space="preserve">The Didymus portrait is fully within Alexandria's scope. The accounts of desert Abbas and desert formation practice in the Lausiac History — how visitors were received by desert figures, how the abba relationship functioned, what daily desert life looked like — carry the cross-build provisional constraint when used as evidence of the desert tradition's own formation logic. See Doc_01, Geographic Scope, Note on Desert Christianity and Cross-Build Boundary.]</w:t>
      </w:r>
    </w:p>
    <w:p>
      <w:pPr>
        <w:spacing w:after="80"/>
      </w:pPr>
      <w:r>
        <w:t xml:space="preserve"/>
      </w:r>
    </w:p>
    <w:p>
      <w:pPr>
        <w:spacing w:after="160"/>
      </w:pPr>
      <w:r>
        <w:rPr>
          <w:rFonts w:ascii="Arial" w:cs="Arial" w:eastAsia="Arial" w:hAnsi="Arial"/>
          <w:b/>
          <w:bCs/>
          <w:sz w:val="24"/>
          <w:szCs w:val="24"/>
        </w:rPr>
        <w:t xml:space="preserve">Apophthegmata Patrum (Sayings of the Desert Fathers) — </w:t>
      </w:r>
      <w:r>
        <w:rPr>
          <w:rFonts w:ascii="Arial" w:cs="Arial" w:eastAsia="Arial" w:hAnsi="Arial"/>
          <w:sz w:val="24"/>
          <w:szCs w:val="24"/>
        </w:rPr>
        <w:t xml:space="preserve">Authorship and date: a collected tradition, gathered from oral and early written sources in the late 4th and 5th centuries, attributed to numerous named Abbas (Antony, Macarius, Poemen, and others) alongside anonymous material. Genre conventions: compressed narrative exchange, typically a visitor or disciple posing a question or situation and the abba responding with a short, often surprising answer. Formation ecology revealed: formation operating at the person-to-person level in compressed, practical form — graduated, proportioned wisdom rather than systematic teaching. Tier classification: Tier 2, Collected Traditional Narrative — the collection tradition is well-attested and academically treated as authentic community memory; individual attribution to specific Abbas carries Moderate rather than Strong confidence.</w:t>
      </w:r>
    </w:p>
    <w:p>
      <w:pPr>
        <w:spacing w:after="120"/>
        <w:ind w:left="360"/>
      </w:pPr>
      <w:r>
        <w:rPr>
          <w:rFonts w:ascii="Arial" w:cs="Arial" w:eastAsia="Arial" w:hAnsi="Arial"/>
          <w:b/>
          <w:bCs/>
          <w:i/>
          <w:iCs/>
          <w:sz w:val="22"/>
          <w:szCs w:val="22"/>
        </w:rPr>
        <w:t xml:space="preserve">[Cross-build provisional: </w:t>
      </w:r>
      <w:r>
        <w:rPr>
          <w:rFonts w:ascii="Arial" w:cs="Arial" w:eastAsia="Arial" w:hAnsi="Arial"/>
          <w:i/>
          <w:iCs/>
          <w:sz w:val="22"/>
          <w:szCs w:val="22"/>
        </w:rPr>
        <w:t xml:space="preserve">this source's world-attribution — whether it belongs to Alexandria's formation ecology, to the distinct Desert Christianity formation world, or to both through discovered convergence — is held open pending Phase 3 gravity discovery. See Doc_01, Geographic Scope, Note on Desert Christianity and Cross-Build Boundary. This document may assess this source's evidential quality and tier-classify its narrative content. It may not pre-assign it as evidence of Alexandrian formation logic without the gravity demonstration that belongs to Phase 3.]</w:t>
      </w:r>
    </w:p>
    <w:p>
      <w:pPr>
        <w:spacing w:after="80"/>
      </w:pPr>
      <w:r>
        <w:t xml:space="preserve"/>
      </w:r>
    </w:p>
    <w:p>
      <w:pPr>
        <w:spacing w:after="160"/>
      </w:pPr>
      <w:r>
        <w:rPr>
          <w:rFonts w:ascii="Arial" w:cs="Arial" w:eastAsia="Arial" w:hAnsi="Arial"/>
          <w:b/>
          <w:bCs/>
          <w:sz w:val="24"/>
          <w:szCs w:val="24"/>
        </w:rPr>
        <w:t xml:space="preserve">Jerome, On Illustrious Men and Letters — </w:t>
      </w:r>
      <w:r>
        <w:rPr>
          <w:rFonts w:ascii="Arial" w:cs="Arial" w:eastAsia="Arial" w:hAnsi="Arial"/>
          <w:sz w:val="24"/>
          <w:szCs w:val="24"/>
        </w:rPr>
        <w:t xml:space="preserve">Authorship and date: Jerome, late 4th century, including his own account of studying briefly with Didymus the Blind. Proximity: direct for his own studies; secondhand for earlier figures. Genre conventions: biographical catalogue and personal correspondence. Complicating factor: Jerome's later anti-Origenist position colors his retrospective treatment of figures associated with the Origenist tradition, including his account of Didymus. Tier classification: Tier 1 for his own direct testimony, with the caveat that his later theological commitments shape how he frames what he reports; his accounts of Origen and Origen's legacy specifically should be read with this bias actively in view.</w:t>
      </w:r>
    </w:p>
    <w:p>
      <w:pPr>
        <w:spacing w:after="80"/>
      </w:pPr>
      <w:r>
        <w:t xml:space="preserve"/>
      </w:r>
    </w:p>
    <w:p>
      <w:pPr>
        <w:spacing w:after="160"/>
      </w:pPr>
      <w:r>
        <w:rPr>
          <w:rFonts w:ascii="Arial" w:cs="Arial" w:eastAsia="Arial" w:hAnsi="Arial"/>
          <w:b/>
          <w:bCs/>
          <w:sz w:val="24"/>
          <w:szCs w:val="24"/>
        </w:rPr>
        <w:t xml:space="preserve">Eusebius of Caesarea, Ecclesiastical History — </w:t>
      </w:r>
      <w:r>
        <w:rPr>
          <w:rFonts w:ascii="Arial" w:cs="Arial" w:eastAsia="Arial" w:hAnsi="Arial"/>
          <w:sz w:val="24"/>
          <w:szCs w:val="24"/>
        </w:rPr>
        <w:t xml:space="preserve">Evaluated here as formation narrative and given a full Author Gravity entry below, since his biographical portraits of Pantaenus, Clement, Origen, Heraclas, Dionysius, and Peter of Alexandria constitute the primary narrative scaffolding for the school's institutional history. See Supplementary Author Gravity Entries.</w:t>
      </w:r>
    </w:p>
    <w:p>
      <w:pPr>
        <w:spacing w:after="80"/>
      </w:pPr>
      <w:r>
        <w:t xml:space="preserve"/>
      </w:r>
    </w:p>
    <w:p>
      <w:pPr>
        <w:pStyle w:val="Heading1"/>
        <w:spacing w:after="160" w:before="320"/>
      </w:pPr>
      <w:r>
        <w:rPr>
          <w:rFonts w:ascii="Arial" w:cs="Arial" w:eastAsia="Arial" w:hAnsi="Arial"/>
          <w:b/>
          <w:bCs/>
          <w:sz w:val="32"/>
          <w:szCs w:val="32"/>
        </w:rPr>
        <w:t xml:space="preserve">Material Culture &amp; Daily Life Sources</w:t>
      </w:r>
    </w:p>
    <w:p>
      <w:pPr>
        <w:spacing w:after="160"/>
      </w:pPr>
      <w:r>
        <w:rPr>
          <w:rFonts w:ascii="Arial" w:cs="Arial" w:eastAsia="Arial" w:hAnsi="Arial"/>
          <w:sz w:val="24"/>
          <w:szCs w:val="24"/>
        </w:rPr>
        <w:t xml:space="preserve">Per Construction Framework v7 Part II, this section assesses non-literary evidence and the social-historical background within which the ecology operated — dimensions largely absent from the twelve evidence streams above, which are predominantly literary and theological.</w:t>
      </w:r>
    </w:p>
    <w:p>
      <w:pPr>
        <w:pStyle w:val="Heading2"/>
        <w:spacing w:after="120" w:before="240"/>
      </w:pPr>
      <w:r>
        <w:rPr>
          <w:rFonts w:ascii="Arial" w:cs="Arial" w:eastAsia="Arial" w:hAnsi="Arial"/>
          <w:b/>
          <w:bCs/>
          <w:sz w:val="28"/>
          <w:szCs w:val="28"/>
        </w:rPr>
        <w:t xml:space="preserve">Documentary Evidence</w:t>
      </w:r>
    </w:p>
    <w:p>
      <w:pPr>
        <w:spacing w:after="160"/>
      </w:pPr>
      <w:r>
        <w:rPr>
          <w:rFonts w:ascii="Arial" w:cs="Arial" w:eastAsia="Arial" w:hAnsi="Arial"/>
          <w:sz w:val="24"/>
          <w:szCs w:val="24"/>
        </w:rPr>
        <w:t xml:space="preserve">Egypt is uniquely rich in documentary papyri, and Christian papyri from Egypt provide direct evidence for how ordinary believers engaged Scripture and community life — precisely the voices the literary evidence stream struggles to access.</w:t>
      </w:r>
    </w:p>
    <w:p>
      <w:pPr>
        <w:pStyle w:val="ListParagraph"/>
        <w:numPr>
          <w:ilvl w:val="0"/>
          <w:numId w:val="2"/>
        </w:numPr>
        <w:spacing w:after="80"/>
      </w:pPr>
      <w:r>
        <w:rPr>
          <w:rFonts w:ascii="Arial" w:cs="Arial" w:eastAsia="Arial" w:hAnsi="Arial"/>
          <w:sz w:val="24"/>
          <w:szCs w:val="24"/>
        </w:rPr>
        <w:t xml:space="preserve">The Oxyrhynchus papyri include early gospel fragments, private letters with Christian content, receipts from church communities, and documentary evidence for Christian practice at the non-elite level — direct traces of how Christianity was practiced outside the school tradition, not literary sources filtered through educated authors.</w:t>
      </w:r>
    </w:p>
    <w:p>
      <w:pPr>
        <w:pStyle w:val="ListParagraph"/>
        <w:numPr>
          <w:ilvl w:val="0"/>
          <w:numId w:val="2"/>
        </w:numPr>
        <w:spacing w:after="80"/>
      </w:pPr>
      <w:r>
        <w:rPr>
          <w:rFonts w:ascii="Arial" w:cs="Arial" w:eastAsia="Arial" w:hAnsi="Arial"/>
          <w:sz w:val="24"/>
          <w:szCs w:val="24"/>
        </w:rPr>
        <w:t xml:space="preserve">Fayum and Nile Delta sites have produced similar documentary material, including contracts, letters, and administrative records naming Christian individuals and communities.</w:t>
      </w:r>
    </w:p>
    <w:p>
      <w:pPr>
        <w:pStyle w:val="ListParagraph"/>
        <w:numPr>
          <w:ilvl w:val="0"/>
          <w:numId w:val="2"/>
        </w:numPr>
        <w:spacing w:after="80"/>
      </w:pPr>
      <w:r>
        <w:rPr>
          <w:rFonts w:ascii="Arial" w:cs="Arial" w:eastAsia="Arial" w:hAnsi="Arial"/>
          <w:sz w:val="24"/>
          <w:szCs w:val="24"/>
        </w:rPr>
        <w:t xml:space="preserve">This evidence partially addresses the gap named in the Missing Voices Assessment — it does not fully recover ordinary believer experience, but it provides direct, non-literary, non-elite-authored traces where the literary streams provide none.</w:t>
      </w:r>
    </w:p>
    <w:p>
      <w:pPr>
        <w:spacing w:after="80"/>
      </w:pPr>
      <w:r>
        <w:t xml:space="preserve"/>
      </w:r>
    </w:p>
    <w:p>
      <w:pPr>
        <w:spacing w:after="160"/>
      </w:pPr>
      <w:r>
        <w:rPr>
          <w:rFonts w:ascii="Arial" w:cs="Arial" w:eastAsia="Arial" w:hAnsi="Arial"/>
          <w:sz w:val="24"/>
          <w:szCs w:val="24"/>
        </w:rPr>
        <w:t xml:space="preserve">Confidence: Moderate. Papyrological evidence is fragmentary and often lacks context, but where Christian content is identifiable it is direct, unmediated documentary evidence rather than literary reconstruction.</w:t>
      </w:r>
    </w:p>
    <w:p>
      <w:pPr>
        <w:pStyle w:val="Heading2"/>
        <w:spacing w:after="120" w:before="240"/>
      </w:pPr>
      <w:r>
        <w:rPr>
          <w:rFonts w:ascii="Arial" w:cs="Arial" w:eastAsia="Arial" w:hAnsi="Arial"/>
          <w:b/>
          <w:bCs/>
          <w:sz w:val="28"/>
          <w:szCs w:val="28"/>
        </w:rPr>
        <w:t xml:space="preserve">Archaeological Evidence</w:t>
      </w:r>
    </w:p>
    <w:p>
      <w:pPr>
        <w:spacing w:after="160"/>
      </w:pPr>
      <w:r>
        <w:rPr>
          <w:rFonts w:ascii="Arial" w:cs="Arial" w:eastAsia="Arial" w:hAnsi="Arial"/>
          <w:sz w:val="24"/>
          <w:szCs w:val="24"/>
        </w:rPr>
        <w:t xml:space="preserve">Alexandria's physical remains are fragmentary — the city has been continuously inhabited and rebuilt, and much of ancient Alexandria lies beneath the modern city or has been lost to coastal subsidence. Available evidence includes:</w:t>
      </w:r>
    </w:p>
    <w:p>
      <w:pPr>
        <w:pStyle w:val="ListParagraph"/>
        <w:numPr>
          <w:ilvl w:val="0"/>
          <w:numId w:val="2"/>
        </w:numPr>
        <w:spacing w:after="80"/>
      </w:pPr>
      <w:r>
        <w:rPr>
          <w:rFonts w:ascii="Arial" w:cs="Arial" w:eastAsia="Arial" w:hAnsi="Arial"/>
          <w:sz w:val="24"/>
          <w:szCs w:val="24"/>
        </w:rPr>
        <w:t xml:space="preserve">Baptistery archaeology, where recovered, gives evidence for the physical experience of initiation and the spatial arrangement of catechetical preparation.</w:t>
      </w:r>
    </w:p>
    <w:p>
      <w:pPr>
        <w:pStyle w:val="ListParagraph"/>
        <w:numPr>
          <w:ilvl w:val="0"/>
          <w:numId w:val="2"/>
        </w:numPr>
        <w:spacing w:after="80"/>
      </w:pPr>
      <w:r>
        <w:rPr>
          <w:rFonts w:ascii="Arial" w:cs="Arial" w:eastAsia="Arial" w:hAnsi="Arial"/>
          <w:sz w:val="24"/>
          <w:szCs w:val="24"/>
        </w:rPr>
        <w:t xml:space="preserve">Church building archaeology elsewhere in Egypt provides evidence for spatial ordering of communities — where catechumens stood relative to the faithful, how authority was physically arranged in worship space.</w:t>
      </w:r>
    </w:p>
    <w:p>
      <w:pPr>
        <w:pStyle w:val="ListParagraph"/>
        <w:numPr>
          <w:ilvl w:val="0"/>
          <w:numId w:val="2"/>
        </w:numPr>
        <w:spacing w:after="80"/>
      </w:pPr>
      <w:r>
        <w:rPr>
          <w:rFonts w:ascii="Arial" w:cs="Arial" w:eastAsia="Arial" w:hAnsi="Arial"/>
          <w:sz w:val="24"/>
          <w:szCs w:val="24"/>
        </w:rPr>
        <w:t xml:space="preserve">Funerary archaeology from Egyptian Christian sites shows how death was handled, what texts or symbols accompanied burial, and how Christian and indigenous Egyptian mortuary practice interacted.</w:t>
      </w:r>
    </w:p>
    <w:p>
      <w:pPr>
        <w:spacing w:after="80"/>
      </w:pPr>
      <w:r>
        <w:t xml:space="preserve"/>
      </w:r>
    </w:p>
    <w:p>
      <w:pPr>
        <w:spacing w:after="160"/>
      </w:pPr>
      <w:r>
        <w:rPr>
          <w:rFonts w:ascii="Arial" w:cs="Arial" w:eastAsia="Arial" w:hAnsi="Arial"/>
          <w:sz w:val="24"/>
          <w:szCs w:val="24"/>
        </w:rPr>
        <w:t xml:space="preserve">Confidence: Limited for Alexandria specifically, given the fragmentary survival of the ancient city; Moderate for broader Egyptian Christian archaeological evidence outside Alexandria proper, which is more substantial.</w:t>
      </w:r>
    </w:p>
    <w:p>
      <w:pPr>
        <w:pStyle w:val="Heading2"/>
        <w:spacing w:after="120" w:before="240"/>
      </w:pPr>
      <w:r>
        <w:rPr>
          <w:rFonts w:ascii="Arial" w:cs="Arial" w:eastAsia="Arial" w:hAnsi="Arial"/>
          <w:b/>
          <w:bCs/>
          <w:sz w:val="28"/>
          <w:szCs w:val="28"/>
        </w:rPr>
        <w:t xml:space="preserve">Social-Historical Background</w:t>
      </w:r>
    </w:p>
    <w:p>
      <w:pPr>
        <w:spacing w:after="160"/>
      </w:pPr>
      <w:r>
        <w:rPr>
          <w:rFonts w:ascii="Arial" w:cs="Arial" w:eastAsia="Arial" w:hAnsi="Arial"/>
          <w:sz w:val="24"/>
          <w:szCs w:val="24"/>
        </w:rPr>
        <w:t xml:space="preserve">The material conditions within which this ecology operated significantly affect how the formation ecology should be understood. A formation ecology that assumes literate adults with leisure time for study looks very different once the actual social conditions of Roman Egypt are known.</w:t>
      </w:r>
    </w:p>
    <w:p>
      <w:pPr>
        <w:pStyle w:val="ListParagraph"/>
        <w:numPr>
          <w:ilvl w:val="0"/>
          <w:numId w:val="2"/>
        </w:numPr>
        <w:spacing w:after="80"/>
      </w:pPr>
      <w:r>
        <w:rPr>
          <w:rFonts w:ascii="Arial" w:cs="Arial" w:eastAsia="Arial" w:hAnsi="Arial"/>
          <w:sz w:val="24"/>
          <w:szCs w:val="24"/>
        </w:rPr>
        <w:t xml:space="preserve">Literacy in Roman Egypt is estimated by papyrologists at a small minority of the population, concentrated among urban, male, and economically secure groups — directly relevant to assessing how broadly the literary-intensive dimensions of this ecology (Streams 1, 5, 6) actually extended.</w:t>
      </w:r>
    </w:p>
    <w:p>
      <w:pPr>
        <w:pStyle w:val="ListParagraph"/>
        <w:numPr>
          <w:ilvl w:val="0"/>
          <w:numId w:val="2"/>
        </w:numPr>
        <w:spacing w:after="80"/>
      </w:pPr>
      <w:r>
        <w:rPr>
          <w:rFonts w:ascii="Arial" w:cs="Arial" w:eastAsia="Arial" w:hAnsi="Arial"/>
          <w:sz w:val="24"/>
          <w:szCs w:val="24"/>
        </w:rPr>
        <w:t xml:space="preserve">Most of the population of Roman Egypt, including Alexandria's hinterland, was engaged in agricultural labor, with household economics structured around subsistence and tenancy rather than the leisure and resources that supported the school tradition.</w:t>
      </w:r>
    </w:p>
    <w:p>
      <w:pPr>
        <w:pStyle w:val="ListParagraph"/>
        <w:numPr>
          <w:ilvl w:val="0"/>
          <w:numId w:val="2"/>
        </w:numPr>
        <w:spacing w:after="80"/>
      </w:pPr>
      <w:r>
        <w:rPr>
          <w:rFonts w:ascii="Arial" w:cs="Arial" w:eastAsia="Arial" w:hAnsi="Arial"/>
          <w:sz w:val="24"/>
          <w:szCs w:val="24"/>
        </w:rPr>
        <w:t xml:space="preserve">Alexandria itself was an exceptional case within Egypt — multilingual, cosmopolitan, a major commercial hub, with greater social mobility and literacy than the rural hinterland. This urban exceptionalism should be held in view whenever evidence from Alexandria proper is treated as representative of the broader Egyptian Christian ecology.</w:t>
      </w:r>
    </w:p>
    <w:p>
      <w:pPr>
        <w:spacing w:after="80"/>
      </w:pPr>
      <w:r>
        <w:t xml:space="preserve"/>
      </w:r>
    </w:p>
    <w:p>
      <w:pPr>
        <w:spacing w:after="160"/>
      </w:pPr>
      <w:r>
        <w:rPr>
          <w:rFonts w:ascii="Arial" w:cs="Arial" w:eastAsia="Arial" w:hAnsi="Arial"/>
          <w:sz w:val="24"/>
          <w:szCs w:val="24"/>
        </w:rPr>
        <w:t xml:space="preserve">Confidence: Moderate to Strong, drawing on the broader papyrological and social-historical scholarship on Roman Egypt (Bagnall, Lewis, Bowman) rather than Christian sources specifically, since these conditions applied to the whole population regardless of religious affiliation.</w:t>
      </w:r>
    </w:p>
    <w:p>
      <w:pPr>
        <w:pStyle w:val="Heading2"/>
        <w:spacing w:after="120" w:before="240"/>
      </w:pPr>
      <w:r>
        <w:rPr>
          <w:rFonts w:ascii="Arial" w:cs="Arial" w:eastAsia="Arial" w:hAnsi="Arial"/>
          <w:b/>
          <w:bCs/>
          <w:sz w:val="28"/>
          <w:szCs w:val="28"/>
        </w:rPr>
        <w:t xml:space="preserve">Surrounding Cultural and Religious Environment</w:t>
      </w:r>
    </w:p>
    <w:p>
      <w:pPr>
        <w:spacing w:after="160"/>
      </w:pPr>
      <w:r>
        <w:rPr>
          <w:rFonts w:ascii="Arial" w:cs="Arial" w:eastAsia="Arial" w:hAnsi="Arial"/>
          <w:sz w:val="24"/>
          <w:szCs w:val="24"/>
        </w:rPr>
        <w:t xml:space="preserve">Alexandria existed within a rich and continuous indigenous Egyptian religious environment that predates and runs alongside its Christian history. Indigenous Egyptian concern with the human-divine relationship, with death and transformation, and with sacred text and priestly interpretation likely shaped Alexandrian Christian formation at the level of cultural atmosphere and assumption, even where it is not directly cited in Christian literary sources. This influence is acknowledged as probable but is difficult to trace with specific textual evidence, and should be treated as background atmosphere rather than direct source material.</w:t>
      </w:r>
    </w:p>
    <w:p>
      <w:pPr>
        <w:spacing w:after="80"/>
      </w:pPr>
      <w:r>
        <w:t xml:space="preserve"/>
      </w:r>
    </w:p>
    <w:p>
      <w:pPr>
        <w:pStyle w:val="Heading1"/>
        <w:spacing w:after="160" w:before="320"/>
      </w:pPr>
      <w:r>
        <w:rPr>
          <w:rFonts w:ascii="Arial" w:cs="Arial" w:eastAsia="Arial" w:hAnsi="Arial"/>
          <w:b/>
          <w:bCs/>
          <w:sz w:val="32"/>
          <w:szCs w:val="32"/>
        </w:rPr>
        <w:t xml:space="preserve">Supplementary Author Gravity Entries</w:t>
      </w:r>
    </w:p>
    <w:p>
      <w:pPr>
        <w:spacing w:after="160"/>
      </w:pPr>
      <w:r>
        <w:rPr>
          <w:rFonts w:ascii="Arial" w:cs="Arial" w:eastAsia="Arial" w:hAnsi="Arial"/>
          <w:sz w:val="24"/>
          <w:szCs w:val="24"/>
        </w:rPr>
        <w:t xml:space="preserve">These entries extend the Author Gravity Assessment above to cover additional figures who appear in the evidence streams or in Formation Narrative Sources above but had not yet received individual evaluation.</w:t>
      </w:r>
    </w:p>
    <w:p>
      <w:pPr>
        <w:pStyle w:val="Heading2"/>
        <w:spacing w:after="120" w:before="240"/>
      </w:pPr>
      <w:r>
        <w:rPr>
          <w:rFonts w:ascii="Arial" w:cs="Arial" w:eastAsia="Arial" w:hAnsi="Arial"/>
          <w:b/>
          <w:bCs/>
          <w:sz w:val="28"/>
          <w:szCs w:val="28"/>
        </w:rPr>
        <w:t xml:space="preserve">Dionysius of Alexandria (bishop, c. 247–264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 His extensive correspondence survives substantially through quotation in Eusebius rather than as an independent corpus, which affects how directly his evidence can be assessed.</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Significant for the teacher-to-bishop transition specifically — he was head of the catechetical school before becoming bishop, making him direct evidence for how the school tradition and episcopal authority related to one another in practice during the mid-3rd century.</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His pastoral letters addressing the Decian persecution and its aftermath are important evidence for how the community handled crisis, repentance, and reintegration of the lapsed — relevant to Stream 7 (Community &amp; Ecclesial Life) and Stream 8 (Martyr Memory).</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As a bishop writing pastorally, his evidence concentrates on questions of discipline, authority, and crisis management rather than on the contemplative or interpretive dimensions more visible in Clement and Origen.</w:t>
      </w:r>
    </w:p>
    <w:p>
      <w:pPr>
        <w:spacing w:after="160"/>
      </w:pPr>
      <w:r>
        <w:rPr>
          <w:rFonts w:ascii="Arial" w:cs="Arial" w:eastAsia="Arial" w:hAnsi="Arial"/>
          <w:b/>
          <w:bCs/>
          <w:sz w:val="24"/>
          <w:szCs w:val="24"/>
        </w:rPr>
        <w:t xml:space="preserve">Transmission History: </w:t>
      </w:r>
      <w:r>
        <w:rPr>
          <w:rFonts w:ascii="Arial" w:cs="Arial" w:eastAsia="Arial" w:hAnsi="Arial"/>
          <w:sz w:val="24"/>
          <w:szCs w:val="24"/>
        </w:rPr>
        <w:t xml:space="preserve">His correspondence survives almost entirely through Eusebius's quotation rather than independent manuscript transmission, meaning his evidence is filtered through Eusebius's selection and historiographical purposes. See the Eusebius entry below for the implications of this.</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Moderate. His evidence is useful for the teacher-bishop transition but is mediated entirely through a secondary historian rather than direct manuscript survival.</w:t>
      </w:r>
    </w:p>
    <w:p>
      <w:pPr>
        <w:spacing w:after="80"/>
      </w:pPr>
      <w:r>
        <w:t xml:space="preserve"/>
      </w:r>
    </w:p>
    <w:p>
      <w:pPr>
        <w:pStyle w:val="Heading2"/>
        <w:spacing w:after="120" w:before="240"/>
      </w:pPr>
      <w:r>
        <w:rPr>
          <w:rFonts w:ascii="Arial" w:cs="Arial" w:eastAsia="Arial" w:hAnsi="Arial"/>
          <w:b/>
          <w:bCs/>
          <w:sz w:val="28"/>
          <w:szCs w:val="28"/>
        </w:rPr>
        <w:t xml:space="preserve">Gregory Thaumaturgus (c. 213–270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Low in terms of total output, but his Address of Thanksgiving to Origen is uniquely significant — see Formation Narrative Sources above for full evaluation.</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Represents the student's experience of Origen's school specifically, complementing the teacher's-eye view available from Origen's own writings. This is valuable precisely because it is not Origen describing himself.</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He carried Origen's method to Cappadocia, becoming the conduit through which Origenian theology and exegesis reached the Cappadocian Fathers — a significant transmission pathway for Alexandrian influence beyond Alexandria itself, relevant to Doc_01's treatment of Cappadocia as an adjacent world.</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A single text, written by a former student some years after the experience it describes, in a genre (epideictic oratory) that idealizes its subject.</w:t>
      </w:r>
    </w:p>
    <w:p>
      <w:pPr>
        <w:spacing w:after="160"/>
      </w:pPr>
      <w:r>
        <w:rPr>
          <w:rFonts w:ascii="Arial" w:cs="Arial" w:eastAsia="Arial" w:hAnsi="Arial"/>
          <w:b/>
          <w:bCs/>
          <w:sz w:val="24"/>
          <w:szCs w:val="24"/>
        </w:rPr>
        <w:t xml:space="preserve">Transmission History: </w:t>
      </w:r>
      <w:r>
        <w:rPr>
          <w:rFonts w:ascii="Arial" w:cs="Arial" w:eastAsia="Arial" w:hAnsi="Arial"/>
          <w:sz w:val="24"/>
          <w:szCs w:val="24"/>
        </w:rPr>
        <w:t xml:space="preserve">The Address survives in Greek manuscript transmission without the complicating translation layer that affects much of Origen's own corpus; relatively direct.</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Low. A single, clearly-bounded source whose limitations are easy to state and whose value (student perspective on formation) is distinct from and complementary to other sources rather than competing with them.</w:t>
      </w:r>
    </w:p>
    <w:p>
      <w:pPr>
        <w:spacing w:after="80"/>
      </w:pPr>
      <w:r>
        <w:t xml:space="preserve"/>
      </w:r>
    </w:p>
    <w:p>
      <w:pPr>
        <w:pStyle w:val="Heading2"/>
        <w:spacing w:after="120" w:before="240"/>
      </w:pPr>
      <w:r>
        <w:rPr>
          <w:rFonts w:ascii="Arial" w:cs="Arial" w:eastAsia="Arial" w:hAnsi="Arial"/>
          <w:b/>
          <w:bCs/>
          <w:sz w:val="28"/>
          <w:szCs w:val="28"/>
        </w:rPr>
        <w:t xml:space="preserve">Eusebius of Caesarea (c. 260–339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Very high as a secondary narrative source. His Ecclesiastical History is the primary scaffolding through which the school's personnel history (Pantaenus, Clement, Origen, Heraclas, Dionysius, Peter of Alexandria) is known. Much of what this Source Ecology document reports about institutional succession depends on his account.</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Eusebius is not an Alexandrian voice — he writes from Caesarea, with his own historiographical and apologetic purposes, chiefly to demonstrate the antiquity, continuity, and orthodoxy of the church against pagan and heretical rivals. His selection of what to report and how to frame it serves those purposes.</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Enormous. He is effectively the lens through which most of the institutional history of Alexandrian Christianity before the 4th century has been received by all subsequent scholarship, ancient and modern.</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Writing roughly a century after Clement and several decades after Origen's death, Eusebius is a historian interpreting earlier figures for his own apologetic purposes, not a participant reporting direct experience. His account of the school's succession (Pantaenus to Clement to Origen to Heraclas to Dionysius) has been questioned by some modern scholars as more orderly and institutionally formal than the evidence independently supports — he may be retrojecting a clearer institutional structure than existed.</w:t>
      </w:r>
    </w:p>
    <w:p>
      <w:pPr>
        <w:spacing w:after="160"/>
      </w:pPr>
      <w:r>
        <w:rPr>
          <w:rFonts w:ascii="Arial" w:cs="Arial" w:eastAsia="Arial" w:hAnsi="Arial"/>
          <w:b/>
          <w:bCs/>
          <w:sz w:val="24"/>
          <w:szCs w:val="24"/>
        </w:rPr>
        <w:t xml:space="preserve">Transmission History: </w:t>
      </w:r>
      <w:r>
        <w:rPr>
          <w:rFonts w:ascii="Arial" w:cs="Arial" w:eastAsia="Arial" w:hAnsi="Arial"/>
          <w:sz w:val="24"/>
          <w:szCs w:val="24"/>
        </w:rPr>
        <w:t xml:space="preserve">His Greek text survives in reasonably direct manuscript transmission, but this does not resolve the deeper transmission concern, which is interpretive rather than textual: the framework through which the school's history reaches modern readers is Eusebius's own.</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HIGH for institutional and biographical claims specifically. Wherever this Source Ecology document or Doc_04's gravity analysis relies on Eusebius for claims about the school's formal structure, succession, or institutional continuity, this should be flagged as passing through a single, purposeful historian writing significantly after the events described, not as direct contemporary attestation.</w:t>
      </w:r>
    </w:p>
    <w:p>
      <w:pPr>
        <w:spacing w:after="80"/>
      </w:pPr>
      <w:r>
        <w:t xml:space="preserve"/>
      </w:r>
    </w:p>
    <w:p>
      <w:pPr>
        <w:pStyle w:val="Heading2"/>
        <w:spacing w:after="120" w:before="240"/>
      </w:pPr>
      <w:r>
        <w:rPr>
          <w:rFonts w:ascii="Arial" w:cs="Arial" w:eastAsia="Arial" w:hAnsi="Arial"/>
          <w:b/>
          <w:bCs/>
          <w:sz w:val="28"/>
          <w:szCs w:val="28"/>
        </w:rPr>
        <w:t xml:space="preserve">Palladius (c. 363–420s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 The Lausiac History is a substantial single work; he is not a prolific author beyond it.</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Represents direct travel-based testimony of Egyptian ascetic communities in the late 4th and early 5th centuries, including personally meeting Didymus the Blind. This places him at the edge of this world's proposed horizon (150–400 CE) but his testimony concerns figures and practices within it.</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The Lausiac History becomes a foundational text for how subsequent Christian tradition understands Egyptian desert formation.</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Mixes direct personal testimony with received report without always distinguishing the two; later editorial accretions to the text are a known textual-critical concern.</w:t>
      </w:r>
    </w:p>
    <w:p>
      <w:pPr>
        <w:spacing w:after="160"/>
      </w:pPr>
      <w:r>
        <w:rPr>
          <w:rFonts w:ascii="Arial" w:cs="Arial" w:eastAsia="Arial" w:hAnsi="Arial"/>
          <w:b/>
          <w:bCs/>
          <w:sz w:val="24"/>
          <w:szCs w:val="24"/>
        </w:rPr>
        <w:t xml:space="preserve">Transmission History: </w:t>
      </w:r>
      <w:r>
        <w:rPr>
          <w:rFonts w:ascii="Arial" w:cs="Arial" w:eastAsia="Arial" w:hAnsi="Arial"/>
          <w:sz w:val="24"/>
          <w:szCs w:val="24"/>
        </w:rPr>
        <w:t xml:space="preserve">Survives in multiple Greek recensions with some textual variation; the version-history of the text itself is a live area of textual scholarship.</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Moderate. Valuable specifically for personally-witnessed material (the Didymus portrait); lower confidence should attach to received accounts of figures and events Palladius did not personally observe.</w:t>
      </w:r>
    </w:p>
    <w:p>
      <w:pPr>
        <w:spacing w:after="80"/>
      </w:pPr>
      <w:r>
        <w:t xml:space="preserve"/>
      </w:r>
    </w:p>
    <w:p>
      <w:pPr>
        <w:pStyle w:val="Heading1"/>
        <w:spacing w:after="160" w:before="320"/>
      </w:pPr>
      <w:r>
        <w:rPr>
          <w:rFonts w:ascii="Arial" w:cs="Arial" w:eastAsia="Arial" w:hAnsi="Arial"/>
          <w:b/>
          <w:bCs/>
          <w:sz w:val="32"/>
          <w:szCs w:val="32"/>
        </w:rPr>
        <w:t xml:space="preserve">Transmission History Note: Origen’s Latin Corpus</w:t>
      </w:r>
    </w:p>
    <w:p>
      <w:pPr>
        <w:spacing w:after="160"/>
      </w:pPr>
      <w:r>
        <w:rPr>
          <w:rFonts w:ascii="Arial" w:cs="Arial" w:eastAsia="Arial" w:hAnsi="Arial"/>
          <w:sz w:val="24"/>
          <w:szCs w:val="24"/>
        </w:rPr>
        <w:t xml:space="preserve">Per Construction Framework v7 Part II, Transmission History is a required evaluation dimension. This note applies it specifically to Origen, whose case is the most significant in this world's source ecology.</w:t>
      </w:r>
    </w:p>
    <w:p>
      <w:pPr>
        <w:spacing w:after="160"/>
      </w:pPr>
      <w:r>
        <w:rPr>
          <w:rFonts w:ascii="Arial" w:cs="Arial" w:eastAsia="Arial" w:hAnsi="Arial"/>
          <w:sz w:val="24"/>
          <w:szCs w:val="24"/>
        </w:rPr>
        <w:t xml:space="preserve">A significant portion of Origen's surviving work exists only in Latin translation, produced by two translators with strong and opposing theological agendas. Rufinus of Aquileia, translating in the late 4th century, was sympathetic to Origen and is widely understood by modern scholarship to have softened or removed passages he considered heterodox or liable to misunderstanding, in order to present Origen favorably to a Latin audience increasingly suspicious of him. Jerome, by contrast, translated some Origen material during his own early Origenist sympathies and later, after becoming a vocal anti-Origenist, sometimes translated or characterized Origen's positions in ways calculated to discredit him.</w:t>
      </w:r>
    </w:p>
    <w:p>
      <w:pPr>
        <w:spacing w:after="160"/>
      </w:pPr>
      <w:r>
        <w:rPr>
          <w:rFonts w:ascii="Arial" w:cs="Arial" w:eastAsia="Arial" w:hAnsi="Arial"/>
          <w:sz w:val="24"/>
          <w:szCs w:val="24"/>
        </w:rPr>
        <w:t xml:space="preserve">This means that for substantial portions of Origen's corpus, particularly the systematic theological work On First Principles, the text available to modern readers is not a direct window into Origen's Greek original but a window through two theologically motivated late-antique translators working in opposite directions. Claims about precisely what Origen taught on the soul's pre-existence, on apokatastasis, or on subordinationist Christology — the specific propositions later condemned at the Fifth Ecumenical Council — should be held with this transmission complication actively in view.</w:t>
      </w:r>
    </w:p>
    <w:p>
      <w:pPr>
        <w:spacing w:after="160"/>
      </w:pPr>
      <w:r>
        <w:rPr>
          <w:rFonts w:ascii="Arial" w:cs="Arial" w:eastAsia="Arial" w:hAnsi="Arial"/>
          <w:sz w:val="24"/>
          <w:szCs w:val="24"/>
        </w:rPr>
        <w:t xml:space="preserve">This does not undermine the broader gravity-level claims in Doc_04. “Scripture is formative” and “transformation is the soul's telos” survive translation robustly — they are attested across Origen's Greek homiletical and exegetical corpus (which has a more direct transmission history) as well as the contested Latin systematic works. The transmission concern becomes significant specifically when reconstruction moves toward fine-grained doctrinal claims about Origen's precise theological positions, which ecological reconstruction should approach with this caution stated explicitly rather than assumed away.</w:t>
      </w:r>
    </w:p>
    <w:p>
      <w:pPr>
        <w:spacing w:after="80"/>
      </w:pPr>
      <w:r>
        <w:t xml:space="preserve"/>
      </w:r>
    </w:p>
    <w:p>
      <w:pPr>
        <w:pStyle w:val="Heading1"/>
        <w:spacing w:after="160" w:before="320"/>
      </w:pPr>
      <w:r>
        <w:rPr>
          <w:rFonts w:ascii="Arial" w:cs="Arial" w:eastAsia="Arial" w:hAnsi="Arial"/>
          <w:b/>
          <w:bCs/>
          <w:sz w:val="32"/>
          <w:szCs w:val="32"/>
        </w:rPr>
        <w:t xml:space="preserve">Story and Narrative Sources</w:t>
      </w:r>
    </w:p>
    <w:p>
      <w:pPr>
        <w:spacing w:after="160"/>
      </w:pPr>
      <w:r>
        <w:rPr>
          <w:rFonts w:ascii="Arial" w:cs="Arial" w:eastAsia="Arial" w:hAnsi="Arial"/>
          <w:sz w:val="24"/>
          <w:szCs w:val="24"/>
        </w:rPr>
        <w:t xml:space="preserve">Per Construction Framework v7 Part II, this section applies the four-tier classification framework to the narrative material identified in Formation Narrative Sources above. Full tier-by-tier inventory with usage guidance for the representative voice is developed in the companion Alexandria Story Inventory document; this section establishes the source-level classification that inventory depends on.</w:t>
      </w:r>
    </w:p>
    <w:p>
      <w:pPr>
        <w:pStyle w:val="Heading2"/>
        <w:spacing w:after="120" w:before="240"/>
      </w:pPr>
      <w:r>
        <w:rPr>
          <w:rFonts w:ascii="Arial" w:cs="Arial" w:eastAsia="Arial" w:hAnsi="Arial"/>
          <w:b/>
          <w:bCs/>
          <w:sz w:val="28"/>
          <w:szCs w:val="28"/>
        </w:rPr>
        <w:t xml:space="preserve">Tier 1 — Documented Historical Narrative</w:t>
      </w:r>
    </w:p>
    <w:p>
      <w:pPr>
        <w:pStyle w:val="ListParagraph"/>
        <w:numPr>
          <w:ilvl w:val="0"/>
          <w:numId w:val="2"/>
        </w:numPr>
        <w:spacing w:after="80"/>
      </w:pPr>
      <w:r>
        <w:rPr>
          <w:rFonts w:ascii="Arial" w:cs="Arial" w:eastAsia="Arial" w:hAnsi="Arial"/>
          <w:sz w:val="24"/>
          <w:szCs w:val="24"/>
        </w:rPr>
        <w:t xml:space="preserve">Gregory Thaumaturgus's Address of Thanksgiving to Origen — direct student testimony of formation under Origen, named author, datable to shortly after the events.</w:t>
      </w:r>
    </w:p>
    <w:p>
      <w:pPr>
        <w:pStyle w:val="ListParagraph"/>
        <w:numPr>
          <w:ilvl w:val="0"/>
          <w:numId w:val="2"/>
        </w:numPr>
        <w:spacing w:after="80"/>
      </w:pPr>
      <w:r>
        <w:rPr>
          <w:rFonts w:ascii="Arial" w:cs="Arial" w:eastAsia="Arial" w:hAnsi="Arial"/>
          <w:sz w:val="24"/>
          <w:szCs w:val="24"/>
        </w:rPr>
        <w:t xml:space="preserve">Palladius's personally-witnessed material, specifically his account of meeting Didymus the Blind — direct travel testimony, named author, datable.</w:t>
      </w:r>
    </w:p>
    <w:p>
      <w:pPr>
        <w:pStyle w:val="ListParagraph"/>
        <w:numPr>
          <w:ilvl w:val="0"/>
          <w:numId w:val="2"/>
        </w:numPr>
        <w:spacing w:after="80"/>
      </w:pPr>
      <w:r>
        <w:rPr>
          <w:rFonts w:ascii="Arial" w:cs="Arial" w:eastAsia="Arial" w:hAnsi="Arial"/>
          <w:sz w:val="24"/>
          <w:szCs w:val="24"/>
        </w:rPr>
        <w:t xml:space="preserve">Origen's own account of his father Leonides's martyrdom (preserved in Eusebius's quotation) — though mediated through Eusebius's selection, the core account derives from Origen's own reported testimony about his formative experience of his father's death.</w:t>
      </w:r>
    </w:p>
    <w:p>
      <w:pPr>
        <w:pStyle w:val="Heading2"/>
        <w:spacing w:after="120" w:before="240"/>
      </w:pPr>
      <w:r>
        <w:rPr>
          <w:rFonts w:ascii="Arial" w:cs="Arial" w:eastAsia="Arial" w:hAnsi="Arial"/>
          <w:b/>
          <w:bCs/>
          <w:sz w:val="28"/>
          <w:szCs w:val="28"/>
        </w:rPr>
        <w:t xml:space="preserve">Tier 2 — Collected Traditional Narrative</w:t>
      </w:r>
    </w:p>
    <w:p>
      <w:pPr>
        <w:pStyle w:val="ListParagraph"/>
        <w:numPr>
          <w:ilvl w:val="0"/>
          <w:numId w:val="2"/>
        </w:numPr>
        <w:spacing w:after="80"/>
      </w:pPr>
      <w:r>
        <w:rPr>
          <w:rFonts w:ascii="Arial" w:cs="Arial" w:eastAsia="Arial" w:hAnsi="Arial"/>
          <w:sz w:val="24"/>
          <w:szCs w:val="24"/>
        </w:rPr>
        <w:t xml:space="preserve">The Apophthegmata Patrum (Sayings of the Desert Fathers) — collected community memory with identifiable collection history in the late 4th–5th centuries; individual sayings traceable to named Abbas with Moderate confidence, anonymous material treated as authentic tradition without specific attribution.</w:t>
      </w:r>
    </w:p>
    <w:p>
      <w:pPr>
        <w:spacing w:after="120"/>
        <w:ind w:left="360"/>
      </w:pPr>
      <w:r>
        <w:rPr>
          <w:rFonts w:ascii="Arial" w:cs="Arial" w:eastAsia="Arial" w:hAnsi="Arial"/>
          <w:b/>
          <w:bCs/>
          <w:i/>
          <w:iCs/>
          <w:sz w:val="22"/>
          <w:szCs w:val="22"/>
        </w:rPr>
        <w:t xml:space="preserve">[Cross-build provisional: </w:t>
      </w:r>
      <w:r>
        <w:rPr>
          <w:rFonts w:ascii="Arial" w:cs="Arial" w:eastAsia="Arial" w:hAnsi="Arial"/>
          <w:i/>
          <w:iCs/>
          <w:sz w:val="22"/>
          <w:szCs w:val="22"/>
        </w:rPr>
        <w:t xml:space="preserve">this source's world-attribution — whether it belongs to Alexandria's formation ecology, to the distinct Desert Christianity formation world, or to both through discovered convergence — is held open pending Phase 3 gravity discovery. See Doc_01, Geographic Scope, Note on Desert Christianity and Cross-Build Boundary. This document may assess this source's evidential quality and tier-classify its narrative content. It may not pre-assign it as evidence of Alexandrian formation logic without the gravity demonstration that belongs to Phase 3.]</w:t>
      </w:r>
    </w:p>
    <w:p>
      <w:pPr>
        <w:pStyle w:val="Heading2"/>
        <w:spacing w:after="120" w:before="240"/>
      </w:pPr>
      <w:r>
        <w:rPr>
          <w:rFonts w:ascii="Arial" w:cs="Arial" w:eastAsia="Arial" w:hAnsi="Arial"/>
          <w:b/>
          <w:bCs/>
          <w:sz w:val="28"/>
          <w:szCs w:val="28"/>
        </w:rPr>
        <w:t xml:space="preserve">Tier 3 — Hagiographic Narrative</w:t>
      </w:r>
    </w:p>
    <w:p>
      <w:pPr>
        <w:pStyle w:val="ListParagraph"/>
        <w:numPr>
          <w:ilvl w:val="0"/>
          <w:numId w:val="2"/>
        </w:numPr>
        <w:spacing w:after="80"/>
      </w:pPr>
      <w:r>
        <w:rPr>
          <w:rFonts w:ascii="Arial" w:cs="Arial" w:eastAsia="Arial" w:hAnsi="Arial"/>
          <w:sz w:val="24"/>
          <w:szCs w:val="24"/>
        </w:rPr>
        <w:t xml:space="preserve">Athanasius's Life of Antony — the formation ideal (withdrawal, prayer, spiritual combat as transformative) is credible community-formation evidence; specific episodes (visions, miracles, demonic encounters) are not. This source is Tier 3 as evidence of what Athanasius's community believed about formation; for evidence of the desert formation tradition's own logic, the cross-build provisional constraint applies.</w:t>
      </w:r>
    </w:p>
    <w:p>
      <w:pPr>
        <w:spacing w:after="120"/>
        <w:ind w:left="360"/>
      </w:pPr>
      <w:r>
        <w:rPr>
          <w:rFonts w:ascii="Arial" w:cs="Arial" w:eastAsia="Arial" w:hAnsi="Arial"/>
          <w:b/>
          <w:bCs/>
          <w:i/>
          <w:iCs/>
          <w:sz w:val="22"/>
          <w:szCs w:val="22"/>
        </w:rPr>
        <w:t xml:space="preserve">[Cross-build note on Antony's formation: </w:t>
      </w:r>
      <w:r>
        <w:rPr>
          <w:rFonts w:ascii="Arial" w:cs="Arial" w:eastAsia="Arial" w:hAnsi="Arial"/>
          <w:i/>
          <w:iCs/>
          <w:sz w:val="22"/>
          <w:szCs w:val="22"/>
        </w:rPr>
        <w:t xml:space="preserve">Where this source is used as evidence of the desert formation tradition’s own logic rather than as evidence of Athanasius’s community formation ideals, the cross-build provisional constraint applies. Note: where the desert-formation content of this source — withdrawal, physical ascesis, spiritual combat, the abba relationship — is used to argue continuity or intensification between Alexandria’s formation ecology and the desert tradition, that argument carries the cross-build provisional constraint regardless of how it is framed. The distinction is not between Alexandrian framing and desert framing; it is between Athanasius’s own theological-literary project and desert-formation substance, wherever that substance appears. See Formation Narrative Sources above.]</w:t>
      </w:r>
    </w:p>
    <w:p>
      <w:pPr>
        <w:spacing w:after="80"/>
      </w:pPr>
      <w:r>
        <w:t xml:space="preserve"/>
      </w:r>
    </w:p>
    <w:p>
      <w:pPr>
        <w:pStyle w:val="ListParagraph"/>
        <w:numPr>
          <w:ilvl w:val="0"/>
          <w:numId w:val="2"/>
        </w:numPr>
        <w:spacing w:after="80"/>
      </w:pPr>
      <w:r>
        <w:rPr>
          <w:rFonts w:ascii="Arial" w:cs="Arial" w:eastAsia="Arial" w:hAnsi="Arial"/>
          <w:sz w:val="24"/>
          <w:szCs w:val="24"/>
        </w:rPr>
        <w:t xml:space="preserve">Palladius's received (non-personally-witnessed) accounts in the Lausiac History — the general portrait of desert formation practice is credible; specific anecdotal details about figures Palladius did not personally meet carry Limited confidence.</w:t>
      </w:r>
    </w:p>
    <w:p>
      <w:pPr>
        <w:spacing w:after="120"/>
        <w:ind w:left="360"/>
      </w:pPr>
      <w:r>
        <w:rPr>
          <w:rFonts w:ascii="Arial" w:cs="Arial" w:eastAsia="Arial" w:hAnsi="Arial"/>
          <w:b/>
          <w:bCs/>
          <w:i/>
          <w:iCs/>
          <w:sz w:val="22"/>
          <w:szCs w:val="22"/>
        </w:rPr>
        <w:t xml:space="preserve">[Cross-build note on desert formation accounts: </w:t>
      </w:r>
      <w:r>
        <w:rPr>
          <w:rFonts w:ascii="Arial" w:cs="Arial" w:eastAsia="Arial" w:hAnsi="Arial"/>
          <w:i/>
          <w:iCs/>
          <w:sz w:val="22"/>
          <w:szCs w:val="22"/>
        </w:rPr>
        <w:t xml:space="preserve">Palladius's received accounts of desert Abbas and desert formation practice carry the cross-build provisional constraint when used as evidence of the desert tradition's own formation logic. See Formation Narrative Sources above.]</w:t>
      </w:r>
    </w:p>
    <w:p>
      <w:pPr>
        <w:spacing w:after="80"/>
      </w:pPr>
      <w:r>
        <w:t xml:space="preserve"/>
      </w:r>
    </w:p>
    <w:p>
      <w:pPr>
        <w:pStyle w:val="ListParagraph"/>
        <w:numPr>
          <w:ilvl w:val="0"/>
          <w:numId w:val="2"/>
        </w:numPr>
        <w:spacing w:after="80"/>
      </w:pPr>
      <w:r>
        <w:rPr>
          <w:rFonts w:ascii="Arial" w:cs="Arial" w:eastAsia="Arial" w:hAnsi="Arial"/>
          <w:sz w:val="24"/>
          <w:szCs w:val="24"/>
        </w:rPr>
        <w:t xml:space="preserve">Coptic martyrological tradition (Acts of the Martyrs in Coptic) — the formation ideal of faithful witness under persecution is credible community memory; specific narrative details follow martyrological genre convention and should not be treated as verified historical reporting.</w:t>
      </w:r>
    </w:p>
    <w:p>
      <w:pPr>
        <w:pStyle w:val="Heading2"/>
        <w:spacing w:after="120" w:before="240"/>
      </w:pPr>
      <w:r>
        <w:rPr>
          <w:rFonts w:ascii="Arial" w:cs="Arial" w:eastAsia="Arial" w:hAnsi="Arial"/>
          <w:b/>
          <w:bCs/>
          <w:sz w:val="28"/>
          <w:szCs w:val="28"/>
        </w:rPr>
        <w:t xml:space="preserve">Tier 4 — Historically Grounded Reconstruction</w:t>
      </w:r>
    </w:p>
    <w:p>
      <w:pPr>
        <w:spacing w:after="160"/>
      </w:pPr>
      <w:r>
        <w:rPr>
          <w:rFonts w:ascii="Arial" w:cs="Arial" w:eastAsia="Arial" w:hAnsi="Arial"/>
          <w:sz w:val="24"/>
          <w:szCs w:val="24"/>
        </w:rPr>
        <w:t xml:space="preserve">No specific Tier 4 narratives have yet been constructed within this Source Ecology document itself; this is the appropriate mode for composite, typical-practice narration in the world documents and in the representative voice's narration of ordinary practice. Where the world documents use this mode — for example, immersive present-tense description of worship or catechetical encounter — construction notes identifying the specific attested elements each narrative draws from should be added during the ecological reconstruction review, consistent with Construction Framework v7's discipline that every element of a Tier 4 narrative must be traceable to attested evidence.</w:t>
      </w:r>
    </w:p>
    <w:p>
      <w:pPr>
        <w:pStyle w:val="Heading2"/>
        <w:spacing w:after="120" w:before="240"/>
      </w:pPr>
      <w:r>
        <w:rPr>
          <w:rFonts w:ascii="Arial" w:cs="Arial" w:eastAsia="Arial" w:hAnsi="Arial"/>
          <w:b/>
          <w:bCs/>
          <w:sz w:val="28"/>
          <w:szCs w:val="28"/>
        </w:rPr>
        <w:t xml:space="preserve">No Tier 5</w:t>
      </w:r>
    </w:p>
    <w:p>
      <w:pPr>
        <w:spacing w:after="160"/>
      </w:pPr>
      <w:r>
        <w:rPr>
          <w:rFonts w:ascii="Arial" w:cs="Arial" w:eastAsia="Arial" w:hAnsi="Arial"/>
          <w:sz w:val="24"/>
          <w:szCs w:val="24"/>
        </w:rPr>
        <w:t xml:space="preserve">No generated or invented narrative is used or planned for this world. Where the evidence does not support a story — for example, no specific named story of an ordinary lay believer's catechetical experience survives — this absence is acknowledged in the Missing Voices Assessment above rather than filled with invented narrative.</w:t>
      </w:r>
    </w:p>
    <w:p>
      <w:pPr>
        <w:spacing w:after="80"/>
      </w:pPr>
      <w:r>
        <w:t xml:space="preserve"/>
      </w:r>
    </w:p>
    <w:p>
      <w:pPr>
        <w:pStyle w:val="Heading1"/>
        <w:spacing w:after="160" w:before="320"/>
      </w:pPr>
      <w:r>
        <w:rPr>
          <w:rFonts w:ascii="Arial" w:cs="Arial" w:eastAsia="Arial" w:hAnsi="Arial"/>
          <w:b/>
          <w:bCs/>
          <w:sz w:val="32"/>
          <w:szCs w:val="32"/>
        </w:rPr>
        <w:t xml:space="preserve">Preliminary Terminology Observations</w:t>
      </w:r>
    </w:p>
    <w:p>
      <w:pPr>
        <w:spacing w:after="160"/>
      </w:pPr>
      <w:r>
        <w:rPr>
          <w:rFonts w:ascii="Arial" w:cs="Arial" w:eastAsia="Arial" w:hAnsi="Arial"/>
          <w:sz w:val="24"/>
          <w:szCs w:val="24"/>
        </w:rPr>
        <w:t xml:space="preserve">The following terms recur across multiple evidence streams with apparent significance. These observations are offered as preliminary input for Phase 4.1 (Conceptual Ecology &amp; Lexicon Development). They should not be treated as gravities or ecological conclusions at this stage.</w:t>
      </w:r>
    </w:p>
    <w:p>
      <w:pPr>
        <w:spacing w:after="160"/>
      </w:pPr>
      <w:r>
        <w:rPr>
          <w:rFonts w:ascii="Arial" w:cs="Arial" w:eastAsia="Arial" w:hAnsi="Arial"/>
          <w:sz w:val="24"/>
          <w:szCs w:val="24"/>
        </w:rPr>
        <w:t xml:space="preserve">Terms that recur across three or more evidence streams:</w:t>
      </w:r>
    </w:p>
    <w:p>
      <w:pPr>
        <w:pStyle w:val="ListParagraph"/>
        <w:numPr>
          <w:ilvl w:val="0"/>
          <w:numId w:val="2"/>
        </w:numPr>
        <w:spacing w:after="80"/>
      </w:pPr>
      <w:r>
        <w:rPr>
          <w:rFonts w:ascii="Arial" w:cs="Arial" w:eastAsia="Arial" w:hAnsi="Arial"/>
          <w:sz w:val="24"/>
          <w:szCs w:val="24"/>
        </w:rPr>
        <w:t xml:space="preserve">Logos — appears in Streams 1, 4, 5, 6 with consistent theological weight; the coherence of reality, the agent of creation and revelation, the one who becomes incarnate</w:t>
      </w:r>
    </w:p>
    <w:p>
      <w:pPr>
        <w:pStyle w:val="ListParagraph"/>
        <w:numPr>
          <w:ilvl w:val="0"/>
          <w:numId w:val="2"/>
        </w:numPr>
        <w:spacing w:after="80"/>
      </w:pPr>
      <w:r>
        <w:rPr>
          <w:rFonts w:ascii="Arial" w:cs="Arial" w:eastAsia="Arial" w:hAnsi="Arial"/>
          <w:sz w:val="24"/>
          <w:szCs w:val="24"/>
        </w:rPr>
        <w:t xml:space="preserve">Paideia / formation — appears in Streams 1, 2, 4, 5; the educational-formational process by which persons become who they are meant to be</w:t>
      </w:r>
    </w:p>
    <w:p>
      <w:pPr>
        <w:pStyle w:val="ListParagraph"/>
        <w:numPr>
          <w:ilvl w:val="0"/>
          <w:numId w:val="2"/>
        </w:numPr>
        <w:spacing w:after="80"/>
      </w:pPr>
      <w:r>
        <w:rPr>
          <w:rFonts w:ascii="Arial" w:cs="Arial" w:eastAsia="Arial" w:hAnsi="Arial"/>
          <w:sz w:val="24"/>
          <w:szCs w:val="24"/>
        </w:rPr>
        <w:t xml:space="preserve">Transformation / theosis — appears in Streams 4, 6; the soul's real change in the direction of God</w:t>
      </w:r>
    </w:p>
    <w:p>
      <w:pPr>
        <w:pStyle w:val="ListParagraph"/>
        <w:numPr>
          <w:ilvl w:val="0"/>
          <w:numId w:val="2"/>
        </w:numPr>
        <w:spacing w:after="80"/>
      </w:pPr>
      <w:r>
        <w:rPr>
          <w:rFonts w:ascii="Arial" w:cs="Arial" w:eastAsia="Arial" w:hAnsi="Arial"/>
          <w:sz w:val="24"/>
          <w:szCs w:val="24"/>
        </w:rPr>
        <w:t xml:space="preserve">Participation / methexis — appears in Streams 3, 4, 6; sharing genuinely in a reality rather than merely observing or knowing about it</w:t>
      </w:r>
    </w:p>
    <w:p>
      <w:pPr>
        <w:pStyle w:val="ListParagraph"/>
        <w:numPr>
          <w:ilvl w:val="0"/>
          <w:numId w:val="2"/>
        </w:numPr>
        <w:spacing w:after="80"/>
      </w:pPr>
      <w:r>
        <w:rPr>
          <w:rFonts w:ascii="Arial" w:cs="Arial" w:eastAsia="Arial" w:hAnsi="Arial"/>
          <w:sz w:val="24"/>
          <w:szCs w:val="24"/>
        </w:rPr>
        <w:t xml:space="preserve">Gnosis / knowledge — appears in Streams 1, 4, 5, 6 (with complex relationship to rejected Gnostic movements)</w:t>
      </w:r>
    </w:p>
    <w:p>
      <w:pPr>
        <w:pStyle w:val="ListParagraph"/>
        <w:numPr>
          <w:ilvl w:val="0"/>
          <w:numId w:val="2"/>
        </w:numPr>
        <w:spacing w:after="80"/>
      </w:pPr>
      <w:r>
        <w:rPr>
          <w:rFonts w:ascii="Arial" w:cs="Arial" w:eastAsia="Arial" w:hAnsi="Arial"/>
          <w:sz w:val="24"/>
          <w:szCs w:val="24"/>
        </w:rPr>
        <w:t xml:space="preserve">Allegoria / spiritual sense — appears in Stream 1 as a distinctive interpretive mode</w:t>
      </w:r>
    </w:p>
    <w:p>
      <w:pPr>
        <w:spacing w:after="80"/>
      </w:pPr>
      <w:r>
        <w:t xml:space="preserve"/>
      </w:r>
    </w:p>
    <w:p>
      <w:pPr>
        <w:spacing w:after="160"/>
      </w:pPr>
      <w:r>
        <w:rPr>
          <w:rFonts w:ascii="Arial" w:cs="Arial" w:eastAsia="Arial" w:hAnsi="Arial"/>
          <w:sz w:val="24"/>
          <w:szCs w:val="24"/>
        </w:rPr>
        <w:t xml:space="preserve">These terms are flagged here to seed Lexicon Development. Their ecological function — how they organized the world, what they meant from the inside, how they differ from their modern hearings — is a Phase 4 question.</w:t>
      </w:r>
    </w:p>
    <w:p>
      <w:pPr>
        <w:spacing w:after="80"/>
      </w:pPr>
      <w:r>
        <w:t xml:space="preserve"/>
      </w:r>
    </w:p>
    <w:p>
      <w:pPr>
        <w:pStyle w:val="Heading1"/>
        <w:spacing w:after="160" w:before="320"/>
      </w:pPr>
      <w:r>
        <w:rPr>
          <w:rFonts w:ascii="Arial" w:cs="Arial" w:eastAsia="Arial" w:hAnsi="Arial"/>
          <w:b/>
          <w:bCs/>
          <w:sz w:val="32"/>
          <w:szCs w:val="32"/>
        </w:rPr>
        <w:t xml:space="preserve">Preliminary Observations</w:t>
      </w:r>
    </w:p>
    <w:p>
      <w:pPr>
        <w:spacing w:after="160"/>
      </w:pPr>
      <w:r>
        <w:rPr>
          <w:rFonts w:ascii="Arial" w:cs="Arial" w:eastAsia="Arial" w:hAnsi="Arial"/>
          <w:sz w:val="24"/>
          <w:szCs w:val="24"/>
        </w:rPr>
        <w:t xml:space="preserve">The strongest currently visible evidence streams are:</w:t>
      </w:r>
    </w:p>
    <w:p>
      <w:pPr>
        <w:pStyle w:val="ListParagraph"/>
        <w:numPr>
          <w:ilvl w:val="0"/>
          <w:numId w:val="2"/>
        </w:numPr>
        <w:spacing w:after="80"/>
      </w:pPr>
      <w:r>
        <w:rPr>
          <w:rFonts w:ascii="Arial" w:cs="Arial" w:eastAsia="Arial" w:hAnsi="Arial"/>
          <w:sz w:val="24"/>
          <w:szCs w:val="24"/>
        </w:rPr>
        <w:t xml:space="preserve">scriptural interpretation (Stream 1)</w:t>
      </w:r>
    </w:p>
    <w:p>
      <w:pPr>
        <w:pStyle w:val="ListParagraph"/>
        <w:numPr>
          <w:ilvl w:val="0"/>
          <w:numId w:val="2"/>
        </w:numPr>
        <w:spacing w:after="80"/>
      </w:pPr>
      <w:r>
        <w:rPr>
          <w:rFonts w:ascii="Arial" w:cs="Arial" w:eastAsia="Arial" w:hAnsi="Arial"/>
          <w:sz w:val="24"/>
          <w:szCs w:val="24"/>
        </w:rPr>
        <w:t xml:space="preserve">catechetical formation (Stream 2)</w:t>
      </w:r>
    </w:p>
    <w:p>
      <w:pPr>
        <w:pStyle w:val="ListParagraph"/>
        <w:numPr>
          <w:ilvl w:val="0"/>
          <w:numId w:val="2"/>
        </w:numPr>
        <w:spacing w:after="80"/>
      </w:pPr>
      <w:r>
        <w:rPr>
          <w:rFonts w:ascii="Arial" w:cs="Arial" w:eastAsia="Arial" w:hAnsi="Arial"/>
          <w:sz w:val="24"/>
          <w:szCs w:val="24"/>
        </w:rPr>
        <w:t xml:space="preserve">spiritual formation (Stream 4)</w:t>
      </w:r>
    </w:p>
    <w:p>
      <w:pPr>
        <w:pStyle w:val="ListParagraph"/>
        <w:numPr>
          <w:ilvl w:val="0"/>
          <w:numId w:val="2"/>
        </w:numPr>
        <w:spacing w:after="80"/>
      </w:pPr>
      <w:r>
        <w:rPr>
          <w:rFonts w:ascii="Arial" w:cs="Arial" w:eastAsia="Arial" w:hAnsi="Arial"/>
          <w:sz w:val="24"/>
          <w:szCs w:val="24"/>
        </w:rPr>
        <w:t xml:space="preserve">educational ecology (Stream 5)</w:t>
      </w:r>
    </w:p>
    <w:p>
      <w:pPr>
        <w:pStyle w:val="ListParagraph"/>
        <w:numPr>
          <w:ilvl w:val="0"/>
          <w:numId w:val="2"/>
        </w:numPr>
        <w:spacing w:after="80"/>
      </w:pPr>
      <w:r>
        <w:rPr>
          <w:rFonts w:ascii="Arial" w:cs="Arial" w:eastAsia="Arial" w:hAnsi="Arial"/>
          <w:sz w:val="24"/>
          <w:szCs w:val="24"/>
        </w:rPr>
        <w:t xml:space="preserve">philosophical engagement (Stream 6)</w:t>
      </w:r>
    </w:p>
    <w:p>
      <w:pPr>
        <w:pStyle w:val="ListParagraph"/>
        <w:numPr>
          <w:ilvl w:val="0"/>
          <w:numId w:val="2"/>
        </w:numPr>
        <w:spacing w:after="80"/>
      </w:pPr>
      <w:r>
        <w:rPr>
          <w:rFonts w:ascii="Arial" w:cs="Arial" w:eastAsia="Arial" w:hAnsi="Arial"/>
          <w:sz w:val="24"/>
          <w:szCs w:val="24"/>
        </w:rPr>
        <w:t xml:space="preserve">doctrinal controversy (Stream 12)</w:t>
      </w:r>
    </w:p>
    <w:p>
      <w:pPr>
        <w:spacing w:after="80"/>
      </w:pPr>
      <w:r>
        <w:t xml:space="preserve"/>
      </w:r>
    </w:p>
    <w:p>
      <w:pPr>
        <w:spacing w:after="160"/>
      </w:pPr>
      <w:r>
        <w:rPr>
          <w:rFonts w:ascii="Arial" w:cs="Arial" w:eastAsia="Arial" w:hAnsi="Arial"/>
          <w:sz w:val="24"/>
          <w:szCs w:val="24"/>
        </w:rPr>
        <w:t xml:space="preserve">The least visible evidence streams remain:</w:t>
      </w:r>
    </w:p>
    <w:p>
      <w:pPr>
        <w:pStyle w:val="ListParagraph"/>
        <w:numPr>
          <w:ilvl w:val="0"/>
          <w:numId w:val="2"/>
        </w:numPr>
        <w:spacing w:after="80"/>
      </w:pPr>
      <w:r>
        <w:rPr>
          <w:rFonts w:ascii="Arial" w:cs="Arial" w:eastAsia="Arial" w:hAnsi="Arial"/>
          <w:sz w:val="24"/>
          <w:szCs w:val="24"/>
        </w:rPr>
        <w:t xml:space="preserve">ordinary believers (Stream 10)</w:t>
      </w:r>
    </w:p>
    <w:p>
      <w:pPr>
        <w:pStyle w:val="ListParagraph"/>
        <w:numPr>
          <w:ilvl w:val="0"/>
          <w:numId w:val="2"/>
        </w:numPr>
        <w:spacing w:after="80"/>
      </w:pPr>
      <w:r>
        <w:rPr>
          <w:rFonts w:ascii="Arial" w:cs="Arial" w:eastAsia="Arial" w:hAnsi="Arial"/>
          <w:sz w:val="24"/>
          <w:szCs w:val="24"/>
        </w:rPr>
        <w:t xml:space="preserve">women and households (Stream 11)</w:t>
      </w:r>
    </w:p>
    <w:p>
      <w:pPr>
        <w:pStyle w:val="ListParagraph"/>
        <w:numPr>
          <w:ilvl w:val="0"/>
          <w:numId w:val="2"/>
        </w:numPr>
        <w:spacing w:after="80"/>
      </w:pPr>
      <w:r>
        <w:rPr>
          <w:rFonts w:ascii="Arial" w:cs="Arial" w:eastAsia="Arial" w:hAnsi="Arial"/>
          <w:sz w:val="24"/>
          <w:szCs w:val="24"/>
        </w:rPr>
        <w:t xml:space="preserve">rural Christianity (embedded in Source Asymmetry Assessment)</w:t>
      </w:r>
    </w:p>
    <w:p>
      <w:pPr>
        <w:spacing w:after="80"/>
      </w:pPr>
      <w:r>
        <w:t xml:space="preserve"/>
      </w:r>
    </w:p>
    <w:p>
      <w:pPr>
        <w:spacing w:after="160"/>
      </w:pPr>
      <w:r>
        <w:rPr>
          <w:rFonts w:ascii="Arial" w:cs="Arial" w:eastAsia="Arial" w:hAnsi="Arial"/>
          <w:sz w:val="24"/>
          <w:szCs w:val="24"/>
        </w:rPr>
        <w:t xml:space="preserve">These visibility patterns should not automatically be interpreted as indicators of ecological importance. The over-representation of Origen's work, and of educated elite concerns generally, means that the most visible streams may not be the most formatively central for the majority of persons within the ecology.</w:t>
      </w:r>
    </w:p>
    <w:p>
      <w:pPr>
        <w:spacing w:after="80"/>
      </w:pPr>
      <w:r>
        <w:t xml:space="preserve"/>
      </w:r>
    </w:p>
    <w:p>
      <w:pPr>
        <w:pStyle w:val="Heading1"/>
        <w:spacing w:after="160" w:before="320"/>
      </w:pPr>
      <w:r>
        <w:rPr>
          <w:rFonts w:ascii="Arial" w:cs="Arial" w:eastAsia="Arial" w:hAnsi="Arial"/>
          <w:b/>
          <w:bCs/>
          <w:sz w:val="32"/>
          <w:szCs w:val="32"/>
        </w:rPr>
        <w:t xml:space="preserve">Phase Boundary</w:t>
      </w:r>
    </w:p>
    <w:p>
      <w:pPr>
        <w:spacing w:after="160"/>
      </w:pPr>
      <w:r>
        <w:rPr>
          <w:rFonts w:ascii="Arial" w:cs="Arial" w:eastAsia="Arial" w:hAnsi="Arial"/>
          <w:sz w:val="24"/>
          <w:szCs w:val="24"/>
        </w:rPr>
        <w:t xml:space="preserve">Phase 2 is considered substantially complete. No gravity conclusions have been finalized. The evidence has been mapped; it has not yet been interpreted as to what organized the world.</w:t>
      </w:r>
    </w:p>
    <w:p>
      <w:pPr>
        <w:spacing w:after="160"/>
      </w:pPr>
      <w:r>
        <w:rPr>
          <w:rFonts w:ascii="Arial" w:cs="Arial" w:eastAsia="Arial" w:hAnsi="Arial"/>
          <w:sz w:val="24"/>
          <w:szCs w:val="24"/>
        </w:rPr>
        <w:t xml:space="preserve">The systemic Author Gravity risk from Origen should remain active as a caution throughout Phase 3. Before any candidate gravity is classified as Primary, the question must be asked: is this genuinely an organizing force of the ecology, or is it Origen's particular emphasis magnified by his dominance in the surviving record?</w:t>
      </w:r>
    </w:p>
    <w:p>
      <w:pPr>
        <w:spacing w:after="160"/>
      </w:pPr>
      <w:r>
        <w:rPr>
          <w:rFonts w:ascii="Arial" w:cs="Arial" w:eastAsia="Arial" w:hAnsi="Arial"/>
          <w:sz w:val="24"/>
          <w:szCs w:val="24"/>
        </w:rPr>
        <w:t xml:space="preserve">The next step is Phase 3 — Gravity Discovery — using the six tests specified in the Formation World Construction Framework v7:</w:t>
      </w:r>
    </w:p>
    <w:p>
      <w:pPr>
        <w:pStyle w:val="ListParagraph"/>
        <w:numPr>
          <w:ilvl w:val="0"/>
          <w:numId w:val="2"/>
        </w:numPr>
        <w:spacing w:after="80"/>
      </w:pPr>
      <w:r>
        <w:rPr>
          <w:rFonts w:ascii="Arial" w:cs="Arial" w:eastAsia="Arial" w:hAnsi="Arial"/>
          <w:sz w:val="24"/>
          <w:szCs w:val="24"/>
        </w:rPr>
        <w:t xml:space="preserve">Repetition Test</w:t>
      </w:r>
    </w:p>
    <w:p>
      <w:pPr>
        <w:pStyle w:val="ListParagraph"/>
        <w:numPr>
          <w:ilvl w:val="0"/>
          <w:numId w:val="2"/>
        </w:numPr>
        <w:spacing w:after="80"/>
      </w:pPr>
      <w:r>
        <w:rPr>
          <w:rFonts w:ascii="Arial" w:cs="Arial" w:eastAsia="Arial" w:hAnsi="Arial"/>
          <w:sz w:val="24"/>
          <w:szCs w:val="24"/>
        </w:rPr>
        <w:t xml:space="preserve">Dependency Test</w:t>
      </w:r>
    </w:p>
    <w:p>
      <w:pPr>
        <w:pStyle w:val="ListParagraph"/>
        <w:numPr>
          <w:ilvl w:val="0"/>
          <w:numId w:val="2"/>
        </w:numPr>
        <w:spacing w:after="80"/>
      </w:pPr>
      <w:r>
        <w:rPr>
          <w:rFonts w:ascii="Arial" w:cs="Arial" w:eastAsia="Arial" w:hAnsi="Arial"/>
          <w:sz w:val="24"/>
          <w:szCs w:val="24"/>
        </w:rPr>
        <w:t xml:space="preserve">Formation Test</w:t>
      </w:r>
    </w:p>
    <w:p>
      <w:pPr>
        <w:pStyle w:val="ListParagraph"/>
        <w:numPr>
          <w:ilvl w:val="0"/>
          <w:numId w:val="2"/>
        </w:numPr>
        <w:spacing w:after="80"/>
      </w:pPr>
      <w:r>
        <w:rPr>
          <w:rFonts w:ascii="Arial" w:cs="Arial" w:eastAsia="Arial" w:hAnsi="Arial"/>
          <w:sz w:val="24"/>
          <w:szCs w:val="24"/>
        </w:rPr>
        <w:t xml:space="preserve">Explanatory Test</w:t>
      </w:r>
    </w:p>
    <w:p>
      <w:pPr>
        <w:pStyle w:val="ListParagraph"/>
        <w:numPr>
          <w:ilvl w:val="0"/>
          <w:numId w:val="2"/>
        </w:numPr>
        <w:spacing w:after="80"/>
      </w:pPr>
      <w:r>
        <w:rPr>
          <w:rFonts w:ascii="Arial" w:cs="Arial" w:eastAsia="Arial" w:hAnsi="Arial"/>
          <w:sz w:val="24"/>
          <w:szCs w:val="24"/>
        </w:rPr>
        <w:t xml:space="preserve">Persistence Test</w:t>
      </w:r>
    </w:p>
    <w:p>
      <w:pPr>
        <w:pStyle w:val="ListParagraph"/>
        <w:numPr>
          <w:ilvl w:val="0"/>
          <w:numId w:val="2"/>
        </w:numPr>
        <w:spacing w:after="80"/>
      </w:pPr>
      <w:r>
        <w:rPr>
          <w:rFonts w:ascii="Arial" w:cs="Arial" w:eastAsia="Arial" w:hAnsi="Arial"/>
          <w:sz w:val="24"/>
          <w:szCs w:val="24"/>
        </w:rPr>
        <w:t xml:space="preserve">Interaction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2026-06-24T22:22:29.550Z</dcterms:created>
  <dcterms:modified xsi:type="dcterms:W3CDTF">2026-06-24T22:22:29.561Z</dcterms:modified>
</cp:coreProperties>
</file>

<file path=docProps/custom.xml><?xml version="1.0" encoding="utf-8"?>
<Properties xmlns="http://schemas.openxmlformats.org/officeDocument/2006/custom-properties" xmlns:vt="http://schemas.openxmlformats.org/officeDocument/2006/docPropsVTypes"/>
</file>