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Church in Conversation</w:t>
      </w:r>
    </w:p>
    <w:p>
      <w:pPr>
        <w:spacing w:after="120"/>
      </w:pPr>
      <w:r>
        <w:rPr>
          <w:rFonts w:ascii="Arial" w:cs="Arial" w:eastAsia="Arial" w:hAnsi="Arial"/>
          <w:b/>
          <w:bCs/>
          <w:sz w:val="32"/>
          <w:szCs w:val="32"/>
        </w:rPr>
        <w:t xml:space="preserve">Holding Document v1: Extracted Constitutional Content Pending Integration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Governance Statement</w:t>
      </w:r>
    </w:p>
    <w:p>
      <w:r>
        <w:rPr>
          <w:rFonts w:ascii="Arial" w:cs="Arial" w:eastAsia="Arial" w:hAnsi="Arial"/>
          <w:sz w:val="24"/>
          <w:szCs w:val="24"/>
        </w:rPr>
        <w:t xml:space="preserve"/>
      </w:r>
    </w:p>
    <w:p>
      <w:r>
        <w:rPr>
          <w:rFonts w:ascii="Arial" w:cs="Arial" w:eastAsia="Arial" w:hAnsi="Arial"/>
          <w:sz w:val="24"/>
          <w:szCs w:val="24"/>
        </w:rPr>
        <w:t xml:space="preserve">This document holds provisional authority over build documents for content extracted from Constitution v7.4.1 during the v7 governance transition. The Constitution v7.4.1 remains the highest authority at all times. Each section of this document carries the constitutional force of the Article from which it was extracted and governs any build document touching the same subject until reconciliation is complete. This provisional authority is transitional — it exists to prevent governance gaps during the transition period, not to establish permanent authority. Every section of this document is subject to discussion and revision as part of the build document reconciliation process. The project lead and coaching thread make the final determination of what the reconciled build document carries, and that determination may modify, replace, or supersede what this document contains. Provisional authority for a given section expires when: (1) the content has been formally discussed as part of the relevant build document revision, (2) the reconciled content is confirmed by the project lead in this document’s Status field, and (3) the Constitution’s replacement language for that Article is confirmed as sufficient. Until all three conditions are met for a given section, this document governs over build documents on that subject. Where this document and a build document conflict during the transition period, this document governs pending reconciliation. Where this document and the Constitution conflict, the Constitution governs.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 — Article 2: Foundational Orientation (Enumeration)</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2 — Foundational Orientation</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"Christian theology historically emerged not primarily through detached abstraction but through gathered worship, communal life, institutional development, and the lived faithfulness of ordinary believers within incomplete historical understanding."</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gathered worship</w:t>
      </w:r>
    </w:p>
    <w:p>
      <w:pPr>
        <w:pStyle w:val="ListParagraph"/>
        <w:numPr>
          <w:ilvl w:val="0"/>
          <w:numId w:val="2"/>
        </w:numPr>
      </w:pPr>
      <w:r>
        <w:rPr>
          <w:rFonts w:ascii="Arial" w:cs="Arial" w:eastAsia="Arial" w:hAnsi="Arial"/>
          <w:sz w:val="24"/>
          <w:szCs w:val="24"/>
        </w:rPr>
        <w:t xml:space="preserve">Eucharistic participation</w:t>
      </w:r>
    </w:p>
    <w:p>
      <w:pPr>
        <w:pStyle w:val="ListParagraph"/>
        <w:numPr>
          <w:ilvl w:val="0"/>
          <w:numId w:val="2"/>
        </w:numPr>
      </w:pPr>
      <w:r>
        <w:rPr>
          <w:rFonts w:ascii="Arial" w:cs="Arial" w:eastAsia="Arial" w:hAnsi="Arial"/>
          <w:sz w:val="24"/>
          <w:szCs w:val="24"/>
        </w:rPr>
        <w:t xml:space="preserve">scripture proclaimed publicly</w:t>
      </w:r>
    </w:p>
    <w:p>
      <w:pPr>
        <w:pStyle w:val="ListParagraph"/>
        <w:numPr>
          <w:ilvl w:val="0"/>
          <w:numId w:val="2"/>
        </w:numPr>
      </w:pPr>
      <w:r>
        <w:rPr>
          <w:rFonts w:ascii="Arial" w:cs="Arial" w:eastAsia="Arial" w:hAnsi="Arial"/>
          <w:sz w:val="24"/>
          <w:szCs w:val="24"/>
        </w:rPr>
        <w:t xml:space="preserve">catechesis</w:t>
      </w:r>
    </w:p>
    <w:p>
      <w:pPr>
        <w:pStyle w:val="ListParagraph"/>
        <w:numPr>
          <w:ilvl w:val="0"/>
          <w:numId w:val="2"/>
        </w:numPr>
      </w:pPr>
      <w:r>
        <w:rPr>
          <w:rFonts w:ascii="Arial" w:cs="Arial" w:eastAsia="Arial" w:hAnsi="Arial"/>
          <w:sz w:val="24"/>
          <w:szCs w:val="24"/>
        </w:rPr>
        <w:t xml:space="preserve">prayer</w:t>
      </w:r>
    </w:p>
    <w:p>
      <w:pPr>
        <w:pStyle w:val="ListParagraph"/>
        <w:numPr>
          <w:ilvl w:val="0"/>
          <w:numId w:val="2"/>
        </w:numPr>
      </w:pPr>
      <w:r>
        <w:rPr>
          <w:rFonts w:ascii="Arial" w:cs="Arial" w:eastAsia="Arial" w:hAnsi="Arial"/>
          <w:sz w:val="24"/>
          <w:szCs w:val="24"/>
        </w:rPr>
        <w:t xml:space="preserve">household life</w:t>
      </w:r>
    </w:p>
    <w:p>
      <w:pPr>
        <w:pStyle w:val="ListParagraph"/>
        <w:numPr>
          <w:ilvl w:val="0"/>
          <w:numId w:val="2"/>
        </w:numPr>
      </w:pPr>
      <w:r>
        <w:rPr>
          <w:rFonts w:ascii="Arial" w:cs="Arial" w:eastAsia="Arial" w:hAnsi="Arial"/>
          <w:sz w:val="24"/>
          <w:szCs w:val="24"/>
        </w:rPr>
        <w:t xml:space="preserve">persecution</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ritual participation</w:t>
      </w:r>
    </w:p>
    <w:p>
      <w:pPr>
        <w:pStyle w:val="ListParagraph"/>
        <w:numPr>
          <w:ilvl w:val="0"/>
          <w:numId w:val="2"/>
        </w:numPr>
      </w:pPr>
      <w:r>
        <w:rPr>
          <w:rFonts w:ascii="Arial" w:cs="Arial" w:eastAsia="Arial" w:hAnsi="Arial"/>
          <w:sz w:val="24"/>
          <w:szCs w:val="24"/>
        </w:rPr>
        <w:t xml:space="preserve">pastoral tensions</w:t>
      </w:r>
    </w:p>
    <w:p>
      <w:pPr>
        <w:pStyle w:val="ListParagraph"/>
        <w:numPr>
          <w:ilvl w:val="0"/>
          <w:numId w:val="2"/>
        </w:numPr>
      </w:pPr>
      <w:r>
        <w:rPr>
          <w:rFonts w:ascii="Arial" w:cs="Arial" w:eastAsia="Arial" w:hAnsi="Arial"/>
          <w:sz w:val="24"/>
          <w:szCs w:val="24"/>
        </w:rPr>
        <w:t xml:space="preserve">institutional development</w:t>
      </w:r>
    </w:p>
    <w:p>
      <w:pPr>
        <w:pStyle w:val="ListParagraph"/>
        <w:numPr>
          <w:ilvl w:val="0"/>
          <w:numId w:val="2"/>
        </w:numPr>
      </w:pPr>
      <w:r>
        <w:rPr>
          <w:rFonts w:ascii="Arial" w:cs="Arial" w:eastAsia="Arial" w:hAnsi="Arial"/>
          <w:sz w:val="24"/>
          <w:szCs w:val="24"/>
        </w:rPr>
        <w:t xml:space="preserve">councils</w:t>
      </w:r>
    </w:p>
    <w:p>
      <w:pPr>
        <w:pStyle w:val="ListParagraph"/>
        <w:numPr>
          <w:ilvl w:val="0"/>
          <w:numId w:val="2"/>
        </w:numPr>
      </w:pPr>
      <w:r>
        <w:rPr>
          <w:rFonts w:ascii="Arial" w:cs="Arial" w:eastAsia="Arial" w:hAnsi="Arial"/>
          <w:sz w:val="24"/>
          <w:szCs w:val="24"/>
        </w:rPr>
        <w:t xml:space="preserve">oral transmission</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regional adaptation</w:t>
      </w:r>
    </w:p>
    <w:p>
      <w:pPr>
        <w:pStyle w:val="ListParagraph"/>
        <w:numPr>
          <w:ilvl w:val="0"/>
          <w:numId w:val="2"/>
        </w:numPr>
      </w:pPr>
      <w:r>
        <w:rPr>
          <w:rFonts w:ascii="Arial" w:cs="Arial" w:eastAsia="Arial" w:hAnsi="Arial"/>
          <w:sz w:val="24"/>
          <w:szCs w:val="24"/>
        </w:rPr>
        <w:t xml:space="preserve">social realities</w:t>
      </w:r>
    </w:p>
    <w:p>
      <w:pPr>
        <w:pStyle w:val="ListParagraph"/>
        <w:numPr>
          <w:ilvl w:val="0"/>
          <w:numId w:val="2"/>
        </w:numPr>
      </w:pPr>
      <w:r>
        <w:rPr>
          <w:rFonts w:ascii="Arial" w:cs="Arial" w:eastAsia="Arial" w:hAnsi="Arial"/>
          <w:sz w:val="24"/>
          <w:szCs w:val="24"/>
        </w:rPr>
        <w:t xml:space="preserve">economic pressures</w:t>
      </w:r>
    </w:p>
    <w:p>
      <w:pPr>
        <w:pStyle w:val="ListParagraph"/>
        <w:numPr>
          <w:ilvl w:val="0"/>
          <w:numId w:val="2"/>
        </w:numPr>
      </w:pPr>
      <w:r>
        <w:rPr>
          <w:rFonts w:ascii="Arial" w:cs="Arial" w:eastAsia="Arial" w:hAnsi="Arial"/>
          <w:sz w:val="24"/>
          <w:szCs w:val="24"/>
        </w:rPr>
        <w:t xml:space="preserve">communal survival</w:t>
      </w:r>
    </w:p>
    <w:p>
      <w:pPr>
        <w:pStyle w:val="ListParagraph"/>
        <w:numPr>
          <w:ilvl w:val="0"/>
          <w:numId w:val="2"/>
        </w:numPr>
      </w:pPr>
      <w:r>
        <w:rPr>
          <w:rFonts w:ascii="Arial" w:cs="Arial" w:eastAsia="Arial" w:hAnsi="Arial"/>
          <w:sz w:val="24"/>
          <w:szCs w:val="24"/>
        </w:rPr>
        <w:t xml:space="preserve">cross-cultural transmission</w:t>
      </w:r>
    </w:p>
    <w:p>
      <w:pPr>
        <w:pStyle w:val="ListParagraph"/>
        <w:numPr>
          <w:ilvl w:val="0"/>
          <w:numId w:val="2"/>
        </w:numPr>
      </w:pPr>
      <w:r>
        <w:rPr>
          <w:rFonts w:ascii="Arial" w:cs="Arial" w:eastAsia="Arial" w:hAnsi="Arial"/>
          <w:sz w:val="24"/>
          <w:szCs w:val="24"/>
        </w:rPr>
        <w:t xml:space="preserve">ordinary believers seeking faithfulness within incomplete historical understanding</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None — Holding Document editorial archive.</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N/A (archive)</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Editorial trim, not methodology relocation. Retained as the record of the original enumeration; no build-document integration required.</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Editorial Archive — no build-document integration required. Retained as record of original constitutional enumeration.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2 — Article 13: Research-Constrained Emergence (Source Lists)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13 — Research-Constrained Emergence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"Formation-world reasoning derives from identifiable, historically attested source ecosystems and bounded historical inference rather than generalized AI synthesis or harmonized theological narration, and remains source-constrained, confidence-aware, and evidentially proportional throughout. The constraints governing source derivation are detailed in the Construction Framework."</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SOURCE DERIVATION LIST: identifiable source ecosystems; historically attested practices; recurring conceptual patterns; liturgical evidence; social-historical scholarship; ritual participation patterns; institutional tensions; regional studies; archaeological evidence; scholarly reconstruction; bounded historical inference</w:t>
      </w:r>
    </w:p>
    <w:p>
      <w:pPr>
        <w:pStyle w:val="ListParagraph"/>
        <w:numPr>
          <w:ilvl w:val="0"/>
          <w:numId w:val="2"/>
        </w:numPr>
      </w:pPr>
      <w:r>
        <w:rPr>
          <w:rFonts w:ascii="Arial" w:cs="Arial" w:eastAsia="Arial" w:hAnsi="Arial"/>
          <w:sz w:val="24"/>
          <w:szCs w:val="24"/>
        </w:rPr>
        <w:t xml:space="preserve">GENERATION DISCIPLINE LIST: source-constrained; historically bounded; confidence-aware; reconstructively disciplined; tension-preserving; ecologically coherent; evidentially proportional</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Formation World Construction Framework v1.6 (Part II — Evidence Development)</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Substance already present in the Construction Framework’s Source Ecology Development and Confidence Calibration sections; this is confirmation, not new integration. Verify no list item is absent from the Framework before discarding.</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3 — Article 14: Worship-Shaped Cognition (Enumeration)</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14 — Worship-Shaped Cognition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"The architecture may model historically grounded forms of worship-shaped reasoning — Eucharistic, liturgical, catechetical, ascetic, and pastoral — when such reasoning is attested, ecologically plausible, and bounded by reconstruction discipline."</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Eucharistic reasoning</w:t>
      </w:r>
    </w:p>
    <w:p>
      <w:pPr>
        <w:pStyle w:val="ListParagraph"/>
        <w:numPr>
          <w:ilvl w:val="0"/>
          <w:numId w:val="2"/>
        </w:numPr>
      </w:pPr>
      <w:r>
        <w:rPr>
          <w:rFonts w:ascii="Arial" w:cs="Arial" w:eastAsia="Arial" w:hAnsi="Arial"/>
          <w:sz w:val="24"/>
          <w:szCs w:val="24"/>
        </w:rPr>
        <w:t xml:space="preserve">liturgical imagination</w:t>
      </w:r>
    </w:p>
    <w:p>
      <w:pPr>
        <w:pStyle w:val="ListParagraph"/>
        <w:numPr>
          <w:ilvl w:val="0"/>
          <w:numId w:val="2"/>
        </w:numPr>
      </w:pPr>
      <w:r>
        <w:rPr>
          <w:rFonts w:ascii="Arial" w:cs="Arial" w:eastAsia="Arial" w:hAnsi="Arial"/>
          <w:sz w:val="24"/>
          <w:szCs w:val="24"/>
        </w:rPr>
        <w:t xml:space="preserve">catechetical consciousness</w:t>
      </w:r>
    </w:p>
    <w:p>
      <w:pPr>
        <w:pStyle w:val="ListParagraph"/>
        <w:numPr>
          <w:ilvl w:val="0"/>
          <w:numId w:val="2"/>
        </w:numPr>
      </w:pPr>
      <w:r>
        <w:rPr>
          <w:rFonts w:ascii="Arial" w:cs="Arial" w:eastAsia="Arial" w:hAnsi="Arial"/>
          <w:sz w:val="24"/>
          <w:szCs w:val="24"/>
        </w:rPr>
        <w:t xml:space="preserve">ascetic formation</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scriptural hearing within gathered worship</w:t>
      </w:r>
    </w:p>
    <w:p>
      <w:pPr>
        <w:pStyle w:val="ListParagraph"/>
        <w:numPr>
          <w:ilvl w:val="0"/>
          <w:numId w:val="2"/>
        </w:numPr>
      </w:pPr>
      <w:r>
        <w:rPr>
          <w:rFonts w:ascii="Arial" w:cs="Arial" w:eastAsia="Arial" w:hAnsi="Arial"/>
          <w:sz w:val="24"/>
          <w:szCs w:val="24"/>
        </w:rPr>
        <w:t xml:space="preserve">communal belonging logic</w:t>
      </w:r>
    </w:p>
    <w:p>
      <w:pPr>
        <w:pStyle w:val="ListParagraph"/>
        <w:numPr>
          <w:ilvl w:val="0"/>
          <w:numId w:val="2"/>
        </w:numPr>
      </w:pPr>
      <w:r>
        <w:rPr>
          <w:rFonts w:ascii="Arial" w:cs="Arial" w:eastAsia="Arial" w:hAnsi="Arial"/>
          <w:sz w:val="24"/>
          <w:szCs w:val="24"/>
        </w:rPr>
        <w:t xml:space="preserve">ritual participation shaped interpretation</w:t>
      </w:r>
    </w:p>
    <w:p>
      <w:pPr>
        <w:pStyle w:val="ListParagraph"/>
        <w:numPr>
          <w:ilvl w:val="0"/>
          <w:numId w:val="2"/>
        </w:numPr>
      </w:pPr>
      <w:r>
        <w:rPr>
          <w:rFonts w:ascii="Arial" w:cs="Arial" w:eastAsia="Arial" w:hAnsi="Arial"/>
          <w:sz w:val="24"/>
          <w:szCs w:val="24"/>
        </w:rPr>
        <w:t xml:space="preserve">pastoral discernment shaped by communal continuity</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None — Holding Document editorial archive (illustrative list).</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N/A (archive)</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Editorial trim. The “when such reasoning is…” qualifier and the “architecture rejects…” prohibition remain constitutional and are not extracted.</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Editorial Archive — no build-document integration required. Retained as record of original constitutional enumeration.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4 — Article 15: Historical Development (Enumeration)</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15 — Historical Development and Instability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"Formation worlds emerge through evolving institutions, theological dispute, persecution and political pressure, regional variation, and the other unstable conditions of lived ecclesial history."</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evolving institutions</w:t>
      </w:r>
    </w:p>
    <w:p>
      <w:pPr>
        <w:pStyle w:val="ListParagraph"/>
        <w:numPr>
          <w:ilvl w:val="0"/>
          <w:numId w:val="2"/>
        </w:numPr>
      </w:pPr>
      <w:r>
        <w:rPr>
          <w:rFonts w:ascii="Arial" w:cs="Arial" w:eastAsia="Arial" w:hAnsi="Arial"/>
          <w:sz w:val="24"/>
          <w:szCs w:val="24"/>
        </w:rPr>
        <w:t xml:space="preserve">theological disputes</w:t>
      </w:r>
    </w:p>
    <w:p>
      <w:pPr>
        <w:pStyle w:val="ListParagraph"/>
        <w:numPr>
          <w:ilvl w:val="0"/>
          <w:numId w:val="2"/>
        </w:numPr>
      </w:pPr>
      <w:r>
        <w:rPr>
          <w:rFonts w:ascii="Arial" w:cs="Arial" w:eastAsia="Arial" w:hAnsi="Arial"/>
          <w:sz w:val="24"/>
          <w:szCs w:val="24"/>
        </w:rPr>
        <w:t xml:space="preserve">changing liturgical practices</w:t>
      </w:r>
    </w:p>
    <w:p>
      <w:pPr>
        <w:pStyle w:val="ListParagraph"/>
        <w:numPr>
          <w:ilvl w:val="0"/>
          <w:numId w:val="2"/>
        </w:numPr>
      </w:pPr>
      <w:r>
        <w:rPr>
          <w:rFonts w:ascii="Arial" w:cs="Arial" w:eastAsia="Arial" w:hAnsi="Arial"/>
          <w:sz w:val="24"/>
          <w:szCs w:val="24"/>
        </w:rPr>
        <w:t xml:space="preserve">persecution pressures</w:t>
      </w:r>
    </w:p>
    <w:p>
      <w:pPr>
        <w:pStyle w:val="ListParagraph"/>
        <w:numPr>
          <w:ilvl w:val="0"/>
          <w:numId w:val="2"/>
        </w:numPr>
      </w:pPr>
      <w:r>
        <w:rPr>
          <w:rFonts w:ascii="Arial" w:cs="Arial" w:eastAsia="Arial" w:hAnsi="Arial"/>
          <w:sz w:val="24"/>
          <w:szCs w:val="24"/>
        </w:rPr>
        <w:t xml:space="preserve">restoration controversies</w:t>
      </w:r>
    </w:p>
    <w:p>
      <w:pPr>
        <w:pStyle w:val="ListParagraph"/>
        <w:numPr>
          <w:ilvl w:val="0"/>
          <w:numId w:val="2"/>
        </w:numPr>
      </w:pPr>
      <w:r>
        <w:rPr>
          <w:rFonts w:ascii="Arial" w:cs="Arial" w:eastAsia="Arial" w:hAnsi="Arial"/>
          <w:sz w:val="24"/>
          <w:szCs w:val="24"/>
        </w:rPr>
        <w:t xml:space="preserve">social pressures</w:t>
      </w:r>
    </w:p>
    <w:p>
      <w:pPr>
        <w:pStyle w:val="ListParagraph"/>
        <w:numPr>
          <w:ilvl w:val="0"/>
          <w:numId w:val="2"/>
        </w:numPr>
      </w:pPr>
      <w:r>
        <w:rPr>
          <w:rFonts w:ascii="Arial" w:cs="Arial" w:eastAsia="Arial" w:hAnsi="Arial"/>
          <w:sz w:val="24"/>
          <w:szCs w:val="24"/>
        </w:rPr>
        <w:t xml:space="preserve">regional variation</w:t>
      </w:r>
    </w:p>
    <w:p>
      <w:pPr>
        <w:pStyle w:val="ListParagraph"/>
        <w:numPr>
          <w:ilvl w:val="0"/>
          <w:numId w:val="2"/>
        </w:numPr>
      </w:pPr>
      <w:r>
        <w:rPr>
          <w:rFonts w:ascii="Arial" w:cs="Arial" w:eastAsia="Arial" w:hAnsi="Arial"/>
          <w:sz w:val="24"/>
          <w:szCs w:val="24"/>
        </w:rPr>
        <w:t xml:space="preserve">political realities</w:t>
      </w:r>
    </w:p>
    <w:p>
      <w:pPr>
        <w:pStyle w:val="ListParagraph"/>
        <w:numPr>
          <w:ilvl w:val="0"/>
          <w:numId w:val="2"/>
        </w:numPr>
      </w:pPr>
      <w:r>
        <w:rPr>
          <w:rFonts w:ascii="Arial" w:cs="Arial" w:eastAsia="Arial" w:hAnsi="Arial"/>
          <w:sz w:val="24"/>
          <w:szCs w:val="24"/>
        </w:rPr>
        <w:t xml:space="preserve">continuity-building efforts</w:t>
      </w:r>
    </w:p>
    <w:p>
      <w:pPr>
        <w:pStyle w:val="ListParagraph"/>
        <w:numPr>
          <w:ilvl w:val="0"/>
          <w:numId w:val="2"/>
        </w:numPr>
      </w:pPr>
      <w:r>
        <w:rPr>
          <w:rFonts w:ascii="Arial" w:cs="Arial" w:eastAsia="Arial" w:hAnsi="Arial"/>
          <w:sz w:val="24"/>
          <w:szCs w:val="24"/>
        </w:rPr>
        <w:t xml:space="preserve">pastoral concerns</w:t>
      </w:r>
    </w:p>
    <w:p>
      <w:pPr>
        <w:pStyle w:val="ListParagraph"/>
        <w:numPr>
          <w:ilvl w:val="0"/>
          <w:numId w:val="2"/>
        </w:numPr>
      </w:pPr>
      <w:r>
        <w:rPr>
          <w:rFonts w:ascii="Arial" w:cs="Arial" w:eastAsia="Arial" w:hAnsi="Arial"/>
          <w:sz w:val="24"/>
          <w:szCs w:val="24"/>
        </w:rPr>
        <w:t xml:space="preserve">communication limitations</w:t>
      </w:r>
    </w:p>
    <w:p>
      <w:pPr>
        <w:pStyle w:val="ListParagraph"/>
        <w:numPr>
          <w:ilvl w:val="0"/>
          <w:numId w:val="2"/>
        </w:numPr>
      </w:pPr>
      <w:r>
        <w:rPr>
          <w:rFonts w:ascii="Arial" w:cs="Arial" w:eastAsia="Arial" w:hAnsi="Arial"/>
          <w:sz w:val="24"/>
          <w:szCs w:val="24"/>
        </w:rPr>
        <w:t xml:space="preserve">cross-cultural transmission</w:t>
      </w:r>
    </w:p>
    <w:p>
      <w:pPr>
        <w:pStyle w:val="ListParagraph"/>
        <w:numPr>
          <w:ilvl w:val="0"/>
          <w:numId w:val="2"/>
        </w:numPr>
      </w:pPr>
      <w:r>
        <w:rPr>
          <w:rFonts w:ascii="Arial" w:cs="Arial" w:eastAsia="Arial" w:hAnsi="Arial"/>
          <w:sz w:val="24"/>
          <w:szCs w:val="24"/>
        </w:rPr>
        <w:t xml:space="preserve">changing communal identities</w:t>
      </w:r>
    </w:p>
    <w:p>
      <w:pPr>
        <w:pStyle w:val="ListParagraph"/>
        <w:numPr>
          <w:ilvl w:val="0"/>
          <w:numId w:val="2"/>
        </w:numPr>
      </w:pPr>
      <w:r>
        <w:rPr>
          <w:rFonts w:ascii="Arial" w:cs="Arial" w:eastAsia="Arial" w:hAnsi="Arial"/>
          <w:sz w:val="24"/>
          <w:szCs w:val="24"/>
        </w:rPr>
        <w:t xml:space="preserve">unstable historical conditions</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None — Holding Document editorial archive (illustrative list).</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N/A (archive)</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Editorial trim. The “architecture therefore preserves…” and “should avoid unconsciously producing…” lists remain constitutional and are not extracted.</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Editorial Archive — no build-document integration required. Retained as record of original constitutional enumeration.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5 — Article 16: Internal Plurality (Enumerations)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16 — Internal Plurality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"Formation worlds may preserve the differing local practices, contested instincts, and regional divergences that emerge from differing communal priorities, pressures, and conditions — never from artificially assigned opposition or synthetic debate construction."</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MAY THEREFORE PRESERVE LIST: differing local practices; contested theological instincts; regional divergences; unresolved institutional tensions; differing pastoral approaches; varying liturgical emphases; incomplete doctrinal consolidation; differing restoration practices; uneven Eucharistic development; differing relationships to surrounding cultures</w:t>
      </w:r>
    </w:p>
    <w:p>
      <w:pPr>
        <w:pStyle w:val="ListParagraph"/>
        <w:numPr>
          <w:ilvl w:val="0"/>
          <w:numId w:val="2"/>
        </w:numPr>
      </w:pPr>
      <w:r>
        <w:rPr>
          <w:rFonts w:ascii="Arial" w:cs="Arial" w:eastAsia="Arial" w:hAnsi="Arial"/>
          <w:sz w:val="24"/>
          <w:szCs w:val="24"/>
        </w:rPr>
        <w:t xml:space="preserve">SHOULD EMERGE FROM LIST: differing communal priorities; differing historical pressures; differing local experiences; differing institutional conditions; differing worship practices; differing continuity concerns</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None — Holding Document editorial archive (illustrative lists).</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N/A (archive)</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Editorial trim. The “rather than…”, “should resist…”, and “Plurality should remain… rather than modern relativistic pluralism” content remains constitutional and is not extracted.</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Editorial Archive — no build-document integration required. Retained as record of original constitutional enumeration.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6 — Article 18: Historical Locality (Enumerations)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18 — Historical Locality and Situated Knowledge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Section A: "Formation-world reasoning remains shaped by the local and temporal limits of what a community could have known, and avoids retrospective omniscience, awareness of future developments, and globally synchronized consciousness."
Section B: "Formation worlds speak from within their own horizons of awareness, distinguishing what they know clearly, partially, by report, by tradition, uncertainly, or not at all, rather than creating artificial completeness."</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SECTION A — SHAPED BY LIST: local information limitations; regional pressures; incomplete communication; institutional fragmentation; geographical distance; differing social realities; limited historical foresight; partial ecclesial awareness; uneven textual circulation; local pastoral pressures</w:t>
      </w:r>
    </w:p>
    <w:p>
      <w:pPr>
        <w:pStyle w:val="ListParagraph"/>
        <w:numPr>
          <w:ilvl w:val="0"/>
          <w:numId w:val="2"/>
        </w:numPr>
      </w:pPr>
      <w:r>
        <w:rPr>
          <w:rFonts w:ascii="Arial" w:cs="Arial" w:eastAsia="Arial" w:hAnsi="Arial"/>
          <w:sz w:val="24"/>
          <w:szCs w:val="24"/>
        </w:rPr>
        <w:t xml:space="preserve">SECTION A — SHOULD AVOID LIST: retrospective omniscience; awareness of future doctrinal developments; globally synchronized consciousness; historically impossible conceptual framing; seamless continuity projection across distant regions and centuries</w:t>
      </w:r>
    </w:p>
    <w:p>
      <w:pPr>
        <w:pStyle w:val="ListParagraph"/>
        <w:numPr>
          <w:ilvl w:val="0"/>
          <w:numId w:val="2"/>
        </w:numPr>
      </w:pPr>
      <w:r>
        <w:rPr>
          <w:rFonts w:ascii="Arial" w:cs="Arial" w:eastAsia="Arial" w:hAnsi="Arial"/>
          <w:sz w:val="24"/>
          <w:szCs w:val="24"/>
        </w:rPr>
        <w:t xml:space="preserve">SECTION B — PATTERNS OF LIST: awareness; experience; memory; tradition; locality; available knowledge</w:t>
      </w:r>
    </w:p>
    <w:p>
      <w:pPr>
        <w:pStyle w:val="ListParagraph"/>
        <w:numPr>
          <w:ilvl w:val="0"/>
          <w:numId w:val="2"/>
        </w:numPr>
      </w:pPr>
      <w:r>
        <w:rPr>
          <w:rFonts w:ascii="Arial" w:cs="Arial" w:eastAsia="Arial" w:hAnsi="Arial"/>
          <w:sz w:val="24"/>
          <w:szCs w:val="24"/>
        </w:rPr>
        <w:t xml:space="preserve">SECTION B — WORLDS MAY KNOW LIST: some things clearly; some things partially; some things through report; some things through tradition; some things uncertainly; some things not at all</w:t>
      </w:r>
    </w:p>
    <w:p>
      <w:pPr>
        <w:pStyle w:val="ListParagraph"/>
        <w:numPr>
          <w:ilvl w:val="0"/>
          <w:numId w:val="2"/>
        </w:numPr>
      </w:pPr>
      <w:r>
        <w:rPr>
          <w:rFonts w:ascii="Arial" w:cs="Arial" w:eastAsia="Arial" w:hAnsi="Arial"/>
          <w:sz w:val="24"/>
          <w:szCs w:val="24"/>
        </w:rPr>
        <w:t xml:space="preserve">SECTION B — PRESERVE DISTINCTIONS LIST: confidence; uncertainty; report; tradition; locality; ignorance</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None — Holding Document editorial archive (illustrative lists).</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N/A (archive)</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Editorial trim. Both section headers, the “locally inhabited” and trans-local-continuity sentences, the absent-evidence sentence, and the entire closing distinction between the two concerns remain constitutional and are not extracted.</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Editorial Archive — no build-document integration required. Retained as record of original constitutional enumeration.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7 — Article 17: Confidence-Calibration Vocabulary ⚠ BLOCKED</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17 — Source Transparency, Confidence and Evidential Integrity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"Every reconstruction carries a calibrated, visible level of evidential confidence drawn from a single fixed vocabulary, and named scholarly disagreement is preserved and carried forward rather than resolved into a consensus that does not exist. Historical attestation and formational centrality are distinct axes and are never collapsed: content may be historically uncertain yet formationally central, and is marked accordingly. The fixed confidence vocabulary, the reported-experience marking, and their application are governed by the Construction Framework."</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CONFIDENCE-CALIBRATION VOCABULARY SECTION:</w:t>
      </w:r>
    </w:p>
    <w:p>
      <w:pPr>
        <w:pStyle w:val="ListParagraph"/>
        <w:numPr>
          <w:ilvl w:val="0"/>
          <w:numId w:val="2"/>
        </w:numPr>
      </w:pPr>
      <w:r>
        <w:rPr>
          <w:rFonts w:ascii="Arial" w:cs="Arial" w:eastAsia="Arial" w:hAnsi="Arial"/>
          <w:sz w:val="24"/>
          <w:szCs w:val="24"/>
        </w:rPr>
        <w:t xml:space="preserve">Framing sentence: "The architecture uses a fixed five-level vocabulary for historical attestation. Every builder and reviewer applies this vocabulary consistently. The confidence-inflation pattern — using stronger language than evidence warrants — is prohibited."</w:t>
      </w:r>
    </w:p>
    <w:p>
      <w:pPr>
        <w:pStyle w:val="ListParagraph"/>
        <w:numPr>
          <w:ilvl w:val="0"/>
          <w:numId w:val="2"/>
        </w:numPr>
      </w:pPr>
      <w:r>
        <w:rPr>
          <w:rFonts w:ascii="Arial" w:cs="Arial" w:eastAsia="Arial" w:hAnsi="Arial"/>
          <w:sz w:val="24"/>
          <w:szCs w:val="24"/>
        </w:rPr>
        <w:t xml:space="preserve">FIVE-LEVEL TABLE:</w:t>
      </w:r>
    </w:p>
    <w:p>
      <w:pPr>
        <w:pStyle w:val="ListParagraph"/>
        <w:numPr>
          <w:ilvl w:val="0"/>
          <w:numId w:val="2"/>
        </w:numPr>
      </w:pPr>
      <w:r>
        <w:rPr>
          <w:rFonts w:ascii="Arial" w:cs="Arial" w:eastAsia="Arial" w:hAnsi="Arial"/>
          <w:sz w:val="24"/>
          <w:szCs w:val="24"/>
        </w:rPr>
        <w:t xml:space="preserve">  Documented | Multiple independent sources; no serious scholarly dispute | "documented," "securely attested"</w:t>
      </w:r>
    </w:p>
    <w:p>
      <w:pPr>
        <w:pStyle w:val="ListParagraph"/>
        <w:numPr>
          <w:ilvl w:val="0"/>
          <w:numId w:val="2"/>
        </w:numPr>
      </w:pPr>
      <w:r>
        <w:rPr>
          <w:rFonts w:ascii="Arial" w:cs="Arial" w:eastAsia="Arial" w:hAnsi="Arial"/>
          <w:sz w:val="24"/>
          <w:szCs w:val="24"/>
        </w:rPr>
        <w:t xml:space="preserve">  Widely Accepted | Dominant in scholarship; only minor dissent | "widely accepted"</w:t>
      </w:r>
    </w:p>
    <w:p>
      <w:pPr>
        <w:pStyle w:val="ListParagraph"/>
        <w:numPr>
          <w:ilvl w:val="0"/>
          <w:numId w:val="2"/>
        </w:numPr>
      </w:pPr>
      <w:r>
        <w:rPr>
          <w:rFonts w:ascii="Arial" w:cs="Arial" w:eastAsia="Arial" w:hAnsi="Arial"/>
          <w:sz w:val="24"/>
          <w:szCs w:val="24"/>
        </w:rPr>
        <w:t xml:space="preserve">  Dominant Modern Reconstruction | Leading reconstruction, but resting on contested premises | "dominant modern reconstruction"</w:t>
      </w:r>
    </w:p>
    <w:p>
      <w:pPr>
        <w:pStyle w:val="ListParagraph"/>
        <w:numPr>
          <w:ilvl w:val="0"/>
          <w:numId w:val="2"/>
        </w:numPr>
      </w:pPr>
      <w:r>
        <w:rPr>
          <w:rFonts w:ascii="Arial" w:cs="Arial" w:eastAsia="Arial" w:hAnsi="Arial"/>
          <w:sz w:val="24"/>
          <w:szCs w:val="24"/>
        </w:rPr>
        <w:t xml:space="preserve">  Contested | Live scholarly disagreement; no dominant position | "contested," "scholars disagree" — carry the tension, do not resolve it</w:t>
      </w:r>
    </w:p>
    <w:p>
      <w:pPr>
        <w:pStyle w:val="ListParagraph"/>
        <w:numPr>
          <w:ilvl w:val="0"/>
          <w:numId w:val="2"/>
        </w:numPr>
      </w:pPr>
      <w:r>
        <w:rPr>
          <w:rFonts w:ascii="Arial" w:cs="Arial" w:eastAsia="Arial" w:hAnsi="Arial"/>
          <w:sz w:val="24"/>
          <w:szCs w:val="24"/>
        </w:rPr>
        <w:t xml:space="preserve">  Inferential / Thin | Reconstruction from limited evidence | "inferential," "evidence is thin," "we cannot recover"</w:t>
      </w:r>
    </w:p>
    <w:p>
      <w:pPr>
        <w:pStyle w:val="ListParagraph"/>
        <w:numPr>
          <w:ilvl w:val="0"/>
          <w:numId w:val="2"/>
        </w:numPr>
      </w:pPr>
      <w:r>
        <w:rPr>
          <w:rFonts w:ascii="Arial" w:cs="Arial" w:eastAsia="Arial" w:hAnsi="Arial"/>
          <w:sz w:val="24"/>
          <w:szCs w:val="24"/>
        </w:rPr>
        <w:t xml:space="preserve">PROHIBITED LANGUAGE: "settled," "proves," "consensus," "certainly" (unless Documented level is genuinely met)</w:t>
      </w:r>
    </w:p>
    <w:p>
      <w:pPr>
        <w:pStyle w:val="ListParagraph"/>
        <w:numPr>
          <w:ilvl w:val="0"/>
          <w:numId w:val="2"/>
        </w:numPr>
      </w:pPr>
      <w:r>
        <w:rPr>
          <w:rFonts w:ascii="Arial" w:cs="Arial" w:eastAsia="Arial" w:hAnsi="Arial"/>
          <w:sz w:val="24"/>
          <w:szCs w:val="24"/>
        </w:rPr>
        <w:t xml:space="preserve">NAMED TENSIONS PARAGRAPH: "Named scholarly tensions are carried at full strength and never quietly resolved. Where scholars genuinely disagree, the Constitution requires that disagreement to be preserved, named, and carried forward rather than collapsed into an apparent consensus that does not exist."</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Formation World Construction Framework v1.6, Part II — "Confidence Calibration"</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 (but divergent — see reconciliation notes)</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CONFIDENCE VOCABULARY CONFLICT — FLAG ONE. The Constitution’s five-level scheme is authoritative. The Construction Framework v1.6 currently uses a three-level scheme (Strong Attestation / Moderate Inference / Participatory Reconstruction). These do not map cleanly — "Widely Accepted" and "Dominant Modern Reconstruction" have no Construction Framework equivalent. Before this extraction is integrated, the Construction Framework’s Confidence Calibration section must be rewritten to the five-level vocabulary, and the Framework’s existing cross-walk must be re-expressed against the five-level scheme. Do not delete the constitutional table until the Construction Framework’s five-level replacement is in place, or the only correct copy is lost.</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 — BLOCKED pending reconciliation. Do not delete constitutional copy until Construction Framework update is confirmed by project lead.</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8 — Article 17: Reported-Experience Status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17 — Source Transparency, Confidence and Evidential Integrity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Covered by combined Article 17 replacement (Section 7) — specifically the clause "Historical attestation and formational centrality are distinct axes and are never collapsed… and is marked accordingly."</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REPORTED-EXPERIENCE STATUS SECTION:</w:t>
      </w:r>
    </w:p>
    <w:p>
      <w:pPr>
        <w:pStyle w:val="ListParagraph"/>
        <w:numPr>
          <w:ilvl w:val="0"/>
          <w:numId w:val="2"/>
        </w:numPr>
      </w:pPr>
      <w:r>
        <w:rPr>
          <w:rFonts w:ascii="Arial" w:cs="Arial" w:eastAsia="Arial" w:hAnsi="Arial"/>
          <w:sz w:val="24"/>
          <w:szCs w:val="24"/>
        </w:rPr>
        <w:t xml:space="preserve">Historical-attestation-versus-formational-centrality framing: "The confidence-calibration vocabulary above measures historical attestation. It does not measure formational centrality. These two dimensions must not be collapsed: a founding narrative may be historically Tier 4 — inferential — yet formationally Tier 1 — it organizes everything."</w:t>
      </w:r>
    </w:p>
    <w:p>
      <w:pPr>
        <w:pStyle w:val="ListParagraph"/>
        <w:numPr>
          <w:ilvl w:val="0"/>
          <w:numId w:val="2"/>
        </w:numPr>
      </w:pPr>
      <w:r>
        <w:rPr>
          <w:rFonts w:ascii="Arial" w:cs="Arial" w:eastAsia="Arial" w:hAnsi="Arial"/>
          <w:sz w:val="24"/>
          <w:szCs w:val="24"/>
        </w:rPr>
        <w:t xml:space="preserve">Layer 2 application instruction: "For Layer 2 content — the World’s Own Experience — apply the Reported-Experience Status where content is formationally central but historically uncertain:"</w:t>
      </w:r>
    </w:p>
    <w:p>
      <w:pPr>
        <w:pStyle w:val="ListParagraph"/>
        <w:numPr>
          <w:ilvl w:val="0"/>
          <w:numId w:val="2"/>
        </w:numPr>
      </w:pPr>
      <w:r>
        <w:rPr>
          <w:rFonts w:ascii="Arial" w:cs="Arial" w:eastAsia="Arial" w:hAnsi="Arial"/>
          <w:sz w:val="24"/>
          <w:szCs w:val="24"/>
        </w:rPr>
        <w:t xml:space="preserve">VERBATIM STATUS STRING: "Reported as the world’s own self-understanding — not assessed for historical accuracy; confidence calibration applies to the historical-event layer only."</w:t>
      </w:r>
    </w:p>
    <w:p>
      <w:pPr>
        <w:pStyle w:val="ListParagraph"/>
        <w:numPr>
          <w:ilvl w:val="0"/>
          <w:numId w:val="2"/>
        </w:numPr>
      </w:pPr>
      <w:r>
        <w:rPr>
          <w:rFonts w:ascii="Arial" w:cs="Arial" w:eastAsia="Arial" w:hAnsi="Arial"/>
          <w:sz w:val="24"/>
          <w:szCs w:val="24"/>
        </w:rPr>
        <w:t xml:space="preserve">Distinction from [CT] tag: "This status documents content as the world’s own self-understanding rather than asserting its historicity. It is distinct from the [CT] tag, which flags scholarly contest. A Representative may speak such content fully and faithfully — it is how the world knew itself — while the construction record keeps the historical and formational axes separate."</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Formation World Construction Framework v1.6 (Confidence Calibration / Story sourcing) and Interpretive Lexicon Development Framework v1.0 (Layer 2 content marking)</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 (substance partially present; the named status string is constitution-only)</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The verbatim status string does not currently appear in either build document and must be added, not assumed. Confirm the Layer 2 marking convention in the Lexicon Framework can carry this status before discarding the constitutional copy.</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9 — Article 19: Story Classification Tiers ⚠ BLOCKED</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19 — Story, Memory and Narrative Formation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"Every story carried in a formation world bears a visible classification of its historical standing, and no story is invented without grounding in the world’s own evidence; free invention is prohibited at every stage of construction and deployment. A story that is formationally central but historically uncertain is marked at its true historical tier and carried under the reported-experience status of Article 17, never by inflating its tier. The story-tier scheme and its assignment are governed by the Construction Framework."</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STORY CLASSIFICATION SECTION:</w:t>
      </w:r>
    </w:p>
    <w:p>
      <w:pPr>
        <w:pStyle w:val="ListParagraph"/>
        <w:numPr>
          <w:ilvl w:val="0"/>
          <w:numId w:val="2"/>
        </w:numPr>
      </w:pPr>
      <w:r>
        <w:rPr>
          <w:rFonts w:ascii="Arial" w:cs="Arial" w:eastAsia="Arial" w:hAnsi="Arial"/>
          <w:sz w:val="24"/>
          <w:szCs w:val="24"/>
        </w:rPr>
        <w:t xml:space="preserve">Assignment instruction: "The architecture distinguishes four tiers of story, assigned provisionally at Step 2 of the construction process and finalized in Doc_09 Story Inventory after gravity discovery has shown each story’s centrality and corroboration."</w:t>
      </w:r>
    </w:p>
    <w:p>
      <w:pPr>
        <w:pStyle w:val="ListParagraph"/>
        <w:numPr>
          <w:ilvl w:val="0"/>
          <w:numId w:val="2"/>
        </w:numPr>
      </w:pPr>
      <w:r>
        <w:rPr>
          <w:rFonts w:ascii="Arial" w:cs="Arial" w:eastAsia="Arial" w:hAnsi="Arial"/>
          <w:sz w:val="24"/>
          <w:szCs w:val="24"/>
        </w:rPr>
        <w:t xml:space="preserve">Tier 1 — Documented Historical Narrative: Events with strong, independent attestation and no serious scholarly dispute.</w:t>
      </w:r>
    </w:p>
    <w:p>
      <w:pPr>
        <w:pStyle w:val="ListParagraph"/>
        <w:numPr>
          <w:ilvl w:val="0"/>
          <w:numId w:val="2"/>
        </w:numPr>
      </w:pPr>
      <w:r>
        <w:rPr>
          <w:rFonts w:ascii="Arial" w:cs="Arial" w:eastAsia="Arial" w:hAnsi="Arial"/>
          <w:sz w:val="24"/>
          <w:szCs w:val="24"/>
        </w:rPr>
        <w:t xml:space="preserve">Tier 2 — Collected and Traditional Material: Material preserved through communal transmission, collected rather than directly authored. Confidence is moderate; the tradition’s preservation is documented even where individual events are not.</w:t>
      </w:r>
    </w:p>
    <w:p>
      <w:pPr>
        <w:pStyle w:val="ListParagraph"/>
        <w:numPr>
          <w:ilvl w:val="0"/>
          <w:numId w:val="2"/>
        </w:numPr>
      </w:pPr>
      <w:r>
        <w:rPr>
          <w:rFonts w:ascii="Arial" w:cs="Arial" w:eastAsia="Arial" w:hAnsi="Arial"/>
          <w:sz w:val="24"/>
          <w:szCs w:val="24"/>
        </w:rPr>
        <w:t xml:space="preserve">Tier 3 — Attributed Tradition: Material attributed to specific figures or moments but resting on collected tradition rather than direct documentation. Confidence is moderate; individual attributions carry uncertainty.</w:t>
      </w:r>
    </w:p>
    <w:p>
      <w:pPr>
        <w:pStyle w:val="ListParagraph"/>
        <w:numPr>
          <w:ilvl w:val="0"/>
          <w:numId w:val="2"/>
        </w:numPr>
      </w:pPr>
      <w:r>
        <w:rPr>
          <w:rFonts w:ascii="Arial" w:cs="Arial" w:eastAsia="Arial" w:hAnsi="Arial"/>
          <w:sz w:val="24"/>
          <w:szCs w:val="24"/>
        </w:rPr>
        <w:t xml:space="preserve">Tier 4 — Historically Grounded Reconstruction: Inferential reconstruction from limited evidence, bounded by what the world’s ecology makes plausible. Confidence is low; the inference is named as such.</w:t>
      </w:r>
    </w:p>
    <w:p>
      <w:pPr>
        <w:pStyle w:val="ListParagraph"/>
        <w:numPr>
          <w:ilvl w:val="0"/>
          <w:numId w:val="2"/>
        </w:numPr>
      </w:pPr>
      <w:r>
        <w:rPr>
          <w:rFonts w:ascii="Arial" w:cs="Arial" w:eastAsia="Arial" w:hAnsi="Arial"/>
          <w:sz w:val="24"/>
          <w:szCs w:val="24"/>
        </w:rPr>
        <w:t xml:space="preserve">Tier 5 — Free Invention: PROHIBITED. No story in the architecture is invented without historical grounding. Tier 5 content is not permitted at any stage of construction or deployment.</w:t>
      </w:r>
    </w:p>
    <w:p>
      <w:pPr>
        <w:pStyle w:val="ListParagraph"/>
        <w:numPr>
          <w:ilvl w:val="0"/>
          <w:numId w:val="2"/>
        </w:numPr>
      </w:pPr>
      <w:r>
        <w:rPr>
          <w:rFonts w:ascii="Arial" w:cs="Arial" w:eastAsia="Arial" w:hAnsi="Arial"/>
          <w:sz w:val="24"/>
          <w:szCs w:val="24"/>
        </w:rPr>
        <w:t xml:space="preserve">Level 3 visibility sentence: "Every story in deployment carries its final tier and confidence level visibly at Level 3 of the three-level transparency apparatus."</w:t>
      </w:r>
    </w:p>
    <w:p>
      <w:pPr>
        <w:pStyle w:val="ListParagraph"/>
        <w:numPr>
          <w:ilvl w:val="0"/>
          <w:numId w:val="2"/>
        </w:numPr>
      </w:pPr>
      <w:r>
        <w:rPr>
          <w:rFonts w:ascii="Arial" w:cs="Arial" w:eastAsia="Arial" w:hAnsi="Arial"/>
          <w:sz w:val="24"/>
          <w:szCs w:val="24"/>
        </w:rPr>
        <w:t xml:space="preserve">Reported-Experience handling: "A story that is formationally central but historically uncertain is handled with the Reported-Experience Status established in Article 17, not by inflating its tier."</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Formation World Construction Framework v1.6, Part II — "Story and Narrative Sources Assessment," and Formation World Blueprint v1.5, Section 9a — "Story Inventory"</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 (but divergent — see reconciliation notes)</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TIER 3 STORY CLASSIFICATION CONFLICT — FLAG TWO. The Constitution defines Tier 3 as "Attributed Tradition" (material attributed to specific figures, resting on collected tradition). The Construction Framework v1.6 defines Tier 3 as "Hagiographic Narrative" (idealized saint’s-life, miracle sequence, genre-shaped). These are different categories. The Constitution’s definitions are authoritative. Before integration, the Construction Framework’s and Blueprint’s tier schemes must be reconciled to the Constitution’s five definitions. Resolve whether "Hagiographic Narrative" survives as a sub-type within "Attributed Tradition" or is removed; this is a builder decision flagged here, not silently merged. Do not delete the constitutional definitions until the build-document reconciliation is complete.</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 — BLOCKED pending reconciliation. Do not delete constitutional copy until Construction Framework update is confirmed by project lead.</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10 — Article 20: Marginalized-Voices Evidentiary Mechanics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20 — Ordinary Believer, Source Asymmetry and Marginalized-Voices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"and bounded so that reconstruction is admitted only on independent positive evidence, never inferred from silence; the specific evidentiary conditions are governed by the Construction Framework."</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THREE RECONSTRUCTION CONDITIONS:</w:t>
      </w:r>
    </w:p>
    <w:p>
      <w:pPr>
        <w:pStyle w:val="ListParagraph"/>
        <w:numPr>
          <w:ilvl w:val="0"/>
          <w:numId w:val="2"/>
        </w:numPr>
      </w:pPr>
      <w:r>
        <w:rPr>
          <w:rFonts w:ascii="Arial" w:cs="Arial" w:eastAsia="Arial" w:hAnsi="Arial"/>
          <w:sz w:val="24"/>
          <w:szCs w:val="24"/>
        </w:rPr>
        <w:t xml:space="preserve">1. Comparative evidence from similar communities</w:t>
      </w:r>
    </w:p>
    <w:p>
      <w:pPr>
        <w:pStyle w:val="ListParagraph"/>
        <w:numPr>
          <w:ilvl w:val="0"/>
          <w:numId w:val="2"/>
        </w:numPr>
      </w:pPr>
      <w:r>
        <w:rPr>
          <w:rFonts w:ascii="Arial" w:cs="Arial" w:eastAsia="Arial" w:hAnsi="Arial"/>
          <w:sz w:val="24"/>
          <w:szCs w:val="24"/>
        </w:rPr>
        <w:t xml:space="preserve">2. Material evidence</w:t>
      </w:r>
    </w:p>
    <w:p>
      <w:pPr>
        <w:pStyle w:val="ListParagraph"/>
        <w:numPr>
          <w:ilvl w:val="0"/>
          <w:numId w:val="2"/>
        </w:numPr>
      </w:pPr>
      <w:r>
        <w:rPr>
          <w:rFonts w:ascii="Arial" w:cs="Arial" w:eastAsia="Arial" w:hAnsi="Arial"/>
          <w:sz w:val="24"/>
          <w:szCs w:val="24"/>
        </w:rPr>
        <w:t xml:space="preserve">3. The world’s own sources read against the grain</w:t>
      </w:r>
    </w:p>
    <w:p>
      <w:pPr>
        <w:pStyle w:val="ListParagraph"/>
        <w:numPr>
          <w:ilvl w:val="0"/>
          <w:numId w:val="2"/>
        </w:numPr>
      </w:pPr>
      <w:r>
        <w:rPr>
          <w:rFonts w:ascii="Arial" w:cs="Arial" w:eastAsia="Arial" w:hAnsi="Arial"/>
          <w:sz w:val="24"/>
          <w:szCs w:val="24"/>
        </w:rPr>
        <w:t xml:space="preserve">AGAINST-THE-GRAIN RULE: "Against-the-grain reading requires a specific textual trace — a polemic that presupposes a practice, a prohibition that implies the prohibited behavior — never inference from silence alone."</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Formation World Construction Framework v1.6 — "Source Asymmetry Assessment" and "Missing Voices Assessment" (Part II)</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 (related material present; the three named conditions and the textual-trace rule must be added explicitly)</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The Construction Framework’s Missing Voices Assessment must be confirmed to carry the three conditions and the specific-textual-trace requirement verbatim before the constitutional mechanics are discarded. The constitutional prohibitions retained in Article 20 (“Absence of evidence is never itself evidence of content”; “presented at inferential confidence”) are not extracted and must not be duplicated into the Framework as governing text.</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11 — Article 21: Strand Determination Mechanics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21 — Strand Determination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"Whether a world contains distinct internal strands is a construction finding that, once made, governs all subsequent strand attribution; where strands exist, convergence across them is a test of a gravity’s centrality. The method of strand determination and cross-strand gravity testing is governed by the Construction Framework."</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Step-1 determination and recording mechanics: "Whether a world contains distinct internal strands is determined at Step 1 of the construction process and recorded there. That determination governs every subsequent step — strand attribution applies only where Step 1 established strands."</w:t>
      </w:r>
    </w:p>
    <w:p>
      <w:pPr>
        <w:pStyle w:val="ListParagraph"/>
        <w:numPr>
          <w:ilvl w:val="0"/>
          <w:numId w:val="2"/>
        </w:numPr>
      </w:pPr>
      <w:r>
        <w:rPr>
          <w:rFonts w:ascii="Arial" w:cs="Arial" w:eastAsia="Arial" w:hAnsi="Arial"/>
          <w:sz w:val="24"/>
          <w:szCs w:val="24"/>
        </w:rPr>
        <w:t xml:space="preserve">Cross-strand gravity convergence test: "Cross-strand gravity is the convergence test where strands exist: a gravity that holds across all of a world’s strands is more likely to represent the world’s irreducible core than a gravity that holds within only one strand."</w:t>
      </w:r>
    </w:p>
    <w:p>
      <w:pPr>
        <w:pStyle w:val="ListParagraph"/>
        <w:numPr>
          <w:ilvl w:val="0"/>
          <w:numId w:val="2"/>
        </w:numPr>
      </w:pPr>
      <w:r>
        <w:rPr>
          <w:rFonts w:ascii="Arial" w:cs="Arial" w:eastAsia="Arial" w:hAnsi="Arial"/>
          <w:sz w:val="24"/>
          <w:szCs w:val="24"/>
        </w:rPr>
        <w:t xml:space="preserve">Step-4 recording: "Cross-strand status and strand-bound status are recorded for each confirmed gravity in Step 4."</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Formation World Construction Framework v1.6 — Part III, gravity-discovery section (beside the Repetition/Dependency/Formation/Explanatory/Persistence/Interaction tests)</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Not yet present — "strand" appears nowhere in the Construction Framework, Blueprint, or Representative Construction Framework</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This is relocation into a gap, not de-duplication. The Construction Framework must be amended to add strand determination as a Step-1 finding and cross-strand gravity as a Step-4 convergence test before this content leaves the Constitution. Until the Framework is amended, the constitutional copy is the only copy and must be retained.</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12 — Article 22 (now 23): Writing-From-Inside Criteria</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22 (renumbered to Article 23) — Writing-From-Inside Principle</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"All inhabited prose is written from within the world’s own consciousness and vocabulary — such that someone formed in the world would recognize it as a true account of their own life — never as external report carrying analytical-distance markers. The five criteria for inhabited prose and the failure signature are governed by the Representative Construction Framework."</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FIVE CRITERIA (a)–(e):</w:t>
      </w:r>
    </w:p>
    <w:p>
      <w:pPr>
        <w:pStyle w:val="ListParagraph"/>
        <w:numPr>
          <w:ilvl w:val="0"/>
          <w:numId w:val="2"/>
        </w:numPr>
      </w:pPr>
      <w:r>
        <w:rPr>
          <w:rFonts w:ascii="Arial" w:cs="Arial" w:eastAsia="Arial" w:hAnsi="Arial"/>
          <w:sz w:val="24"/>
          <w:szCs w:val="24"/>
        </w:rPr>
        <w:t xml:space="preserve">(a) It uses the world’s own vocabulary to name the world’s own experience, not later analytical vocabulary imported from outside the world.</w:t>
      </w:r>
    </w:p>
    <w:p>
      <w:pPr>
        <w:pStyle w:val="ListParagraph"/>
        <w:numPr>
          <w:ilvl w:val="0"/>
          <w:numId w:val="2"/>
        </w:numPr>
      </w:pPr>
      <w:r>
        <w:rPr>
          <w:rFonts w:ascii="Arial" w:cs="Arial" w:eastAsia="Arial" w:hAnsi="Arial"/>
          <w:sz w:val="24"/>
          <w:szCs w:val="24"/>
        </w:rPr>
        <w:t xml:space="preserve">(b) It renders the world’s logic as the world understood it — from within — without collapsing into event-description or external reporting.</w:t>
      </w:r>
    </w:p>
    <w:p>
      <w:pPr>
        <w:pStyle w:val="ListParagraph"/>
        <w:numPr>
          <w:ilvl w:val="0"/>
          <w:numId w:val="2"/>
        </w:numPr>
      </w:pPr>
      <w:r>
        <w:rPr>
          <w:rFonts w:ascii="Arial" w:cs="Arial" w:eastAsia="Arial" w:hAnsi="Arial"/>
          <w:sz w:val="24"/>
          <w:szCs w:val="24"/>
        </w:rPr>
        <w:t xml:space="preserve">(c) It can be read by the Representative as formation and memory, not as a report about them from the outside.</w:t>
      </w:r>
    </w:p>
    <w:p>
      <w:pPr>
        <w:pStyle w:val="ListParagraph"/>
        <w:numPr>
          <w:ilvl w:val="0"/>
          <w:numId w:val="2"/>
        </w:numPr>
      </w:pPr>
      <w:r>
        <w:rPr>
          <w:rFonts w:ascii="Arial" w:cs="Arial" w:eastAsia="Arial" w:hAnsi="Arial"/>
          <w:sz w:val="24"/>
          <w:szCs w:val="24"/>
        </w:rPr>
        <w:t xml:space="preserve">(d) It holds the world’s tensions as the world held them, not resolved by hindsight or modern clarity.</w:t>
      </w:r>
    </w:p>
    <w:p>
      <w:pPr>
        <w:pStyle w:val="ListParagraph"/>
        <w:numPr>
          <w:ilvl w:val="0"/>
          <w:numId w:val="2"/>
        </w:numPr>
      </w:pPr>
      <w:r>
        <w:rPr>
          <w:rFonts w:ascii="Arial" w:cs="Arial" w:eastAsia="Arial" w:hAnsi="Arial"/>
          <w:sz w:val="24"/>
          <w:szCs w:val="24"/>
        </w:rPr>
        <w:t xml:space="preserve">(e) Someone formed in this world would recognize it as a true account of their own life.</w:t>
      </w:r>
    </w:p>
    <w:p>
      <w:pPr>
        <w:pStyle w:val="ListParagraph"/>
        <w:numPr>
          <w:ilvl w:val="0"/>
          <w:numId w:val="2"/>
        </w:numPr>
      </w:pPr>
      <w:r>
        <w:rPr>
          <w:rFonts w:ascii="Arial" w:cs="Arial" w:eastAsia="Arial" w:hAnsi="Arial"/>
          <w:sz w:val="24"/>
          <w:szCs w:val="24"/>
        </w:rPr>
        <w:t xml:space="preserve">FAILURE SIGNATURE: "Analytical-distance markers appearing inside inhabited layers. The phrases ‘scholars believe,’ ‘this reflects,’ ‘we can see,’ ‘evidence suggests,’ and similar markers belong in historical-event layers and scholarly apparatus only. Their presence inside inhabited prose is the signal that the writing has stepped outside the world it is supposed to inhabit."</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Representative Construction Framework v1.1 — Part Two (Representative Boundary Principles)</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 (substance present as Total Embeddedness, No Meta-Awareness, World-Internal Self-Understanding, etc.)</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The five lettered criteria are not stated as an explicit (a)–(e) checklist in Part Two; confirm whether they should be added as a named criterion set or whether Part Two’s boundary principles are deemed to satisfy them. The make-intelligible-versus-vindicate line is in Article 24 (Witness-Not-Recruitment), not extracted, and must not be conflated with this material.</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13 — Article 25 (now 26) Section A: Author Gravity Dimensions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25 (renumbered to Article 26) — Author Gravity and Contested-Tradition Governance, Section A</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"Every primary source is assessed for reliability before it is used to ground a gravity, and a gravity resting on an unexamined source is a blocking finding. The dimensions of source assessment, including transmission history, and the construction stages at which the discipline is enforced are governed by the Construction Framework."</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DIMENSION LIST: authorial perspective and agenda; audience and purpose; genre and rhetorical conventions; transmission history; survivorship and selection factors; relationship to the events or communities described</w:t>
      </w:r>
    </w:p>
    <w:p>
      <w:pPr>
        <w:pStyle w:val="ListParagraph"/>
        <w:numPr>
          <w:ilvl w:val="0"/>
          <w:numId w:val="2"/>
        </w:numPr>
      </w:pPr>
      <w:r>
        <w:rPr>
          <w:rFonts w:ascii="Arial" w:cs="Arial" w:eastAsia="Arial" w:hAnsi="Arial"/>
          <w:sz w:val="24"/>
          <w:szCs w:val="24"/>
        </w:rPr>
        <w:t xml:space="preserve">TRANSMISSION HISTORY PARAGRAPH: "Transmission History is a named dimension of Author Gravity assessment, not a sub-item of another dimension. What survives to generate a world’s after-life — and what evidence exists at all — is shaped by how material was transmitted, compiled, and selectively preserved. A source whose survival depends on a particular community’s interests carries that interest into the reconstruction. Every gravity assessed through such a source must account for what the transmission history reveals about what has been preserved and what has been lost."</w:t>
      </w:r>
    </w:p>
    <w:p>
      <w:pPr>
        <w:pStyle w:val="ListParagraph"/>
        <w:numPr>
          <w:ilvl w:val="0"/>
          <w:numId w:val="2"/>
        </w:numPr>
      </w:pPr>
      <w:r>
        <w:rPr>
          <w:rFonts w:ascii="Arial" w:cs="Arial" w:eastAsia="Arial" w:hAnsi="Arial"/>
          <w:sz w:val="24"/>
          <w:szCs w:val="24"/>
        </w:rPr>
        <w:t xml:space="preserve">ENFORCEMENT SENTENCE: "Author Gravity discipline is enforced at Step 2 (source ecology), Step 4 (gravity discovery), and every adversarial review checkpoint."</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Formation World Construction Framework v1.6 — Part II, "Author Gravity Assessment" and "Expanded Author Gravity Assessment"</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Substance present in the Construction Framework. Confirm the named dimension "Transmission History as a standalone dimension" appears in the Framework before discarding the constitutional copy.</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14 — Article 25 (now 26) Section B: CT Tag Mechanics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25 (renumbered to Article 26) — Author Gravity and Contested-Tradition Governance, Section B</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"Contested terms are flagged and carried, as contested, into the Representative’s live runtime vocabulary, so that the architecture never presents as settled what the field treats as unsettled. The tagging method and contest-type specification are governed by the Construction Framework."</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CT CARRY-PATH MECHANICS: "The [CT] tag is carried from the construction record into the deployment vocabulary and into the Representative’s live runtime vocabulary. It does not disappear at deployment. A Representative operating with a [CT]-tagged term knows that term is contested and speaks accordingly."</w:t>
      </w:r>
    </w:p>
    <w:p>
      <w:pPr>
        <w:pStyle w:val="ListParagraph"/>
        <w:numPr>
          <w:ilvl w:val="0"/>
          <w:numId w:val="2"/>
        </w:numPr>
      </w:pPr>
      <w:r>
        <w:rPr>
          <w:rFonts w:ascii="Arial" w:cs="Arial" w:eastAsia="Arial" w:hAnsi="Arial"/>
          <w:sz w:val="24"/>
          <w:szCs w:val="24"/>
        </w:rPr>
        <w:t xml:space="preserve">CONTEST-TYPE SPECIFICATION: "Each [CT] entry states which kind of contest applies — whether the contest concerns the term’s meaning, its historical scope, its application to this world, or its relationship to present-day traditions. The type of contest matters for formation and must be specified."</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Interpretive Lexicon Development Framework v1.0 (term tagging) and Formation World Construction Framework v1.6</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 (partial — confirm the four contest-types are enumerated in the Lexicon Framework)</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The constitutional commitment that [CT] is carried into runtime is retained in Article 26 and is not extracted; only the mechanics move. Confirm the Lexicon Framework’s tagging carries the four contest-type distinctions before discarding.</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15 — Article 28 (now 30): Three-Level Transparency Descriptions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28 (renumbered to Article 30) — Three-Level Transparency</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"The architecture presents its reconstruction at three levels — the formation conversation itself, an on-request reference explanation, and the full scholarly apparatus. The contents and structure of each level are governed by the Lexicon and Facilitator-Governance documents."</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LEVEL 1 DESCRIPTION: "Level 1 — Formation Conversation: The encounter itself, conducted without visible scholarly apparatus. The Representative speaks from within its world. No footnotes interrupt the formation conversation. This is the primary mode of encounter."</w:t>
      </w:r>
    </w:p>
    <w:p>
      <w:pPr>
        <w:pStyle w:val="ListParagraph"/>
        <w:numPr>
          <w:ilvl w:val="0"/>
          <w:numId w:val="2"/>
        </w:numPr>
      </w:pPr>
      <w:r>
        <w:rPr>
          <w:rFonts w:ascii="Arial" w:cs="Arial" w:eastAsia="Arial" w:hAnsi="Arial"/>
          <w:sz w:val="24"/>
          <w:szCs w:val="24"/>
        </w:rPr>
        <w:t xml:space="preserve">LEVEL 2 DESCRIPTION: "Level 2 — Reference Explanation: Available on request at any point. When a participant asks about a term, a claim, a source, or a practice, the architecture surfaces the relevant Lexicon entry, Story Repository entry, or World Context Layer chunk in accessible language. Level 2 makes the scholarly grounding available without requiring the participant to leave the encounter."</w:t>
      </w:r>
    </w:p>
    <w:p>
      <w:pPr>
        <w:pStyle w:val="ListParagraph"/>
        <w:numPr>
          <w:ilvl w:val="0"/>
          <w:numId w:val="2"/>
        </w:numPr>
      </w:pPr>
      <w:r>
        <w:rPr>
          <w:rFonts w:ascii="Arial" w:cs="Arial" w:eastAsia="Arial" w:hAnsi="Arial"/>
          <w:sz w:val="24"/>
          <w:szCs w:val="24"/>
        </w:rPr>
        <w:t xml:space="preserve">LEVEL 3 DESCRIPTION: "Level 3 — Full Scholarly Apparatus: Available on request at any point. The complete construction record — sources with specificity, confidence calibrations, scholarly tensions carried at full strength, construction notes, and the full Lexicon entry including distortion risks and related terms. Level 3 is what the academic or the externally reviewing scholar needs."</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Interpretive Lexicon Development Framework v1.0 (Runtime vs Scholarly Lexicon) and Facilitator-Governance v1.4 (apparatus surfacing)</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 (substance present as Runtime vs Scholarly Lexicon and the Facilitator sourcing apparatus)</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The invariant ("Levels 2 and 3 are always reachable from Level 1; never gated by participant type, session state, or deployment configuration"), the prototype carve-out, and the Conviction-4 sentence are NOT extracted — they remain constitutional. Only the descriptive content of each level moves. Confirm the Lexicon Framework names all three levels before discarding the descriptions.</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16 — Article 32 (now 34) Section A: Seven Deployment Outputs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32 (renumbered to Article 34) — Deployment Standards and AI Resource Integrity, Section A</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"The required deployment outputs are enumerated and specified in the Deployment Standards document."</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SEVEN NAMED OUTPUTS:</w:t>
      </w:r>
    </w:p>
    <w:p>
      <w:pPr>
        <w:pStyle w:val="ListParagraph"/>
        <w:numPr>
          <w:ilvl w:val="0"/>
          <w:numId w:val="2"/>
        </w:numPr>
      </w:pPr>
      <w:r>
        <w:rPr>
          <w:rFonts w:ascii="Arial" w:cs="Arial" w:eastAsia="Arial" w:hAnsi="Arial"/>
          <w:sz w:val="24"/>
          <w:szCs w:val="24"/>
        </w:rPr>
        <w:t xml:space="preserve">World Capsule Core — always-present formation foundation, 3,000–5,000 tokens</w:t>
      </w:r>
    </w:p>
    <w:p>
      <w:pPr>
        <w:pStyle w:val="ListParagraph"/>
        <w:numPr>
          <w:ilvl w:val="0"/>
          <w:numId w:val="2"/>
        </w:numPr>
      </w:pPr>
      <w:r>
        <w:rPr>
          <w:rFonts w:ascii="Arial" w:cs="Arial" w:eastAsia="Arial" w:hAnsi="Arial"/>
          <w:sz w:val="24"/>
          <w:szCs w:val="24"/>
        </w:rPr>
        <w:t xml:space="preserve">World Context Layer — retrievable depth chunks</w:t>
      </w:r>
    </w:p>
    <w:p>
      <w:pPr>
        <w:pStyle w:val="ListParagraph"/>
        <w:numPr>
          <w:ilvl w:val="0"/>
          <w:numId w:val="2"/>
        </w:numPr>
      </w:pPr>
      <w:r>
        <w:rPr>
          <w:rFonts w:ascii="Arial" w:cs="Arial" w:eastAsia="Arial" w:hAnsi="Arial"/>
          <w:sz w:val="24"/>
          <w:szCs w:val="24"/>
        </w:rPr>
        <w:t xml:space="preserve">Representative Permanent Prompt — always-present runtime configuration, 1,500–3,000 tokens</w:t>
      </w:r>
    </w:p>
    <w:p>
      <w:pPr>
        <w:pStyle w:val="ListParagraph"/>
        <w:numPr>
          <w:ilvl w:val="0"/>
          <w:numId w:val="2"/>
        </w:numPr>
      </w:pPr>
      <w:r>
        <w:rPr>
          <w:rFonts w:ascii="Arial" w:cs="Arial" w:eastAsia="Arial" w:hAnsi="Arial"/>
          <w:sz w:val="24"/>
          <w:szCs w:val="24"/>
        </w:rPr>
        <w:t xml:space="preserve">Representative Construction Notes — scholarly derivation record</w:t>
      </w:r>
    </w:p>
    <w:p>
      <w:pPr>
        <w:pStyle w:val="ListParagraph"/>
        <w:numPr>
          <w:ilvl w:val="0"/>
          <w:numId w:val="2"/>
        </w:numPr>
      </w:pPr>
      <w:r>
        <w:rPr>
          <w:rFonts w:ascii="Arial" w:cs="Arial" w:eastAsia="Arial" w:hAnsi="Arial"/>
          <w:sz w:val="24"/>
          <w:szCs w:val="24"/>
        </w:rPr>
        <w:t xml:space="preserve">Voice Configuration — technical voice and pronunciation configuration</w:t>
      </w:r>
    </w:p>
    <w:p>
      <w:pPr>
        <w:pStyle w:val="ListParagraph"/>
        <w:numPr>
          <w:ilvl w:val="0"/>
          <w:numId w:val="2"/>
        </w:numPr>
      </w:pPr>
      <w:r>
        <w:rPr>
          <w:rFonts w:ascii="Arial" w:cs="Arial" w:eastAsia="Arial" w:hAnsi="Arial"/>
          <w:sz w:val="24"/>
          <w:szCs w:val="24"/>
        </w:rPr>
        <w:t xml:space="preserve">Deployment Lexicon — retrievable lexicon chunks</w:t>
      </w:r>
    </w:p>
    <w:p>
      <w:pPr>
        <w:pStyle w:val="ListParagraph"/>
        <w:numPr>
          <w:ilvl w:val="0"/>
          <w:numId w:val="2"/>
        </w:numPr>
      </w:pPr>
      <w:r>
        <w:rPr>
          <w:rFonts w:ascii="Arial" w:cs="Arial" w:eastAsia="Arial" w:hAnsi="Arial"/>
          <w:sz w:val="24"/>
          <w:szCs w:val="24"/>
        </w:rPr>
        <w:t xml:space="preserve">Story Repository — retrievable story chunks</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Deployment Standards document — does not yet exist</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Not yet scoped</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The seven-output enumeration appears nowhere in the Blueprint or Construction Framework; the Master Architecture Map’s "World Runtime Pack" gestures at it but does not enumerate it. A Deployment Standards build document must be created to receive this content. Until it exists, the constitutional copy is the only copy and must be retained. The mandatory-vision-section gate, the “every gate must be cleared” rule, and the prototype carve-out are NOT extracted — they remain constitutional in Article 34.</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17 — Article 32 (now 34) Section B: AI Tool Assignments</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32 (renumbered to Article 34) — Deployment Standards and AI Resource Integrity, Section B</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"The assignment of AI tools to construction and review stages is governed by the Deployment Standards document; these assignments are constitutional in force, not preferential."</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SONNET ASSIGNMENT: "Sonnet — construction drafting: world build documents Steps 1 through 7, Lexicon entry development, Story Inventory production."</w:t>
      </w:r>
    </w:p>
    <w:p>
      <w:pPr>
        <w:pStyle w:val="ListParagraph"/>
        <w:numPr>
          <w:ilvl w:val="0"/>
          <w:numId w:val="2"/>
        </w:numPr>
      </w:pPr>
      <w:r>
        <w:rPr>
          <w:rFonts w:ascii="Arial" w:cs="Arial" w:eastAsia="Arial" w:hAnsi="Arial"/>
          <w:sz w:val="24"/>
          <w:szCs w:val="24"/>
        </w:rPr>
        <w:t xml:space="preserve">OPUS ASSIGNMENT: "Opus — adversarial review at three named checkpoints: after Step 4 (gravity discovery), after Step 6 (full Lexicon development), and after Step 8 (deployment outputs and Representative inhabitation judgment). Opus performs the Writing-From-Inside, Witness-Not-Recruitment, and Christ-Ward Telos judgments at each checkpoint."</w:t>
      </w:r>
    </w:p>
    <w:p>
      <w:pPr>
        <w:pStyle w:val="ListParagraph"/>
        <w:numPr>
          <w:ilvl w:val="0"/>
          <w:numId w:val="2"/>
        </w:numPr>
      </w:pPr>
      <w:r>
        <w:rPr>
          <w:rFonts w:ascii="Arial" w:cs="Arial" w:eastAsia="Arial" w:hAnsi="Arial"/>
          <w:sz w:val="24"/>
          <w:szCs w:val="24"/>
        </w:rPr>
        <w:t xml:space="preserve">PERPLEXITY ASSIGNMENT: "Perplexity — independent academic source verification at Step 2 and spot-checks thereafter."</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Deployment Standards document (does not yet exist) or the Construction Framework’s step structure / Master Architecture Map Layer 5 Validation</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Not yet scoped (for a dedicated Deployment Standards document); the step structure it maps to is Built in the Construction Framework</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The Simulated Review Rule paragraph is NOT extracted — it remains constitutional in Article 34B because it enforces the External Scholarly Accountability Principle. Only the tool-to-stage assignments move. The marking inside the retained Simulated Review Rule references Article 31.</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Section 18 — Article 12: Facilitator-Governance Operational Description</w:t>
      </w:r>
    </w:p>
    <w:p>
      <w:r>
        <w:rPr>
          <w:rFonts w:ascii="Arial" w:cs="Arial" w:eastAsia="Arial" w:hAnsi="Arial"/>
          <w:sz w:val="24"/>
          <w:szCs w:val="24"/>
        </w:rPr>
        <w:t xml:space="preserve"/>
      </w:r>
    </w:p>
    <w:p>
      <w:r>
        <w:rPr>
          <w:rFonts w:ascii="Arial" w:cs="Arial" w:eastAsia="Arial" w:hAnsi="Arial"/>
          <w:b/>
          <w:bCs/>
          <w:sz w:val="24"/>
          <w:szCs w:val="24"/>
        </w:rPr>
        <w:t xml:space="preserve">Source Article: </w:t>
      </w:r>
      <w:r>
        <w:rPr>
          <w:rFonts w:ascii="Arial" w:cs="Arial" w:eastAsia="Arial" w:hAnsi="Arial"/>
          <w:sz w:val="24"/>
          <w:szCs w:val="24"/>
        </w:rPr>
        <w:t xml:space="preserve">Article 12 — Encounter Stewardship Recognition</w:t>
      </w:r>
    </w:p>
    <w:p>
      <w:r>
        <w:rPr>
          <w:rFonts w:ascii="Arial" w:cs="Arial" w:eastAsia="Arial" w:hAnsi="Arial"/>
          <w:sz w:val="24"/>
          <w:szCs w:val="24"/>
        </w:rPr>
        <w:t xml:space="preserve"/>
      </w:r>
    </w:p>
    <w:p>
      <w:r>
        <w:rPr>
          <w:rFonts w:ascii="Arial" w:cs="Arial" w:eastAsia="Arial" w:hAnsi="Arial"/>
          <w:b/>
          <w:bCs/>
          <w:sz w:val="24"/>
          <w:szCs w:val="24"/>
        </w:rPr>
        <w:t xml:space="preserve">Constitutional Replacement Language:</w:t>
      </w:r>
    </w:p>
    <w:p>
      <w:r>
        <w:rPr>
          <w:rFonts w:ascii="Arial" w:cs="Arial" w:eastAsia="Arial" w:hAnsi="Arial"/>
          <w:sz w:val="24"/>
          <w:szCs w:val="24"/>
        </w:rPr>
        <w:t xml:space="preserve">"The Facilitator-Governance function operates at two registers — a visible participant-facing register and an invisible governance register — and is theologically non-directive, holding no position among traditions while serving the mission of participant encounter with Jesus through the witness of the Christian tradition. Its identity, its two registers, and its operation are governed by the Facilitator-Governance document."</w:t>
      </w:r>
    </w:p>
    <w:p>
      <w:r>
        <w:rPr>
          <w:rFonts w:ascii="Arial" w:cs="Arial" w:eastAsia="Arial" w:hAnsi="Arial"/>
          <w:sz w:val="24"/>
          <w:szCs w:val="24"/>
        </w:rPr>
        <w:t xml:space="preserve"/>
      </w:r>
    </w:p>
    <w:p>
      <w:r>
        <w:rPr>
          <w:rFonts w:ascii="Arial" w:cs="Arial" w:eastAsia="Arial" w:hAnsi="Arial"/>
          <w:b/>
          <w:bCs/>
          <w:sz w:val="24"/>
          <w:szCs w:val="24"/>
        </w:rPr>
        <w:t xml:space="preserve">Extracted Content:</w:t>
      </w:r>
    </w:p>
    <w:p>
      <w:pPr>
        <w:pStyle w:val="ListParagraph"/>
        <w:numPr>
          <w:ilvl w:val="0"/>
          <w:numId w:val="2"/>
        </w:numPr>
      </w:pPr>
      <w:r>
        <w:rPr>
          <w:rFonts w:ascii="Arial" w:cs="Arial" w:eastAsia="Arial" w:hAnsi="Arial"/>
          <w:sz w:val="24"/>
          <w:szCs w:val="24"/>
        </w:rPr>
        <w:t xml:space="preserve">TWO-REGISTER OPERATIONAL DESCRIPTION: "This function operates at two registers simultaneously. The visible register is the contemporary, professionally neutral, participant-facing presence that welcomes, orients, introduces Representatives, and surfaces when the participant genuinely needs it — operating from the professional value the facilitation field calls content-neutrality, the disciplined setting aside of personal agenda, belief, and preference in service of the participant’s own process. The invisible register is the continuous governance layer that monitors Representative fidelity, manages encounter conditions, and maintains the integrity of the space."</w:t>
      </w:r>
    </w:p>
    <w:p>
      <w:pPr>
        <w:pStyle w:val="ListParagraph"/>
        <w:numPr>
          <w:ilvl w:val="0"/>
          <w:numId w:val="2"/>
        </w:numPr>
      </w:pPr>
      <w:r>
        <w:rPr>
          <w:rFonts w:ascii="Arial" w:cs="Arial" w:eastAsia="Arial" w:hAnsi="Arial"/>
          <w:sz w:val="24"/>
          <w:szCs w:val="24"/>
        </w:rPr>
        <w:t xml:space="preserve">THEOLOGICAL NON-DIRECTIVENESS PARAGRAPH: "The Facilitator-Governance function is theologically non-directive. It holds no position among traditions. It serves the mission — participant encounter with Jesus through the witness of the Christian tradition — without directing participants toward any tradition’s conclusions."</w:t>
      </w:r>
    </w:p>
    <w:p>
      <w:r>
        <w:rPr>
          <w:rFonts w:ascii="Arial" w:cs="Arial" w:eastAsia="Arial" w:hAnsi="Arial"/>
          <w:sz w:val="24"/>
          <w:szCs w:val="24"/>
        </w:rPr>
        <w:t xml:space="preserve"/>
      </w:r>
    </w:p>
    <w:p>
      <w:r>
        <w:rPr>
          <w:rFonts w:ascii="Arial" w:cs="Arial" w:eastAsia="Arial" w:hAnsi="Arial"/>
          <w:b/>
          <w:bCs/>
          <w:sz w:val="24"/>
          <w:szCs w:val="24"/>
        </w:rPr>
        <w:t xml:space="preserve">Destination Document: </w:t>
      </w:r>
      <w:r>
        <w:rPr>
          <w:rFonts w:ascii="Arial" w:cs="Arial" w:eastAsia="Arial" w:hAnsi="Arial"/>
          <w:sz w:val="24"/>
          <w:szCs w:val="24"/>
        </w:rPr>
        <w:t xml:space="preserve">Facilitator-Governance v1.4 — "Identity" section</w:t>
      </w:r>
    </w:p>
    <w:p>
      <w:r>
        <w:rPr>
          <w:rFonts w:ascii="Arial" w:cs="Arial" w:eastAsia="Arial" w:hAnsi="Arial"/>
          <w:sz w:val="24"/>
          <w:szCs w:val="24"/>
        </w:rPr>
        <w:t xml:space="preserve"/>
      </w:r>
    </w:p>
    <w:p>
      <w:r>
        <w:rPr>
          <w:rFonts w:ascii="Arial" w:cs="Arial" w:eastAsia="Arial" w:hAnsi="Arial"/>
          <w:b/>
          <w:bCs/>
          <w:sz w:val="24"/>
          <w:szCs w:val="24"/>
        </w:rPr>
        <w:t xml:space="preserve">Destination Status: </w:t>
      </w:r>
      <w:r>
        <w:rPr>
          <w:rFonts w:ascii="Arial" w:cs="Arial" w:eastAsia="Arial" w:hAnsi="Arial"/>
          <w:sz w:val="24"/>
          <w:szCs w:val="24"/>
        </w:rPr>
        <w:t xml:space="preserve">Built (the two-register description and content-neutrality lineage are present nearly verbatim)</w:t>
      </w:r>
    </w:p>
    <w:p>
      <w:r>
        <w:rPr>
          <w:rFonts w:ascii="Arial" w:cs="Arial" w:eastAsia="Arial" w:hAnsi="Arial"/>
          <w:sz w:val="24"/>
          <w:szCs w:val="24"/>
        </w:rPr>
        <w:t xml:space="preserve"/>
      </w:r>
    </w:p>
    <w:p>
      <w:r>
        <w:rPr>
          <w:rFonts w:ascii="Arial" w:cs="Arial" w:eastAsia="Arial" w:hAnsi="Arial"/>
          <w:b/>
          <w:bCs/>
          <w:sz w:val="24"/>
          <w:szCs w:val="24"/>
        </w:rPr>
        <w:t xml:space="preserve">Reconciliation Notes:</w:t>
      </w:r>
    </w:p>
    <w:p>
      <w:r>
        <w:rPr>
          <w:rFonts w:ascii="Arial" w:cs="Arial" w:eastAsia="Arial" w:hAnsi="Arial"/>
          <w:sz w:val="24"/>
          <w:szCs w:val="24"/>
        </w:rPr>
        <w:t xml:space="preserve">The bounded-register paragraph (may shape fidelity and conditions, not participant direction; the two deployment gates) and the "primary actor" sentence and the "this Constitution governs" precedence sentence are NOT extracted — they remain constitutional. Confirm the Facilitator-Governance Identity section carries the theological-non-directiveness language before discarding.</w:t>
      </w:r>
    </w:p>
    <w:p>
      <w:r>
        <w:rPr>
          <w:rFonts w:ascii="Arial" w:cs="Arial" w:eastAsia="Arial" w:hAnsi="Arial"/>
          <w:sz w:val="24"/>
          <w:szCs w:val="24"/>
        </w:rPr>
        <w:t xml:space="preserve"/>
      </w:r>
    </w:p>
    <w:p>
      <w:r>
        <w:rPr>
          <w:rFonts w:ascii="Arial" w:cs="Arial" w:eastAsia="Arial" w:hAnsi="Arial"/>
          <w:b/>
          <w:bCs/>
          <w:sz w:val="24"/>
          <w:szCs w:val="24"/>
        </w:rPr>
        <w:t xml:space="preserve">Status: </w:t>
      </w:r>
      <w:r>
        <w:rPr>
          <w:rFonts w:ascii="Arial" w:cs="Arial" w:eastAsia="Arial" w:hAnsi="Arial"/>
          <w:sz w:val="24"/>
          <w:szCs w:val="24"/>
        </w:rPr>
        <w:t xml:space="preserve">Pending Integration</w:t>
      </w:r>
    </w:p>
    <w:p>
      <w:r>
        <w:rPr>
          <w:rFonts w:ascii="Arial" w:cs="Arial" w:eastAsia="Arial" w:hAnsi="Arial"/>
          <w:sz w:val="24"/>
          <w:szCs w:val="24"/>
        </w:rPr>
        <w:t xml:space="preserve"/>
      </w:r>
    </w:p>
    <w:p>
      <w:pPr>
        <w:pBdr>
          <w:bottom w:val="single" w:color="AAAAAA" w:sz="3"/>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Closing Integration Tracker</w:t>
      </w:r>
    </w:p>
    <w:p>
      <w:r>
        <w:rPr>
          <w:rFonts w:ascii="Arial" w:cs="Arial" w:eastAsia="Arial" w:hAnsi="Arial"/>
          <w:sz w:val="24"/>
          <w:szCs w:val="24"/>
        </w:rPr>
        <w:t xml:space="preserve"/>
      </w:r>
    </w:p>
    <w:p>
      <w:r>
        <w:rPr>
          <w:rFonts w:ascii="Arial" w:cs="Arial" w:eastAsia="Arial" w:hAnsi="Arial"/>
          <w:sz w:val="24"/>
          <w:szCs w:val="24"/>
        </w:rPr>
        <w:t xml:space="preserve">All 18 sections. Status labels reflect modified designations for Sections 1/3/4/5/6 (Editorial Archive) and Sections 7/9 (BLOCKED).</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1200"/>
        <w:gridCol w:w="2160"/>
        <w:gridCol w:w="2400"/>
      </w:tblGrid>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Sec #</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Source Article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Destination</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Dest Status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Reconciliation Notes Summary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 Foundational Orientation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(archive)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trim; no integration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Archive — no build-document integration required. Retained as record of original constitutional enumeration.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13 — Research-Constrained Emergence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Construction Framework v1.6 Part 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Verify no list item absent from Framework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14 — Worship-Shaped Cognition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(archive)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trim; no integration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Archive — no build-document integration required. Retained as record of original constitutional enumeration.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15 — Historical Development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(archive)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trim; no integration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Archive — no build-document integration required. Retained as record of original constitutional enumeration.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16 — Internal Plurality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(archive)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trim; no integration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Archive — no build-document integration required. Retained as record of original constitutional enumeration.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18 — Historical Locality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(archive)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trim; no integration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Editorial Archive — no build-document integration required. Retained as record of original constitutional enumeration.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17 — Confidence Vocabulary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Construction Framework v1.6 Part 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 (divergent)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FLAG ONE: 3-level vs 5-level scheme conflict; Framework must be rewritten before integration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 — BLOCKED pending reconciliation. Do not delete constitutional copy until Construction Framework update is confirmed by project lead.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17 — Reported-Experience 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Construction Framework v1.6 + Lexicon Framework v1.0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 (partial)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Verbatim status string not in either build document; must be added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19 — Story Classification Tiers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Construction Framework v1.6 + Blueprint v1.5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 (divergent)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FLAG TWO: Tier 3 definition conflict (Attributed Tradition vs Hagiographic Narrative); builder decision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 — BLOCKED pending reconciliation. Do not delete constitutional copy until Construction Framework update is confirmed by project lead.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20 — Marginalized-Voices Mechanics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Construction Framework v1.6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 (partial)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Three conditions and textual-trace rule must be added explicitly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21 — Strand Determination Mechanics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Construction Framework v1.6 Part III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yet present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Gap relocation — strand appears nowhere in build docs; Framework must be amended first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22→23 — Writing-From-Inside Criteria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Representative Construction Framework v1.1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 (partial)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Confirm (a)–(e) checklist present or add explicitly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25→26 Sec A — Author Gravity Dimensions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Construction Framework v1.6 Part 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Confirm Transmission History as standalone dimension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25→26 Sec B — CT Tag Mechanics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Lexicon Framework v1.0 + Construction Framework v1.6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 (partial)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Confirm four contest-types enumerated in Lexicon Framework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28→30 — Three-Level Descriptions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Lexicon Framework v1.0 + Facilitator-Governance v1.4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Confirm Lexicon Framework names all three levels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32→34 Sec A — Seven Deployment Outputs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Deployment Standards document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yet scoped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Deployment Standards document does not yet exist; must be created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32→34 Sec B — AI Tool Assignments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Deployment Standards document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yet scoped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Deployment Standards document does not yet exist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12 — Facilitator-Gov Operational Description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Facilitator-Governance v1.4 Identity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Confirm theological-non-directiveness language present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Integration</w:t>
            </w:r>
          </w:p>
        </w:tc>
      </w:tr>
    </w:tbl>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2026-06-21T13:33:50.255Z</dcterms:created>
  <dcterms:modified xsi:type="dcterms:W3CDTF">2026-06-21T13:33:50.256Z</dcterms:modified>
</cp:coreProperties>
</file>

<file path=docProps/custom.xml><?xml version="1.0" encoding="utf-8"?>
<Properties xmlns="http://schemas.openxmlformats.org/officeDocument/2006/custom-properties" xmlns:vt="http://schemas.openxmlformats.org/officeDocument/2006/docPropsVTypes"/>
</file>