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39B4C" w14:textId="77777777" w:rsidR="00D12F1E" w:rsidRDefault="00000000">
      <w:pPr>
        <w:pStyle w:val="Heading1"/>
      </w:pPr>
      <w:r>
        <w:t>Alexandria</w:t>
      </w:r>
    </w:p>
    <w:p w14:paraId="14299AFD" w14:textId="77777777" w:rsidR="00D12F1E" w:rsidRDefault="00000000">
      <w:pPr>
        <w:spacing w:after="80"/>
      </w:pPr>
      <w:r>
        <w:rPr>
          <w:b/>
          <w:bCs/>
          <w:sz w:val="28"/>
          <w:szCs w:val="28"/>
        </w:rPr>
        <w:t>Blueprint Sections 1 &amp; 17 — Formal Documentation</w:t>
      </w:r>
    </w:p>
    <w:p w14:paraId="1B2B905D" w14:textId="77777777" w:rsidR="00D12F1E" w:rsidRDefault="00000000">
      <w:pPr>
        <w:spacing w:after="160"/>
      </w:pPr>
      <w:r>
        <w:t>v0.1</w:t>
      </w:r>
    </w:p>
    <w:p w14:paraId="714DF8F4" w14:textId="77777777" w:rsidR="00D12F1E" w:rsidRDefault="00D12F1E">
      <w:pPr>
        <w:spacing w:after="80"/>
      </w:pPr>
    </w:p>
    <w:p w14:paraId="5754992F" w14:textId="77777777" w:rsidR="00D12F1E" w:rsidRDefault="00000000">
      <w:pPr>
        <w:pStyle w:val="Heading2"/>
      </w:pPr>
      <w:r>
        <w:t>Version History</w:t>
      </w:r>
    </w:p>
    <w:p w14:paraId="63857351" w14:textId="77777777" w:rsidR="00D12F1E" w:rsidRDefault="00000000">
      <w:pPr>
        <w:spacing w:after="160"/>
      </w:pPr>
      <w:r>
        <w:rPr>
          <w:i/>
          <w:iCs/>
        </w:rPr>
        <w:t>v0.1 — initial build. Fills in Blueprint v1.5’s Section 1 (Living Tradition Status) and Section 17 (Validation Documentation — Historical Plausibility Summary, Differentiation Assessment, Encounter Readiness Assessment subsections, Remaining Weaknesses) for the Alexandria world specifically, drawing on Documents 01–03, the Alexandria Full Glossary v1.1, the Alexandria Story Inventory v0.1, and the activation layer files. This document is the world-specific instance of the Blueprint’s checklist, not a revision to the Blueprint itself.</w:t>
      </w:r>
    </w:p>
    <w:p w14:paraId="11A5E310" w14:textId="77777777" w:rsidR="00D12F1E" w:rsidRDefault="00D12F1E">
      <w:pPr>
        <w:spacing w:after="80"/>
      </w:pPr>
    </w:p>
    <w:p w14:paraId="2404A139" w14:textId="77777777" w:rsidR="00D12F1E" w:rsidRDefault="00000000">
      <w:pPr>
        <w:pStyle w:val="Heading2"/>
      </w:pPr>
      <w:r>
        <w:t>Status</w:t>
      </w:r>
    </w:p>
    <w:p w14:paraId="60A9DB53" w14:textId="77777777" w:rsidR="00D12F1E" w:rsidRDefault="00000000">
      <w:pPr>
        <w:spacing w:after="160"/>
      </w:pPr>
      <w:r>
        <w:t>Working Draft. Several Section 17 sub-items remain explicitly marked not yet executed below, consistent with the Blueprint’s requirement that absence be stated plainly rather than left unaddressed.</w:t>
      </w:r>
    </w:p>
    <w:p w14:paraId="6F4FF443" w14:textId="77777777" w:rsidR="00D12F1E" w:rsidRDefault="00D12F1E">
      <w:pPr>
        <w:spacing w:after="80"/>
      </w:pPr>
    </w:p>
    <w:p w14:paraId="695AAADE" w14:textId="77777777" w:rsidR="00D12F1E" w:rsidRDefault="00000000">
      <w:pPr>
        <w:pStyle w:val="Heading1"/>
      </w:pPr>
      <w:r>
        <w:t>Section 1 — Formation World Identity</w:t>
      </w:r>
    </w:p>
    <w:p w14:paraId="565A02A7" w14:textId="77777777" w:rsidR="00D12F1E" w:rsidRDefault="00000000">
      <w:pPr>
        <w:pStyle w:val="Heading2"/>
      </w:pPr>
      <w:r>
        <w:t>Living Tradition Status</w:t>
      </w:r>
    </w:p>
    <w:p w14:paraId="5624B21C" w14:textId="77777777" w:rsidR="00D12F1E" w:rsidRDefault="00000000">
      <w:pPr>
        <w:spacing w:after="160"/>
      </w:pPr>
      <w:r>
        <w:t>This world corresponds to a tradition with present-day adherents. Constitution Article 21 applies.</w:t>
      </w:r>
    </w:p>
    <w:p w14:paraId="58D1B629" w14:textId="77777777" w:rsidR="00D12F1E" w:rsidRDefault="00000000">
      <w:pPr>
        <w:spacing w:after="160"/>
      </w:pPr>
      <w:r>
        <w:rPr>
          <w:b/>
          <w:bCs/>
        </w:rPr>
        <w:t>Primary Living Heir:</w:t>
      </w:r>
      <w:r>
        <w:t xml:space="preserve"> The Coptic Orthodox Church — direct institutional and liturgical inheritor of Alexandrian Christianity, with continuous communal existence from this period to the present (approximately 10–15 million members globally). Carries liturgical practices, theological commitments, and formation traditions from this period, though its contemporary self-understanding is its own and is not read off from this project’s historical reconstruction.</w:t>
      </w:r>
    </w:p>
    <w:p w14:paraId="00462282" w14:textId="77777777" w:rsidR="00D12F1E" w:rsidRDefault="00000000">
      <w:pPr>
        <w:spacing w:after="160"/>
      </w:pPr>
      <w:r>
        <w:rPr>
          <w:b/>
          <w:bCs/>
        </w:rPr>
        <w:t>Secondary Inheritors:</w:t>
      </w:r>
      <w:r>
        <w:t xml:space="preserve"> Eastern Orthodox tradition (received primarily through the Cappadocian synthesis and the Nicene settlement); Catholic tradition (received through Jerome, Ambrose, Augustine’s Platonist formation, and later Origen reception); various Protestant traditions influenced by Alexandrian hermeneutics, typically mediated through the Western tradition.</w:t>
      </w:r>
    </w:p>
    <w:p w14:paraId="1DA68003" w14:textId="77777777" w:rsidR="00D12F1E" w:rsidRDefault="00000000">
      <w:pPr>
        <w:spacing w:after="160"/>
      </w:pPr>
      <w:r>
        <w:rPr>
          <w:b/>
          <w:bCs/>
        </w:rPr>
        <w:t>Contested Figures:</w:t>
      </w:r>
      <w:r>
        <w:t xml:space="preserve"> Origen of Alexandria — immense formative influence on this world, with specific propositions (pre-existence of souls, certain apokatastasis formulations, aspects of subordinationist Christology) condemned at the Fifth Ecumenical Council (553 CE), centuries after his death. His standing remains genuinely complex across all living heir traditions: received as formative ancestor while the conciliar condemnation is held simultaneously. The representative voice’s temporal position (post-Nicaea, pre-Chalcedon, c. 325–360 CE) places him before the condemnation, inherited with what the world documents name as “inheritance and ache.”</w:t>
      </w:r>
    </w:p>
    <w:p w14:paraId="1789C212" w14:textId="77777777" w:rsidR="00D12F1E" w:rsidRDefault="00000000">
      <w:pPr>
        <w:spacing w:after="160"/>
      </w:pPr>
      <w:r>
        <w:rPr>
          <w:b/>
          <w:bCs/>
        </w:rPr>
        <w:lastRenderedPageBreak/>
        <w:t>Differentiation Discipline:</w:t>
      </w:r>
      <w:r>
        <w:t xml:space="preserve"> Carried substantively in the world documents (Sections 10, 12, 13) and now formally in the Alexandria Full Glossary v1.1’s five [CT]-tagged entries (Logos, Scripture, Theosis, Soul, Nous), each distinguishing broadly shared Alexandrian conviction from Origen’s own more speculative extensions. Section 17’s Living Tradition Differentiation below assesses whether this distinction is actually implementable by the Representative at runtime, per the Blueprint’s requirement.</w:t>
      </w:r>
    </w:p>
    <w:p w14:paraId="1AE6D946" w14:textId="77777777" w:rsidR="00D12F1E" w:rsidRDefault="00D12F1E">
      <w:pPr>
        <w:spacing w:after="80"/>
      </w:pPr>
    </w:p>
    <w:p w14:paraId="252A16C4" w14:textId="77777777" w:rsidR="00D12F1E" w:rsidRDefault="00000000">
      <w:pPr>
        <w:pStyle w:val="Heading1"/>
      </w:pPr>
      <w:r>
        <w:t>Section 17 — Validation Documentation</w:t>
      </w:r>
    </w:p>
    <w:p w14:paraId="5AB829DA" w14:textId="77777777" w:rsidR="00D12F1E" w:rsidRDefault="00000000">
      <w:pPr>
        <w:pStyle w:val="Heading2"/>
      </w:pPr>
      <w:r>
        <w:t>Historical Plausibility Summary</w:t>
      </w:r>
    </w:p>
    <w:p w14:paraId="662A896D" w14:textId="77777777" w:rsidR="00D12F1E" w:rsidRDefault="00000000">
      <w:pPr>
        <w:spacing w:after="160"/>
      </w:pPr>
      <w:r>
        <w:t>The world aligns with available historical evidence at Strong Attestation for its two Primary Gravities (Scripture as Deep Formative Reality; Transformation of the Soul Toward God) and its core source ecology, per Document 02’s twelve evidence streams and Document 03’s Confidence/Gravity Cross-Check.</w:t>
      </w:r>
    </w:p>
    <w:p w14:paraId="08E716C2" w14:textId="77777777" w:rsidR="00D12F1E" w:rsidRDefault="00000000">
      <w:pPr>
        <w:spacing w:after="160"/>
      </w:pPr>
      <w:r>
        <w:t>Reconstruction extends beyond strong attestation in two identified areas: (1) Tier 4 narrative passages in the world documents (Sections 05, 08) and the Alexandria Story Inventory, which are explicitly labeled Participatory Reconstruction per Construction Framework v1.6 and carry construction notes identifying their attested elements; (2) the ordinary-believer, women’s, and rural/Coptic-speaking dimensions of the ecology, which Document 02’s Missing Voices Assessment and the Story Inventory’s Absent Stories section both name as substantially under-evidenced rather than reconstructed with confidence.</w:t>
      </w:r>
    </w:p>
    <w:p w14:paraId="2460C321" w14:textId="77777777" w:rsidR="00D12F1E" w:rsidRDefault="00000000">
      <w:pPr>
        <w:spacing w:after="160"/>
      </w:pPr>
      <w:r>
        <w:t>Claims resting primarily on inference: the precise institutional formality of the catechetical school’s succession (Pantaenus to Clement to Origen to Heraclas to Dionysius), which depends substantially on Eusebius, flagged in Document 02’s Supplementary Author Gravity Entries as a HIGH risk for institutional claims specifically.</w:t>
      </w:r>
    </w:p>
    <w:p w14:paraId="2F2A9ABD" w14:textId="77777777" w:rsidR="00D12F1E" w:rsidRDefault="00D12F1E">
      <w:pPr>
        <w:spacing w:after="80"/>
      </w:pPr>
    </w:p>
    <w:p w14:paraId="107EFEA8" w14:textId="77777777" w:rsidR="00D12F1E" w:rsidRDefault="00000000">
      <w:pPr>
        <w:pStyle w:val="Heading2"/>
      </w:pPr>
      <w:r>
        <w:t>Ecological Integrity Summary</w:t>
      </w:r>
    </w:p>
    <w:p w14:paraId="72FC3D22" w14:textId="77777777" w:rsidR="00D12F1E" w:rsidRDefault="00000000">
      <w:pPr>
        <w:spacing w:after="160"/>
      </w:pPr>
      <w:r>
        <w:t>Balance, Reduction, Complexity, Emergence, Worship Integration, Author Dominance, and Anachronism Testing depend on the completed Phase 4 Ecological Reconstruction and Phase 4.2 Integrated Ecology Analysis (Documents 04 and 05), which have not yet been built or formally reviewed. This section cannot be completed honestly until that work exists. Two tests can be partially addressed now from existing documents:</w:t>
      </w:r>
    </w:p>
    <w:p w14:paraId="51C233D7" w14:textId="77777777" w:rsidR="00D12F1E" w:rsidRDefault="00000000">
      <w:pPr>
        <w:spacing w:after="160"/>
      </w:pPr>
      <w:r>
        <w:rPr>
          <w:b/>
          <w:bCs/>
        </w:rPr>
        <w:t>Author Dominance Testing (partial):</w:t>
      </w:r>
      <w:r>
        <w:t xml:space="preserve"> Document 03’s gravity assessments and Document 02’s Author Gravity Assessment actively name and track Origen’s systemic dominance risk throughout rather than discovering it after the fact. This is evidence the discipline is being maintained, not evidence the test has been formally passed at the level of finished ecological reconstruction.</w:t>
      </w:r>
    </w:p>
    <w:p w14:paraId="224BADED" w14:textId="77777777" w:rsidR="00D12F1E" w:rsidRDefault="00000000">
      <w:pPr>
        <w:spacing w:after="160"/>
      </w:pPr>
      <w:r>
        <w:rPr>
          <w:b/>
          <w:bCs/>
        </w:rPr>
        <w:t>Adversarial Resistance Testing (partial):</w:t>
      </w:r>
      <w:r>
        <w:t xml:space="preserve"> Theon_Representative’s Construction Notes and the Facilitator_Governance_Activation’s claim-laundering trigger are both in place per Constitution Article 23. No concrete adversarial test cases have yet been run against a live runtime, consistent with the Construction Framework v1.6’s own note that concrete test cases depend on the runtime layer existing to test against.</w:t>
      </w:r>
    </w:p>
    <w:p w14:paraId="4C5C2960" w14:textId="77777777" w:rsidR="00D12F1E" w:rsidRDefault="00D12F1E">
      <w:pPr>
        <w:spacing w:after="80"/>
      </w:pPr>
    </w:p>
    <w:p w14:paraId="06AC1E45" w14:textId="77777777" w:rsidR="00D12F1E" w:rsidRDefault="00000000">
      <w:pPr>
        <w:pStyle w:val="Heading2"/>
      </w:pPr>
      <w:r>
        <w:lastRenderedPageBreak/>
        <w:t>Differentiation Assessment</w:t>
      </w:r>
    </w:p>
    <w:p w14:paraId="1412011B" w14:textId="77777777" w:rsidR="00D12F1E" w:rsidRDefault="00000000">
      <w:pPr>
        <w:spacing w:after="160"/>
      </w:pPr>
      <w:r>
        <w:rPr>
          <w:b/>
          <w:bCs/>
        </w:rPr>
        <w:t>Similarities with Adjacent Worlds:</w:t>
      </w:r>
      <w:r>
        <w:t xml:space="preserve"> Shares scriptural-interpretive seriousness and philosophical engagement with any future Antioch or Cappadocia world; shares ascetic and monastic concern with any future Desert/Egyptian-monastic world specifically; shares Nicene Christological commitments with any future world drawing on the same conciliar period.</w:t>
      </w:r>
    </w:p>
    <w:p w14:paraId="11C11997" w14:textId="77777777" w:rsidR="00D12F1E" w:rsidRDefault="00000000">
      <w:pPr>
        <w:spacing w:after="160"/>
      </w:pPr>
      <w:r>
        <w:rPr>
          <w:b/>
          <w:bCs/>
        </w:rPr>
        <w:t>Distinctions from Adjacent Worlds:</w:t>
      </w:r>
      <w:r>
        <w:t xml:space="preserve"> The Scripture ↔ Transformation mutual-reinforcement gravity structure (Document 03) is specific to this world’s evidence and is not assumed to transfer. Antioch’s historically more literal hermeneutical tendency is named in Document 01 as a genuine point of difference, not a variation on the same instinct. The Logos-as-theological-unity framing (Document 03, Section 9) is grounded specifically in this world’s Clement/Origen/Athanasius evidentiary base and should not be assumed to describe how a Cappadocian or Antiochene world would organize the same conviction.</w:t>
      </w:r>
    </w:p>
    <w:p w14:paraId="37FF72D9" w14:textId="77777777" w:rsidR="00D12F1E" w:rsidRDefault="00000000">
      <w:pPr>
        <w:spacing w:after="160"/>
      </w:pPr>
      <w:r>
        <w:rPr>
          <w:b/>
          <w:bCs/>
        </w:rPr>
        <w:t>Convergence Risks:</w:t>
      </w:r>
      <w:r>
        <w:t xml:space="preserve"> The most vulnerable distinctive feature is Theon’s allegorical-contemplative reading instinct, which could drift toward a generic “ancient wise teacher” voice if not actively maintained — precisely the failure mode the Facilitator_Governance_Activation names as flattening. This risk is structurally guarded against (Representative_Activation’s Seven Roots, the Facilitator’s drift-signal monitoring) but has not yet been tested against a live adjacent-world comparison, since no second world is yet built.</w:t>
      </w:r>
    </w:p>
    <w:p w14:paraId="5DE5C320" w14:textId="77777777" w:rsidR="00D12F1E" w:rsidRDefault="00D12F1E">
      <w:pPr>
        <w:spacing w:after="80"/>
      </w:pPr>
    </w:p>
    <w:p w14:paraId="527B89BA" w14:textId="77777777" w:rsidR="00D12F1E" w:rsidRDefault="00000000">
      <w:pPr>
        <w:pStyle w:val="Heading2"/>
      </w:pPr>
      <w:r>
        <w:t>Encounter Readiness Assessment</w:t>
      </w:r>
    </w:p>
    <w:p w14:paraId="685F7C02" w14:textId="77777777" w:rsidR="00D12F1E" w:rsidRDefault="00000000">
      <w:pPr>
        <w:spacing w:after="160"/>
      </w:pPr>
      <w:r>
        <w:rPr>
          <w:b/>
          <w:bCs/>
        </w:rPr>
        <w:t>Representative Readiness:</w:t>
      </w:r>
      <w:r>
        <w:t xml:space="preserve"> Theon is grounded in the ecology via Representative_Activation’s Seven Roots and Theon_Representative’s full Construction Notes, including the two added in this revision (Relational Safety Handoff, Adversarial Resistance). Voice constraints are clear and implementable. Assessment: Ready.</w:t>
      </w:r>
    </w:p>
    <w:p w14:paraId="322557F5" w14:textId="77777777" w:rsidR="00D12F1E" w:rsidRDefault="00000000">
      <w:pPr>
        <w:spacing w:after="160"/>
      </w:pPr>
      <w:r>
        <w:rPr>
          <w:b/>
          <w:bCs/>
        </w:rPr>
        <w:t>Conversational Readiness:</w:t>
      </w:r>
      <w:r>
        <w:t xml:space="preserve"> Assembly_The_Table specifies the full arc — welcome, handoff to Theon, sustained encounter, completion — in operational detail a runtime developer can implement directly. Assessment: Ready.</w:t>
      </w:r>
    </w:p>
    <w:p w14:paraId="5DAC15D0" w14:textId="77777777" w:rsidR="00D12F1E" w:rsidRDefault="00000000">
      <w:pPr>
        <w:spacing w:after="160"/>
      </w:pPr>
      <w:r>
        <w:rPr>
          <w:b/>
          <w:bCs/>
        </w:rPr>
        <w:t>Translation Readiness:</w:t>
      </w:r>
      <w:r>
        <w:t xml:space="preserve"> The Alexandria Full Glossary v1.1 (31 entries, now including five [CT]-tagged entries with Contested Tradition Notes) and Lexicon_Activation.md’s Seven Bends of the Modern Ear provide substantial translation apparatus. Assessment: Ready, with the note that the Glossary’s [RT] runtime-priority tagging has not been independently audited against actual encounter transcripts, since no encounters have yet been run.</w:t>
      </w:r>
    </w:p>
    <w:p w14:paraId="2DCDB52A" w14:textId="77777777" w:rsidR="00D12F1E" w:rsidRDefault="00000000">
      <w:pPr>
        <w:spacing w:after="160"/>
      </w:pPr>
      <w:r>
        <w:rPr>
          <w:b/>
          <w:bCs/>
        </w:rPr>
        <w:t>Containment Readiness:</w:t>
      </w:r>
      <w:r>
        <w:t xml:space="preserve"> Boundaries are specified as doors rather than walls throughout the Facilitator_Governance_Activation and embodied in Theon’s own inter-world gestures (“the brothers in the desert,” “our bishop’s care”). Assessment: Ready.</w:t>
      </w:r>
    </w:p>
    <w:p w14:paraId="47ABD59D" w14:textId="77777777" w:rsidR="00D12F1E" w:rsidRDefault="00000000">
      <w:pPr>
        <w:spacing w:after="160"/>
      </w:pPr>
      <w:r>
        <w:rPr>
          <w:b/>
          <w:bCs/>
        </w:rPr>
        <w:t>Relational Safety Readiness:</w:t>
      </w:r>
      <w:r>
        <w:t xml:space="preserve"> Per Constitution Article 20: the Facilitator_Governance_Activation specifies continuous, proactive monitoring for acute distress, and Theon_Representative’s Relational Safety Handoff construction note clarifies that such a handoff is correct governance, not a frame break. Reviewed against the Essential Experience document’s Relational Safety guidance during this revision cycle. Assessment: Ready.</w:t>
      </w:r>
    </w:p>
    <w:p w14:paraId="262EBB35" w14:textId="77777777" w:rsidR="00D12F1E" w:rsidRDefault="00000000">
      <w:pPr>
        <w:spacing w:after="160"/>
      </w:pPr>
      <w:r>
        <w:rPr>
          <w:b/>
          <w:bCs/>
        </w:rPr>
        <w:t>Living Tradition Differentiation:</w:t>
      </w:r>
      <w:r>
        <w:t xml:space="preserve"> Per Constitution Article 21: the distinction between historical reconstruction and the Coptic Orthodox Church’s (and other living heirs’) present-day self-understanding is maintained at three levels — Document 01’s Living Tradition Status, the world documents’ own honest treatment (Sections 10, 12, 13), and the Glossary’s five [CT]-tagged </w:t>
      </w:r>
      <w:r>
        <w:lastRenderedPageBreak/>
        <w:t>entries. This is implementable by the Representative at runtime: Theon’s temporal containment means he simply does not speak as or for the present-day Coptic Church, and his Origen-tension is structurally incapable of collapsing into either confident vindication or confident condemnation, per his Construction Notes. Assessment: Ready.</w:t>
      </w:r>
    </w:p>
    <w:p w14:paraId="69D0AB8E" w14:textId="77777777" w:rsidR="00D12F1E" w:rsidRDefault="00000000">
      <w:pPr>
        <w:spacing w:after="160"/>
      </w:pPr>
      <w:r>
        <w:rPr>
          <w:b/>
          <w:bCs/>
        </w:rPr>
        <w:t>Story Inventory Review:</w:t>
      </w:r>
      <w:r>
        <w:t xml:space="preserve"> Per Blueprint v1.5 Section 9a: the Alexandria Story Inventory v0.1 is complete with every story classified by tier and sourced explicitly (3 Tier 1, 1 Tier 2, 3 Tier 3, 2 Tier 4, No Tier 5 stated). Every story currently used in the world documents (Section 05’s vigil narration, Section 08’s Marcus passage) has been checked against this inventory and matches its Tier 4 classification. The Absent Stories section names five specific gaps rather than leaving them unaddressed. Assessment: Ready.</w:t>
      </w:r>
    </w:p>
    <w:p w14:paraId="0552557C" w14:textId="77777777" w:rsidR="00D12F1E" w:rsidRDefault="00000000">
      <w:pPr>
        <w:spacing w:after="160"/>
      </w:pPr>
      <w:r>
        <w:rPr>
          <w:b/>
          <w:bCs/>
        </w:rPr>
        <w:t>Secondary Scholarship Assessment Review:</w:t>
      </w:r>
      <w:r>
        <w:t xml:space="preserve"> Per Blueprint v1.5 Section 3: Document 02 v0.4’s Secondary Scholarship Assessment names twelve major scholarly works/frameworks and one live scholarly debate (Origen’s relationship to later “Origenism”) explicitly. Formation Narrative Sources and Material Culture &amp; Daily Life Sources have both been assessed, with absences (fragmentary Alexandria-specific archaeology, thin rural/Coptic narrative access) explicitly stated rather than left silent. Assessment: Ready.</w:t>
      </w:r>
    </w:p>
    <w:p w14:paraId="42A622EE" w14:textId="77777777" w:rsidR="00D12F1E" w:rsidRDefault="00000000">
      <w:pPr>
        <w:spacing w:after="160"/>
      </w:pPr>
      <w:r>
        <w:rPr>
          <w:b/>
          <w:bCs/>
        </w:rPr>
        <w:t>External Scholarly Review:</w:t>
      </w:r>
      <w:r>
        <w:t xml:space="preserve"> Per Constitution Article 22: NOT YET EXECUTED. No qualified human subject-matter reviewer with no role in this world’s construction has reviewed Alexandria’s Source Ecology, Gravity Discovery, or major historical claims. This world should not be considered validated or frozen until this occurs, regardless of the completeness of every other section above. This absence is stated plainly here per the Blueprint’s explicit requirement, and is tracked as the primary remaining gate before any deployment consideration.</w:t>
      </w:r>
    </w:p>
    <w:p w14:paraId="7A96D6BB" w14:textId="77777777" w:rsidR="00D12F1E" w:rsidRDefault="00D12F1E">
      <w:pPr>
        <w:spacing w:after="80"/>
      </w:pPr>
    </w:p>
    <w:p w14:paraId="07B8AEB6" w14:textId="77777777" w:rsidR="00D12F1E" w:rsidRDefault="00000000">
      <w:pPr>
        <w:pStyle w:val="Heading2"/>
      </w:pPr>
      <w:r>
        <w:t>Remaining Weaknesses</w:t>
      </w:r>
    </w:p>
    <w:p w14:paraId="53132973" w14:textId="77777777" w:rsidR="00D12F1E" w:rsidRDefault="00000000">
      <w:pPr>
        <w:spacing w:after="160"/>
      </w:pPr>
      <w:r>
        <w:rPr>
          <w:b/>
          <w:bCs/>
        </w:rPr>
        <w:t>Evidence Limitations:</w:t>
      </w:r>
      <w:r>
        <w:t xml:space="preserve"> Ordinary believer experience, women’s formation narrative, and rural/Coptic-speaking Christian formation all remain substantially under-evidenced (Document 02 Missing Voices Assessment; Story Inventory Absent Stories). Alexandria-specific archaeological evidence is fragmentary due to the city’s continuous habitation and rebuilding.</w:t>
      </w:r>
    </w:p>
    <w:p w14:paraId="2129F67F" w14:textId="77777777" w:rsidR="00D12F1E" w:rsidRDefault="00000000">
      <w:pPr>
        <w:spacing w:after="160"/>
      </w:pPr>
      <w:r>
        <w:rPr>
          <w:b/>
          <w:bCs/>
        </w:rPr>
        <w:t>Reconstruction Limitations:</w:t>
      </w:r>
      <w:r>
        <w:t xml:space="preserve"> Phase 4 Ecological Reconstruction and Phase 4.2 Integrated Ecology Analysis (Documents 04 and 05) have not yet been built. Several Ecological Integrity Summary tests above cannot be completed until that work exists.</w:t>
      </w:r>
    </w:p>
    <w:p w14:paraId="61E2382E" w14:textId="77777777" w:rsidR="00D12F1E" w:rsidRDefault="00000000">
      <w:pPr>
        <w:spacing w:after="160"/>
      </w:pPr>
      <w:r>
        <w:rPr>
          <w:b/>
          <w:bCs/>
        </w:rPr>
        <w:t>Unresolved Tensions:</w:t>
      </w:r>
      <w:r>
        <w:t xml:space="preserve"> The productive tensions named in Document 03 (Learning vs. Monastic formation; episcopal vs. monastic authority) remain genuinely unresolved by design — per the Construction Framework, this is a marker of authentic reconstruction rather than a defect to fix.</w:t>
      </w:r>
    </w:p>
    <w:p w14:paraId="3E9238F1" w14:textId="77777777" w:rsidR="00D12F1E" w:rsidRDefault="00000000">
      <w:pPr>
        <w:spacing w:after="160"/>
      </w:pPr>
      <w:r>
        <w:rPr>
          <w:b/>
          <w:bCs/>
        </w:rPr>
        <w:t>Significant Uncertainties:</w:t>
      </w:r>
      <w:r>
        <w:t xml:space="preserve"> The precise degree of institutional formality in the catechetical school’s early succession, mediated substantially through Eusebius (HIGH Author Gravity risk per Document 02). The relationship between Origen’s own theology and later “Origenism” remains a live, unresolved scholarly debate (Document 02 Secondary Scholarship Assessment) and is not adjudicated by this project.</w:t>
      </w:r>
    </w:p>
    <w:p w14:paraId="0A9F558A" w14:textId="77777777" w:rsidR="00D12F1E" w:rsidRDefault="00000000">
      <w:pPr>
        <w:spacing w:after="160"/>
      </w:pPr>
      <w:r>
        <w:rPr>
          <w:b/>
          <w:bCs/>
        </w:rPr>
        <w:t>Revision Triggers:</w:t>
      </w:r>
      <w:r>
        <w:t xml:space="preserve"> New papyrological or archaeological evidence specific to Alexandria; significant scholarly revision of the Origen/Origenism relationship; ecological incoherence discovered once Documents 04 and 05 are built; convergence drift detected once a second formation world exists for comparison; any finding from the eventual External Scholarly Review (Article 22).</w:t>
      </w:r>
    </w:p>
    <w:sectPr w:rsidR="00D12F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77701"/>
    <w:multiLevelType w:val="hybridMultilevel"/>
    <w:tmpl w:val="5A20DADC"/>
    <w:lvl w:ilvl="0" w:tplc="B17A2CD8">
      <w:start w:val="1"/>
      <w:numFmt w:val="bullet"/>
      <w:lvlText w:val="•"/>
      <w:lvlJc w:val="left"/>
      <w:pPr>
        <w:ind w:left="720" w:hanging="360"/>
      </w:pPr>
    </w:lvl>
    <w:lvl w:ilvl="1" w:tplc="CF72F468">
      <w:numFmt w:val="decimal"/>
      <w:lvlText w:val=""/>
      <w:lvlJc w:val="left"/>
    </w:lvl>
    <w:lvl w:ilvl="2" w:tplc="D1BA6D7E">
      <w:numFmt w:val="decimal"/>
      <w:lvlText w:val=""/>
      <w:lvlJc w:val="left"/>
    </w:lvl>
    <w:lvl w:ilvl="3" w:tplc="E81070DE">
      <w:numFmt w:val="decimal"/>
      <w:lvlText w:val=""/>
      <w:lvlJc w:val="left"/>
    </w:lvl>
    <w:lvl w:ilvl="4" w:tplc="5B8C81C6">
      <w:numFmt w:val="decimal"/>
      <w:lvlText w:val=""/>
      <w:lvlJc w:val="left"/>
    </w:lvl>
    <w:lvl w:ilvl="5" w:tplc="FD9849BC">
      <w:numFmt w:val="decimal"/>
      <w:lvlText w:val=""/>
      <w:lvlJc w:val="left"/>
    </w:lvl>
    <w:lvl w:ilvl="6" w:tplc="15E2FA6A">
      <w:numFmt w:val="decimal"/>
      <w:lvlText w:val=""/>
      <w:lvlJc w:val="left"/>
    </w:lvl>
    <w:lvl w:ilvl="7" w:tplc="7B1EA89E">
      <w:numFmt w:val="decimal"/>
      <w:lvlText w:val=""/>
      <w:lvlJc w:val="left"/>
    </w:lvl>
    <w:lvl w:ilvl="8" w:tplc="65062A46">
      <w:numFmt w:val="decimal"/>
      <w:lvlText w:val=""/>
      <w:lvlJc w:val="left"/>
    </w:lvl>
  </w:abstractNum>
  <w:abstractNum w:abstractNumId="1" w15:restartNumberingAfterBreak="0">
    <w:nsid w:val="7F9B2EC1"/>
    <w:multiLevelType w:val="hybridMultilevel"/>
    <w:tmpl w:val="B93A63E6"/>
    <w:lvl w:ilvl="0" w:tplc="03669F40">
      <w:start w:val="1"/>
      <w:numFmt w:val="bullet"/>
      <w:lvlText w:val="●"/>
      <w:lvlJc w:val="left"/>
      <w:pPr>
        <w:ind w:left="720" w:hanging="360"/>
      </w:pPr>
    </w:lvl>
    <w:lvl w:ilvl="1" w:tplc="D478BDA0">
      <w:start w:val="1"/>
      <w:numFmt w:val="bullet"/>
      <w:lvlText w:val="○"/>
      <w:lvlJc w:val="left"/>
      <w:pPr>
        <w:ind w:left="1440" w:hanging="360"/>
      </w:pPr>
    </w:lvl>
    <w:lvl w:ilvl="2" w:tplc="2B105244">
      <w:start w:val="1"/>
      <w:numFmt w:val="bullet"/>
      <w:lvlText w:val="■"/>
      <w:lvlJc w:val="left"/>
      <w:pPr>
        <w:ind w:left="2160" w:hanging="360"/>
      </w:pPr>
    </w:lvl>
    <w:lvl w:ilvl="3" w:tplc="59F8E04A">
      <w:start w:val="1"/>
      <w:numFmt w:val="bullet"/>
      <w:lvlText w:val="●"/>
      <w:lvlJc w:val="left"/>
      <w:pPr>
        <w:ind w:left="2880" w:hanging="360"/>
      </w:pPr>
    </w:lvl>
    <w:lvl w:ilvl="4" w:tplc="1666925A">
      <w:start w:val="1"/>
      <w:numFmt w:val="bullet"/>
      <w:lvlText w:val="○"/>
      <w:lvlJc w:val="left"/>
      <w:pPr>
        <w:ind w:left="3600" w:hanging="360"/>
      </w:pPr>
    </w:lvl>
    <w:lvl w:ilvl="5" w:tplc="0BEE02A8">
      <w:start w:val="1"/>
      <w:numFmt w:val="bullet"/>
      <w:lvlText w:val="■"/>
      <w:lvlJc w:val="left"/>
      <w:pPr>
        <w:ind w:left="4320" w:hanging="360"/>
      </w:pPr>
    </w:lvl>
    <w:lvl w:ilvl="6" w:tplc="242E448C">
      <w:start w:val="1"/>
      <w:numFmt w:val="bullet"/>
      <w:lvlText w:val="●"/>
      <w:lvlJc w:val="left"/>
      <w:pPr>
        <w:ind w:left="5040" w:hanging="360"/>
      </w:pPr>
    </w:lvl>
    <w:lvl w:ilvl="7" w:tplc="2A161B12">
      <w:start w:val="1"/>
      <w:numFmt w:val="bullet"/>
      <w:lvlText w:val="●"/>
      <w:lvlJc w:val="left"/>
      <w:pPr>
        <w:ind w:left="5760" w:hanging="360"/>
      </w:pPr>
    </w:lvl>
    <w:lvl w:ilvl="8" w:tplc="F03002BE">
      <w:start w:val="1"/>
      <w:numFmt w:val="bullet"/>
      <w:lvlText w:val="●"/>
      <w:lvlJc w:val="left"/>
      <w:pPr>
        <w:ind w:left="6480" w:hanging="360"/>
      </w:pPr>
    </w:lvl>
  </w:abstractNum>
  <w:num w:numId="1" w16cid:durableId="658834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2F1E"/>
    <w:rsid w:val="00164860"/>
    <w:rsid w:val="00B83969"/>
    <w:rsid w:val="00D12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A579A"/>
  <w15:docId w15:val="{E6B20DC4-1C56-45B3-98FD-3439ABCB6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000000"/>
      <w:sz w:val="30"/>
      <w:szCs w:val="30"/>
    </w:rPr>
  </w:style>
  <w:style w:type="paragraph" w:styleId="Heading2">
    <w:name w:val="heading 2"/>
    <w:uiPriority w:val="9"/>
    <w:unhideWhenUsed/>
    <w:qFormat/>
    <w:pPr>
      <w:spacing w:before="200" w:after="14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1890</Words>
  <Characters>10773</Characters>
  <Application>Microsoft Office Word</Application>
  <DocSecurity>0</DocSecurity>
  <Lines>89</Lines>
  <Paragraphs>25</Paragraphs>
  <ScaleCrop>false</ScaleCrop>
  <Company/>
  <LinksUpToDate>false</LinksUpToDate>
  <CharactersWithSpaces>12638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2026-06-19T03:27:00Z</dcterms:created>
  <dcterms:modified xsi:type="dcterms:W3CDTF">2026-06-19T03:27:00Z</dcterms:modified>
</cp:coreProperties>
</file>