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7EE5E" w14:textId="77777777" w:rsidR="00790E47" w:rsidRPr="00790E47" w:rsidRDefault="00790E47" w:rsidP="00790E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0E47">
        <w:rPr>
          <w:rFonts w:ascii="Times New Roman" w:eastAsia="Times New Roman" w:hAnsi="Times New Roman" w:cs="Times New Roman"/>
          <w:b/>
          <w:bCs/>
          <w:kern w:val="0"/>
          <w:sz w:val="36"/>
          <w:szCs w:val="36"/>
          <w14:ligatures w14:val="none"/>
        </w:rPr>
        <w:t>Document 01: World Identification &amp; Boundaries — Desert Christianity</w:t>
      </w:r>
    </w:p>
    <w:p w14:paraId="67305487" w14:textId="77777777" w:rsidR="00790E47" w:rsidRPr="00790E47" w:rsidRDefault="00790E47" w:rsidP="00790E47">
      <w:pPr>
        <w:spacing w:before="100" w:beforeAutospacing="1" w:after="100" w:afterAutospacing="1"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i/>
          <w:iCs/>
          <w:kern w:val="0"/>
          <w14:ligatures w14:val="none"/>
        </w:rPr>
        <w:t>Final version, Phase 1, with corpus-level corrections applied.</w:t>
      </w:r>
    </w:p>
    <w:p w14:paraId="4427AAB7" w14:textId="77777777" w:rsidR="00790E47" w:rsidRPr="00790E47" w:rsidRDefault="00790E47" w:rsidP="00790E47">
      <w:pPr>
        <w:spacing w:after="0"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kern w:val="0"/>
          <w14:ligatures w14:val="none"/>
        </w:rPr>
        <w:pict w14:anchorId="5EAC1284">
          <v:rect id="_x0000_i1025" style="width:0;height:1.5pt" o:hralign="center" o:hrstd="t" o:hr="t" fillcolor="#a0a0a0" stroked="f"/>
        </w:pict>
      </w:r>
    </w:p>
    <w:p w14:paraId="40CD08FE" w14:textId="77777777" w:rsidR="00790E47" w:rsidRPr="00790E47" w:rsidRDefault="00790E47" w:rsidP="00790E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0E47">
        <w:rPr>
          <w:rFonts w:ascii="Times New Roman" w:eastAsia="Times New Roman" w:hAnsi="Times New Roman" w:cs="Times New Roman"/>
          <w:b/>
          <w:bCs/>
          <w:kern w:val="0"/>
          <w:sz w:val="27"/>
          <w:szCs w:val="27"/>
          <w14:ligatures w14:val="none"/>
        </w:rPr>
        <w:t>Candidate Name</w:t>
      </w:r>
    </w:p>
    <w:p w14:paraId="14DEE24D" w14:textId="77777777" w:rsidR="00790E47" w:rsidRPr="00790E47" w:rsidRDefault="00790E47" w:rsidP="00790E47">
      <w:pPr>
        <w:spacing w:before="100" w:beforeAutospacing="1" w:after="100" w:afterAutospacing="1"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b/>
          <w:bCs/>
          <w:kern w:val="0"/>
          <w14:ligatures w14:val="none"/>
        </w:rPr>
        <w:t>Desert Christianity</w:t>
      </w:r>
      <w:r w:rsidRPr="00790E47">
        <w:rPr>
          <w:rFonts w:ascii="Times New Roman" w:eastAsia="Times New Roman" w:hAnsi="Times New Roman" w:cs="Times New Roman"/>
          <w:kern w:val="0"/>
          <w14:ligatures w14:val="none"/>
        </w:rPr>
        <w:t xml:space="preserve"> (working name), held loosely pending Gravity Discovery, for the reasons established across prior drafts: the name privileges no single strand's institutional form and should not be read as endorsing the anchoritic strand's popular primacy.</w:t>
      </w:r>
    </w:p>
    <w:p w14:paraId="459C5846" w14:textId="77777777" w:rsidR="00790E47" w:rsidRPr="00790E47" w:rsidRDefault="00790E47" w:rsidP="00790E47">
      <w:pPr>
        <w:spacing w:after="0"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kern w:val="0"/>
          <w14:ligatures w14:val="none"/>
        </w:rPr>
        <w:pict w14:anchorId="0A4F2A86">
          <v:rect id="_x0000_i1026" style="width:0;height:1.5pt" o:hralign="center" o:hrstd="t" o:hr="t" fillcolor="#a0a0a0" stroked="f"/>
        </w:pict>
      </w:r>
    </w:p>
    <w:p w14:paraId="19F34707" w14:textId="77777777" w:rsidR="00790E47" w:rsidRPr="00790E47" w:rsidRDefault="00790E47" w:rsidP="00790E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0E47">
        <w:rPr>
          <w:rFonts w:ascii="Times New Roman" w:eastAsia="Times New Roman" w:hAnsi="Times New Roman" w:cs="Times New Roman"/>
          <w:b/>
          <w:bCs/>
          <w:kern w:val="0"/>
          <w:sz w:val="27"/>
          <w:szCs w:val="27"/>
          <w14:ligatures w14:val="none"/>
        </w:rPr>
        <w:t>Temporal Scope</w:t>
      </w:r>
    </w:p>
    <w:p w14:paraId="24F8A9F7" w14:textId="77777777" w:rsidR="00790E47" w:rsidRPr="00790E47" w:rsidRDefault="00790E47" w:rsidP="00790E47">
      <w:pPr>
        <w:spacing w:before="100" w:beforeAutospacing="1" w:after="100" w:afterAutospacing="1"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b/>
          <w:bCs/>
          <w:kern w:val="0"/>
          <w14:ligatures w14:val="none"/>
        </w:rPr>
        <w:t>Range: c. 270 CE (under examination) – 451 CE (rationale revised, see below).</w:t>
      </w:r>
    </w:p>
    <w:p w14:paraId="729D3B13" w14:textId="77777777" w:rsidR="00790E47" w:rsidRPr="00790E47" w:rsidRDefault="00790E47" w:rsidP="00790E4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90E47">
        <w:rPr>
          <w:rFonts w:ascii="Times New Roman" w:eastAsia="Times New Roman" w:hAnsi="Times New Roman" w:cs="Times New Roman"/>
          <w:b/>
          <w:bCs/>
          <w:kern w:val="0"/>
          <w14:ligatures w14:val="none"/>
        </w:rPr>
        <w:t>Beginning point, reframed as literary-rhetorical claim under examination</w:t>
      </w:r>
    </w:p>
    <w:p w14:paraId="14F039A5" w14:textId="77777777" w:rsidR="00790E47" w:rsidRPr="00790E47" w:rsidRDefault="00790E47" w:rsidP="00790E47">
      <w:pPr>
        <w:spacing w:before="100" w:beforeAutospacing="1" w:after="100" w:afterAutospacing="1"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kern w:val="0"/>
          <w14:ligatures w14:val="none"/>
        </w:rPr>
        <w:t xml:space="preserve">270 CE is the </w:t>
      </w:r>
      <w:r w:rsidRPr="00790E47">
        <w:rPr>
          <w:rFonts w:ascii="Times New Roman" w:eastAsia="Times New Roman" w:hAnsi="Times New Roman" w:cs="Times New Roman"/>
          <w:i/>
          <w:iCs/>
          <w:kern w:val="0"/>
          <w14:ligatures w14:val="none"/>
        </w:rPr>
        <w:t>Life of Antony</w:t>
      </w:r>
      <w:r w:rsidRPr="00790E47">
        <w:rPr>
          <w:rFonts w:ascii="Times New Roman" w:eastAsia="Times New Roman" w:hAnsi="Times New Roman" w:cs="Times New Roman"/>
          <w:kern w:val="0"/>
          <w14:ligatures w14:val="none"/>
        </w:rPr>
        <w:t>'s own narrative claim, made by Athanasius decades after the fact for explicit anti-Arian, pro-Nicene polemical purposes. This document does not treat it as an evidential anchor. The actual onset of organized, recurring desert withdrawal as an attested pattern remains a question for Document 02's source-critical work.</w:t>
      </w:r>
    </w:p>
    <w:p w14:paraId="5EE03E97" w14:textId="77777777" w:rsidR="00790E47" w:rsidRPr="00790E47" w:rsidRDefault="00790E47" w:rsidP="00790E4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90E47">
        <w:rPr>
          <w:rFonts w:ascii="Times New Roman" w:eastAsia="Times New Roman" w:hAnsi="Times New Roman" w:cs="Times New Roman"/>
          <w:b/>
          <w:bCs/>
          <w:kern w:val="0"/>
          <w14:ligatures w14:val="none"/>
        </w:rPr>
        <w:t>Ending point: 451 CE, narrower rationale</w:t>
      </w:r>
    </w:p>
    <w:p w14:paraId="5BCE03EA" w14:textId="77777777" w:rsidR="00790E47" w:rsidRPr="00790E47" w:rsidRDefault="00790E47" w:rsidP="00790E47">
      <w:pPr>
        <w:spacing w:before="100" w:beforeAutospacing="1" w:after="100" w:afterAutospacing="1"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kern w:val="0"/>
          <w14:ligatures w14:val="none"/>
        </w:rPr>
        <w:t>451 is retained primarily on the strength of dateable, external institutional and political facts — Chalcedon's canon-law subordination of monasteries to episcopal authority, and the Miaphysite/Chalcedonian schism's reorganization of the political-ecclesial environment — rather than as the culmination of a demonstrable internal developmental arc, which the evidence does not support. Specific sites (Nitria, Scetis) show documented institutional tightening in the early-to-mid 5th century, but the driver is repeated, dateable violent disruption, not a generalized maturation process.</w:t>
      </w:r>
    </w:p>
    <w:p w14:paraId="097918C7" w14:textId="77777777" w:rsidR="00790E47" w:rsidRPr="00790E47" w:rsidRDefault="00790E47" w:rsidP="00790E47">
      <w:pPr>
        <w:spacing w:before="100" w:beforeAutospacing="1" w:after="100" w:afterAutospacing="1"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b/>
          <w:bCs/>
          <w:kern w:val="0"/>
          <w14:ligatures w14:val="none"/>
        </w:rPr>
        <w:t>Scetis was raided in 407/408, 434, and 444.</w:t>
      </w:r>
      <w:r w:rsidRPr="00790E47">
        <w:rPr>
          <w:rFonts w:ascii="Times New Roman" w:eastAsia="Times New Roman" w:hAnsi="Times New Roman" w:cs="Times New Roman"/>
          <w:kern w:val="0"/>
          <w14:ligatures w14:val="none"/>
        </w:rPr>
        <w:t xml:space="preserve"> The 444 attack is commemorated in tradition as the martyrdom of the Forty-Nine Martyrs of Scetis, though the martyr narrative is hagiographically developed and the exact numerical framing belongs to the commemorative tradition rather than to a secure modern casualty count — properly classified as </w:t>
      </w:r>
      <w:r w:rsidRPr="00790E47">
        <w:rPr>
          <w:rFonts w:ascii="Times New Roman" w:eastAsia="Times New Roman" w:hAnsi="Times New Roman" w:cs="Times New Roman"/>
          <w:b/>
          <w:bCs/>
          <w:kern w:val="0"/>
          <w14:ligatures w14:val="none"/>
        </w:rPr>
        <w:t>Tier 3 hagiographic narrative</w:t>
      </w:r>
      <w:r w:rsidRPr="00790E47">
        <w:rPr>
          <w:rFonts w:ascii="Times New Roman" w:eastAsia="Times New Roman" w:hAnsi="Times New Roman" w:cs="Times New Roman"/>
          <w:kern w:val="0"/>
          <w14:ligatures w14:val="none"/>
        </w:rPr>
        <w:t>, not flatly stated historical fact.</w:t>
      </w:r>
    </w:p>
    <w:p w14:paraId="05B84BEF" w14:textId="77777777" w:rsidR="00790E47" w:rsidRPr="00790E47" w:rsidRDefault="00790E47" w:rsidP="00790E47">
      <w:pPr>
        <w:spacing w:before="100" w:beforeAutospacing="1" w:after="100" w:afterAutospacing="1"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kern w:val="0"/>
          <w14:ligatures w14:val="none"/>
        </w:rPr>
        <w:t xml:space="preserve">One of the documented disruptions in this window also deserves a tier-correction this document did not previously apply. </w:t>
      </w:r>
      <w:r w:rsidRPr="00790E47">
        <w:rPr>
          <w:rFonts w:ascii="Times New Roman" w:eastAsia="Times New Roman" w:hAnsi="Times New Roman" w:cs="Times New Roman"/>
          <w:b/>
          <w:bCs/>
          <w:kern w:val="0"/>
          <w14:ligatures w14:val="none"/>
        </w:rPr>
        <w:t xml:space="preserve">The tradition's own retrospective account of the 407/408 Scetis devastation and its connection to Rome's 410 sack — the saying attributed to Abba </w:t>
      </w:r>
      <w:r w:rsidRPr="00790E47">
        <w:rPr>
          <w:rFonts w:ascii="Times New Roman" w:eastAsia="Times New Roman" w:hAnsi="Times New Roman" w:cs="Times New Roman"/>
          <w:b/>
          <w:bCs/>
          <w:kern w:val="0"/>
          <w14:ligatures w14:val="none"/>
        </w:rPr>
        <w:lastRenderedPageBreak/>
        <w:t>Arsenius linking the two losses — is properly classified as Tier 2 collected-traditional material, per the Story Inventory framework, not flatly narrated historical fact.</w:t>
      </w:r>
      <w:r w:rsidRPr="00790E47">
        <w:rPr>
          <w:rFonts w:ascii="Times New Roman" w:eastAsia="Times New Roman" w:hAnsi="Times New Roman" w:cs="Times New Roman"/>
          <w:kern w:val="0"/>
          <w14:ligatures w14:val="none"/>
        </w:rPr>
        <w:t xml:space="preserve"> It carries the sayings tradition's own characteristic uncertainty about exact attribution and wording, the same uncertainty this corpus's later documents (Document 04, Document 05) correctly apply to it. The correction does not weaken the finding the lament partly supports — that the anchoritic strand's documented sense of crisis is real and traceable to specific, dated violence — since Tier 2 material is still genuine evidence of a community's actual memory and self-understanding. It is simply not equivalent to a transcribed eyewitness statement, and should not have been cited as if it were.</w:t>
      </w:r>
    </w:p>
    <w:p w14:paraId="0A45C7CD" w14:textId="77777777" w:rsidR="00790E47" w:rsidRPr="00790E47" w:rsidRDefault="00790E47" w:rsidP="00790E4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90E47">
        <w:rPr>
          <w:rFonts w:ascii="Times New Roman" w:eastAsia="Times New Roman" w:hAnsi="Times New Roman" w:cs="Times New Roman"/>
          <w:b/>
          <w:bCs/>
          <w:kern w:val="0"/>
          <w14:ligatures w14:val="none"/>
        </w:rPr>
        <w:t>What the evidence does support: uneven, contingent institutional pressure, not a developmental arc</w:t>
      </w:r>
    </w:p>
    <w:p w14:paraId="320EAAE3" w14:textId="77777777" w:rsidR="00790E47" w:rsidRPr="00790E47" w:rsidRDefault="00790E47" w:rsidP="00790E47">
      <w:pPr>
        <w:spacing w:before="100" w:beforeAutospacing="1" w:after="100" w:afterAutospacing="1"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kern w:val="0"/>
          <w14:ligatures w14:val="none"/>
        </w:rPr>
        <w:t>Nitria shows documented movement toward "semicenobitic" training-house structures across roughly this same window. This is repeated external shock forcing consolidation for protection and continuity, not a story the desert tradition was internally telling about its own maturation. The Apophthegmata's own retrospective "the elders used to say..." framing is itself a document of loss and decline in response to exactly this kind of disruption — directly connected, per the Tier 2 Arsenius material above, to the Scetis raids specifically — rather than evidence of a tradition watching itself mature into something better-organized. This document holds both that real institutional change occurred at specific sites, under specific pressures, and that the tradition's own evaluative voice (nostalgic, elegiac, oriented toward loss) should not be read either as objectively correct about decline or as simply mistaken nostalgia obscuring "real" progress.</w:t>
      </w:r>
    </w:p>
    <w:p w14:paraId="77BE8EC4" w14:textId="77777777" w:rsidR="00790E47" w:rsidRPr="00790E47" w:rsidRDefault="00790E47" w:rsidP="00790E4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90E47">
        <w:rPr>
          <w:rFonts w:ascii="Times New Roman" w:eastAsia="Times New Roman" w:hAnsi="Times New Roman" w:cs="Times New Roman"/>
          <w:b/>
          <w:bCs/>
          <w:kern w:val="0"/>
          <w14:ligatures w14:val="none"/>
        </w:rPr>
        <w:t>Pachomian and Shenoutean cenobitic forms sit outside this picture entirely, which matters for the One World question</w:t>
      </w:r>
    </w:p>
    <w:p w14:paraId="64780045" w14:textId="77777777" w:rsidR="00790E47" w:rsidRPr="00790E47" w:rsidRDefault="00790E47" w:rsidP="00790E47">
      <w:pPr>
        <w:spacing w:before="100" w:beforeAutospacing="1" w:after="100" w:afterAutospacing="1"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kern w:val="0"/>
          <w14:ligatures w14:val="none"/>
        </w:rPr>
        <w:t>The Pachomian federation was founded cenobitic from the start (c. 320s), not as a later institutional development out of an earlier anchoritic phase, and Shenoute's White Monastery federation, founded by Pcol c. 350 and continuously led by Shenoute from 385, was built on an explicitly Pachomian cenobitic model from its own founding. This means the "anchoritic-to-cenobitic" framing, even where defensible for Nitria/Scetis specifically, cannot describe Desert Christianity as a whole, since major and evidentially significant cenobitic forms were present from near the world's proposed beginning.</w:t>
      </w:r>
    </w:p>
    <w:p w14:paraId="6AAF35B3" w14:textId="77777777" w:rsidR="00790E47" w:rsidRPr="00790E47" w:rsidRDefault="00790E47" w:rsidP="00790E4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90E47">
        <w:rPr>
          <w:rFonts w:ascii="Times New Roman" w:eastAsia="Times New Roman" w:hAnsi="Times New Roman" w:cs="Times New Roman"/>
          <w:b/>
          <w:bCs/>
          <w:kern w:val="0"/>
          <w14:ligatures w14:val="none"/>
        </w:rPr>
        <w:t>The Apophthegmata's post-451 compilation dating — open structural problem</w:t>
      </w:r>
    </w:p>
    <w:p w14:paraId="5EABFDAD" w14:textId="77777777" w:rsidR="00790E47" w:rsidRPr="00790E47" w:rsidRDefault="00790E47" w:rsidP="00790E47">
      <w:pPr>
        <w:spacing w:before="100" w:beforeAutospacing="1" w:after="100" w:afterAutospacing="1"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kern w:val="0"/>
          <w14:ligatures w14:val="none"/>
        </w:rPr>
        <w:t>The Alphabetical and Anonymous collections compile toward 500 CE, with later strata into the 7th century, against this document's 451 proposed endpoint. Flagged for Document 02, not resolved here.</w:t>
      </w:r>
    </w:p>
    <w:p w14:paraId="072FB409" w14:textId="77777777" w:rsidR="00790E47" w:rsidRPr="00790E47" w:rsidRDefault="00790E47" w:rsidP="00790E4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90E47">
        <w:rPr>
          <w:rFonts w:ascii="Times New Roman" w:eastAsia="Times New Roman" w:hAnsi="Times New Roman" w:cs="Times New Roman"/>
          <w:b/>
          <w:bCs/>
          <w:kern w:val="0"/>
          <w14:ligatures w14:val="none"/>
        </w:rPr>
        <w:t>Shenoute's career span — corrected per Emmel and Layton</w:t>
      </w:r>
    </w:p>
    <w:p w14:paraId="4C1A7D1C" w14:textId="77777777" w:rsidR="00790E47" w:rsidRPr="00790E47" w:rsidRDefault="00790E47" w:rsidP="00790E47">
      <w:pPr>
        <w:spacing w:before="100" w:beforeAutospacing="1" w:after="100" w:afterAutospacing="1"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kern w:val="0"/>
          <w14:ligatures w14:val="none"/>
        </w:rPr>
        <w:t xml:space="preserve">Shenoute's death is most reliably dated, per Emmel's codicological reconstruction and Layton's documentary edition, to </w:t>
      </w:r>
      <w:r w:rsidRPr="00790E47">
        <w:rPr>
          <w:rFonts w:ascii="Times New Roman" w:eastAsia="Times New Roman" w:hAnsi="Times New Roman" w:cs="Times New Roman"/>
          <w:b/>
          <w:bCs/>
          <w:kern w:val="0"/>
          <w14:ligatures w14:val="none"/>
        </w:rPr>
        <w:t>465/466 CE</w:t>
      </w:r>
      <w:r w:rsidRPr="00790E47">
        <w:rPr>
          <w:rFonts w:ascii="Times New Roman" w:eastAsia="Times New Roman" w:hAnsi="Times New Roman" w:cs="Times New Roman"/>
          <w:kern w:val="0"/>
          <w14:ligatures w14:val="none"/>
        </w:rPr>
        <w:t xml:space="preserve">, with continuous leadership from 385. This dating reflects </w:t>
      </w:r>
      <w:r w:rsidRPr="00790E47">
        <w:rPr>
          <w:rFonts w:ascii="Times New Roman" w:eastAsia="Times New Roman" w:hAnsi="Times New Roman" w:cs="Times New Roman"/>
          <w:kern w:val="0"/>
          <w14:ligatures w14:val="none"/>
        </w:rPr>
        <w:lastRenderedPageBreak/>
        <w:t>the dominant modern reconstruction among the field's leading specialist authorities, not a contested minority view. His full productive career runs roughly fifteen years past this document's proposed 451 endpoint, on top of already spanning the entire proposed window from a cenobitic starting point. Document 02 must specify, source by source, which portion of Shenoute's corpus can be confidently dated pre-451 versus which cannot.</w:t>
      </w:r>
    </w:p>
    <w:p w14:paraId="2F3E6BB9" w14:textId="77777777" w:rsidR="00790E47" w:rsidRPr="00790E47" w:rsidRDefault="00790E47" w:rsidP="00790E47">
      <w:pPr>
        <w:spacing w:after="0"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kern w:val="0"/>
          <w14:ligatures w14:val="none"/>
        </w:rPr>
        <w:pict w14:anchorId="1A1EFE9E">
          <v:rect id="_x0000_i1027" style="width:0;height:1.5pt" o:hralign="center" o:hrstd="t" o:hr="t" fillcolor="#a0a0a0" stroked="f"/>
        </w:pict>
      </w:r>
    </w:p>
    <w:p w14:paraId="08B755CD" w14:textId="77777777" w:rsidR="00790E47" w:rsidRPr="00790E47" w:rsidRDefault="00790E47" w:rsidP="00790E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0E47">
        <w:rPr>
          <w:rFonts w:ascii="Times New Roman" w:eastAsia="Times New Roman" w:hAnsi="Times New Roman" w:cs="Times New Roman"/>
          <w:b/>
          <w:bCs/>
          <w:kern w:val="0"/>
          <w:sz w:val="27"/>
          <w:szCs w:val="27"/>
          <w14:ligatures w14:val="none"/>
        </w:rPr>
        <w:t>Geographic Scope</w:t>
      </w:r>
    </w:p>
    <w:p w14:paraId="7C6358C9" w14:textId="77777777" w:rsidR="00790E47" w:rsidRPr="00790E47" w:rsidRDefault="00790E47" w:rsidP="00790E47">
      <w:pPr>
        <w:spacing w:before="100" w:beforeAutospacing="1" w:after="100" w:afterAutospacing="1"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kern w:val="0"/>
          <w14:ligatures w14:val="none"/>
        </w:rPr>
        <w:t>Egypt primary, including the Thebaid and the White Monastery federation near Sohag; Palestine retained in primary/secondary scope; Syria provisionally excluded, with the burden on later evidence to justify inclusion rather than exclusion.</w:t>
      </w:r>
    </w:p>
    <w:p w14:paraId="0A520385" w14:textId="77777777" w:rsidR="00790E47" w:rsidRPr="00790E47" w:rsidRDefault="00790E47" w:rsidP="00790E47">
      <w:pPr>
        <w:spacing w:after="0"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kern w:val="0"/>
          <w14:ligatures w14:val="none"/>
        </w:rPr>
        <w:pict w14:anchorId="321AC61F">
          <v:rect id="_x0000_i1028" style="width:0;height:1.5pt" o:hralign="center" o:hrstd="t" o:hr="t" fillcolor="#a0a0a0" stroked="f"/>
        </w:pict>
      </w:r>
    </w:p>
    <w:p w14:paraId="075DB965" w14:textId="77777777" w:rsidR="00790E47" w:rsidRPr="00790E47" w:rsidRDefault="00790E47" w:rsidP="00790E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0E47">
        <w:rPr>
          <w:rFonts w:ascii="Times New Roman" w:eastAsia="Times New Roman" w:hAnsi="Times New Roman" w:cs="Times New Roman"/>
          <w:b/>
          <w:bCs/>
          <w:kern w:val="0"/>
          <w:sz w:val="27"/>
          <w:szCs w:val="27"/>
          <w14:ligatures w14:val="none"/>
        </w:rPr>
        <w:t>Cultural Scope</w:t>
      </w:r>
    </w:p>
    <w:p w14:paraId="319E1462" w14:textId="77777777" w:rsidR="00790E47" w:rsidRPr="00790E47" w:rsidRDefault="00790E47" w:rsidP="00790E47">
      <w:pPr>
        <w:spacing w:before="100" w:beforeAutospacing="1" w:after="100" w:afterAutospacing="1"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kern w:val="0"/>
          <w14:ligatures w14:val="none"/>
        </w:rPr>
        <w:t>Literacy and institutional sophistication among Coptic-speaking monastic populations is a confirmed live variable, not a one-directional assumption — Shenoute's own corpus shows that Coptic-original monastic writing could be theologically and administratively sophisticated at scale, exceeding the more Greek-documented Pachomian tradition in surviving volume.</w:t>
      </w:r>
    </w:p>
    <w:p w14:paraId="1880D263" w14:textId="77777777" w:rsidR="00790E47" w:rsidRPr="00790E47" w:rsidRDefault="00790E47" w:rsidP="00790E47">
      <w:pPr>
        <w:spacing w:after="0"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kern w:val="0"/>
          <w14:ligatures w14:val="none"/>
        </w:rPr>
        <w:pict w14:anchorId="482F5B1E">
          <v:rect id="_x0000_i1029" style="width:0;height:1.5pt" o:hralign="center" o:hrstd="t" o:hr="t" fillcolor="#a0a0a0" stroked="f"/>
        </w:pict>
      </w:r>
    </w:p>
    <w:p w14:paraId="2113F130" w14:textId="77777777" w:rsidR="00790E47" w:rsidRPr="00790E47" w:rsidRDefault="00790E47" w:rsidP="00790E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0E47">
        <w:rPr>
          <w:rFonts w:ascii="Times New Roman" w:eastAsia="Times New Roman" w:hAnsi="Times New Roman" w:cs="Times New Roman"/>
          <w:b/>
          <w:bCs/>
          <w:kern w:val="0"/>
          <w:sz w:val="27"/>
          <w:szCs w:val="27"/>
          <w14:ligatures w14:val="none"/>
        </w:rPr>
        <w:t>Distinct World Test</w:t>
      </w:r>
    </w:p>
    <w:p w14:paraId="15189462" w14:textId="77777777" w:rsidR="00790E47" w:rsidRPr="00790E47" w:rsidRDefault="00790E47" w:rsidP="00790E47">
      <w:pPr>
        <w:spacing w:before="100" w:beforeAutospacing="1" w:after="100" w:afterAutospacing="1"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kern w:val="0"/>
          <w14:ligatures w14:val="none"/>
        </w:rPr>
        <w:t>Named sources: Chitty's classic three-founder framing; Goehring's correction against treating "anchoritic first, cenobitic second, one developing from the other" as historically accurate; Harmless and Burton-Christie for formation-logic and interpretation claims respectively.</w:t>
      </w:r>
    </w:p>
    <w:p w14:paraId="6B013430" w14:textId="77777777" w:rsidR="00790E47" w:rsidRPr="00790E47" w:rsidRDefault="00790E47" w:rsidP="00790E47">
      <w:pPr>
        <w:spacing w:before="100" w:beforeAutospacing="1" w:after="100" w:afterAutospacing="1"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b/>
          <w:bCs/>
          <w:kern w:val="0"/>
          <w14:ligatures w14:val="none"/>
        </w:rPr>
        <w:t>This document adopts Goehring's correction over the cleaner trajectory narrative as the better-supported current reading</w:t>
      </w:r>
      <w:r w:rsidRPr="00790E47">
        <w:rPr>
          <w:rFonts w:ascii="Times New Roman" w:eastAsia="Times New Roman" w:hAnsi="Times New Roman" w:cs="Times New Roman"/>
          <w:kern w:val="0"/>
          <w14:ligatures w14:val="none"/>
        </w:rPr>
        <w:t xml:space="preserve">, and that adoption should be read as governing this document's spatial claims as much as its temporal ones. Goehring's documentary and papyrological work indicates that even the anchoritic strand's withdrawal ideal at its most paradigmatic site — Scetis — was substantially a literary and spiritual construction layered onto a lived reality that remained meaningfully porous: regular communal gatherings, an internal economy of provision, traffic with visiting pilgrims and scholars, and proximity to Alexandria for trade and news. </w:t>
      </w:r>
      <w:r w:rsidRPr="00790E47">
        <w:rPr>
          <w:rFonts w:ascii="Times New Roman" w:eastAsia="Times New Roman" w:hAnsi="Times New Roman" w:cs="Times New Roman"/>
          <w:b/>
          <w:bCs/>
          <w:kern w:val="0"/>
          <w14:ligatures w14:val="none"/>
        </w:rPr>
        <w:t>This world's spatial and institutional reconstruction work in subsequent documents should be at least as Goehring-consistent as this foundational position — not a softer or more literal version of "isolated wilderness versus integrated settlement" than this document itself adopts.</w:t>
      </w:r>
    </w:p>
    <w:p w14:paraId="283C054F" w14:textId="77777777" w:rsidR="00790E47" w:rsidRPr="00790E47" w:rsidRDefault="00790E47" w:rsidP="00790E47">
      <w:pPr>
        <w:spacing w:before="100" w:beforeAutospacing="1" w:after="100" w:afterAutospacing="1"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kern w:val="0"/>
          <w14:ligatures w14:val="none"/>
        </w:rPr>
        <w:t xml:space="preserve">What recurring formation ecology exists: withdrawal into desert space as constitutive act; the abba/amma–disciple relationship as the primary formation mechanism; spiritual combat against "the passions" as the measure of progress; the apophthegma as the characteristic literary and </w:t>
      </w:r>
      <w:r w:rsidRPr="00790E47">
        <w:rPr>
          <w:rFonts w:ascii="Times New Roman" w:eastAsia="Times New Roman" w:hAnsi="Times New Roman" w:cs="Times New Roman"/>
          <w:kern w:val="0"/>
          <w14:ligatures w14:val="none"/>
        </w:rPr>
        <w:lastRenderedPageBreak/>
        <w:t>pedagogical form — describing a recurring set of formation commitments held in common across genuinely different and co-existing institutional forms, not a single ecology moving in one direction over time.</w:t>
      </w:r>
    </w:p>
    <w:p w14:paraId="21A46285" w14:textId="77777777" w:rsidR="00790E47" w:rsidRPr="00790E47" w:rsidRDefault="00790E47" w:rsidP="00790E47">
      <w:pPr>
        <w:spacing w:after="0"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kern w:val="0"/>
          <w14:ligatures w14:val="none"/>
        </w:rPr>
        <w:pict w14:anchorId="5BC76F27">
          <v:rect id="_x0000_i1030" style="width:0;height:1.5pt" o:hralign="center" o:hrstd="t" o:hr="t" fillcolor="#a0a0a0" stroked="f"/>
        </w:pict>
      </w:r>
    </w:p>
    <w:p w14:paraId="3A645259" w14:textId="77777777" w:rsidR="00790E47" w:rsidRPr="00790E47" w:rsidRDefault="00790E47" w:rsidP="00790E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0E47">
        <w:rPr>
          <w:rFonts w:ascii="Times New Roman" w:eastAsia="Times New Roman" w:hAnsi="Times New Roman" w:cs="Times New Roman"/>
          <w:b/>
          <w:bCs/>
          <w:kern w:val="0"/>
          <w:sz w:val="27"/>
          <w:szCs w:val="27"/>
          <w14:ligatures w14:val="none"/>
        </w:rPr>
        <w:t>World Separation Criteria</w:t>
      </w:r>
    </w:p>
    <w:p w14:paraId="35B7E57E" w14:textId="77777777" w:rsidR="00790E47" w:rsidRPr="00790E47" w:rsidRDefault="00790E47" w:rsidP="00790E4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90E47">
        <w:rPr>
          <w:rFonts w:ascii="Times New Roman" w:eastAsia="Times New Roman" w:hAnsi="Times New Roman" w:cs="Times New Roman"/>
          <w:b/>
          <w:bCs/>
          <w:kern w:val="0"/>
          <w14:ligatures w14:val="none"/>
        </w:rPr>
        <w:t>The strand-divergence finding</w:t>
      </w:r>
    </w:p>
    <w:p w14:paraId="6AEBDF59" w14:textId="77777777" w:rsidR="00790E47" w:rsidRPr="00790E47" w:rsidRDefault="00790E47" w:rsidP="00790E47">
      <w:pPr>
        <w:spacing w:before="100" w:beforeAutospacing="1" w:after="100" w:afterAutospacing="1"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kern w:val="0"/>
          <w14:ligatures w14:val="none"/>
        </w:rPr>
        <w:t>The different strands provisionally grouped into one "Desert Christianity" world have genuinely different natural endpoints, evidenced independently of any single source's dating problem: the anchoritic/semi-anchoritic strand's richest evidence is substantially concentrated before 451, with the strand's own internal sense of crisis and loss — per the Tier 2 Arsenius material and the Tier 3 martyrdom tradition above — clustering in the 405–444 window; the Pachomian cenobitic strand runs from the 320s founding through a less sharply bounded later trajectory; the Shenoutean cenobitic strand is, on current dating, demonstrably still at the height of its productive and political activity in 451 and continues for at least another decade-and-a-half beyond it. This divergence is itself evidence bearing on the One World question, not background noise to be managed around a single chosen boundary date.</w:t>
      </w:r>
    </w:p>
    <w:p w14:paraId="75E44B98" w14:textId="77777777" w:rsidR="00790E47" w:rsidRPr="00790E47" w:rsidRDefault="00790E47" w:rsidP="00790E4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90E47">
        <w:rPr>
          <w:rFonts w:ascii="Times New Roman" w:eastAsia="Times New Roman" w:hAnsi="Times New Roman" w:cs="Times New Roman"/>
          <w:b/>
          <w:bCs/>
          <w:kern w:val="0"/>
          <w14:ligatures w14:val="none"/>
        </w:rPr>
        <w:t>Net judgment, restated with appropriately lower confidence</w:t>
      </w:r>
    </w:p>
    <w:p w14:paraId="52350692" w14:textId="77777777" w:rsidR="00790E47" w:rsidRPr="00790E47" w:rsidRDefault="00790E47" w:rsidP="00790E47">
      <w:pPr>
        <w:spacing w:before="100" w:beforeAutospacing="1" w:after="100" w:afterAutospacing="1"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kern w:val="0"/>
          <w14:ligatures w14:val="none"/>
        </w:rPr>
        <w:t xml:space="preserve">The provisional working hypothesis — one world containing multiple forms — is retained for construction purposes, but this judgment rests on a weaker evidentiary footing than an earlier draft implied: the institutional-authority tension (charismatic vs. rule-bound) is joined by this independent strand-divergence finding. </w:t>
      </w:r>
      <w:r w:rsidRPr="00790E47">
        <w:rPr>
          <w:rFonts w:ascii="Times New Roman" w:eastAsia="Times New Roman" w:hAnsi="Times New Roman" w:cs="Times New Roman"/>
          <w:i/>
          <w:iCs/>
          <w:kern w:val="0"/>
          <w14:ligatures w14:val="none"/>
        </w:rPr>
        <w:t>(Note: this provisional framing is superseded for its ultimate resolution by Document 03's own final assessment, which affirms one world on the strength of two confirmed cross-strand gravities. This document's evidentiary observations above remain valid input to that resolution.)</w:t>
      </w:r>
    </w:p>
    <w:p w14:paraId="5749EEB9" w14:textId="77777777" w:rsidR="00790E47" w:rsidRPr="00790E47" w:rsidRDefault="00790E47" w:rsidP="00790E47">
      <w:pPr>
        <w:spacing w:after="0"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kern w:val="0"/>
          <w14:ligatures w14:val="none"/>
        </w:rPr>
        <w:pict w14:anchorId="0D002288">
          <v:rect id="_x0000_i1031" style="width:0;height:1.5pt" o:hralign="center" o:hrstd="t" o:hr="t" fillcolor="#a0a0a0" stroked="f"/>
        </w:pict>
      </w:r>
    </w:p>
    <w:p w14:paraId="4A580753" w14:textId="77777777" w:rsidR="00790E47" w:rsidRPr="00790E47" w:rsidRDefault="00790E47" w:rsidP="00790E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0E47">
        <w:rPr>
          <w:rFonts w:ascii="Times New Roman" w:eastAsia="Times New Roman" w:hAnsi="Times New Roman" w:cs="Times New Roman"/>
          <w:b/>
          <w:bCs/>
          <w:kern w:val="0"/>
          <w:sz w:val="27"/>
          <w:szCs w:val="27"/>
          <w14:ligatures w14:val="none"/>
        </w:rPr>
        <w:t>World Continuity &amp; Distinction</w:t>
      </w:r>
    </w:p>
    <w:p w14:paraId="2E1DC602" w14:textId="77777777" w:rsidR="00790E47" w:rsidRPr="00790E47" w:rsidRDefault="00790E47" w:rsidP="00790E47">
      <w:pPr>
        <w:spacing w:before="100" w:beforeAutospacing="1" w:after="100" w:afterAutospacing="1"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kern w:val="0"/>
          <w14:ligatures w14:val="none"/>
        </w:rPr>
        <w:t>Unchanged from prior drafts.</w:t>
      </w:r>
    </w:p>
    <w:p w14:paraId="4741FFCF" w14:textId="77777777" w:rsidR="00790E47" w:rsidRPr="00790E47" w:rsidRDefault="00790E47" w:rsidP="00790E47">
      <w:pPr>
        <w:spacing w:after="0"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kern w:val="0"/>
          <w14:ligatures w14:val="none"/>
        </w:rPr>
        <w:pict w14:anchorId="59397C71">
          <v:rect id="_x0000_i1032" style="width:0;height:1.5pt" o:hralign="center" o:hrstd="t" o:hr="t" fillcolor="#a0a0a0" stroked="f"/>
        </w:pict>
      </w:r>
    </w:p>
    <w:p w14:paraId="49FF942C" w14:textId="77777777" w:rsidR="00790E47" w:rsidRPr="00790E47" w:rsidRDefault="00790E47" w:rsidP="00790E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0E47">
        <w:rPr>
          <w:rFonts w:ascii="Times New Roman" w:eastAsia="Times New Roman" w:hAnsi="Times New Roman" w:cs="Times New Roman"/>
          <w:b/>
          <w:bCs/>
          <w:kern w:val="0"/>
          <w:sz w:val="27"/>
          <w:szCs w:val="27"/>
          <w14:ligatures w14:val="none"/>
        </w:rPr>
        <w:t>Living Tradition Status</w:t>
      </w:r>
    </w:p>
    <w:p w14:paraId="6CE42C01" w14:textId="77777777" w:rsidR="00790E47" w:rsidRPr="00790E47" w:rsidRDefault="00790E47" w:rsidP="00790E47">
      <w:pPr>
        <w:spacing w:before="100" w:beforeAutospacing="1" w:after="100" w:afterAutospacing="1"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b/>
          <w:bCs/>
          <w:kern w:val="0"/>
          <w14:ligatures w14:val="none"/>
        </w:rPr>
        <w:t>Status affirmed: this world corresponds to a living tradition with present-day adherents, institutions, and self-understanding.</w:t>
      </w:r>
    </w:p>
    <w:p w14:paraId="08792245" w14:textId="77777777" w:rsidR="00790E47" w:rsidRPr="00790E47" w:rsidRDefault="00790E47" w:rsidP="00790E47">
      <w:pPr>
        <w:spacing w:before="100" w:beforeAutospacing="1" w:after="100" w:afterAutospacing="1"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kern w:val="0"/>
          <w14:ligatures w14:val="none"/>
        </w:rPr>
        <w:t xml:space="preserve">The anchoritic/semi-anchoritic strand's claim runs through Coptic monastics at sites including Wadi El Natrun (ancient Scetis), understood to be in substantially continuous community with </w:t>
      </w:r>
      <w:r w:rsidRPr="00790E47">
        <w:rPr>
          <w:rFonts w:ascii="Times New Roman" w:eastAsia="Times New Roman" w:hAnsi="Times New Roman" w:cs="Times New Roman"/>
          <w:kern w:val="0"/>
          <w14:ligatures w14:val="none"/>
        </w:rPr>
        <w:lastRenderedPageBreak/>
        <w:t>the fourth-century founders of this world — documented as over 1,600 years of continuous monastic presence at the site, with the honest caveat that this continuity, while real and documented, was not without disruption (the same 407/408, 434, and 444 raids already discussed above; 7th-century conquest-era destruction).</w:t>
      </w:r>
    </w:p>
    <w:p w14:paraId="2A2466F1" w14:textId="77777777" w:rsidR="00790E47" w:rsidRPr="00790E47" w:rsidRDefault="00790E47" w:rsidP="00790E47">
      <w:pPr>
        <w:spacing w:before="100" w:beforeAutospacing="1" w:after="100" w:afterAutospacing="1"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b/>
          <w:bCs/>
          <w:kern w:val="0"/>
          <w14:ligatures w14:val="none"/>
        </w:rPr>
        <w:t>A tension this document should name directly rather than leave implicit: the corpus's analytical attention and this world's living-tradition stakes may be inversely related.</w:t>
      </w:r>
      <w:r w:rsidRPr="00790E47">
        <w:rPr>
          <w:rFonts w:ascii="Times New Roman" w:eastAsia="Times New Roman" w:hAnsi="Times New Roman" w:cs="Times New Roman"/>
          <w:kern w:val="0"/>
          <w14:ligatures w14:val="none"/>
        </w:rPr>
        <w:t xml:space="preserve"> The Shenoutean strand has at least as direct, and arguably a more concretely traceable, claim to living institutional continuity as the anchoritic strand does. The White Monastery (Deir al-Abyad) near Sohag remains a standing, actively used Coptic Orthodox site; its Church of St. Shenoute, built toward the end of his own life, is still in liturgical use today; Shenoute is venerated as a major saint of the Coptic Orthodox and broader Oriental Orthodox tradition, with an annual feast-day pilgrimage drawing visitors to the site specifically to honor him. This is a different </w:t>
      </w:r>
      <w:r w:rsidRPr="00790E47">
        <w:rPr>
          <w:rFonts w:ascii="Times New Roman" w:eastAsia="Times New Roman" w:hAnsi="Times New Roman" w:cs="Times New Roman"/>
          <w:i/>
          <w:iCs/>
          <w:kern w:val="0"/>
          <w14:ligatures w14:val="none"/>
        </w:rPr>
        <w:t>kind</w:t>
      </w:r>
      <w:r w:rsidRPr="00790E47">
        <w:rPr>
          <w:rFonts w:ascii="Times New Roman" w:eastAsia="Times New Roman" w:hAnsi="Times New Roman" w:cs="Times New Roman"/>
          <w:kern w:val="0"/>
          <w14:ligatures w14:val="none"/>
        </w:rPr>
        <w:t xml:space="preserve"> of continuity than Wadi El Natrun's — site and veneration rather than an unbroken inhabited monastic community in the same direct sense — but it is a real living-tradition claim in its own right, not a lesser one simply because this corpus has examined it less generously.</w:t>
      </w:r>
    </w:p>
    <w:p w14:paraId="518DF607" w14:textId="77777777" w:rsidR="00790E47" w:rsidRPr="00790E47" w:rsidRDefault="00790E47" w:rsidP="00790E47">
      <w:pPr>
        <w:spacing w:before="100" w:beforeAutospacing="1" w:after="100" w:afterAutospacing="1"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kern w:val="0"/>
          <w14:ligatures w14:val="none"/>
        </w:rPr>
        <w:t>And the corpus has, on the whole, examined the Shenoutean strand far less generously, in a specific sense: it is the strand subjected to this corpus's most dissecting analytical treatment — his extension of disciplinary authority into the women's community's prior self-governance, the documented internal resistance to that extension, the contested legitimacy of his corporal punishment practices, the "Death of a Male Monk" crisis. This is legitimate historical and ecological analysis, not illegitimate criticism, and this document is not suggesting it be softened. But it means this corpus's most analytically exposed strand may also be its most "alive" one in present-day institutional terms, and that asymmetry — sharpest scrutiny falling on the tradition with the strongest claim to living continuity — is worth naming directly rather than leaving unexamined. This does not need to be resolved here. It is named the way other open tensions in this corpus have been named: something Phase 5's Representative construction work, and any eventual External Scholarly Review under Constitution Article 22, should hold in view, particularly given this document's existing instruction that reviewer recruitment for this world should, where feasible, seek awareness of or standing within contemporary Coptic Orthodox monastic scholarship — which would need to span both the Wadi El Natrun and White Monastery living traditions, not only the former.</w:t>
      </w:r>
    </w:p>
    <w:p w14:paraId="4E245983" w14:textId="77777777" w:rsidR="00790E47" w:rsidRPr="00790E47" w:rsidRDefault="00790E47" w:rsidP="00790E47">
      <w:pPr>
        <w:spacing w:before="100" w:beforeAutospacing="1" w:after="100" w:afterAutospacing="1" w:line="240" w:lineRule="auto"/>
        <w:rPr>
          <w:rFonts w:ascii="Times New Roman" w:eastAsia="Times New Roman" w:hAnsi="Times New Roman" w:cs="Times New Roman"/>
          <w:kern w:val="0"/>
          <w14:ligatures w14:val="none"/>
        </w:rPr>
      </w:pPr>
      <w:r w:rsidRPr="00790E47">
        <w:rPr>
          <w:rFonts w:ascii="Times New Roman" w:eastAsia="Times New Roman" w:hAnsi="Times New Roman" w:cs="Times New Roman"/>
          <w:b/>
          <w:bCs/>
          <w:kern w:val="0"/>
          <w14:ligatures w14:val="none"/>
        </w:rPr>
        <w:t>Concrete handling requirements, retained from prior drafts:</w:t>
      </w:r>
      <w:r w:rsidRPr="00790E47">
        <w:rPr>
          <w:rFonts w:ascii="Times New Roman" w:eastAsia="Times New Roman" w:hAnsi="Times New Roman" w:cs="Times New Roman"/>
          <w:kern w:val="0"/>
          <w14:ligatures w14:val="none"/>
        </w:rPr>
        <w:t xml:space="preserve"> Representative voice constraints specific to this world's living-tradition stakes; earlier-than-default Living Tradition Differentiation review at each major construction-phase transition rather than deferred to a single pre-freeze pass; External Scholarly Review reviewer preference for contemporary Coptic Orthodox monastic scholarship awareness, now understood to span both strands' living institutions.</w:t>
      </w:r>
    </w:p>
    <w:p w14:paraId="5A961407" w14:textId="77777777" w:rsidR="007F75C4" w:rsidRDefault="007F75C4"/>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E47"/>
    <w:rsid w:val="00485814"/>
    <w:rsid w:val="00790E47"/>
    <w:rsid w:val="007F75C4"/>
    <w:rsid w:val="00DE0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97569"/>
  <w15:chartTrackingRefBased/>
  <w15:docId w15:val="{027FE739-5996-4B26-869D-AC6B3248B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E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E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E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E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E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E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E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E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E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E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E47"/>
    <w:rPr>
      <w:rFonts w:eastAsiaTheme="majorEastAsia" w:cstheme="majorBidi"/>
      <w:color w:val="272727" w:themeColor="text1" w:themeTint="D8"/>
    </w:rPr>
  </w:style>
  <w:style w:type="paragraph" w:styleId="Title">
    <w:name w:val="Title"/>
    <w:basedOn w:val="Normal"/>
    <w:next w:val="Normal"/>
    <w:link w:val="TitleChar"/>
    <w:uiPriority w:val="10"/>
    <w:qFormat/>
    <w:rsid w:val="00790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E47"/>
    <w:pPr>
      <w:spacing w:before="160"/>
      <w:jc w:val="center"/>
    </w:pPr>
    <w:rPr>
      <w:i/>
      <w:iCs/>
      <w:color w:val="404040" w:themeColor="text1" w:themeTint="BF"/>
    </w:rPr>
  </w:style>
  <w:style w:type="character" w:customStyle="1" w:styleId="QuoteChar">
    <w:name w:val="Quote Char"/>
    <w:basedOn w:val="DefaultParagraphFont"/>
    <w:link w:val="Quote"/>
    <w:uiPriority w:val="29"/>
    <w:rsid w:val="00790E47"/>
    <w:rPr>
      <w:i/>
      <w:iCs/>
      <w:color w:val="404040" w:themeColor="text1" w:themeTint="BF"/>
    </w:rPr>
  </w:style>
  <w:style w:type="paragraph" w:styleId="ListParagraph">
    <w:name w:val="List Paragraph"/>
    <w:basedOn w:val="Normal"/>
    <w:uiPriority w:val="34"/>
    <w:qFormat/>
    <w:rsid w:val="00790E47"/>
    <w:pPr>
      <w:ind w:left="720"/>
      <w:contextualSpacing/>
    </w:pPr>
  </w:style>
  <w:style w:type="character" w:styleId="IntenseEmphasis">
    <w:name w:val="Intense Emphasis"/>
    <w:basedOn w:val="DefaultParagraphFont"/>
    <w:uiPriority w:val="21"/>
    <w:qFormat/>
    <w:rsid w:val="00790E47"/>
    <w:rPr>
      <w:i/>
      <w:iCs/>
      <w:color w:val="0F4761" w:themeColor="accent1" w:themeShade="BF"/>
    </w:rPr>
  </w:style>
  <w:style w:type="paragraph" w:styleId="IntenseQuote">
    <w:name w:val="Intense Quote"/>
    <w:basedOn w:val="Normal"/>
    <w:next w:val="Normal"/>
    <w:link w:val="IntenseQuoteChar"/>
    <w:uiPriority w:val="30"/>
    <w:qFormat/>
    <w:rsid w:val="00790E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E47"/>
    <w:rPr>
      <w:i/>
      <w:iCs/>
      <w:color w:val="0F4761" w:themeColor="accent1" w:themeShade="BF"/>
    </w:rPr>
  </w:style>
  <w:style w:type="character" w:styleId="IntenseReference">
    <w:name w:val="Intense Reference"/>
    <w:basedOn w:val="DefaultParagraphFont"/>
    <w:uiPriority w:val="32"/>
    <w:qFormat/>
    <w:rsid w:val="00790E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1995</Words>
  <Characters>11378</Characters>
  <Application>Microsoft Office Word</Application>
  <DocSecurity>0</DocSecurity>
  <Lines>94</Lines>
  <Paragraphs>26</Paragraphs>
  <ScaleCrop>false</ScaleCrop>
  <Company/>
  <LinksUpToDate>false</LinksUpToDate>
  <CharactersWithSpaces>13347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2026-06-20T05:57:00Z</dcterms:created>
  <dcterms:modified xsi:type="dcterms:W3CDTF">2026-06-20T05:58:00Z</dcterms:modified>
</cp:coreProperties>
</file>