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F400"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lang w:val="de-DE"/>
          <w14:ligatures w14:val="none"/>
        </w:rPr>
      </w:pPr>
      <w:r w:rsidRPr="00BF76E2">
        <w:rPr>
          <w:rFonts w:ascii="Times New Roman" w:eastAsia="Times New Roman" w:hAnsi="Times New Roman" w:cs="Times New Roman"/>
          <w:b/>
          <w:bCs/>
          <w:kern w:val="0"/>
          <w:sz w:val="27"/>
          <w:szCs w:val="27"/>
          <w:lang w:val="de-DE"/>
          <w14:ligatures w14:val="none"/>
        </w:rPr>
        <w:t>A1. Abba / Amma</w:t>
      </w:r>
    </w:p>
    <w:p w14:paraId="6A6696B7"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lang w:val="de-DE"/>
          <w14:ligatures w14:val="none"/>
        </w:rPr>
      </w:pPr>
      <w:r w:rsidRPr="00BF76E2">
        <w:rPr>
          <w:rFonts w:ascii="Times New Roman" w:eastAsia="Times New Roman" w:hAnsi="Times New Roman" w:cs="Times New Roman"/>
          <w:b/>
          <w:bCs/>
          <w:kern w:val="0"/>
          <w:lang w:val="de-DE"/>
          <w14:ligatures w14:val="none"/>
        </w:rPr>
        <w:t>Tier 1.</w:t>
      </w:r>
      <w:r w:rsidRPr="00BF76E2">
        <w:rPr>
          <w:rFonts w:ascii="Times New Roman" w:eastAsia="Times New Roman" w:hAnsi="Times New Roman" w:cs="Times New Roman"/>
          <w:kern w:val="0"/>
          <w:lang w:val="de-DE"/>
          <w14:ligatures w14:val="none"/>
        </w:rPr>
        <w:t xml:space="preserve"> Tags: [SC] [DR] [RT]</w:t>
      </w:r>
    </w:p>
    <w:p w14:paraId="7CB0C7E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The title given to a recognized spiritual </w:t>
      </w:r>
      <w:proofErr w:type="gramStart"/>
      <w:r w:rsidRPr="00BF76E2">
        <w:rPr>
          <w:rFonts w:ascii="Times New Roman" w:eastAsia="Times New Roman" w:hAnsi="Times New Roman" w:cs="Times New Roman"/>
          <w:kern w:val="0"/>
          <w14:ligatures w14:val="none"/>
        </w:rPr>
        <w:t>guide — "</w:t>
      </w:r>
      <w:proofErr w:type="gramEnd"/>
      <w:r w:rsidRPr="00BF76E2">
        <w:rPr>
          <w:rFonts w:ascii="Times New Roman" w:eastAsia="Times New Roman" w:hAnsi="Times New Roman" w:cs="Times New Roman"/>
          <w:kern w:val="0"/>
          <w14:ligatures w14:val="none"/>
        </w:rPr>
        <w:t>father" or "</w:t>
      </w:r>
      <w:proofErr w:type="gramStart"/>
      <w:r w:rsidRPr="00BF76E2">
        <w:rPr>
          <w:rFonts w:ascii="Times New Roman" w:eastAsia="Times New Roman" w:hAnsi="Times New Roman" w:cs="Times New Roman"/>
          <w:kern w:val="0"/>
          <w14:ligatures w14:val="none"/>
        </w:rPr>
        <w:t>mother" —</w:t>
      </w:r>
      <w:proofErr w:type="gramEnd"/>
      <w:r w:rsidRPr="00BF76E2">
        <w:rPr>
          <w:rFonts w:ascii="Times New Roman" w:eastAsia="Times New Roman" w:hAnsi="Times New Roman" w:cs="Times New Roman"/>
          <w:kern w:val="0"/>
          <w14:ligatures w14:val="none"/>
        </w:rPr>
        <w:t xml:space="preserve"> whose authority rests, in the anchoritic strand, purely on the recognition of those who seek them out, and whose relationship with a disciple is the primary mechanism through which formation </w:t>
      </w:r>
      <w:proofErr w:type="gramStart"/>
      <w:r w:rsidRPr="00BF76E2">
        <w:rPr>
          <w:rFonts w:ascii="Times New Roman" w:eastAsia="Times New Roman" w:hAnsi="Times New Roman" w:cs="Times New Roman"/>
          <w:kern w:val="0"/>
          <w14:ligatures w14:val="none"/>
        </w:rPr>
        <w:t>actually happens</w:t>
      </w:r>
      <w:proofErr w:type="gramEnd"/>
      <w:r w:rsidRPr="00BF76E2">
        <w:rPr>
          <w:rFonts w:ascii="Times New Roman" w:eastAsia="Times New Roman" w:hAnsi="Times New Roman" w:cs="Times New Roman"/>
          <w:kern w:val="0"/>
          <w14:ligatures w14:val="none"/>
        </w:rPr>
        <w:t xml:space="preserve"> in this world.</w:t>
      </w:r>
    </w:p>
    <w:p w14:paraId="24F24941"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World Meaning:</w:t>
      </w:r>
    </w:p>
    <w:p w14:paraId="7DF1162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You did not choose an abba the way you might choose a teacher for a course of study. The relationship began more tentatively than that, and with more risk on both sides. A monk who had heard of an elder with a reputation for wisdom — not for severity, not for learning, but for something harder to name, a quality of seeing clearly what was </w:t>
      </w:r>
      <w:proofErr w:type="gramStart"/>
      <w:r w:rsidRPr="00BF76E2">
        <w:rPr>
          <w:rFonts w:ascii="Times New Roman" w:eastAsia="Times New Roman" w:hAnsi="Times New Roman" w:cs="Times New Roman"/>
          <w:kern w:val="0"/>
          <w14:ligatures w14:val="none"/>
        </w:rPr>
        <w:t>actually happening</w:t>
      </w:r>
      <w:proofErr w:type="gramEnd"/>
      <w:r w:rsidRPr="00BF76E2">
        <w:rPr>
          <w:rFonts w:ascii="Times New Roman" w:eastAsia="Times New Roman" w:hAnsi="Times New Roman" w:cs="Times New Roman"/>
          <w:kern w:val="0"/>
          <w14:ligatures w14:val="none"/>
        </w:rPr>
        <w:t xml:space="preserve"> in a person rather than what the person wished were happening — might travel to find him. He might sit with him once. He might receive a single sentence in reply to a long and careful description of his situation, and that sentence might seem beside the point, and he would carry it with him until, weeks or months later, it turned out to have been precisely the point. Or the first meeting might reveal that this was not his abba — that the elder's words didn't find him, didn't land where the monk </w:t>
      </w:r>
      <w:proofErr w:type="gramStart"/>
      <w:r w:rsidRPr="00BF76E2">
        <w:rPr>
          <w:rFonts w:ascii="Times New Roman" w:eastAsia="Times New Roman" w:hAnsi="Times New Roman" w:cs="Times New Roman"/>
          <w:kern w:val="0"/>
          <w14:ligatures w14:val="none"/>
        </w:rPr>
        <w:t>actually lived</w:t>
      </w:r>
      <w:proofErr w:type="gramEnd"/>
      <w:r w:rsidRPr="00BF76E2">
        <w:rPr>
          <w:rFonts w:ascii="Times New Roman" w:eastAsia="Times New Roman" w:hAnsi="Times New Roman" w:cs="Times New Roman"/>
          <w:kern w:val="0"/>
          <w14:ligatures w14:val="none"/>
        </w:rPr>
        <w:t>. And he would go looking again.</w:t>
      </w:r>
    </w:p>
    <w:p w14:paraId="24EBEAAE"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What the monk was looking for was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 the specific capacity to see through the surface presentation of a struggle to what was </w:t>
      </w:r>
      <w:proofErr w:type="gramStart"/>
      <w:r w:rsidRPr="00BF76E2">
        <w:rPr>
          <w:rFonts w:ascii="Times New Roman" w:eastAsia="Times New Roman" w:hAnsi="Times New Roman" w:cs="Times New Roman"/>
          <w:kern w:val="0"/>
          <w14:ligatures w14:val="none"/>
        </w:rPr>
        <w:t>actually driving</w:t>
      </w:r>
      <w:proofErr w:type="gramEnd"/>
      <w:r w:rsidRPr="00BF76E2">
        <w:rPr>
          <w:rFonts w:ascii="Times New Roman" w:eastAsia="Times New Roman" w:hAnsi="Times New Roman" w:cs="Times New Roman"/>
          <w:kern w:val="0"/>
          <w14:ligatures w14:val="none"/>
        </w:rPr>
        <w:t xml:space="preserve"> it. The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the great compilation of desert sayings, preserves a saying attributed to Antony himself that ranks this capacity above every other ascetic virtue: above fasting, above vigil, above poverty. An elder who could fast for weeks but who could not see what was happening in a disciple's soul was less valuable as a guide than an elder who ate modestly but whose </w:t>
      </w:r>
      <w:proofErr w:type="gramStart"/>
      <w:r w:rsidRPr="00BF76E2">
        <w:rPr>
          <w:rFonts w:ascii="Times New Roman" w:eastAsia="Times New Roman" w:hAnsi="Times New Roman" w:cs="Times New Roman"/>
          <w:kern w:val="0"/>
          <w14:ligatures w14:val="none"/>
        </w:rPr>
        <w:t>word</w:t>
      </w:r>
      <w:proofErr w:type="gramEnd"/>
      <w:r w:rsidRPr="00BF76E2">
        <w:rPr>
          <w:rFonts w:ascii="Times New Roman" w:eastAsia="Times New Roman" w:hAnsi="Times New Roman" w:cs="Times New Roman"/>
          <w:kern w:val="0"/>
          <w14:ligatures w14:val="none"/>
        </w:rPr>
        <w:t xml:space="preserve"> arrived like a key in a lock. The search for an abba was, at its heart, a search for someone who had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 and the only way to know whether an elder had it was to be seen by them.</w:t>
      </w:r>
    </w:p>
    <w:p w14:paraId="0996C94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Once the relationship was established, it had a characteristic texture in the anchoritic and semi-anchoritic strands. The disciple might live nearby — at Kellia, the dwelling arrangements built two rooms into many cells, one for the elder and one for a disciple in residence — and daily life would involve a rhythm of labor (basket-weaving, rope-making, or whatever the elder's trade was), prayer, and intermittent exchange. The disciple watched how the elder worked, how the elder prayed, how the elder received visitors, how the elder behaved when tired or hungry or interrupted. Formation in this strand was not primarily a matter of curriculum. It was apprenticeship in a way of inhabiting one's own life. The abba's chief instrument was not lecture but example, and not even example primarily — it was the occasional situated word, the response to the question the disciple </w:t>
      </w:r>
      <w:proofErr w:type="gramStart"/>
      <w:r w:rsidRPr="00BF76E2">
        <w:rPr>
          <w:rFonts w:ascii="Times New Roman" w:eastAsia="Times New Roman" w:hAnsi="Times New Roman" w:cs="Times New Roman"/>
          <w:kern w:val="0"/>
          <w14:ligatures w14:val="none"/>
        </w:rPr>
        <w:t>actually brought</w:t>
      </w:r>
      <w:proofErr w:type="gramEnd"/>
      <w:r w:rsidRPr="00BF76E2">
        <w:rPr>
          <w:rFonts w:ascii="Times New Roman" w:eastAsia="Times New Roman" w:hAnsi="Times New Roman" w:cs="Times New Roman"/>
          <w:kern w:val="0"/>
          <w14:ligatures w14:val="none"/>
        </w:rPr>
        <w:t xml:space="preserve">, calibrated to where the disciple </w:t>
      </w:r>
      <w:proofErr w:type="gramStart"/>
      <w:r w:rsidRPr="00BF76E2">
        <w:rPr>
          <w:rFonts w:ascii="Times New Roman" w:eastAsia="Times New Roman" w:hAnsi="Times New Roman" w:cs="Times New Roman"/>
          <w:kern w:val="0"/>
          <w14:ligatures w14:val="none"/>
        </w:rPr>
        <w:t>actually was</w:t>
      </w:r>
      <w:proofErr w:type="gramEnd"/>
      <w:r w:rsidRPr="00BF76E2">
        <w:rPr>
          <w:rFonts w:ascii="Times New Roman" w:eastAsia="Times New Roman" w:hAnsi="Times New Roman" w:cs="Times New Roman"/>
          <w:kern w:val="0"/>
          <w14:ligatures w14:val="none"/>
        </w:rPr>
        <w:t xml:space="preserve"> rather than where a general teaching on the subject might have aimed.</w:t>
      </w:r>
    </w:p>
    <w:p w14:paraId="78B4D89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questions the disciple brought were rarely abstract. They were: I am struggling with restlessness and cannot stay in my cell — what should I do? I am tormented by a thought that will not leave me — what should I do? I visited my family and now I cannot </w:t>
      </w:r>
      <w:proofErr w:type="spellStart"/>
      <w:r w:rsidRPr="00BF76E2">
        <w:rPr>
          <w:rFonts w:ascii="Times New Roman" w:eastAsia="Times New Roman" w:hAnsi="Times New Roman" w:cs="Times New Roman"/>
          <w:kern w:val="0"/>
          <w14:ligatures w14:val="none"/>
        </w:rPr>
        <w:t>pray</w:t>
      </w:r>
      <w:proofErr w:type="spellEnd"/>
      <w:r w:rsidRPr="00BF76E2">
        <w:rPr>
          <w:rFonts w:ascii="Times New Roman" w:eastAsia="Times New Roman" w:hAnsi="Times New Roman" w:cs="Times New Roman"/>
          <w:kern w:val="0"/>
          <w14:ligatures w14:val="none"/>
        </w:rPr>
        <w:t xml:space="preserve"> — what should </w:t>
      </w:r>
      <w:r w:rsidRPr="00BF76E2">
        <w:rPr>
          <w:rFonts w:ascii="Times New Roman" w:eastAsia="Times New Roman" w:hAnsi="Times New Roman" w:cs="Times New Roman"/>
          <w:kern w:val="0"/>
          <w14:ligatures w14:val="none"/>
        </w:rPr>
        <w:lastRenderedPageBreak/>
        <w:t xml:space="preserve">I do? The elder's response to these questions was not therapeutic in any modern sense, and not pastoral in the institutional sense either. It was more like a precise identification of what was </w:t>
      </w:r>
      <w:proofErr w:type="gramStart"/>
      <w:r w:rsidRPr="00BF76E2">
        <w:rPr>
          <w:rFonts w:ascii="Times New Roman" w:eastAsia="Times New Roman" w:hAnsi="Times New Roman" w:cs="Times New Roman"/>
          <w:kern w:val="0"/>
          <w14:ligatures w14:val="none"/>
        </w:rPr>
        <w:t>actually happening</w:t>
      </w:r>
      <w:proofErr w:type="gramEnd"/>
      <w:r w:rsidRPr="00BF76E2">
        <w:rPr>
          <w:rFonts w:ascii="Times New Roman" w:eastAsia="Times New Roman" w:hAnsi="Times New Roman" w:cs="Times New Roman"/>
          <w:kern w:val="0"/>
          <w14:ligatures w14:val="none"/>
        </w:rPr>
        <w:t xml:space="preserve">, followed by a word that addressed that specific thing. Sometimes the word was a Scripture verse. Sometimes it was a brief narrative about another elder. Sometimes it was a </w:t>
      </w:r>
      <w:proofErr w:type="gramStart"/>
      <w:r w:rsidRPr="00BF76E2">
        <w:rPr>
          <w:rFonts w:ascii="Times New Roman" w:eastAsia="Times New Roman" w:hAnsi="Times New Roman" w:cs="Times New Roman"/>
          <w:kern w:val="0"/>
          <w14:ligatures w14:val="none"/>
        </w:rPr>
        <w:t>question</w:t>
      </w:r>
      <w:proofErr w:type="gramEnd"/>
      <w:r w:rsidRPr="00BF76E2">
        <w:rPr>
          <w:rFonts w:ascii="Times New Roman" w:eastAsia="Times New Roman" w:hAnsi="Times New Roman" w:cs="Times New Roman"/>
          <w:kern w:val="0"/>
          <w14:ligatures w14:val="none"/>
        </w:rPr>
        <w:t xml:space="preserve"> turned back to the disciple. The disciple left carrying the word, lived with it, and returned.</w:t>
      </w:r>
    </w:p>
    <w:p w14:paraId="4CE55E30"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This relationship was entirely revocable. The abba had no institutional hold over the disciple. If the elder's words stopped landing, if the disciple sensed that the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was no longer sharp or had never quite been there, the disciple could simply stop coming. The elder's authority was renewed every time the disciple returned, and it ended whenever the disciple chose not to return. This is the feature of the anchoritic abba/amma relationship that most clearly distinguishes it from the institutional forms the same underlying relational mechanism takes 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 and the distinction matters enough that this Lexicon keeps it explicitly rather than smoothing it into a single entry about "spiritual guidance."</w:t>
      </w:r>
    </w:p>
    <w:p w14:paraId="165B28B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federation, the same underlying mechanism — a more advanced practitioner taking structured responsibility for a less advanced one — operated through the office of housemaster. The housemaster did not come to that role through a disciple's free recognition; he was formally assigned to a house of brothers by the federation's superior. His authority was real and structured: he was answerable to the superior above him, and the brothers under him were answerable to him. The expectation of personal holiness remained — a housemaster lacking credible spiritual seriousness was understood within the tradition to be a hollow officeholder — but the formal assignment itself conferred a kind of standing that the anchoritic elder's position never had. The brother who struggled with a thought brought it to his housemaster not because he had sought out this </w:t>
      </w:r>
      <w:proofErr w:type="gramStart"/>
      <w:r w:rsidRPr="00BF76E2">
        <w:rPr>
          <w:rFonts w:ascii="Times New Roman" w:eastAsia="Times New Roman" w:hAnsi="Times New Roman" w:cs="Times New Roman"/>
          <w:kern w:val="0"/>
          <w14:ligatures w14:val="none"/>
        </w:rPr>
        <w:t>particular person</w:t>
      </w:r>
      <w:proofErr w:type="gramEnd"/>
      <w:r w:rsidRPr="00BF76E2">
        <w:rPr>
          <w:rFonts w:ascii="Times New Roman" w:eastAsia="Times New Roman" w:hAnsi="Times New Roman" w:cs="Times New Roman"/>
          <w:kern w:val="0"/>
          <w14:ligatures w14:val="none"/>
        </w:rPr>
        <w:t xml:space="preserve"> and found him to have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but because this person was his housemaster. Formation through relationship persisted; the terms of the relationship changed.</w:t>
      </w:r>
    </w:p>
    <w:p w14:paraId="42369135"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In Shenoute's federation, the same mechanism nested into a still more elaborate hierarchy: housemasters and housemistresses beneath an archimandrite whose own authority was backed by the Alexandrian patriarchate and validated at an ecumenical council. Shenoute's own formation under his predecessor </w:t>
      </w:r>
      <w:proofErr w:type="spellStart"/>
      <w:r w:rsidRPr="00BF76E2">
        <w:rPr>
          <w:rFonts w:ascii="Times New Roman" w:eastAsia="Times New Roman" w:hAnsi="Times New Roman" w:cs="Times New Roman"/>
          <w:kern w:val="0"/>
          <w14:ligatures w14:val="none"/>
        </w:rPr>
        <w:t>Pcol</w:t>
      </w:r>
      <w:proofErr w:type="spellEnd"/>
      <w:r w:rsidRPr="00BF76E2">
        <w:rPr>
          <w:rFonts w:ascii="Times New Roman" w:eastAsia="Times New Roman" w:hAnsi="Times New Roman" w:cs="Times New Roman"/>
          <w:kern w:val="0"/>
          <w14:ligatures w14:val="none"/>
        </w:rPr>
        <w:t xml:space="preserve"> instantiated this relational structure at the federation's head, and his relationship to those under him extended it downward through multiple layers of authority. What the individual monk or nun experienced as formation in this strand was shaped by this structure at every level — including, as Document 04's Krawiec-sourced material documents, the extension of Shenoute's corrective authority into the women's community across a geographic separation, based on the logic that unpunished sin there would contaminate him and the whole body.</w:t>
      </w:r>
    </w:p>
    <w:p w14:paraId="426D8116"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Why does the same mechanism — mentored relationship as the primary formation vehicle — persist across these three genuinely different institutional forms? Partly because the alternative was available and the tradition consistently refused it. Desert Christianity could have centered its formation on systematic catechetical instruction, on liturgical participation, on sacramental practice, on the study of authoritative texts — and some of these were present, variously, in each strand. But the load-bearing mechanism, the thing through which formation </w:t>
      </w:r>
      <w:proofErr w:type="gramStart"/>
      <w:r w:rsidRPr="00BF76E2">
        <w:rPr>
          <w:rFonts w:ascii="Times New Roman" w:eastAsia="Times New Roman" w:hAnsi="Times New Roman" w:cs="Times New Roman"/>
          <w:kern w:val="0"/>
          <w14:ligatures w14:val="none"/>
        </w:rPr>
        <w:t>actually happened</w:t>
      </w:r>
      <w:proofErr w:type="gramEnd"/>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kern w:val="0"/>
          <w14:ligatures w14:val="none"/>
        </w:rPr>
        <w:lastRenderedPageBreak/>
        <w:t>and through which spiritual progress was assessed, was in every case a relationship with someone who had walked further along the path. The tradition's own name for that person varied. What it was doing with that person did not.</w:t>
      </w:r>
    </w:p>
    <w:p w14:paraId="7DFDF2DE"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Ecological Function:</w:t>
      </w:r>
      <w:r w:rsidRPr="00BF76E2">
        <w:rPr>
          <w:rFonts w:ascii="Times New Roman" w:eastAsia="Times New Roman" w:hAnsi="Times New Roman" w:cs="Times New Roman"/>
          <w:kern w:val="0"/>
          <w14:ligatures w14:val="none"/>
        </w:rPr>
        <w:t xml:space="preserve"> This term is the lexical anchor of this world's single confirmed cross-strand gravity. Nearly every other Tier 1 entry in this Lexicon either depends on this relationship (Acedia's remedy is typically sought from an abba;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are confessed to one; the "Give Me a Word" exchange is this relationship's characteristic activation point) or describes how it is institutionally packaged in a specific strand (Koinonia; Housemaster/Housemistress; Archimandrite).</w:t>
      </w:r>
    </w:p>
    <w:p w14:paraId="125B329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Distortion Risk:</w:t>
      </w:r>
    </w:p>
    <w:p w14:paraId="4FB0EC7A" w14:textId="77777777" w:rsidR="00BF76E2" w:rsidRPr="00BF76E2" w:rsidRDefault="00BF76E2" w:rsidP="00BF76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Modern Hearing:</w:t>
      </w:r>
      <w:r w:rsidRPr="00BF76E2">
        <w:rPr>
          <w:rFonts w:ascii="Times New Roman" w:eastAsia="Times New Roman" w:hAnsi="Times New Roman" w:cs="Times New Roman"/>
          <w:kern w:val="0"/>
          <w14:ligatures w14:val="none"/>
        </w:rPr>
        <w:t xml:space="preserve"> A fixed clerical or institutional title, </w:t>
      </w:r>
      <w:proofErr w:type="gramStart"/>
      <w:r w:rsidRPr="00BF76E2">
        <w:rPr>
          <w:rFonts w:ascii="Times New Roman" w:eastAsia="Times New Roman" w:hAnsi="Times New Roman" w:cs="Times New Roman"/>
          <w:kern w:val="0"/>
          <w14:ligatures w14:val="none"/>
        </w:rPr>
        <w:t>similar to</w:t>
      </w:r>
      <w:proofErr w:type="gramEnd"/>
      <w:r w:rsidRPr="00BF76E2">
        <w:rPr>
          <w:rFonts w:ascii="Times New Roman" w:eastAsia="Times New Roman" w:hAnsi="Times New Roman" w:cs="Times New Roman"/>
          <w:kern w:val="0"/>
          <w14:ligatures w14:val="none"/>
        </w:rPr>
        <w:t xml:space="preserve"> "priest" or "abbot" in later usage, conferred by ordination or appointment and carrying formal ecclesial standing.</w:t>
      </w:r>
    </w:p>
    <w:p w14:paraId="516CD671" w14:textId="77777777" w:rsidR="00BF76E2" w:rsidRPr="00BF76E2" w:rsidRDefault="00BF76E2" w:rsidP="00BF76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In the anchoritic/semi-anchoritic strand, a title conferred purely by recognition — revocable, requiring no formal endorsement, capable of placing an </w:t>
      </w:r>
      <w:proofErr w:type="spellStart"/>
      <w:r w:rsidRPr="00BF76E2">
        <w:rPr>
          <w:rFonts w:ascii="Times New Roman" w:eastAsia="Times New Roman" w:hAnsi="Times New Roman" w:cs="Times New Roman"/>
          <w:kern w:val="0"/>
          <w14:ligatures w14:val="none"/>
        </w:rPr>
        <w:t>unofficed</w:t>
      </w:r>
      <w:proofErr w:type="spellEnd"/>
      <w:r w:rsidRPr="00BF76E2">
        <w:rPr>
          <w:rFonts w:ascii="Times New Roman" w:eastAsia="Times New Roman" w:hAnsi="Times New Roman" w:cs="Times New Roman"/>
          <w:kern w:val="0"/>
          <w14:ligatures w14:val="none"/>
        </w:rPr>
        <w:t xml:space="preserve"> elder's word above an institutionally credentialed </w:t>
      </w:r>
      <w:proofErr w:type="gramStart"/>
      <w:r w:rsidRPr="00BF76E2">
        <w:rPr>
          <w:rFonts w:ascii="Times New Roman" w:eastAsia="Times New Roman" w:hAnsi="Times New Roman" w:cs="Times New Roman"/>
          <w:kern w:val="0"/>
          <w14:ligatures w14:val="none"/>
        </w:rPr>
        <w:t>visitor's</w:t>
      </w:r>
      <w:proofErr w:type="gramEnd"/>
      <w:r w:rsidRPr="00BF76E2">
        <w:rPr>
          <w:rFonts w:ascii="Times New Roman" w:eastAsia="Times New Roman" w:hAnsi="Times New Roman" w:cs="Times New Roman"/>
          <w:kern w:val="0"/>
          <w14:ligatures w14:val="none"/>
        </w:rPr>
        <w:t xml:space="preserve">. The same underlying relational function takes formally-vested, institutionally-grounded forms 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 and a reader who applies the anchoritic sense uniformly will misread the authority logic of those strands, and vice versa.</w:t>
      </w:r>
    </w:p>
    <w:p w14:paraId="576B89E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Patrum (Alphabetical and Systematic Collections, throughout; Antony-attributed saying on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specifically, Tier 2 individual-attribution confidence);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i/>
          <w:iCs/>
          <w:kern w:val="0"/>
          <w14:ligatures w14:val="none"/>
        </w:rPr>
        <w:t>Praecepta</w:t>
      </w:r>
      <w:proofErr w:type="spellEnd"/>
      <w:r w:rsidRPr="00BF76E2">
        <w:rPr>
          <w:rFonts w:ascii="Times New Roman" w:eastAsia="Times New Roman" w:hAnsi="Times New Roman" w:cs="Times New Roman"/>
          <w:kern w:val="0"/>
          <w14:ligatures w14:val="none"/>
        </w:rPr>
        <w:t>; Shenoute's Canons.</w:t>
      </w:r>
    </w:p>
    <w:p w14:paraId="5395A55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03, Candidate D (Primary classification, all four strands); Document 04, Section 3; Document 05, Formation Logic Ecology lens; Antony D. Rich, </w:t>
      </w:r>
      <w:r w:rsidRPr="00BF76E2">
        <w:rPr>
          <w:rFonts w:ascii="Times New Roman" w:eastAsia="Times New Roman" w:hAnsi="Times New Roman" w:cs="Times New Roman"/>
          <w:i/>
          <w:iCs/>
          <w:kern w:val="0"/>
          <w14:ligatures w14:val="none"/>
        </w:rPr>
        <w:t>Discernment in the Desert Fathers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dimension).</w:t>
      </w:r>
    </w:p>
    <w:p w14:paraId="2EF4558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Apophthegma</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Koinonia [CT]; Housemaster/Housemistress; Archimandrite; Struggle-Earned vs. Office-Conferred Authority [CT]; "Give Me a Word."</w:t>
      </w:r>
    </w:p>
    <w:p w14:paraId="6E81862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r w:rsidRPr="00BF76E2">
        <w:rPr>
          <w:rFonts w:ascii="Times New Roman" w:eastAsia="Times New Roman" w:hAnsi="Times New Roman" w:cs="Times New Roman"/>
          <w:kern w:val="0"/>
          <w14:ligatures w14:val="none"/>
        </w:rPr>
        <w:t xml:space="preserve">, for the anchoritic/semi-anchoritic instantiation specifically. The Representative may speak about the abba/amma bond from direct lived formation.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housemaster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housemaster/archimandrite instantiations of the same underlying mechanism are </w:t>
      </w:r>
      <w:r w:rsidRPr="00BF76E2">
        <w:rPr>
          <w:rFonts w:ascii="Times New Roman" w:eastAsia="Times New Roman" w:hAnsi="Times New Roman" w:cs="Times New Roman"/>
          <w:b/>
          <w:bCs/>
          <w:kern w:val="0"/>
          <w14:ligatures w14:val="none"/>
        </w:rPr>
        <w:t>Acknowledged-Only</w:t>
      </w:r>
      <w:r w:rsidRPr="00BF76E2">
        <w:rPr>
          <w:rFonts w:ascii="Times New Roman" w:eastAsia="Times New Roman" w:hAnsi="Times New Roman" w:cs="Times New Roman"/>
          <w:kern w:val="0"/>
          <w14:ligatures w14:val="none"/>
        </w:rPr>
        <w:t xml:space="preserve"> — recognizable to him as performing a comparable </w:t>
      </w:r>
      <w:proofErr w:type="gramStart"/>
      <w:r w:rsidRPr="00BF76E2">
        <w:rPr>
          <w:rFonts w:ascii="Times New Roman" w:eastAsia="Times New Roman" w:hAnsi="Times New Roman" w:cs="Times New Roman"/>
          <w:kern w:val="0"/>
          <w14:ligatures w14:val="none"/>
        </w:rPr>
        <w:t>function, but</w:t>
      </w:r>
      <w:proofErr w:type="gramEnd"/>
      <w:r w:rsidRPr="00BF76E2">
        <w:rPr>
          <w:rFonts w:ascii="Times New Roman" w:eastAsia="Times New Roman" w:hAnsi="Times New Roman" w:cs="Times New Roman"/>
          <w:kern w:val="0"/>
          <w14:ligatures w14:val="none"/>
        </w:rPr>
        <w:t xml:space="preserve"> operating within institutional logics and authority structures he has not lived under and should not describe with insider precision.</w:t>
      </w:r>
    </w:p>
    <w:p w14:paraId="7A04D198" w14:textId="77777777" w:rsidR="00BF76E2" w:rsidRPr="00BF76E2" w:rsidRDefault="00BF76E2" w:rsidP="00BF76E2">
      <w:pPr>
        <w:spacing w:after="0"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pict w14:anchorId="2AE79D86">
          <v:rect id="_x0000_i1025" style="width:0;height:1.5pt" o:hralign="center" o:hrstd="t" o:hr="t" fillcolor="#a0a0a0" stroked="f"/>
        </w:pict>
      </w:r>
    </w:p>
    <w:p w14:paraId="25E9BA6B"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6E2">
        <w:rPr>
          <w:rFonts w:ascii="Times New Roman" w:eastAsia="Times New Roman" w:hAnsi="Times New Roman" w:cs="Times New Roman"/>
          <w:b/>
          <w:bCs/>
          <w:kern w:val="0"/>
          <w:sz w:val="27"/>
          <w:szCs w:val="27"/>
          <w14:ligatures w14:val="none"/>
        </w:rPr>
        <w:t>A2. Ascetic Bodily Practice (Fasting, Vigil, Manual Labor — as behavioral pattern)</w:t>
      </w:r>
    </w:p>
    <w:p w14:paraId="12A15AA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lang w:val="de-DE"/>
          <w14:ligatures w14:val="none"/>
        </w:rPr>
      </w:pPr>
      <w:r w:rsidRPr="00BF76E2">
        <w:rPr>
          <w:rFonts w:ascii="Times New Roman" w:eastAsia="Times New Roman" w:hAnsi="Times New Roman" w:cs="Times New Roman"/>
          <w:b/>
          <w:bCs/>
          <w:kern w:val="0"/>
          <w:lang w:val="de-DE"/>
          <w14:ligatures w14:val="none"/>
        </w:rPr>
        <w:lastRenderedPageBreak/>
        <w:t>Tier 1.</w:t>
      </w:r>
      <w:r w:rsidRPr="00BF76E2">
        <w:rPr>
          <w:rFonts w:ascii="Times New Roman" w:eastAsia="Times New Roman" w:hAnsi="Times New Roman" w:cs="Times New Roman"/>
          <w:kern w:val="0"/>
          <w:lang w:val="de-DE"/>
          <w14:ligatures w14:val="none"/>
        </w:rPr>
        <w:t xml:space="preserve"> Tags: [SC] [DR] [RT]</w:t>
      </w:r>
    </w:p>
    <w:p w14:paraId="531EE8CB"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The shared cluster of physical disciplines — restricted eating, reduced sleep for prayer, sustained manual work — through which formation happens in every strand of this world, independent of what any given strand believes this practice theologically accomplishes.</w:t>
      </w:r>
    </w:p>
    <w:p w14:paraId="63D59BD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World Meaning:</w:t>
      </w:r>
    </w:p>
    <w:p w14:paraId="14C7AC9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day began before dawn. In the anchoritic cell, a monk who had kept the night office — rising in the hours after midnight to chant the psalms in the darkness, alone or with his disciple if he had one — would move into the long morning of manual work. The work was physical and repetitive by design: twisting rope, weaving palm leaves into baskets, making mats. The hands moved; the mouth could move with them, repeating a psalm verse or a short prayer beneath the breath, a practice the tradition called the "prayer of the heart." The cell door would be shut. The goal of the morning was to stay in the cell and to keep moving, because the alternative — stillness, distraction, restlessness — opened the door to what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named acedia, and the tradition knew that idle hands and an idle mind were the starting conditions for the whole range of afflictions the desert monk struggled against.</w:t>
      </w:r>
    </w:p>
    <w:p w14:paraId="4B350CD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meal, when it came, was typically a single event in the late afternoon or at sunset. Bread, salt, water. Sometimes oil, sometimes olives or dried vegetables, sometimes nothing but </w:t>
      </w:r>
      <w:proofErr w:type="gramStart"/>
      <w:r w:rsidRPr="00BF76E2">
        <w:rPr>
          <w:rFonts w:ascii="Times New Roman" w:eastAsia="Times New Roman" w:hAnsi="Times New Roman" w:cs="Times New Roman"/>
          <w:kern w:val="0"/>
          <w14:ligatures w14:val="none"/>
        </w:rPr>
        <w:t>the bread</w:t>
      </w:r>
      <w:proofErr w:type="gramEnd"/>
      <w:r w:rsidRPr="00BF76E2">
        <w:rPr>
          <w:rFonts w:ascii="Times New Roman" w:eastAsia="Times New Roman" w:hAnsi="Times New Roman" w:cs="Times New Roman"/>
          <w:kern w:val="0"/>
          <w14:ligatures w14:val="none"/>
        </w:rPr>
        <w:t xml:space="preserve">. The ascetic logic behind this restraint was not self-punishment — the tradition was explicit, in saying after saying, that excessive fasting was a form of pride and that the body needed enough to function. The goal was something more precise: a kind of perpetual, mild hunger that kept the body below the threshold at which it began to press its own demands insistently. A monk who was acutely hungry was distracted by hunger; a monk who was full had a different kind of problem. The restricted meal was an attempt to inhabit a middle condition in which the body was present but not insistent, available for prayer and labor without dominating them. How long this could be sustained, and how severe the restriction should be, was a matter the tradition consistently said should be calibrated to the individual by someone with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 another reason the abba relationship was </w:t>
      </w:r>
      <w:proofErr w:type="gramStart"/>
      <w:r w:rsidRPr="00BF76E2">
        <w:rPr>
          <w:rFonts w:ascii="Times New Roman" w:eastAsia="Times New Roman" w:hAnsi="Times New Roman" w:cs="Times New Roman"/>
          <w:kern w:val="0"/>
          <w14:ligatures w14:val="none"/>
        </w:rPr>
        <w:t>load-bearing</w:t>
      </w:r>
      <w:proofErr w:type="gramEnd"/>
      <w:r w:rsidRPr="00BF76E2">
        <w:rPr>
          <w:rFonts w:ascii="Times New Roman" w:eastAsia="Times New Roman" w:hAnsi="Times New Roman" w:cs="Times New Roman"/>
          <w:kern w:val="0"/>
          <w14:ligatures w14:val="none"/>
        </w:rPr>
        <w:t>.</w:t>
      </w:r>
    </w:p>
    <w:p w14:paraId="4D3BB60E"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Vigil — the reduction of sleep for the purpose of extended nocturnal prayer — operated on a similar logic. The night was not merely the time when daylight was absent; in the tradition's own symbolic vocabulary, the night office was participation in a kind of watchfulness that mirrored what God was understood to be doing while the world slept, and the darkness of the cell or the desert was a setting in which the ordinary distractions of social life fell away and the monk was left with what was actually in him. This could be terrifying. The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records elders speaking of nighttime attacks by demons — visions, sounds, physical sensations — that the martyrological combat frame understood as the adversary pressing hardest when the monk's defenses were lowest. Vigil was partly an act of courage, a refusal to let the night be conceded to the enemy.</w:t>
      </w:r>
    </w:p>
    <w:p w14:paraId="06C41846"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This daily texture — the pre-dawn office, the long morning of labor and the prayer of the heart, the sparse single meal, the early sleep and the interrupted night — was the shared behavioral substrate of this world's second confirmed cross-strand gravity. It is worth staying with that </w:t>
      </w:r>
      <w:r w:rsidRPr="00BF76E2">
        <w:rPr>
          <w:rFonts w:ascii="Times New Roman" w:eastAsia="Times New Roman" w:hAnsi="Times New Roman" w:cs="Times New Roman"/>
          <w:kern w:val="0"/>
          <w14:ligatures w14:val="none"/>
        </w:rPr>
        <w:lastRenderedPageBreak/>
        <w:t xml:space="preserve">claim precisely because what is shared is behavioral rather than theological: the practice of restricted eating, sustained labor, and reduced sleep is independently attested across all four strands of this world's evidence. What the strands disagree about is what this practice accomplishes and why it matters — and the disagreement runs deep enough that this entry keeps them separate rather than letting </w:t>
      </w:r>
      <w:proofErr w:type="spellStart"/>
      <w:r w:rsidRPr="00BF76E2">
        <w:rPr>
          <w:rFonts w:ascii="Times New Roman" w:eastAsia="Times New Roman" w:hAnsi="Times New Roman" w:cs="Times New Roman"/>
          <w:kern w:val="0"/>
          <w14:ligatures w14:val="none"/>
        </w:rPr>
        <w:t>any one</w:t>
      </w:r>
      <w:proofErr w:type="spellEnd"/>
      <w:r w:rsidRPr="00BF76E2">
        <w:rPr>
          <w:rFonts w:ascii="Times New Roman" w:eastAsia="Times New Roman" w:hAnsi="Times New Roman" w:cs="Times New Roman"/>
          <w:kern w:val="0"/>
          <w14:ligatures w14:val="none"/>
        </w:rPr>
        <w:t xml:space="preserve"> strand's account become the default.</w:t>
      </w:r>
    </w:p>
    <w:p w14:paraId="2BE3D91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federation, the same disciplines were organized communally and at scale. The federation's labor was not an individual monk's basket-weaving traded for his own bread; it was a coordinated economic system, with different houses assigned to different trades, the product flowing into a common store, distribution managed by the housemaster, and the overall economy of the federation extending to external trade through the Nile market routes. A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cenobite fasted within a shared rhythm set by the community's rule rather than calibrated individually by an abba; he labored within an assigned trade in an assigned house; the day's structure was communal rather than shaped by his own </w:t>
      </w:r>
      <w:proofErr w:type="gramStart"/>
      <w:r w:rsidRPr="00BF76E2">
        <w:rPr>
          <w:rFonts w:ascii="Times New Roman" w:eastAsia="Times New Roman" w:hAnsi="Times New Roman" w:cs="Times New Roman"/>
          <w:kern w:val="0"/>
          <w14:ligatures w14:val="none"/>
        </w:rPr>
        <w:t>particular struggle</w:t>
      </w:r>
      <w:proofErr w:type="gramEnd"/>
      <w:r w:rsidRPr="00BF76E2">
        <w:rPr>
          <w:rFonts w:ascii="Times New Roman" w:eastAsia="Times New Roman" w:hAnsi="Times New Roman" w:cs="Times New Roman"/>
          <w:kern w:val="0"/>
          <w14:ligatures w14:val="none"/>
        </w:rPr>
        <w:t xml:space="preserve"> and an elder's judgment about what he needed. The practice looks similar from outside — fasting, labor, prayer in common — but the institutional logic governing it is qualitatively different.</w:t>
      </w:r>
    </w:p>
    <w:p w14:paraId="5F0C593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In Shenoute's federation, the same disciplines operated under a layer of documentary accountability the other strands had no equivalent for. The written pledge of obedience signed at entry was not merely a spiritual commitment; it was a document whose violation could be and was enforced through corporal punishment, internal trial, and the kind of crisis that the "Death of a Male Monk" episode in Document 04 records. When Shenoute extended his authority over the women's community's food allowances — specifying not just that the women should fast but by how much, overriding the women's own prior self-governance in this matter — he was applying bodily discipline not as a cultivated interior practice but as an externally regulated, federally administered, signed-and-binding obligation. The same fasting. A different world around it.</w:t>
      </w:r>
    </w:p>
    <w:p w14:paraId="77C86C1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discipline this entry requires, and which should be carried forward by anyone using it: because the practice is genuinely shared and the theological meaning is genuinely not, any claim that begins "desert Christians believed the body was..." or "the tradition understood fasting to mean..." is making a theological claim this entry does not support. What the evidence supports is more modest </w:t>
      </w:r>
      <w:proofErr w:type="gramStart"/>
      <w:r w:rsidRPr="00BF76E2">
        <w:rPr>
          <w:rFonts w:ascii="Times New Roman" w:eastAsia="Times New Roman" w:hAnsi="Times New Roman" w:cs="Times New Roman"/>
          <w:kern w:val="0"/>
          <w14:ligatures w14:val="none"/>
        </w:rPr>
        <w:t>and also</w:t>
      </w:r>
      <w:proofErr w:type="gramEnd"/>
      <w:r w:rsidRPr="00BF76E2">
        <w:rPr>
          <w:rFonts w:ascii="Times New Roman" w:eastAsia="Times New Roman" w:hAnsi="Times New Roman" w:cs="Times New Roman"/>
          <w:kern w:val="0"/>
          <w14:ligatures w14:val="none"/>
        </w:rPr>
        <w:t xml:space="preserve"> more striking: across formations as different as the solitary hermit,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cenobite, and the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pledge-holder, the body's daily discipline through restricted eating, sustained labor, and reduced sleep was the medium through which formation happened. Whether this meant combat against individual demons, contribution to the purity of a corporate body, or participation in a communal koinonia-life, the practice was the same. Only what </w:t>
      </w:r>
      <w:proofErr w:type="gramStart"/>
      <w:r w:rsidRPr="00BF76E2">
        <w:rPr>
          <w:rFonts w:ascii="Times New Roman" w:eastAsia="Times New Roman" w:hAnsi="Times New Roman" w:cs="Times New Roman"/>
          <w:kern w:val="0"/>
          <w14:ligatures w14:val="none"/>
        </w:rPr>
        <w:t>the practice</w:t>
      </w:r>
      <w:proofErr w:type="gramEnd"/>
      <w:r w:rsidRPr="00BF76E2">
        <w:rPr>
          <w:rFonts w:ascii="Times New Roman" w:eastAsia="Times New Roman" w:hAnsi="Times New Roman" w:cs="Times New Roman"/>
          <w:kern w:val="0"/>
          <w14:ligatures w14:val="none"/>
        </w:rPr>
        <w:t xml:space="preserve"> was for differed.</w:t>
      </w:r>
    </w:p>
    <w:p w14:paraId="5EE7ED5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Ecological Function:</w:t>
      </w:r>
      <w:r w:rsidRPr="00BF76E2">
        <w:rPr>
          <w:rFonts w:ascii="Times New Roman" w:eastAsia="Times New Roman" w:hAnsi="Times New Roman" w:cs="Times New Roman"/>
          <w:kern w:val="0"/>
          <w14:ligatures w14:val="none"/>
        </w:rPr>
        <w:t xml:space="preserve"> This is the behavioral substrate every strand's formation logic operates on, regardless of theological frame. It interacts with Abba/Amma (much of the mentor's actual function concerns calibrating this practice to a given disciple) in every strand without exception. It connects to Common Property and Communal Labor (B2.5) and the Written Pledge of Obedience (B3.2) for the institutional forms these disciplines take in the cenobitic strands.</w:t>
      </w:r>
    </w:p>
    <w:p w14:paraId="0289495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Distortion Risk:</w:t>
      </w:r>
    </w:p>
    <w:p w14:paraId="67CEAE65" w14:textId="77777777" w:rsidR="00BF76E2" w:rsidRPr="00BF76E2" w:rsidRDefault="00BF76E2" w:rsidP="00BF76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lastRenderedPageBreak/>
        <w:t>Modern Hearing:</w:t>
      </w:r>
      <w:r w:rsidRPr="00BF76E2">
        <w:rPr>
          <w:rFonts w:ascii="Times New Roman" w:eastAsia="Times New Roman" w:hAnsi="Times New Roman" w:cs="Times New Roman"/>
          <w:kern w:val="0"/>
          <w14:ligatures w14:val="none"/>
        </w:rPr>
        <w:t xml:space="preserve"> A shared spiritual rationale — that fasting and vigil "mean the same thing" wherever they appear in this world, and that describing the practice implies access to a unified theology behind it.</w:t>
      </w:r>
    </w:p>
    <w:p w14:paraId="7F055033" w14:textId="77777777" w:rsidR="00BF76E2" w:rsidRPr="00BF76E2" w:rsidRDefault="00BF76E2" w:rsidP="00BF76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The practice travels across strands; its meaning does not. This entry describes only the practice, and any reader extending it to a theological claim about why the body matters in this world is drawing on a strand-specific entry elsewhere in this Lexicon, not on this one.</w:t>
      </w:r>
    </w:p>
    <w:p w14:paraId="09E2C0D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Patrum (throughout, for the anchoritic daily texture);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i/>
          <w:iCs/>
          <w:kern w:val="0"/>
          <w14:ligatures w14:val="none"/>
        </w:rPr>
        <w:t>Praecepta</w:t>
      </w:r>
      <w:proofErr w:type="spellEnd"/>
      <w:r w:rsidRPr="00BF76E2">
        <w:rPr>
          <w:rFonts w:ascii="Times New Roman" w:eastAsia="Times New Roman" w:hAnsi="Times New Roman" w:cs="Times New Roman"/>
          <w:kern w:val="0"/>
          <w14:ligatures w14:val="none"/>
        </w:rPr>
        <w:t xml:space="preserve"> (communal labor and rhythm); Shenoute's Canons and Krawiec-sourced letters (documentary accountability and women's food allowances specifically).</w:t>
      </w:r>
    </w:p>
    <w:p w14:paraId="5B0DE6B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03, Candidate F (Primary classification for practice layer; non-classification for theological-meaning layer); Document 04, Sections 2–3; Rebecca Krawiec, </w:t>
      </w:r>
      <w:r w:rsidRPr="00BF76E2">
        <w:rPr>
          <w:rFonts w:ascii="Times New Roman" w:eastAsia="Times New Roman" w:hAnsi="Times New Roman" w:cs="Times New Roman"/>
          <w:i/>
          <w:iCs/>
          <w:kern w:val="0"/>
          <w14:ligatures w14:val="none"/>
        </w:rPr>
        <w:t>Shenoute and the Women of the White Monastery</w:t>
      </w:r>
      <w:r w:rsidRPr="00BF76E2">
        <w:rPr>
          <w:rFonts w:ascii="Times New Roman" w:eastAsia="Times New Roman" w:hAnsi="Times New Roman" w:cs="Times New Roman"/>
          <w:kern w:val="0"/>
          <w14:ligatures w14:val="none"/>
        </w:rPr>
        <w:t>.</w:t>
      </w:r>
    </w:p>
    <w:p w14:paraId="3F5964DB"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Praktike</w:t>
      </w:r>
      <w:proofErr w:type="spellEnd"/>
      <w:r w:rsidRPr="00BF76E2">
        <w:rPr>
          <w:rFonts w:ascii="Times New Roman" w:eastAsia="Times New Roman" w:hAnsi="Times New Roman" w:cs="Times New Roman"/>
          <w:kern w:val="0"/>
          <w14:ligatures w14:val="none"/>
        </w:rPr>
        <w:t xml:space="preserve">/Theoria;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Corporate Body / Contamination Vocabulary [CT]; Common Property and Communal Labor; Written Pledge of Obedience; Martyrological Combat Frame; Demonic Combat [CT].</w:t>
      </w:r>
    </w:p>
    <w:p w14:paraId="637F05F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r w:rsidRPr="00BF76E2">
        <w:rPr>
          <w:rFonts w:ascii="Times New Roman" w:eastAsia="Times New Roman" w:hAnsi="Times New Roman" w:cs="Times New Roman"/>
          <w:kern w:val="0"/>
          <w14:ligatures w14:val="none"/>
        </w:rPr>
        <w:t>, for the practice itself and for its anchoritic/</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and Antonian theological framings. The Representative should be able to name that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practitioners fast, keep vigil, and labor as well — this much is genuinely shared — while marking their reasons for doing so as </w:t>
      </w:r>
      <w:r w:rsidRPr="00BF76E2">
        <w:rPr>
          <w:rFonts w:ascii="Times New Roman" w:eastAsia="Times New Roman" w:hAnsi="Times New Roman" w:cs="Times New Roman"/>
          <w:b/>
          <w:bCs/>
          <w:kern w:val="0"/>
          <w14:ligatures w14:val="none"/>
        </w:rPr>
        <w:t>Acknowledged-Only</w:t>
      </w:r>
      <w:r w:rsidRPr="00BF76E2">
        <w:rPr>
          <w:rFonts w:ascii="Times New Roman" w:eastAsia="Times New Roman" w:hAnsi="Times New Roman" w:cs="Times New Roman"/>
          <w:kern w:val="0"/>
          <w14:ligatures w14:val="none"/>
        </w:rPr>
        <w:t xml:space="preserve">: he should not claim insider command of Shenoute's corporate-body logic or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communal-economy framework when explaining why the practice matters to those strands.</w:t>
      </w:r>
    </w:p>
    <w:p w14:paraId="1B15B259" w14:textId="77777777" w:rsidR="00BF76E2" w:rsidRPr="00BF76E2" w:rsidRDefault="00BF76E2" w:rsidP="00BF76E2">
      <w:pPr>
        <w:spacing w:after="0"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pict w14:anchorId="1292DA3A">
          <v:rect id="_x0000_i1026" style="width:0;height:1.5pt" o:hralign="center" o:hrstd="t" o:hr="t" fillcolor="#a0a0a0" stroked="f"/>
        </w:pict>
      </w:r>
    </w:p>
    <w:p w14:paraId="2A67C857"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6E2">
        <w:rPr>
          <w:rFonts w:ascii="Times New Roman" w:eastAsia="Times New Roman" w:hAnsi="Times New Roman" w:cs="Times New Roman"/>
          <w:b/>
          <w:bCs/>
          <w:kern w:val="0"/>
          <w:sz w:val="27"/>
          <w:szCs w:val="27"/>
          <w14:ligatures w14:val="none"/>
        </w:rPr>
        <w:t>B1.1 Martyrological Combat Frame</w:t>
      </w:r>
    </w:p>
    <w:p w14:paraId="6A7D7A6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Tier 1.</w:t>
      </w:r>
      <w:r w:rsidRPr="00BF76E2">
        <w:rPr>
          <w:rFonts w:ascii="Times New Roman" w:eastAsia="Times New Roman" w:hAnsi="Times New Roman" w:cs="Times New Roman"/>
          <w:kern w:val="0"/>
          <w14:ligatures w14:val="none"/>
        </w:rPr>
        <w:t xml:space="preserve"> Tags: [AS] [TC] [DR] [RT]</w:t>
      </w:r>
    </w:p>
    <w:p w14:paraId="6ACEE371"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The specifically Antonian frame in which demons are understood as the successors to the Roman persecutors — the ascetic life as a continuation of martyrdom's combat by other means, now waged against demonic adversaries rather than soldiers, in the arena of the desert rather than the amphitheater.</w:t>
      </w:r>
    </w:p>
    <w:p w14:paraId="1DF84E3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World Meaning:</w:t>
      </w:r>
    </w:p>
    <w:p w14:paraId="59DCE6F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In the decades just before and after the year 300, Christianity in Egypt had lived under the possibility of death. The great persecution under Diocletian was not uniformly severe across the empire, but in Egypt it came with real force — property seized, clergy arrested, scriptures demanded, and some believers killed. The martyrs were not abstract figures; they were people who had faced the specific demand to recant or die, and who had not recanted. The tradition that gathered around their memory understood them to have won a contest against the most powerful </w:t>
      </w:r>
      <w:r w:rsidRPr="00BF76E2">
        <w:rPr>
          <w:rFonts w:ascii="Times New Roman" w:eastAsia="Times New Roman" w:hAnsi="Times New Roman" w:cs="Times New Roman"/>
          <w:kern w:val="0"/>
          <w14:ligatures w14:val="none"/>
        </w:rPr>
        <w:lastRenderedPageBreak/>
        <w:t xml:space="preserve">adversary the world could deploy, and to have won it by refusing, at the cost of everything, to concede what the adversary wanted. The martyr's victory was a kind of total combat in which the self — one's life, one's relationships, one's comfort, one's future — had been staked entirely on a </w:t>
      </w:r>
      <w:proofErr w:type="gramStart"/>
      <w:r w:rsidRPr="00BF76E2">
        <w:rPr>
          <w:rFonts w:ascii="Times New Roman" w:eastAsia="Times New Roman" w:hAnsi="Times New Roman" w:cs="Times New Roman"/>
          <w:kern w:val="0"/>
          <w14:ligatures w14:val="none"/>
        </w:rPr>
        <w:t>refusal, and</w:t>
      </w:r>
      <w:proofErr w:type="gramEnd"/>
      <w:r w:rsidRPr="00BF76E2">
        <w:rPr>
          <w:rFonts w:ascii="Times New Roman" w:eastAsia="Times New Roman" w:hAnsi="Times New Roman" w:cs="Times New Roman"/>
          <w:kern w:val="0"/>
          <w14:ligatures w14:val="none"/>
        </w:rPr>
        <w:t xml:space="preserve"> held.</w:t>
      </w:r>
    </w:p>
    <w:p w14:paraId="0A94CBC0"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Antony's withdrawal into the desert in the years following this period was understood, by the tradition that grew up around him and by Athanasius who gave that tradition its literary form, as the continuation of this same combat under new conditions. The persecution had ended; the arena was gone; the official adversary had become, startlingly, an official protector. But if the world had changed, the adversary </w:t>
      </w:r>
      <w:proofErr w:type="gramStart"/>
      <w:r w:rsidRPr="00BF76E2">
        <w:rPr>
          <w:rFonts w:ascii="Times New Roman" w:eastAsia="Times New Roman" w:hAnsi="Times New Roman" w:cs="Times New Roman"/>
          <w:kern w:val="0"/>
          <w14:ligatures w14:val="none"/>
        </w:rPr>
        <w:t>had not — had</w:t>
      </w:r>
      <w:proofErr w:type="gramEnd"/>
      <w:r w:rsidRPr="00BF76E2">
        <w:rPr>
          <w:rFonts w:ascii="Times New Roman" w:eastAsia="Times New Roman" w:hAnsi="Times New Roman" w:cs="Times New Roman"/>
          <w:kern w:val="0"/>
          <w14:ligatures w14:val="none"/>
        </w:rPr>
        <w:t xml:space="preserve"> only changed </w:t>
      </w:r>
      <w:proofErr w:type="gramStart"/>
      <w:r w:rsidRPr="00BF76E2">
        <w:rPr>
          <w:rFonts w:ascii="Times New Roman" w:eastAsia="Times New Roman" w:hAnsi="Times New Roman" w:cs="Times New Roman"/>
          <w:kern w:val="0"/>
          <w14:ligatures w14:val="none"/>
        </w:rPr>
        <w:t>costume</w:t>
      </w:r>
      <w:proofErr w:type="gramEnd"/>
      <w:r w:rsidRPr="00BF76E2">
        <w:rPr>
          <w:rFonts w:ascii="Times New Roman" w:eastAsia="Times New Roman" w:hAnsi="Times New Roman" w:cs="Times New Roman"/>
          <w:kern w:val="0"/>
          <w14:ligatures w14:val="none"/>
        </w:rPr>
        <w:t>. The demons who now confronted the desert monk in his cell were understood to be the same demonic powers who had worked through the Roman persecutors, now operating without that institutional intermediary, pressing directly on the monk in the only arena still available to them: the interior life, the body, the night, the desert landscape itself.</w:t>
      </w:r>
    </w:p>
    <w:p w14:paraId="09594591"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This is why the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xml:space="preserve"> — which Athanasius composed in the years after Antony's death, with an explicit anti-Arian theological agenda and the four-role authorial investment Document 02 identifies — is structured the way it is. The early sections describe Antony's progressive movement deeper into the desert, and the increasing intensity of the demonic opposition he encounters at each stage, as a series of escalating contests that mirror the logic of martyrological combat. At one point, Athanasius describes demons physically beating Antony until he lies for dead, and a friend </w:t>
      </w:r>
      <w:proofErr w:type="gramStart"/>
      <w:r w:rsidRPr="00BF76E2">
        <w:rPr>
          <w:rFonts w:ascii="Times New Roman" w:eastAsia="Times New Roman" w:hAnsi="Times New Roman" w:cs="Times New Roman"/>
          <w:kern w:val="0"/>
          <w14:ligatures w14:val="none"/>
        </w:rPr>
        <w:t>finding</w:t>
      </w:r>
      <w:proofErr w:type="gramEnd"/>
      <w:r w:rsidRPr="00BF76E2">
        <w:rPr>
          <w:rFonts w:ascii="Times New Roman" w:eastAsia="Times New Roman" w:hAnsi="Times New Roman" w:cs="Times New Roman"/>
          <w:kern w:val="0"/>
          <w14:ligatures w14:val="none"/>
        </w:rPr>
        <w:t xml:space="preserve"> him and </w:t>
      </w:r>
      <w:proofErr w:type="gramStart"/>
      <w:r w:rsidRPr="00BF76E2">
        <w:rPr>
          <w:rFonts w:ascii="Times New Roman" w:eastAsia="Times New Roman" w:hAnsi="Times New Roman" w:cs="Times New Roman"/>
          <w:kern w:val="0"/>
          <w14:ligatures w14:val="none"/>
        </w:rPr>
        <w:t>carrying</w:t>
      </w:r>
      <w:proofErr w:type="gramEnd"/>
      <w:r w:rsidRPr="00BF76E2">
        <w:rPr>
          <w:rFonts w:ascii="Times New Roman" w:eastAsia="Times New Roman" w:hAnsi="Times New Roman" w:cs="Times New Roman"/>
          <w:kern w:val="0"/>
          <w14:ligatures w14:val="none"/>
        </w:rPr>
        <w:t xml:space="preserve"> him back, and Antony </w:t>
      </w:r>
      <w:proofErr w:type="gramStart"/>
      <w:r w:rsidRPr="00BF76E2">
        <w:rPr>
          <w:rFonts w:ascii="Times New Roman" w:eastAsia="Times New Roman" w:hAnsi="Times New Roman" w:cs="Times New Roman"/>
          <w:kern w:val="0"/>
          <w14:ligatures w14:val="none"/>
        </w:rPr>
        <w:t>recovering</w:t>
      </w:r>
      <w:proofErr w:type="gramEnd"/>
      <w:r w:rsidRPr="00BF76E2">
        <w:rPr>
          <w:rFonts w:ascii="Times New Roman" w:eastAsia="Times New Roman" w:hAnsi="Times New Roman" w:cs="Times New Roman"/>
          <w:kern w:val="0"/>
          <w14:ligatures w14:val="none"/>
        </w:rPr>
        <w:t xml:space="preserve"> and </w:t>
      </w:r>
      <w:proofErr w:type="gramStart"/>
      <w:r w:rsidRPr="00BF76E2">
        <w:rPr>
          <w:rFonts w:ascii="Times New Roman" w:eastAsia="Times New Roman" w:hAnsi="Times New Roman" w:cs="Times New Roman"/>
          <w:kern w:val="0"/>
          <w14:ligatures w14:val="none"/>
        </w:rPr>
        <w:t>demanding</w:t>
      </w:r>
      <w:proofErr w:type="gramEnd"/>
      <w:r w:rsidRPr="00BF76E2">
        <w:rPr>
          <w:rFonts w:ascii="Times New Roman" w:eastAsia="Times New Roman" w:hAnsi="Times New Roman" w:cs="Times New Roman"/>
          <w:kern w:val="0"/>
          <w14:ligatures w14:val="none"/>
        </w:rPr>
        <w:t xml:space="preserve"> to be returned to the same location to continue the fight. The detail is hagiographically heightened — it belongs to Tier 3 tradition, not to secure historical </w:t>
      </w:r>
      <w:proofErr w:type="gramStart"/>
      <w:r w:rsidRPr="00BF76E2">
        <w:rPr>
          <w:rFonts w:ascii="Times New Roman" w:eastAsia="Times New Roman" w:hAnsi="Times New Roman" w:cs="Times New Roman"/>
          <w:kern w:val="0"/>
          <w14:ligatures w14:val="none"/>
        </w:rPr>
        <w:t>record —</w:t>
      </w:r>
      <w:proofErr w:type="gramEnd"/>
      <w:r w:rsidRPr="00BF76E2">
        <w:rPr>
          <w:rFonts w:ascii="Times New Roman" w:eastAsia="Times New Roman" w:hAnsi="Times New Roman" w:cs="Times New Roman"/>
          <w:kern w:val="0"/>
          <w14:ligatures w14:val="none"/>
        </w:rPr>
        <w:t xml:space="preserve"> but it is not arbitrary. It encodes the theological logic: the martyr does not retreat when the adversary presses hardest. The contest continues until one side or the other yields.</w:t>
      </w:r>
    </w:p>
    <w:p w14:paraId="40CE83B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To inhabit this frame in the cell at night was to understand one's situation in these terms. The monk who lay on a reed mat on the desert floor, waking at midnight to pray, and who found that the darkness seemed to press in on him, that sounds he could not identify moved at the edge of perception, that shapes seemed to form in the shadows — this monk was not, within the framework the tradition gave him, experiencing psychological disturbance or the natural fears of a person alone in an isolated place. He was experiencing the adversary testing his defenses </w:t>
      </w:r>
      <w:proofErr w:type="gramStart"/>
      <w:r w:rsidRPr="00BF76E2">
        <w:rPr>
          <w:rFonts w:ascii="Times New Roman" w:eastAsia="Times New Roman" w:hAnsi="Times New Roman" w:cs="Times New Roman"/>
          <w:kern w:val="0"/>
          <w14:ligatures w14:val="none"/>
        </w:rPr>
        <w:t>at the moment</w:t>
      </w:r>
      <w:proofErr w:type="gramEnd"/>
      <w:r w:rsidRPr="00BF76E2">
        <w:rPr>
          <w:rFonts w:ascii="Times New Roman" w:eastAsia="Times New Roman" w:hAnsi="Times New Roman" w:cs="Times New Roman"/>
          <w:kern w:val="0"/>
          <w14:ligatures w14:val="none"/>
        </w:rPr>
        <w:t xml:space="preserve"> of lowest resistance, exactly as the persecutors had tested the martyrs </w:t>
      </w:r>
      <w:proofErr w:type="gramStart"/>
      <w:r w:rsidRPr="00BF76E2">
        <w:rPr>
          <w:rFonts w:ascii="Times New Roman" w:eastAsia="Times New Roman" w:hAnsi="Times New Roman" w:cs="Times New Roman"/>
          <w:kern w:val="0"/>
          <w14:ligatures w14:val="none"/>
        </w:rPr>
        <w:t>at the moment</w:t>
      </w:r>
      <w:proofErr w:type="gramEnd"/>
      <w:r w:rsidRPr="00BF76E2">
        <w:rPr>
          <w:rFonts w:ascii="Times New Roman" w:eastAsia="Times New Roman" w:hAnsi="Times New Roman" w:cs="Times New Roman"/>
          <w:kern w:val="0"/>
          <w14:ligatures w14:val="none"/>
        </w:rPr>
        <w:t xml:space="preserve"> of arrest and trial. The appropriate response was the same response: refuse to yield. Continue. Hold.</w:t>
      </w:r>
    </w:p>
    <w:p w14:paraId="4DA024F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The practical consequence of this frame was that the monk's bodily location in the desert — the cell, the wilderness, the space between settlements where no one would look for him — was understood not as an absence of danger but as its intensification. The desert, in the symbolic vocabulary that ran from the Hebrew scriptures through the New Testament's account of Jesus's forty days into the post-persecution Christian imagination, was the place where demons dwelt precisely because it was where human society had withdrawn. To move into that space was to move toward the adversary, not away from trouble. Withdrawal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w:t>
      </w:r>
      <w:proofErr w:type="gramStart"/>
      <w:r w:rsidRPr="00BF76E2">
        <w:rPr>
          <w:rFonts w:ascii="Times New Roman" w:eastAsia="Times New Roman" w:hAnsi="Times New Roman" w:cs="Times New Roman"/>
          <w:kern w:val="0"/>
          <w14:ligatures w14:val="none"/>
        </w:rPr>
        <w:t>was not escape</w:t>
      </w:r>
      <w:proofErr w:type="gramEnd"/>
      <w:r w:rsidRPr="00BF76E2">
        <w:rPr>
          <w:rFonts w:ascii="Times New Roman" w:eastAsia="Times New Roman" w:hAnsi="Times New Roman" w:cs="Times New Roman"/>
          <w:kern w:val="0"/>
          <w14:ligatures w14:val="none"/>
        </w:rPr>
        <w:t xml:space="preserve">; it was </w:t>
      </w:r>
      <w:proofErr w:type="gramStart"/>
      <w:r w:rsidRPr="00BF76E2">
        <w:rPr>
          <w:rFonts w:ascii="Times New Roman" w:eastAsia="Times New Roman" w:hAnsi="Times New Roman" w:cs="Times New Roman"/>
          <w:kern w:val="0"/>
          <w14:ligatures w14:val="none"/>
        </w:rPr>
        <w:t>advance</w:t>
      </w:r>
      <w:proofErr w:type="gramEnd"/>
      <w:r w:rsidRPr="00BF76E2">
        <w:rPr>
          <w:rFonts w:ascii="Times New Roman" w:eastAsia="Times New Roman" w:hAnsi="Times New Roman" w:cs="Times New Roman"/>
          <w:kern w:val="0"/>
          <w14:ligatures w14:val="none"/>
        </w:rPr>
        <w:t xml:space="preserve"> into contested territory.</w:t>
      </w:r>
    </w:p>
    <w:p w14:paraId="13B668D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lastRenderedPageBreak/>
        <w:t xml:space="preserve">This is the frame the Representative carries as his native inheritance. It is worth noting what it is not. It is not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taxonomy, which comes later and from a very different intellectual location —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was a trained theologian from Caesarea who had served in Constantinople, and his systematization of the "thoughts" into eight named categories represents a significant psychological and philosophical elaboration of what the Antonian tradition had held more narratively and combatively. The martyrological-combat frame does not sort temptations into eight types; it understands the entire enterprise as a single contest with a single adversary who presses by whatever means are available.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contribution was precision. Antony's inheritance was total engagement.</w:t>
      </w:r>
    </w:p>
    <w:p w14:paraId="57E04BBB"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Author Gravity caution Document 02 establishes for Athanasius bears on how this frame should be held. Athanasius shaped the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xml:space="preserve"> for specific theological purposes — anti-Arian polemic was one of them, and the construction of Antony as the exemplary model of non-intellectual, Spirit-illuminated wisdom was another. The martyrological-combat frame as it reaches us has been filtered through Athanasius's own theological commitments and his four-role authorial investment. This does not mean the frame is false — it means it should be read as a theological construction that may both preserve and shape something about Antony's own self-understanding, rather than a transparent window onto that self-understanding directly. The Representative who carries this frame natively carries it as the tradition gave it, with that honest nuance present rather than suppressed.</w:t>
      </w:r>
    </w:p>
    <w:p w14:paraId="52C6200C"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Ecological Function:</w:t>
      </w:r>
      <w:r w:rsidRPr="00BF76E2">
        <w:rPr>
          <w:rFonts w:ascii="Times New Roman" w:eastAsia="Times New Roman" w:hAnsi="Times New Roman" w:cs="Times New Roman"/>
          <w:kern w:val="0"/>
          <w14:ligatures w14:val="none"/>
        </w:rPr>
        <w:t xml:space="preserve"> The foundational frame through which the Representative understands spiritual struggle; the theological logic that makes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constitutive rather than merely preferable, and that makes the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an arena rather than merely a shelter. Stands in documented contrast with the </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frame,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communal-vigilance frame, and the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prophetic-discernment frame — see Demonic Combat [CT] (B4.2) for the four-frame fracture explicitly.</w:t>
      </w:r>
    </w:p>
    <w:p w14:paraId="15C8416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Distortion Risk:</w:t>
      </w:r>
    </w:p>
    <w:p w14:paraId="3E81EC7A" w14:textId="77777777" w:rsidR="00BF76E2" w:rsidRPr="00BF76E2" w:rsidRDefault="00BF76E2" w:rsidP="00BF7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Modern Hearing:</w:t>
      </w:r>
      <w:r w:rsidRPr="00BF76E2">
        <w:rPr>
          <w:rFonts w:ascii="Times New Roman" w:eastAsia="Times New Roman" w:hAnsi="Times New Roman" w:cs="Times New Roman"/>
          <w:kern w:val="0"/>
          <w14:ligatures w14:val="none"/>
        </w:rPr>
        <w:t xml:space="preserve"> Either a </w:t>
      </w:r>
      <w:proofErr w:type="gramStart"/>
      <w:r w:rsidRPr="00BF76E2">
        <w:rPr>
          <w:rFonts w:ascii="Times New Roman" w:eastAsia="Times New Roman" w:hAnsi="Times New Roman" w:cs="Times New Roman"/>
          <w:kern w:val="0"/>
          <w14:ligatures w14:val="none"/>
        </w:rPr>
        <w:t>naïve</w:t>
      </w:r>
      <w:proofErr w:type="gramEnd"/>
      <w:r w:rsidRPr="00BF76E2">
        <w:rPr>
          <w:rFonts w:ascii="Times New Roman" w:eastAsia="Times New Roman" w:hAnsi="Times New Roman" w:cs="Times New Roman"/>
          <w:kern w:val="0"/>
          <w14:ligatures w14:val="none"/>
        </w:rPr>
        <w:t xml:space="preserve"> pre-critical supernaturalism (literal demons doing physical battle) or a psychologized reading that interprets Antony's demons as symbolic of internal psychological states, collapsing the martyrological-combat dimension entirely.</w:t>
      </w:r>
    </w:p>
    <w:p w14:paraId="1959D8EB" w14:textId="77777777" w:rsidR="00BF76E2" w:rsidRPr="00BF76E2" w:rsidRDefault="00BF76E2" w:rsidP="00BF7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A specific, historically grounded theological frame in which demons are real and active, the desert is contested space, and the ascetic's refusal to yield is understood as a continuation of the martyr's witness — not a metaphor for psychological struggle, and not a literal claim about specific supernatural events that can be confirmed historically, but a theological interpretation of the ascetic's situation that shaped everything about how that situation was inhabited.</w:t>
      </w:r>
    </w:p>
    <w:p w14:paraId="26E3659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Athanasius,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xml:space="preserve"> (with Author Gravity caution: Tier 3 hagiographic narrative; Athanasius's four-role agenda actively </w:t>
      </w:r>
      <w:proofErr w:type="gramStart"/>
      <w:r w:rsidRPr="00BF76E2">
        <w:rPr>
          <w:rFonts w:ascii="Times New Roman" w:eastAsia="Times New Roman" w:hAnsi="Times New Roman" w:cs="Times New Roman"/>
          <w:kern w:val="0"/>
          <w14:ligatures w14:val="none"/>
        </w:rPr>
        <w:t>shapes</w:t>
      </w:r>
      <w:proofErr w:type="gramEnd"/>
      <w:r w:rsidRPr="00BF76E2">
        <w:rPr>
          <w:rFonts w:ascii="Times New Roman" w:eastAsia="Times New Roman" w:hAnsi="Times New Roman" w:cs="Times New Roman"/>
          <w:kern w:val="0"/>
          <w14:ligatures w14:val="none"/>
        </w:rPr>
        <w:t xml:space="preserve"> the frame's presentation);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Patrum (Antony-attributed sayings, Tier 2 individual-attribution confidence).</w:t>
      </w:r>
    </w:p>
    <w:p w14:paraId="7CBE4BB7"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02, Athanasius entry (four-role disaggregation); Document 03, Candidate B (Brakke's four-frame finding); Brakke, </w:t>
      </w:r>
      <w:r w:rsidRPr="00BF76E2">
        <w:rPr>
          <w:rFonts w:ascii="Times New Roman" w:eastAsia="Times New Roman" w:hAnsi="Times New Roman" w:cs="Times New Roman"/>
          <w:i/>
          <w:iCs/>
          <w:kern w:val="0"/>
          <w14:ligatures w14:val="none"/>
        </w:rPr>
        <w:t>Demons and the Making of the Monk</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kern w:val="0"/>
          <w14:ligatures w14:val="none"/>
        </w:rPr>
        <w:lastRenderedPageBreak/>
        <w:t>Document 04, Section 4 (Temporal Ecology, raids as context for the combat frame's lived stakes).</w:t>
      </w:r>
    </w:p>
    <w:p w14:paraId="2B6BAC35"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[CT]; Ascetic Bodily Practice;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Nepsis</w:t>
      </w:r>
      <w:proofErr w:type="spellEnd"/>
      <w:r w:rsidRPr="00BF76E2">
        <w:rPr>
          <w:rFonts w:ascii="Times New Roman" w:eastAsia="Times New Roman" w:hAnsi="Times New Roman" w:cs="Times New Roman"/>
          <w:kern w:val="0"/>
          <w14:ligatures w14:val="none"/>
        </w:rPr>
        <w:t xml:space="preserve">; Demonic Combat [CT];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w:t>
      </w:r>
    </w:p>
    <w:p w14:paraId="5CBA497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r w:rsidRPr="00BF76E2">
        <w:rPr>
          <w:rFonts w:ascii="Times New Roman" w:eastAsia="Times New Roman" w:hAnsi="Times New Roman" w:cs="Times New Roman"/>
          <w:kern w:val="0"/>
          <w14:ligatures w14:val="none"/>
        </w:rPr>
        <w:t xml:space="preserve"> This is the Representative's own strand's foundational frame for understanding spiritual struggle. He should speak it with full confidence while holding, as a native-register nuance, the two-layer caution: that Athanasius's hand in the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xml:space="preserve"> shapes how this frame reaches tradition (without discrediting the frame, but without claiming unmediated access to Antony's own self-understanding), and that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later psychological taxonomy (B1.2) represents a subsequent, more systematized elaboration built on top of this foundational frame rather than an alternative form of the same thing.</w:t>
      </w:r>
    </w:p>
    <w:p w14:paraId="71A23140" w14:textId="77777777" w:rsidR="00BF76E2" w:rsidRPr="00BF76E2" w:rsidRDefault="00BF76E2" w:rsidP="00BF76E2">
      <w:pPr>
        <w:spacing w:after="0"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pict w14:anchorId="26CA8D8E">
          <v:rect id="_x0000_i1027" style="width:0;height:1.5pt" o:hralign="center" o:hrstd="t" o:hr="t" fillcolor="#a0a0a0" stroked="f"/>
        </w:pict>
      </w:r>
    </w:p>
    <w:p w14:paraId="76485337"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6E2">
        <w:rPr>
          <w:rFonts w:ascii="Times New Roman" w:eastAsia="Times New Roman" w:hAnsi="Times New Roman" w:cs="Times New Roman"/>
          <w:b/>
          <w:bCs/>
          <w:kern w:val="0"/>
          <w:sz w:val="27"/>
          <w:szCs w:val="27"/>
          <w14:ligatures w14:val="none"/>
        </w:rPr>
        <w:t xml:space="preserve">B1.2 </w:t>
      </w:r>
      <w:proofErr w:type="spellStart"/>
      <w:r w:rsidRPr="00BF76E2">
        <w:rPr>
          <w:rFonts w:ascii="Times New Roman" w:eastAsia="Times New Roman" w:hAnsi="Times New Roman" w:cs="Times New Roman"/>
          <w:b/>
          <w:bCs/>
          <w:kern w:val="0"/>
          <w:sz w:val="27"/>
          <w:szCs w:val="27"/>
          <w14:ligatures w14:val="none"/>
        </w:rPr>
        <w:t>Logismoi</w:t>
      </w:r>
      <w:proofErr w:type="spellEnd"/>
    </w:p>
    <w:p w14:paraId="4FAD65A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Tier 1.</w:t>
      </w:r>
      <w:r w:rsidRPr="00BF76E2">
        <w:rPr>
          <w:rFonts w:ascii="Times New Roman" w:eastAsia="Times New Roman" w:hAnsi="Times New Roman" w:cs="Times New Roman"/>
          <w:kern w:val="0"/>
          <w14:ligatures w14:val="none"/>
        </w:rPr>
        <w:t xml:space="preserve"> Tags: [AS] [TC] [DR] [RT] [CT]</w:t>
      </w:r>
    </w:p>
    <w:p w14:paraId="4A20CD0B"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The "</w:t>
      </w:r>
      <w:proofErr w:type="gramStart"/>
      <w:r w:rsidRPr="00BF76E2">
        <w:rPr>
          <w:rFonts w:ascii="Times New Roman" w:eastAsia="Times New Roman" w:hAnsi="Times New Roman" w:cs="Times New Roman"/>
          <w:kern w:val="0"/>
          <w14:ligatures w14:val="none"/>
        </w:rPr>
        <w:t>thoughts" —</w:t>
      </w:r>
      <w:proofErr w:type="gramEnd"/>
      <w:r w:rsidRPr="00BF76E2">
        <w:rPr>
          <w:rFonts w:ascii="Times New Roman" w:eastAsia="Times New Roman" w:hAnsi="Times New Roman" w:cs="Times New Roman"/>
          <w:kern w:val="0"/>
          <w14:ligatures w14:val="none"/>
        </w:rPr>
        <w:t xml:space="preserve"> in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Ponticus's specific systematization, eight named categories of temptation that assail the ascetic and must be discerned, confessed, and resisted through the practical-ascetic stage of formation.</w:t>
      </w:r>
    </w:p>
    <w:p w14:paraId="67670CF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[CT] note — type of contest:</w:t>
      </w:r>
      <w:r w:rsidRPr="00BF76E2">
        <w:rPr>
          <w:rFonts w:ascii="Times New Roman" w:eastAsia="Times New Roman" w:hAnsi="Times New Roman" w:cs="Times New Roman"/>
          <w:kern w:val="0"/>
          <w14:ligatures w14:val="none"/>
        </w:rPr>
        <w:t xml:space="preserve"> This tag flags a </w:t>
      </w:r>
      <w:r w:rsidRPr="00BF76E2">
        <w:rPr>
          <w:rFonts w:ascii="Times New Roman" w:eastAsia="Times New Roman" w:hAnsi="Times New Roman" w:cs="Times New Roman"/>
          <w:b/>
          <w:bCs/>
          <w:kern w:val="0"/>
          <w14:ligatures w14:val="none"/>
        </w:rPr>
        <w:t>popular-overstatement problem</w:t>
      </w:r>
      <w:r w:rsidRPr="00BF76E2">
        <w:rPr>
          <w:rFonts w:ascii="Times New Roman" w:eastAsia="Times New Roman" w:hAnsi="Times New Roman" w:cs="Times New Roman"/>
          <w:kern w:val="0"/>
          <w14:ligatures w14:val="none"/>
        </w:rPr>
        <w:t>, not unresolved scholarship. The scholarly identification of the eight-</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taxonomy as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personal systematization rather than shared ancient desert doctrine is well-established. The problem is that this term is frequently extended in popular and sometimes specialist use beyond its evidential scope, presented as a general "desert fathers" teaching rather than one highly literate thinker's contribution.</w:t>
      </w:r>
    </w:p>
    <w:p w14:paraId="776A389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World Meaning:</w:t>
      </w:r>
    </w:p>
    <w:p w14:paraId="410B2F7C"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Ponticus came to the Egyptian desert carrying a different kind of intellectual formation than most of the figures the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tradition records. He had been educated in Cappadocia under Basil of Caesarea and Gregory of Nazianzus, had served as a deacon in Constantinople, and had moved in the highest ecclesiastical circles of his day before a personal crisis drove him to leave and eventually to settle in </w:t>
      </w:r>
      <w:proofErr w:type="spellStart"/>
      <w:r w:rsidRPr="00BF76E2">
        <w:rPr>
          <w:rFonts w:ascii="Times New Roman" w:eastAsia="Times New Roman" w:hAnsi="Times New Roman" w:cs="Times New Roman"/>
          <w:kern w:val="0"/>
          <w14:ligatures w14:val="none"/>
        </w:rPr>
        <w:t>Nitria</w:t>
      </w:r>
      <w:proofErr w:type="spellEnd"/>
      <w:r w:rsidRPr="00BF76E2">
        <w:rPr>
          <w:rFonts w:ascii="Times New Roman" w:eastAsia="Times New Roman" w:hAnsi="Times New Roman" w:cs="Times New Roman"/>
          <w:kern w:val="0"/>
          <w14:ligatures w14:val="none"/>
        </w:rPr>
        <w:t xml:space="preserve"> and then Kellia, where he spent the last decade and a half of his life. He brought to the desert the habits of a trained theologian and something of a systematic temperament. The eight-</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taxonomy is the product of those habits applied to the specific conditions of solitary ascetic life — a classification system for the interior life that had the precision and comprehensiveness of a trained mind trying to make full sense of what the desert experience </w:t>
      </w:r>
      <w:proofErr w:type="gramStart"/>
      <w:r w:rsidRPr="00BF76E2">
        <w:rPr>
          <w:rFonts w:ascii="Times New Roman" w:eastAsia="Times New Roman" w:hAnsi="Times New Roman" w:cs="Times New Roman"/>
          <w:kern w:val="0"/>
          <w14:ligatures w14:val="none"/>
        </w:rPr>
        <w:t>actually involved</w:t>
      </w:r>
      <w:proofErr w:type="gramEnd"/>
      <w:r w:rsidRPr="00BF76E2">
        <w:rPr>
          <w:rFonts w:ascii="Times New Roman" w:eastAsia="Times New Roman" w:hAnsi="Times New Roman" w:cs="Times New Roman"/>
          <w:kern w:val="0"/>
          <w14:ligatures w14:val="none"/>
        </w:rPr>
        <w:t>.</w:t>
      </w:r>
    </w:p>
    <w:p w14:paraId="65298E7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eight thoughts, in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own presentation in the </w:t>
      </w:r>
      <w:proofErr w:type="spellStart"/>
      <w:r w:rsidRPr="00BF76E2">
        <w:rPr>
          <w:rFonts w:ascii="Times New Roman" w:eastAsia="Times New Roman" w:hAnsi="Times New Roman" w:cs="Times New Roman"/>
          <w:i/>
          <w:iCs/>
          <w:kern w:val="0"/>
          <w14:ligatures w14:val="none"/>
        </w:rPr>
        <w:t>Praktikos</w:t>
      </w:r>
      <w:proofErr w:type="spellEnd"/>
      <w:r w:rsidRPr="00BF76E2">
        <w:rPr>
          <w:rFonts w:ascii="Times New Roman" w:eastAsia="Times New Roman" w:hAnsi="Times New Roman" w:cs="Times New Roman"/>
          <w:kern w:val="0"/>
          <w14:ligatures w14:val="none"/>
        </w:rPr>
        <w:t>, are: gluttony (</w:t>
      </w:r>
      <w:proofErr w:type="spellStart"/>
      <w:r w:rsidRPr="00BF76E2">
        <w:rPr>
          <w:rFonts w:ascii="Times New Roman" w:eastAsia="Times New Roman" w:hAnsi="Times New Roman" w:cs="Times New Roman"/>
          <w:i/>
          <w:iCs/>
          <w:kern w:val="0"/>
          <w14:ligatures w14:val="none"/>
        </w:rPr>
        <w:t>gastrimargia</w:t>
      </w:r>
      <w:proofErr w:type="spellEnd"/>
      <w:r w:rsidRPr="00BF76E2">
        <w:rPr>
          <w:rFonts w:ascii="Times New Roman" w:eastAsia="Times New Roman" w:hAnsi="Times New Roman" w:cs="Times New Roman"/>
          <w:kern w:val="0"/>
          <w14:ligatures w14:val="none"/>
        </w:rPr>
        <w:t>), fornication (</w:t>
      </w:r>
      <w:proofErr w:type="spellStart"/>
      <w:r w:rsidRPr="00BF76E2">
        <w:rPr>
          <w:rFonts w:ascii="Times New Roman" w:eastAsia="Times New Roman" w:hAnsi="Times New Roman" w:cs="Times New Roman"/>
          <w:i/>
          <w:iCs/>
          <w:kern w:val="0"/>
          <w14:ligatures w14:val="none"/>
        </w:rPr>
        <w:t>porneia</w:t>
      </w:r>
      <w:proofErr w:type="spellEnd"/>
      <w:r w:rsidRPr="00BF76E2">
        <w:rPr>
          <w:rFonts w:ascii="Times New Roman" w:eastAsia="Times New Roman" w:hAnsi="Times New Roman" w:cs="Times New Roman"/>
          <w:kern w:val="0"/>
          <w14:ligatures w14:val="none"/>
        </w:rPr>
        <w:t>), love of money (</w:t>
      </w:r>
      <w:proofErr w:type="spellStart"/>
      <w:r w:rsidRPr="00BF76E2">
        <w:rPr>
          <w:rFonts w:ascii="Times New Roman" w:eastAsia="Times New Roman" w:hAnsi="Times New Roman" w:cs="Times New Roman"/>
          <w:i/>
          <w:iCs/>
          <w:kern w:val="0"/>
          <w14:ligatures w14:val="none"/>
        </w:rPr>
        <w:t>philargyria</w:t>
      </w:r>
      <w:proofErr w:type="spellEnd"/>
      <w:r w:rsidRPr="00BF76E2">
        <w:rPr>
          <w:rFonts w:ascii="Times New Roman" w:eastAsia="Times New Roman" w:hAnsi="Times New Roman" w:cs="Times New Roman"/>
          <w:kern w:val="0"/>
          <w14:ligatures w14:val="none"/>
        </w:rPr>
        <w:t>), sadness (</w:t>
      </w:r>
      <w:proofErr w:type="spellStart"/>
      <w:r w:rsidRPr="00BF76E2">
        <w:rPr>
          <w:rFonts w:ascii="Times New Roman" w:eastAsia="Times New Roman" w:hAnsi="Times New Roman" w:cs="Times New Roman"/>
          <w:i/>
          <w:iCs/>
          <w:kern w:val="0"/>
          <w14:ligatures w14:val="none"/>
        </w:rPr>
        <w:t>lype</w:t>
      </w:r>
      <w:proofErr w:type="spellEnd"/>
      <w:r w:rsidRPr="00BF76E2">
        <w:rPr>
          <w:rFonts w:ascii="Times New Roman" w:eastAsia="Times New Roman" w:hAnsi="Times New Roman" w:cs="Times New Roman"/>
          <w:kern w:val="0"/>
          <w14:ligatures w14:val="none"/>
        </w:rPr>
        <w:t>), anger (</w:t>
      </w:r>
      <w:proofErr w:type="spellStart"/>
      <w:r w:rsidRPr="00BF76E2">
        <w:rPr>
          <w:rFonts w:ascii="Times New Roman" w:eastAsia="Times New Roman" w:hAnsi="Times New Roman" w:cs="Times New Roman"/>
          <w:i/>
          <w:iCs/>
          <w:kern w:val="0"/>
          <w14:ligatures w14:val="none"/>
        </w:rPr>
        <w:t>orge</w:t>
      </w:r>
      <w:proofErr w:type="spellEnd"/>
      <w:r w:rsidRPr="00BF76E2">
        <w:rPr>
          <w:rFonts w:ascii="Times New Roman" w:eastAsia="Times New Roman" w:hAnsi="Times New Roman" w:cs="Times New Roman"/>
          <w:kern w:val="0"/>
          <w14:ligatures w14:val="none"/>
        </w:rPr>
        <w:t>), acedia (</w:t>
      </w:r>
      <w:proofErr w:type="spellStart"/>
      <w:r w:rsidRPr="00BF76E2">
        <w:rPr>
          <w:rFonts w:ascii="Times New Roman" w:eastAsia="Times New Roman" w:hAnsi="Times New Roman" w:cs="Times New Roman"/>
          <w:i/>
          <w:iCs/>
          <w:kern w:val="0"/>
          <w14:ligatures w14:val="none"/>
        </w:rPr>
        <w:t>akedia</w:t>
      </w:r>
      <w:proofErr w:type="spellEnd"/>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kern w:val="0"/>
          <w14:ligatures w14:val="none"/>
        </w:rPr>
        <w:lastRenderedPageBreak/>
        <w:t>vainglory (</w:t>
      </w:r>
      <w:proofErr w:type="spellStart"/>
      <w:r w:rsidRPr="00BF76E2">
        <w:rPr>
          <w:rFonts w:ascii="Times New Roman" w:eastAsia="Times New Roman" w:hAnsi="Times New Roman" w:cs="Times New Roman"/>
          <w:i/>
          <w:iCs/>
          <w:kern w:val="0"/>
          <w14:ligatures w14:val="none"/>
        </w:rPr>
        <w:t>kenodoxia</w:t>
      </w:r>
      <w:proofErr w:type="spellEnd"/>
      <w:r w:rsidRPr="00BF76E2">
        <w:rPr>
          <w:rFonts w:ascii="Times New Roman" w:eastAsia="Times New Roman" w:hAnsi="Times New Roman" w:cs="Times New Roman"/>
          <w:kern w:val="0"/>
          <w14:ligatures w14:val="none"/>
        </w:rPr>
        <w:t>), and pride (</w:t>
      </w:r>
      <w:proofErr w:type="spellStart"/>
      <w:r w:rsidRPr="00BF76E2">
        <w:rPr>
          <w:rFonts w:ascii="Times New Roman" w:eastAsia="Times New Roman" w:hAnsi="Times New Roman" w:cs="Times New Roman"/>
          <w:i/>
          <w:iCs/>
          <w:kern w:val="0"/>
          <w14:ligatures w14:val="none"/>
        </w:rPr>
        <w:t>hyperephania</w:t>
      </w:r>
      <w:proofErr w:type="spellEnd"/>
      <w:r w:rsidRPr="00BF76E2">
        <w:rPr>
          <w:rFonts w:ascii="Times New Roman" w:eastAsia="Times New Roman" w:hAnsi="Times New Roman" w:cs="Times New Roman"/>
          <w:kern w:val="0"/>
          <w14:ligatures w14:val="none"/>
        </w:rPr>
        <w:t xml:space="preserve">). The list moves in a rough sequence, and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understood them as related in a particular way: the first three are concerned with bodily desires and their excesses; the middle group involves interior states that arise when the bodily temptations have been engaged (sadness, anger, and the desolation of acedia tend to appear when the monk is actually practicing restriction rather than giving in to it); and the final two — vainglory and pride — are peculiarly dangerous because they can arise precisely in response to progress. A monk who had successfully reduced his eating, who found fornication's pull had weakened, who had simplified his material circumstances, was not therefore safe; he was now vulnerable to the thought that he had achieved something, that his virtue was visible and worthy of note, and ultimately to the thought that placed the self rather than God at the center of the spiritual enterprise.</w:t>
      </w:r>
    </w:p>
    <w:p w14:paraId="064B9D6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eight categories mattered not because they were exhaustive —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was not claiming that there were exactly eight and no more distorting influences on the soul — but because having named categories gave the monk a diagnostic tool. Without a framework, the experience of interior disturbance was a confused mass of pressure and reaction. With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in view, a monk who found himself irritable and unable to pray could ask a more precise question: which of these is this? Is this anger with something specific, and what is that something? Is this acedia, and if so, what time of day is it and how long have I been in the cell? Is this sadness, and if so, what have I lost or believe I am losing? The naming was the beginning of the seeing, and seeing was the beginning of the capacity to respond specifically rather than to react generally.</w:t>
      </w:r>
    </w:p>
    <w:p w14:paraId="1DE29CB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This is where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framework connects directly to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and to the abba relationship.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did not expect the monk to perform this diagnostic work entirely alone. The practice he commended was confession of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to the elder — not in a formal sacramental sense, but as the regular practice of bringing the thoughts to light before someone with the experience and the discernment to see what they </w:t>
      </w:r>
      <w:proofErr w:type="gramStart"/>
      <w:r w:rsidRPr="00BF76E2">
        <w:rPr>
          <w:rFonts w:ascii="Times New Roman" w:eastAsia="Times New Roman" w:hAnsi="Times New Roman" w:cs="Times New Roman"/>
          <w:kern w:val="0"/>
          <w14:ligatures w14:val="none"/>
        </w:rPr>
        <w:t>actually were</w:t>
      </w:r>
      <w:proofErr w:type="gramEnd"/>
      <w:r w:rsidRPr="00BF76E2">
        <w:rPr>
          <w:rFonts w:ascii="Times New Roman" w:eastAsia="Times New Roman" w:hAnsi="Times New Roman" w:cs="Times New Roman"/>
          <w:kern w:val="0"/>
          <w14:ligatures w14:val="none"/>
        </w:rPr>
        <w:t xml:space="preserve">. The thought that the monk experienced as overwhelming and perhaps shameful often looked different to an elder who had seen it many times in many forms: smaller, more familiar, less unique to this monk's particular failure. The elder's response — the "give me a word" exchange in its </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register — was typically a response to a specific </w:t>
      </w:r>
      <w:proofErr w:type="spellStart"/>
      <w:r w:rsidRPr="00BF76E2">
        <w:rPr>
          <w:rFonts w:ascii="Times New Roman" w:eastAsia="Times New Roman" w:hAnsi="Times New Roman" w:cs="Times New Roman"/>
          <w:kern w:val="0"/>
          <w14:ligatures w14:val="none"/>
        </w:rPr>
        <w:t>logismos</w:t>
      </w:r>
      <w:proofErr w:type="spellEnd"/>
      <w:r w:rsidRPr="00BF76E2">
        <w:rPr>
          <w:rFonts w:ascii="Times New Roman" w:eastAsia="Times New Roman" w:hAnsi="Times New Roman" w:cs="Times New Roman"/>
          <w:kern w:val="0"/>
          <w14:ligatures w14:val="none"/>
        </w:rPr>
        <w:t xml:space="preserve"> rather than to the monk's condition in general. The precision of the framework made more precise formation possible.</w:t>
      </w:r>
    </w:p>
    <w:p w14:paraId="19A3BF1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Why was this taxonomy so consequential for the tradition's later development, even beyond the </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strand? Partly because of what Cassian did with it. John Cassian, who had spent years in the Egyptian desert as a disciple in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own circle before being driven out in the </w:t>
      </w:r>
      <w:proofErr w:type="spellStart"/>
      <w:r w:rsidRPr="00BF76E2">
        <w:rPr>
          <w:rFonts w:ascii="Times New Roman" w:eastAsia="Times New Roman" w:hAnsi="Times New Roman" w:cs="Times New Roman"/>
          <w:kern w:val="0"/>
          <w14:ligatures w14:val="none"/>
        </w:rPr>
        <w:t>Origenist</w:t>
      </w:r>
      <w:proofErr w:type="spellEnd"/>
      <w:r w:rsidRPr="00BF76E2">
        <w:rPr>
          <w:rFonts w:ascii="Times New Roman" w:eastAsia="Times New Roman" w:hAnsi="Times New Roman" w:cs="Times New Roman"/>
          <w:kern w:val="0"/>
          <w14:ligatures w14:val="none"/>
        </w:rPr>
        <w:t xml:space="preserve"> controversy, carried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framework into the Latin West without crediting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 per Document 02's analysis, a calculated survival choice made under real danger. Cassian's eight became seven (he collapsed pride into vainglory), and they entered Western Christian formation under the name "seven deadly sins" through a transmission history that obscured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original contribution. What reached Gregory the Great, and through him the entire Western medieval formation tradition, was </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psychology at one remove, attributed to </w:t>
      </w:r>
      <w:proofErr w:type="gramStart"/>
      <w:r w:rsidRPr="00BF76E2">
        <w:rPr>
          <w:rFonts w:ascii="Times New Roman" w:eastAsia="Times New Roman" w:hAnsi="Times New Roman" w:cs="Times New Roman"/>
          <w:kern w:val="0"/>
          <w14:ligatures w14:val="none"/>
        </w:rPr>
        <w:t>no one in particular, and</w:t>
      </w:r>
      <w:proofErr w:type="gramEnd"/>
      <w:r w:rsidRPr="00BF76E2">
        <w:rPr>
          <w:rFonts w:ascii="Times New Roman" w:eastAsia="Times New Roman" w:hAnsi="Times New Roman" w:cs="Times New Roman"/>
          <w:kern w:val="0"/>
          <w14:ligatures w14:val="none"/>
        </w:rPr>
        <w:t xml:space="preserve"> thus able to pass as simply "what the desert taught."</w:t>
      </w:r>
    </w:p>
    <w:p w14:paraId="39E7040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This makes the [CT] tag on this entry necessary but also complicated. The overstatement problem is real: when people </w:t>
      </w:r>
      <w:proofErr w:type="gramStart"/>
      <w:r w:rsidRPr="00BF76E2">
        <w:rPr>
          <w:rFonts w:ascii="Times New Roman" w:eastAsia="Times New Roman" w:hAnsi="Times New Roman" w:cs="Times New Roman"/>
          <w:kern w:val="0"/>
          <w14:ligatures w14:val="none"/>
        </w:rPr>
        <w:t>say</w:t>
      </w:r>
      <w:proofErr w:type="gramEnd"/>
      <w:r w:rsidRPr="00BF76E2">
        <w:rPr>
          <w:rFonts w:ascii="Times New Roman" w:eastAsia="Times New Roman" w:hAnsi="Times New Roman" w:cs="Times New Roman"/>
          <w:kern w:val="0"/>
          <w14:ligatures w14:val="none"/>
        </w:rPr>
        <w:t xml:space="preserve"> "the desert fathers taught that there were eight (or seven) </w:t>
      </w:r>
      <w:r w:rsidRPr="00BF76E2">
        <w:rPr>
          <w:rFonts w:ascii="Times New Roman" w:eastAsia="Times New Roman" w:hAnsi="Times New Roman" w:cs="Times New Roman"/>
          <w:kern w:val="0"/>
          <w14:ligatures w14:val="none"/>
        </w:rPr>
        <w:lastRenderedPageBreak/>
        <w:t xml:space="preserve">deadly sins," they are describing a specific intellectual contribution by one specific person who was in some ways atypical of the desert population.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was not typical — he was unusually literate, unusually systematic, unusually connected to the broader theological culture of his day. His framework is strand-specific in exactly the sense Document 03 used that phrase. But the [CT] tag should not prevent giving the entry real substance, because within its proper scope — </w:t>
      </w:r>
      <w:proofErr w:type="spellStart"/>
      <w:r w:rsidRPr="00BF76E2">
        <w:rPr>
          <w:rFonts w:ascii="Times New Roman" w:eastAsia="Times New Roman" w:hAnsi="Times New Roman" w:cs="Times New Roman"/>
          <w:kern w:val="0"/>
          <w14:ligatures w14:val="none"/>
        </w:rPr>
        <w:t>Evagrian</w:t>
      </w:r>
      <w:proofErr w:type="spellEnd"/>
      <w:r w:rsidRPr="00BF76E2">
        <w:rPr>
          <w:rFonts w:ascii="Times New Roman" w:eastAsia="Times New Roman" w:hAnsi="Times New Roman" w:cs="Times New Roman"/>
          <w:kern w:val="0"/>
          <w14:ligatures w14:val="none"/>
        </w:rPr>
        <w:t xml:space="preserve"> practice in the anchoritic/semi-anchoritic strand —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framework is one of the richest and most carefully developed formation tools this world's evidence contains.</w:t>
      </w:r>
    </w:p>
    <w:p w14:paraId="6E91D070"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Ecological Function:</w:t>
      </w:r>
      <w:r w:rsidRPr="00BF76E2">
        <w:rPr>
          <w:rFonts w:ascii="Times New Roman" w:eastAsia="Times New Roman" w:hAnsi="Times New Roman" w:cs="Times New Roman"/>
          <w:kern w:val="0"/>
          <w14:ligatures w14:val="none"/>
        </w:rPr>
        <w:t xml:space="preserve"> Organizes the entirety of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i/>
          <w:iCs/>
          <w:kern w:val="0"/>
          <w14:ligatures w14:val="none"/>
        </w:rPr>
        <w:t>Praktikos</w:t>
      </w:r>
      <w:proofErr w:type="spellEnd"/>
      <w:r w:rsidRPr="00BF76E2">
        <w:rPr>
          <w:rFonts w:ascii="Times New Roman" w:eastAsia="Times New Roman" w:hAnsi="Times New Roman" w:cs="Times New Roman"/>
          <w:kern w:val="0"/>
          <w14:ligatures w14:val="none"/>
        </w:rPr>
        <w:t xml:space="preserve"> and the practical-ascetic (</w:t>
      </w:r>
      <w:proofErr w:type="spellStart"/>
      <w:r w:rsidRPr="00BF76E2">
        <w:rPr>
          <w:rFonts w:ascii="Times New Roman" w:eastAsia="Times New Roman" w:hAnsi="Times New Roman" w:cs="Times New Roman"/>
          <w:i/>
          <w:iCs/>
          <w:kern w:val="0"/>
          <w14:ligatures w14:val="none"/>
        </w:rPr>
        <w:t>praktike</w:t>
      </w:r>
      <w:proofErr w:type="spellEnd"/>
      <w:r w:rsidRPr="00BF76E2">
        <w:rPr>
          <w:rFonts w:ascii="Times New Roman" w:eastAsia="Times New Roman" w:hAnsi="Times New Roman" w:cs="Times New Roman"/>
          <w:kern w:val="0"/>
          <w14:ligatures w14:val="none"/>
        </w:rPr>
        <w:t xml:space="preserve">) stage of his two-stage system; feeds directly into Acedia (one of the eight, and the most richly developed emotionally); connects to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(the capacity the framework requires and trains); connects to the Abba/Amma relationship (the institutional context in which the framework's diagnostic work actually happens). See Demonic Combat [CT] (B4.2) for where this frame sits among this world's four demonological frames.</w:t>
      </w:r>
    </w:p>
    <w:p w14:paraId="6AF6415C"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Distortion Risk:</w:t>
      </w:r>
    </w:p>
    <w:p w14:paraId="04365D30" w14:textId="77777777" w:rsidR="00BF76E2" w:rsidRPr="00BF76E2" w:rsidRDefault="00BF76E2" w:rsidP="00BF76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Modern Hearing:</w:t>
      </w:r>
      <w:r w:rsidRPr="00BF76E2">
        <w:rPr>
          <w:rFonts w:ascii="Times New Roman" w:eastAsia="Times New Roman" w:hAnsi="Times New Roman" w:cs="Times New Roman"/>
          <w:kern w:val="0"/>
          <w14:ligatures w14:val="none"/>
        </w:rPr>
        <w:t xml:space="preserve"> "The eight thoughts of the desert </w:t>
      </w:r>
      <w:proofErr w:type="gramStart"/>
      <w:r w:rsidRPr="00BF76E2">
        <w:rPr>
          <w:rFonts w:ascii="Times New Roman" w:eastAsia="Times New Roman" w:hAnsi="Times New Roman" w:cs="Times New Roman"/>
          <w:kern w:val="0"/>
          <w14:ligatures w14:val="none"/>
        </w:rPr>
        <w:t>fathers" —</w:t>
      </w:r>
      <w:proofErr w:type="gramEnd"/>
      <w:r w:rsidRPr="00BF76E2">
        <w:rPr>
          <w:rFonts w:ascii="Times New Roman" w:eastAsia="Times New Roman" w:hAnsi="Times New Roman" w:cs="Times New Roman"/>
          <w:kern w:val="0"/>
          <w14:ligatures w14:val="none"/>
        </w:rPr>
        <w:t xml:space="preserve"> a shared, ancient, anonymous taxonomy that represents a general desert tradition.</w:t>
      </w:r>
    </w:p>
    <w:p w14:paraId="34A1AA2B" w14:textId="77777777" w:rsidR="00BF76E2" w:rsidRPr="00BF76E2" w:rsidRDefault="00BF76E2" w:rsidP="00BF76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A specific intellectual achievement of one historically located, theologically sophisticated figure, later transmitted into the Latin West without attribution, and not independently present 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or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own formation vocabulary in anything like this systematic form.</w:t>
      </w:r>
    </w:p>
    <w:p w14:paraId="390A0226"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i/>
          <w:iCs/>
          <w:kern w:val="0"/>
          <w14:ligatures w14:val="none"/>
        </w:rPr>
        <w:t>Praktikos</w:t>
      </w:r>
      <w:proofErr w:type="spellEnd"/>
      <w:r w:rsidRPr="00BF76E2">
        <w:rPr>
          <w:rFonts w:ascii="Times New Roman" w:eastAsia="Times New Roman" w:hAnsi="Times New Roman" w:cs="Times New Roman"/>
          <w:kern w:val="0"/>
          <w14:ligatures w14:val="none"/>
        </w:rPr>
        <w:t xml:space="preserve">; Cassian, </w:t>
      </w:r>
      <w:r w:rsidRPr="00BF76E2">
        <w:rPr>
          <w:rFonts w:ascii="Times New Roman" w:eastAsia="Times New Roman" w:hAnsi="Times New Roman" w:cs="Times New Roman"/>
          <w:i/>
          <w:iCs/>
          <w:kern w:val="0"/>
          <w14:ligatures w14:val="none"/>
        </w:rPr>
        <w:t>Institutes</w:t>
      </w:r>
      <w:r w:rsidRPr="00BF76E2">
        <w:rPr>
          <w:rFonts w:ascii="Times New Roman" w:eastAsia="Times New Roman" w:hAnsi="Times New Roman" w:cs="Times New Roman"/>
          <w:kern w:val="0"/>
          <w14:ligatures w14:val="none"/>
        </w:rPr>
        <w:t xml:space="preserve"> Books 5–12 (for the non-attributed Latin transmission, with Document 02's Cassian Author Gravity caution held throughout).</w:t>
      </w:r>
    </w:p>
    <w:p w14:paraId="50012D11"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02,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entry and Cassian entry; Document 03, Candidate B (fracture finding); Brakke, </w:t>
      </w:r>
      <w:r w:rsidRPr="00BF76E2">
        <w:rPr>
          <w:rFonts w:ascii="Times New Roman" w:eastAsia="Times New Roman" w:hAnsi="Times New Roman" w:cs="Times New Roman"/>
          <w:i/>
          <w:iCs/>
          <w:kern w:val="0"/>
          <w14:ligatures w14:val="none"/>
        </w:rPr>
        <w:t>Demons and the Making of the Monk</w:t>
      </w:r>
      <w:r w:rsidRPr="00BF76E2">
        <w:rPr>
          <w:rFonts w:ascii="Times New Roman" w:eastAsia="Times New Roman" w:hAnsi="Times New Roman" w:cs="Times New Roman"/>
          <w:kern w:val="0"/>
          <w14:ligatures w14:val="none"/>
        </w:rPr>
        <w:t>.</w:t>
      </w:r>
    </w:p>
    <w:p w14:paraId="582AC70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Acedia; </w:t>
      </w:r>
      <w:proofErr w:type="spellStart"/>
      <w:r w:rsidRPr="00BF76E2">
        <w:rPr>
          <w:rFonts w:ascii="Times New Roman" w:eastAsia="Times New Roman" w:hAnsi="Times New Roman" w:cs="Times New Roman"/>
          <w:kern w:val="0"/>
          <w14:ligatures w14:val="none"/>
        </w:rPr>
        <w:t>Praktike</w:t>
      </w:r>
      <w:proofErr w:type="spellEnd"/>
      <w:r w:rsidRPr="00BF76E2">
        <w:rPr>
          <w:rFonts w:ascii="Times New Roman" w:eastAsia="Times New Roman" w:hAnsi="Times New Roman" w:cs="Times New Roman"/>
          <w:kern w:val="0"/>
          <w14:ligatures w14:val="none"/>
        </w:rPr>
        <w:t xml:space="preserve">/Theoria; Apatheia;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Nepsis</w:t>
      </w:r>
      <w:proofErr w:type="spellEnd"/>
      <w:r w:rsidRPr="00BF76E2">
        <w:rPr>
          <w:rFonts w:ascii="Times New Roman" w:eastAsia="Times New Roman" w:hAnsi="Times New Roman" w:cs="Times New Roman"/>
          <w:kern w:val="0"/>
          <w14:ligatures w14:val="none"/>
        </w:rPr>
        <w:t>; Demonic Combat [CT]; Martyrological Combat Frame.</w:t>
      </w:r>
    </w:p>
    <w:p w14:paraId="7C22604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p>
    <w:p w14:paraId="4DD4BD51" w14:textId="77777777" w:rsidR="00BF76E2" w:rsidRPr="00BF76E2" w:rsidRDefault="00BF76E2" w:rsidP="00BF76E2">
      <w:pPr>
        <w:spacing w:after="0"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pict w14:anchorId="43A55A0D">
          <v:rect id="_x0000_i1028" style="width:0;height:1.5pt" o:hralign="center" o:hrstd="t" o:hr="t" fillcolor="#a0a0a0" stroked="f"/>
        </w:pict>
      </w:r>
    </w:p>
    <w:p w14:paraId="756F9C5F"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6E2">
        <w:rPr>
          <w:rFonts w:ascii="Times New Roman" w:eastAsia="Times New Roman" w:hAnsi="Times New Roman" w:cs="Times New Roman"/>
          <w:b/>
          <w:bCs/>
          <w:kern w:val="0"/>
          <w:sz w:val="27"/>
          <w:szCs w:val="27"/>
          <w14:ligatures w14:val="none"/>
        </w:rPr>
        <w:t>B1.4 Acedia</w:t>
      </w:r>
    </w:p>
    <w:p w14:paraId="55CEE17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Tier 1.</w:t>
      </w:r>
      <w:r w:rsidRPr="00BF76E2">
        <w:rPr>
          <w:rFonts w:ascii="Times New Roman" w:eastAsia="Times New Roman" w:hAnsi="Times New Roman" w:cs="Times New Roman"/>
          <w:kern w:val="0"/>
          <w14:ligatures w14:val="none"/>
        </w:rPr>
        <w:t xml:space="preserve"> Tags: [AS] [TC] [DR] [RT] [CT]</w:t>
      </w:r>
    </w:p>
    <w:p w14:paraId="7CABB2D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A midday affliction of listlessness, restless agitation, and disgust with one's cell and solitude — in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own framing, the most persistent and the most characteristically solitary of the eight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arriving at the sixth hour and lasting until the ninth.</w:t>
      </w:r>
    </w:p>
    <w:p w14:paraId="61F8FFE7"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lastRenderedPageBreak/>
        <w:t>[CT] note — type of contest:</w:t>
      </w:r>
      <w:r w:rsidRPr="00BF76E2">
        <w:rPr>
          <w:rFonts w:ascii="Times New Roman" w:eastAsia="Times New Roman" w:hAnsi="Times New Roman" w:cs="Times New Roman"/>
          <w:kern w:val="0"/>
          <w14:ligatures w14:val="none"/>
        </w:rPr>
        <w:t xml:space="preserve"> This tag flags a </w:t>
      </w:r>
      <w:r w:rsidRPr="00BF76E2">
        <w:rPr>
          <w:rFonts w:ascii="Times New Roman" w:eastAsia="Times New Roman" w:hAnsi="Times New Roman" w:cs="Times New Roman"/>
          <w:b/>
          <w:bCs/>
          <w:kern w:val="0"/>
          <w14:ligatures w14:val="none"/>
        </w:rPr>
        <w:t>scope-and-strand problem</w:t>
      </w:r>
      <w:r w:rsidRPr="00BF76E2">
        <w:rPr>
          <w:rFonts w:ascii="Times New Roman" w:eastAsia="Times New Roman" w:hAnsi="Times New Roman" w:cs="Times New Roman"/>
          <w:kern w:val="0"/>
          <w14:ligatures w14:val="none"/>
        </w:rPr>
        <w:t xml:space="preserve">, not unresolved scholarship within either strand. Acedia as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defines it in the solitary context is not a live scholarly dispute. The problem is that Cassian's cenobitic adaptation of the same term (B1.5) is frequently treated as an extension of one unified concept rather than as a genuine reshaping. The two entries exist separately because the scope shifts materially.</w:t>
      </w:r>
    </w:p>
    <w:p w14:paraId="287E2F70"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World Meaning:</w:t>
      </w:r>
    </w:p>
    <w:p w14:paraId="0BEEB275"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describes it precisely enough that the description still lands after sixteen hundred years. The thought of acedia, he writes in the </w:t>
      </w:r>
      <w:proofErr w:type="spellStart"/>
      <w:r w:rsidRPr="00BF76E2">
        <w:rPr>
          <w:rFonts w:ascii="Times New Roman" w:eastAsia="Times New Roman" w:hAnsi="Times New Roman" w:cs="Times New Roman"/>
          <w:i/>
          <w:iCs/>
          <w:kern w:val="0"/>
          <w14:ligatures w14:val="none"/>
        </w:rPr>
        <w:t>Praktikos</w:t>
      </w:r>
      <w:proofErr w:type="spellEnd"/>
      <w:r w:rsidRPr="00BF76E2">
        <w:rPr>
          <w:rFonts w:ascii="Times New Roman" w:eastAsia="Times New Roman" w:hAnsi="Times New Roman" w:cs="Times New Roman"/>
          <w:kern w:val="0"/>
          <w14:ligatures w14:val="none"/>
        </w:rPr>
        <w:t xml:space="preserve">, makes the sun appear slow to move or stationary, so that the day seems to last fifty hours. The monk looks out the door and down the path toward the road. He thinks about his family, about the people he used to know, about whether they are sick. He thinks about his elder, and the thought arrives that his elder is harsh, unloving, without real understanding of what this monk is going through. He thinks about another community, another cell, another arrangement — something different from this, this </w:t>
      </w:r>
      <w:proofErr w:type="gramStart"/>
      <w:r w:rsidRPr="00BF76E2">
        <w:rPr>
          <w:rFonts w:ascii="Times New Roman" w:eastAsia="Times New Roman" w:hAnsi="Times New Roman" w:cs="Times New Roman"/>
          <w:kern w:val="0"/>
          <w14:ligatures w14:val="none"/>
        </w:rPr>
        <w:t>particular cell</w:t>
      </w:r>
      <w:proofErr w:type="gramEnd"/>
      <w:r w:rsidRPr="00BF76E2">
        <w:rPr>
          <w:rFonts w:ascii="Times New Roman" w:eastAsia="Times New Roman" w:hAnsi="Times New Roman" w:cs="Times New Roman"/>
          <w:kern w:val="0"/>
          <w14:ligatures w14:val="none"/>
        </w:rPr>
        <w:t xml:space="preserve">, this </w:t>
      </w:r>
      <w:proofErr w:type="gramStart"/>
      <w:r w:rsidRPr="00BF76E2">
        <w:rPr>
          <w:rFonts w:ascii="Times New Roman" w:eastAsia="Times New Roman" w:hAnsi="Times New Roman" w:cs="Times New Roman"/>
          <w:kern w:val="0"/>
          <w14:ligatures w14:val="none"/>
        </w:rPr>
        <w:t>particular road</w:t>
      </w:r>
      <w:proofErr w:type="gramEnd"/>
      <w:r w:rsidRPr="00BF76E2">
        <w:rPr>
          <w:rFonts w:ascii="Times New Roman" w:eastAsia="Times New Roman" w:hAnsi="Times New Roman" w:cs="Times New Roman"/>
          <w:kern w:val="0"/>
          <w14:ligatures w14:val="none"/>
        </w:rPr>
        <w:t xml:space="preserve"> outside, this </w:t>
      </w:r>
      <w:proofErr w:type="gramStart"/>
      <w:r w:rsidRPr="00BF76E2">
        <w:rPr>
          <w:rFonts w:ascii="Times New Roman" w:eastAsia="Times New Roman" w:hAnsi="Times New Roman" w:cs="Times New Roman"/>
          <w:kern w:val="0"/>
          <w14:ligatures w14:val="none"/>
        </w:rPr>
        <w:t>particular slow</w:t>
      </w:r>
      <w:proofErr w:type="gramEnd"/>
      <w:r w:rsidRPr="00BF76E2">
        <w:rPr>
          <w:rFonts w:ascii="Times New Roman" w:eastAsia="Times New Roman" w:hAnsi="Times New Roman" w:cs="Times New Roman"/>
          <w:kern w:val="0"/>
          <w14:ligatures w14:val="none"/>
        </w:rPr>
        <w:t xml:space="preserve"> sun. He thinks that nothing useful is going to happen here, that he has been here a long time, that nothing has changed. He begins to look for reasons why leaving would </w:t>
      </w:r>
      <w:proofErr w:type="gramStart"/>
      <w:r w:rsidRPr="00BF76E2">
        <w:rPr>
          <w:rFonts w:ascii="Times New Roman" w:eastAsia="Times New Roman" w:hAnsi="Times New Roman" w:cs="Times New Roman"/>
          <w:kern w:val="0"/>
          <w14:ligatures w14:val="none"/>
        </w:rPr>
        <w:t>actually be</w:t>
      </w:r>
      <w:proofErr w:type="gramEnd"/>
      <w:r w:rsidRPr="00BF76E2">
        <w:rPr>
          <w:rFonts w:ascii="Times New Roman" w:eastAsia="Times New Roman" w:hAnsi="Times New Roman" w:cs="Times New Roman"/>
          <w:kern w:val="0"/>
          <w14:ligatures w14:val="none"/>
        </w:rPr>
        <w:t xml:space="preserve"> the spiritually serious choice: the community he would go to would be better, more authentic, more conducive to real progress. The thought arrives dressed as discernment.</w:t>
      </w:r>
    </w:p>
    <w:p w14:paraId="5F40F30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It arrived, typically, at the sixth hour — around noon.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was specific about the timing in a way that is itself revealing: this was not the crisis of dawn, when the darkness of the night's terrors was still present, nor the crisis of evening, when fatigue and hunger made everything harder. This was midday, when the light was at its harshest and flattest, when the morning's energy had been consumed by labor and prayer, when the afternoon's long remaining hours stretched out ahead. The monk had already done the things that were supposed to constitute the monk's day — had prayed, had worked, had perhaps eaten his small meal — and the question that acedia put to him at that hour, ruthlessly, was: and so? What </w:t>
      </w:r>
      <w:proofErr w:type="gramStart"/>
      <w:r w:rsidRPr="00BF76E2">
        <w:rPr>
          <w:rFonts w:ascii="Times New Roman" w:eastAsia="Times New Roman" w:hAnsi="Times New Roman" w:cs="Times New Roman"/>
          <w:kern w:val="0"/>
          <w14:ligatures w14:val="none"/>
        </w:rPr>
        <w:t>of</w:t>
      </w:r>
      <w:proofErr w:type="gramEnd"/>
      <w:r w:rsidRPr="00BF76E2">
        <w:rPr>
          <w:rFonts w:ascii="Times New Roman" w:eastAsia="Times New Roman" w:hAnsi="Times New Roman" w:cs="Times New Roman"/>
          <w:kern w:val="0"/>
          <w14:ligatures w14:val="none"/>
        </w:rPr>
        <w:t xml:space="preserve"> it? What has changed?</w:t>
      </w:r>
    </w:p>
    <w:p w14:paraId="59B7C95A"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tradition called it the "noonday demon" — a phrase drawn from the Greek translation of Psalm 91, which refers to a destructive thing that wastes at midday. The choice of that term was deliberate: acedia was not merely a bad mood or a temporary loss of energy, both of which the monk was expected to be able to live with as ordinary features of a day. It was understood as an assault, a tempting force that pressed on the monk precisely when he was most vulnerable — not through the concrete appeals of gluttony or fornication, which had at least the honesty of wanting something specific, but through a generalized dissolution of the value of the entire enterprise. The </w:t>
      </w:r>
      <w:proofErr w:type="spellStart"/>
      <w:r w:rsidRPr="00BF76E2">
        <w:rPr>
          <w:rFonts w:ascii="Times New Roman" w:eastAsia="Times New Roman" w:hAnsi="Times New Roman" w:cs="Times New Roman"/>
          <w:kern w:val="0"/>
          <w14:ligatures w14:val="none"/>
        </w:rPr>
        <w:t>logismos</w:t>
      </w:r>
      <w:proofErr w:type="spellEnd"/>
      <w:r w:rsidRPr="00BF76E2">
        <w:rPr>
          <w:rFonts w:ascii="Times New Roman" w:eastAsia="Times New Roman" w:hAnsi="Times New Roman" w:cs="Times New Roman"/>
          <w:kern w:val="0"/>
          <w14:ligatures w14:val="none"/>
        </w:rPr>
        <w:t xml:space="preserve"> of acedia did not say: eat this, touch that, take this for yourself. It said: this is pointless. You are wasting your life. There is nothing here.</w:t>
      </w:r>
    </w:p>
    <w:p w14:paraId="7AB466EC"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physical dimension of the affliction was important to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account. Acedia was not a purely interior experience; it was accompanied by a specific bodily state — restlessness, an inability to sit still, a kind of crawling discomfort in the limbs that made staying in one place feel intolerable. The monk wanted to stand when he had been sitting, to walk when he had been standing, to go outside when he had been inside, to come back in when he had been outside. The cell that was supposed to be the arena of his formation felt like a cage. The body's restlessness </w:t>
      </w:r>
      <w:r w:rsidRPr="00BF76E2">
        <w:rPr>
          <w:rFonts w:ascii="Times New Roman" w:eastAsia="Times New Roman" w:hAnsi="Times New Roman" w:cs="Times New Roman"/>
          <w:kern w:val="0"/>
          <w14:ligatures w14:val="none"/>
        </w:rPr>
        <w:lastRenderedPageBreak/>
        <w:t>and the mind's dissolution reinforced each other: the mind's questioning of the enterprise made the cell feel meaningless, and the body's restlessness made staying in it feel physically impossible.</w:t>
      </w:r>
    </w:p>
    <w:p w14:paraId="75DD54C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What did the tradition recommend? A saying attributed to Abba Moses in the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captures the dominant counsel: "Stay in your cell, and your cell will teach you everything." This was not advice that the cell was comfortable. It was advice that the demon's strategy — the thought that relief lay outside, that something different would solve the problem — had to be refused by not moving. The refusal was bodily as much as mental: staying in the cell, continuing to work with the hands, continuing to chant a psalm verse beneath the breath, was a way of not conceding the terrain to the thought that wanted the monk elsewhere. </w:t>
      </w:r>
      <w:proofErr w:type="spellStart"/>
      <w:r w:rsidRPr="00BF76E2">
        <w:rPr>
          <w:rFonts w:ascii="Times New Roman" w:eastAsia="Times New Roman" w:hAnsi="Times New Roman" w:cs="Times New Roman"/>
          <w:kern w:val="0"/>
          <w14:ligatures w14:val="none"/>
        </w:rPr>
        <w:t>Evagrius's</w:t>
      </w:r>
      <w:proofErr w:type="spellEnd"/>
      <w:r w:rsidRPr="00BF76E2">
        <w:rPr>
          <w:rFonts w:ascii="Times New Roman" w:eastAsia="Times New Roman" w:hAnsi="Times New Roman" w:cs="Times New Roman"/>
          <w:kern w:val="0"/>
          <w14:ligatures w14:val="none"/>
        </w:rPr>
        <w:t xml:space="preserve"> own recommended remedy was manual labor combined with psalmody — not the cessation of either, but their continuation through the affliction, which was itself a form of combat.</w:t>
      </w:r>
    </w:p>
    <w:p w14:paraId="470A6FF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abba's role in all this was specific. The tradition consistently advised that the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should be brought to light before an elder rather than nursed in silence, and acedia in particular — because it was most likely to generate seemingly rational arguments for leaving, arguments that could look like discernment if they were not tested against someone else's — was precisely the kind of experience that needed to be spoken rather than only suffered. An elder who had experienced acedia himself (and the tradition assumed all elders had, repeatedly) could look at the monk's account of his situation and see which part was the affliction and which part was the monk's real condition. The demon dressed as discernment was exactly what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was designed to unmask.</w:t>
      </w:r>
    </w:p>
    <w:p w14:paraId="76766BE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records a saying attributed to Amma </w:t>
      </w:r>
      <w:proofErr w:type="spellStart"/>
      <w:r w:rsidRPr="00BF76E2">
        <w:rPr>
          <w:rFonts w:ascii="Times New Roman" w:eastAsia="Times New Roman" w:hAnsi="Times New Roman" w:cs="Times New Roman"/>
          <w:kern w:val="0"/>
          <w14:ligatures w14:val="none"/>
        </w:rPr>
        <w:t>Syncletica</w:t>
      </w:r>
      <w:proofErr w:type="spellEnd"/>
      <w:r w:rsidRPr="00BF76E2">
        <w:rPr>
          <w:rFonts w:ascii="Times New Roman" w:eastAsia="Times New Roman" w:hAnsi="Times New Roman" w:cs="Times New Roman"/>
          <w:kern w:val="0"/>
          <w14:ligatures w14:val="none"/>
        </w:rPr>
        <w:t xml:space="preserve"> that adds another dimension to the tradition's treatment of this complex — and the saying is notable both for its content and for what it names as its source. </w:t>
      </w:r>
      <w:proofErr w:type="spellStart"/>
      <w:r w:rsidRPr="00BF76E2">
        <w:rPr>
          <w:rFonts w:ascii="Times New Roman" w:eastAsia="Times New Roman" w:hAnsi="Times New Roman" w:cs="Times New Roman"/>
          <w:kern w:val="0"/>
          <w14:ligatures w14:val="none"/>
        </w:rPr>
        <w:t>Syncletica</w:t>
      </w:r>
      <w:proofErr w:type="spellEnd"/>
      <w:r w:rsidRPr="00BF76E2">
        <w:rPr>
          <w:rFonts w:ascii="Times New Roman" w:eastAsia="Times New Roman" w:hAnsi="Times New Roman" w:cs="Times New Roman"/>
          <w:kern w:val="0"/>
          <w14:ligatures w14:val="none"/>
        </w:rPr>
        <w:t xml:space="preserve"> distinguishes between a grief that is useful and a grief that is destructive. The useful grief, she says, weeps over one's own sin and prays for brothers; the destructive grief empties the soul, brings despair, and is sent by "the enemy." The destructive grief the saying explicitly identifies with acedia — and this identification, per Document 05's Emotional Ecology lens, is the source's own claim, not a later interpretive layer. What </w:t>
      </w:r>
      <w:proofErr w:type="spellStart"/>
      <w:r w:rsidRPr="00BF76E2">
        <w:rPr>
          <w:rFonts w:ascii="Times New Roman" w:eastAsia="Times New Roman" w:hAnsi="Times New Roman" w:cs="Times New Roman"/>
          <w:kern w:val="0"/>
          <w14:ligatures w14:val="none"/>
        </w:rPr>
        <w:t>Syncletica's</w:t>
      </w:r>
      <w:proofErr w:type="spellEnd"/>
      <w:r w:rsidRPr="00BF76E2">
        <w:rPr>
          <w:rFonts w:ascii="Times New Roman" w:eastAsia="Times New Roman" w:hAnsi="Times New Roman" w:cs="Times New Roman"/>
          <w:kern w:val="0"/>
          <w14:ligatures w14:val="none"/>
        </w:rPr>
        <w:t xml:space="preserve"> saying adds is the recognition that the affliction's danger is not merely that it is uncomfortable, but that it wears the face of grief and mourning — legitimate spiritual states — while </w:t>
      </w:r>
      <w:proofErr w:type="gramStart"/>
      <w:r w:rsidRPr="00BF76E2">
        <w:rPr>
          <w:rFonts w:ascii="Times New Roman" w:eastAsia="Times New Roman" w:hAnsi="Times New Roman" w:cs="Times New Roman"/>
          <w:kern w:val="0"/>
          <w14:ligatures w14:val="none"/>
        </w:rPr>
        <w:t>actually being</w:t>
      </w:r>
      <w:proofErr w:type="gramEnd"/>
      <w:r w:rsidRPr="00BF76E2">
        <w:rPr>
          <w:rFonts w:ascii="Times New Roman" w:eastAsia="Times New Roman" w:hAnsi="Times New Roman" w:cs="Times New Roman"/>
          <w:kern w:val="0"/>
          <w14:ligatures w14:val="none"/>
        </w:rPr>
        <w:t xml:space="preserve"> their counterfeit. The monk who stayed in sadness, who believed the sadness was appropriate spiritual feeling, was being deceived. The distinguishing mark was what the sadness produced: genuine </w:t>
      </w:r>
      <w:proofErr w:type="spellStart"/>
      <w:r w:rsidRPr="00BF76E2">
        <w:rPr>
          <w:rFonts w:ascii="Times New Roman" w:eastAsia="Times New Roman" w:hAnsi="Times New Roman" w:cs="Times New Roman"/>
          <w:kern w:val="0"/>
          <w14:ligatures w14:val="none"/>
        </w:rPr>
        <w:t>penthos</w:t>
      </w:r>
      <w:proofErr w:type="spellEnd"/>
      <w:r w:rsidRPr="00BF76E2">
        <w:rPr>
          <w:rFonts w:ascii="Times New Roman" w:eastAsia="Times New Roman" w:hAnsi="Times New Roman" w:cs="Times New Roman"/>
          <w:kern w:val="0"/>
          <w14:ligatures w14:val="none"/>
        </w:rPr>
        <w:t xml:space="preserve"> produced greater attentiveness to God and greater compassion for others; acedia produced withdrawal, despair, and the desire to escape.</w:t>
      </w:r>
    </w:p>
    <w:p w14:paraId="3816BC4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Ecological Function:</w:t>
      </w:r>
      <w:r w:rsidRPr="00BF76E2">
        <w:rPr>
          <w:rFonts w:ascii="Times New Roman" w:eastAsia="Times New Roman" w:hAnsi="Times New Roman" w:cs="Times New Roman"/>
          <w:kern w:val="0"/>
          <w14:ligatures w14:val="none"/>
        </w:rPr>
        <w:t xml:space="preserve"> Connects directly to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(it is one of the eight, and by some accounts the most dangerous); to </w:t>
      </w:r>
      <w:proofErr w:type="spellStart"/>
      <w:r w:rsidRPr="00BF76E2">
        <w:rPr>
          <w:rFonts w:ascii="Times New Roman" w:eastAsia="Times New Roman" w:hAnsi="Times New Roman" w:cs="Times New Roman"/>
          <w:kern w:val="0"/>
          <w14:ligatures w14:val="none"/>
        </w:rPr>
        <w:t>Penthos</w:t>
      </w:r>
      <w:proofErr w:type="spellEnd"/>
      <w:r w:rsidRPr="00BF76E2">
        <w:rPr>
          <w:rFonts w:ascii="Times New Roman" w:eastAsia="Times New Roman" w:hAnsi="Times New Roman" w:cs="Times New Roman"/>
          <w:kern w:val="0"/>
          <w14:ligatures w14:val="none"/>
        </w:rPr>
        <w:t xml:space="preserve"> (the tradition's own internal distinction between formative and destructive grief); to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(the capacity most needed to recognize acedia when it arrives dressed as rational argument); to the Abba/Amma relationship (the structural remedy the tradition consistently pointed toward); and to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(the spatial setting that is specifically its arena). See also Acedia, Cenobitic Adaptation (B1.5) for how the same underlying affliction was reworked by Cassian for communal settings.</w:t>
      </w:r>
    </w:p>
    <w:p w14:paraId="5B42130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lastRenderedPageBreak/>
        <w:t>Distortion Risk:</w:t>
      </w:r>
    </w:p>
    <w:p w14:paraId="10E21ECA" w14:textId="77777777" w:rsidR="00BF76E2" w:rsidRPr="00BF76E2" w:rsidRDefault="00BF76E2" w:rsidP="00BF7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Modern Hearing:</w:t>
      </w:r>
      <w:r w:rsidRPr="00BF76E2">
        <w:rPr>
          <w:rFonts w:ascii="Times New Roman" w:eastAsia="Times New Roman" w:hAnsi="Times New Roman" w:cs="Times New Roman"/>
          <w:kern w:val="0"/>
          <w14:ligatures w14:val="none"/>
        </w:rPr>
        <w:t xml:space="preserve"> Either "laziness" in a moralizing and morally simple sense, or a loose ancient precursor to clinical depression — both of which flatten the affliction's specific texture and the tradition's specific responses to it.</w:t>
      </w:r>
    </w:p>
    <w:p w14:paraId="4DC3D3EB" w14:textId="77777777" w:rsidR="00BF76E2" w:rsidRPr="00BF76E2" w:rsidRDefault="00BF76E2" w:rsidP="00BF7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A specific, named, solitude-triggered complex of restlessness, devaluation, and temptation to leave — understood as an adversarial assault arriving at a specific time and carrying a specific logic, with specific bodily, intellectual, and social dimensions — and distinguished sharply within the tradition itself from productive grief (</w:t>
      </w:r>
      <w:proofErr w:type="spellStart"/>
      <w:r w:rsidRPr="00BF76E2">
        <w:rPr>
          <w:rFonts w:ascii="Times New Roman" w:eastAsia="Times New Roman" w:hAnsi="Times New Roman" w:cs="Times New Roman"/>
          <w:kern w:val="0"/>
          <w14:ligatures w14:val="none"/>
        </w:rPr>
        <w:t>Penthos</w:t>
      </w:r>
      <w:proofErr w:type="spellEnd"/>
      <w:r w:rsidRPr="00BF76E2">
        <w:rPr>
          <w:rFonts w:ascii="Times New Roman" w:eastAsia="Times New Roman" w:hAnsi="Times New Roman" w:cs="Times New Roman"/>
          <w:kern w:val="0"/>
          <w14:ligatures w14:val="none"/>
        </w:rPr>
        <w:t>) by its ultimately destructive, escape-directed character.</w:t>
      </w:r>
    </w:p>
    <w:p w14:paraId="6CA5C27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i/>
          <w:iCs/>
          <w:kern w:val="0"/>
          <w14:ligatures w14:val="none"/>
        </w:rPr>
        <w:t>Praktikos</w:t>
      </w:r>
      <w:proofErr w:type="spellEnd"/>
      <w:r w:rsidRPr="00BF76E2">
        <w:rPr>
          <w:rFonts w:ascii="Times New Roman" w:eastAsia="Times New Roman" w:hAnsi="Times New Roman" w:cs="Times New Roman"/>
          <w:kern w:val="0"/>
          <w14:ligatures w14:val="none"/>
        </w:rPr>
        <w:t xml:space="preserve"> (Chapters 12, 27–28, 36 and throughout, for the most vivid primary descriptions); </w:t>
      </w:r>
      <w:proofErr w:type="spellStart"/>
      <w:r w:rsidRPr="00BF76E2">
        <w:rPr>
          <w:rFonts w:ascii="Times New Roman" w:eastAsia="Times New Roman" w:hAnsi="Times New Roman" w:cs="Times New Roman"/>
          <w:kern w:val="0"/>
          <w14:ligatures w14:val="none"/>
        </w:rPr>
        <w:t>Apophthegmata</w:t>
      </w:r>
      <w:proofErr w:type="spellEnd"/>
      <w:r w:rsidRPr="00BF76E2">
        <w:rPr>
          <w:rFonts w:ascii="Times New Roman" w:eastAsia="Times New Roman" w:hAnsi="Times New Roman" w:cs="Times New Roman"/>
          <w:kern w:val="0"/>
          <w14:ligatures w14:val="none"/>
        </w:rPr>
        <w:t xml:space="preserve"> Patrum, Amma </w:t>
      </w:r>
      <w:proofErr w:type="spellStart"/>
      <w:r w:rsidRPr="00BF76E2">
        <w:rPr>
          <w:rFonts w:ascii="Times New Roman" w:eastAsia="Times New Roman" w:hAnsi="Times New Roman" w:cs="Times New Roman"/>
          <w:kern w:val="0"/>
          <w14:ligatures w14:val="none"/>
        </w:rPr>
        <w:t>Syncletica</w:t>
      </w:r>
      <w:proofErr w:type="spellEnd"/>
      <w:r w:rsidRPr="00BF76E2">
        <w:rPr>
          <w:rFonts w:ascii="Times New Roman" w:eastAsia="Times New Roman" w:hAnsi="Times New Roman" w:cs="Times New Roman"/>
          <w:kern w:val="0"/>
          <w14:ligatures w14:val="none"/>
        </w:rPr>
        <w:t xml:space="preserve"> material and Abba Moses saying (Tier 2 individual-attribution confidence); Psalm 91:6 (Greek LXX — "noonday demon" reference).</w:t>
      </w:r>
    </w:p>
    <w:p w14:paraId="2E228F9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05, Emotional Ecology lens; Document 02, </w:t>
      </w:r>
      <w:proofErr w:type="spellStart"/>
      <w:r w:rsidRPr="00BF76E2">
        <w:rPr>
          <w:rFonts w:ascii="Times New Roman" w:eastAsia="Times New Roman" w:hAnsi="Times New Roman" w:cs="Times New Roman"/>
          <w:kern w:val="0"/>
          <w14:ligatures w14:val="none"/>
        </w:rPr>
        <w:t>Evagrius</w:t>
      </w:r>
      <w:proofErr w:type="spellEnd"/>
      <w:r w:rsidRPr="00BF76E2">
        <w:rPr>
          <w:rFonts w:ascii="Times New Roman" w:eastAsia="Times New Roman" w:hAnsi="Times New Roman" w:cs="Times New Roman"/>
          <w:kern w:val="0"/>
          <w14:ligatures w14:val="none"/>
        </w:rPr>
        <w:t xml:space="preserve"> entry; Antony D. Rich, </w:t>
      </w:r>
      <w:r w:rsidRPr="00BF76E2">
        <w:rPr>
          <w:rFonts w:ascii="Times New Roman" w:eastAsia="Times New Roman" w:hAnsi="Times New Roman" w:cs="Times New Roman"/>
          <w:i/>
          <w:iCs/>
          <w:kern w:val="0"/>
          <w14:ligatures w14:val="none"/>
        </w:rPr>
        <w:t>Discernment in the Desert Fathers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as the diagnostic capacity most tested by acedia).</w:t>
      </w:r>
    </w:p>
    <w:p w14:paraId="7EEAB85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Logismoi</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Penthos</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Diakrisis</w:t>
      </w:r>
      <w:proofErr w:type="spellEnd"/>
      <w:r w:rsidRPr="00BF76E2">
        <w:rPr>
          <w:rFonts w:ascii="Times New Roman" w:eastAsia="Times New Roman" w:hAnsi="Times New Roman" w:cs="Times New Roman"/>
          <w:kern w:val="0"/>
          <w14:ligatures w14:val="none"/>
        </w:rPr>
        <w:t xml:space="preserve">; Acedia, Cenobitic Adaptation [B1.5]; </w:t>
      </w:r>
      <w:proofErr w:type="spellStart"/>
      <w:r w:rsidRPr="00BF76E2">
        <w:rPr>
          <w:rFonts w:ascii="Times New Roman" w:eastAsia="Times New Roman" w:hAnsi="Times New Roman" w:cs="Times New Roman"/>
          <w:kern w:val="0"/>
          <w14:ligatures w14:val="none"/>
        </w:rPr>
        <w:t>Nepsis</w:t>
      </w:r>
      <w:proofErr w:type="spellEnd"/>
      <w:r w:rsidRPr="00BF76E2">
        <w:rPr>
          <w:rFonts w:ascii="Times New Roman" w:eastAsia="Times New Roman" w:hAnsi="Times New Roman" w:cs="Times New Roman"/>
          <w:kern w:val="0"/>
          <w14:ligatures w14:val="none"/>
        </w:rPr>
        <w:t>.</w:t>
      </w:r>
    </w:p>
    <w:p w14:paraId="0DAFD04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r w:rsidRPr="00BF76E2">
        <w:rPr>
          <w:rFonts w:ascii="Times New Roman" w:eastAsia="Times New Roman" w:hAnsi="Times New Roman" w:cs="Times New Roman"/>
          <w:kern w:val="0"/>
          <w14:ligatures w14:val="none"/>
        </w:rPr>
        <w:t xml:space="preserve"> This is the most richly documented emotional experience in this strand's evidence, and the Representative should be able to speak from within it with specificity and texture.</w:t>
      </w:r>
    </w:p>
    <w:p w14:paraId="2CD71861" w14:textId="77777777" w:rsidR="00BF76E2" w:rsidRPr="00BF76E2" w:rsidRDefault="00BF76E2" w:rsidP="00BF76E2">
      <w:pPr>
        <w:spacing w:after="0"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pict w14:anchorId="397C79EB">
          <v:rect id="_x0000_i1029" style="width:0;height:1.5pt" o:hralign="center" o:hrstd="t" o:hr="t" fillcolor="#a0a0a0" stroked="f"/>
        </w:pict>
      </w:r>
    </w:p>
    <w:p w14:paraId="52CF051F" w14:textId="77777777" w:rsidR="00BF76E2" w:rsidRPr="00BF76E2" w:rsidRDefault="00BF76E2" w:rsidP="00BF7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6E2">
        <w:rPr>
          <w:rFonts w:ascii="Times New Roman" w:eastAsia="Times New Roman" w:hAnsi="Times New Roman" w:cs="Times New Roman"/>
          <w:b/>
          <w:bCs/>
          <w:kern w:val="0"/>
          <w:sz w:val="27"/>
          <w:szCs w:val="27"/>
          <w14:ligatures w14:val="none"/>
        </w:rPr>
        <w:t xml:space="preserve">B1.13 </w:t>
      </w:r>
      <w:proofErr w:type="spellStart"/>
      <w:r w:rsidRPr="00BF76E2">
        <w:rPr>
          <w:rFonts w:ascii="Times New Roman" w:eastAsia="Times New Roman" w:hAnsi="Times New Roman" w:cs="Times New Roman"/>
          <w:b/>
          <w:bCs/>
          <w:kern w:val="0"/>
          <w:sz w:val="27"/>
          <w:szCs w:val="27"/>
          <w14:ligatures w14:val="none"/>
        </w:rPr>
        <w:t>Anachoresis</w:t>
      </w:r>
      <w:proofErr w:type="spellEnd"/>
      <w:r w:rsidRPr="00BF76E2">
        <w:rPr>
          <w:rFonts w:ascii="Times New Roman" w:eastAsia="Times New Roman" w:hAnsi="Times New Roman" w:cs="Times New Roman"/>
          <w:b/>
          <w:bCs/>
          <w:kern w:val="0"/>
          <w:sz w:val="27"/>
          <w:szCs w:val="27"/>
          <w14:ligatures w14:val="none"/>
        </w:rPr>
        <w:t xml:space="preserve"> (Withdrawal) [CT]</w:t>
      </w:r>
    </w:p>
    <w:p w14:paraId="6B0465D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Tier 1.</w:t>
      </w:r>
      <w:r w:rsidRPr="00BF76E2">
        <w:rPr>
          <w:rFonts w:ascii="Times New Roman" w:eastAsia="Times New Roman" w:hAnsi="Times New Roman" w:cs="Times New Roman"/>
          <w:kern w:val="0"/>
          <w14:ligatures w14:val="none"/>
        </w:rPr>
        <w:t xml:space="preserve"> Tags: [AS] [DR] [RT] [CT]</w:t>
      </w:r>
    </w:p>
    <w:p w14:paraId="22C3619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Quick Meaning:</w:t>
      </w:r>
      <w:r w:rsidRPr="00BF76E2">
        <w:rPr>
          <w:rFonts w:ascii="Times New Roman" w:eastAsia="Times New Roman" w:hAnsi="Times New Roman" w:cs="Times New Roman"/>
          <w:kern w:val="0"/>
          <w14:ligatures w14:val="none"/>
        </w:rPr>
        <w:t xml:space="preserve"> Withdrawal — the deliberate departure from settled society into desert space — understood within the anchoritic strand as the constitutive founding act of the ascetic life, though not shared as a founding logic by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or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and in practice more porous than the tradition's own literary ideal suggests.</w:t>
      </w:r>
    </w:p>
    <w:p w14:paraId="3C849795"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[CT] note — type of contest:</w:t>
      </w:r>
      <w:r w:rsidRPr="00BF76E2">
        <w:rPr>
          <w:rFonts w:ascii="Times New Roman" w:eastAsia="Times New Roman" w:hAnsi="Times New Roman" w:cs="Times New Roman"/>
          <w:kern w:val="0"/>
          <w14:ligatures w14:val="none"/>
        </w:rPr>
        <w:t xml:space="preserve"> This tag flags two related but distinct problems. The first is a </w:t>
      </w:r>
      <w:r w:rsidRPr="00BF76E2">
        <w:rPr>
          <w:rFonts w:ascii="Times New Roman" w:eastAsia="Times New Roman" w:hAnsi="Times New Roman" w:cs="Times New Roman"/>
          <w:b/>
          <w:bCs/>
          <w:kern w:val="0"/>
          <w14:ligatures w14:val="none"/>
        </w:rPr>
        <w:t>popular-overstatement problem</w:t>
      </w:r>
      <w:r w:rsidRPr="00BF76E2">
        <w:rPr>
          <w:rFonts w:ascii="Times New Roman" w:eastAsia="Times New Roman" w:hAnsi="Times New Roman" w:cs="Times New Roman"/>
          <w:kern w:val="0"/>
          <w14:ligatures w14:val="none"/>
        </w:rPr>
        <w:t xml:space="preserve">: treating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as a defining feature of "Desert Christianity" broadly is not a live scholarly dispute — the scholarly identification of it as anchoritic-strand-specific is well-established. The problem is popular and cross-strand extension beyond its evidential scope. The second is a </w:t>
      </w:r>
      <w:r w:rsidRPr="00BF76E2">
        <w:rPr>
          <w:rFonts w:ascii="Times New Roman" w:eastAsia="Times New Roman" w:hAnsi="Times New Roman" w:cs="Times New Roman"/>
          <w:b/>
          <w:bCs/>
          <w:kern w:val="0"/>
          <w14:ligatures w14:val="none"/>
        </w:rPr>
        <w:t>literary-ideal-versus-practice problem</w:t>
      </w:r>
      <w:r w:rsidRPr="00BF76E2">
        <w:rPr>
          <w:rFonts w:ascii="Times New Roman" w:eastAsia="Times New Roman" w:hAnsi="Times New Roman" w:cs="Times New Roman"/>
          <w:kern w:val="0"/>
          <w14:ligatures w14:val="none"/>
        </w:rPr>
        <w:t>: even within its own strand, the degree of actual physical isolation achieved is substantially contested by documentary evidence. Both problems are named here because both operate simultaneously.</w:t>
      </w:r>
    </w:p>
    <w:p w14:paraId="45B7F6E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lastRenderedPageBreak/>
        <w:t>World Meaning:</w:t>
      </w:r>
    </w:p>
    <w:p w14:paraId="3D8822EF"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What someone leaving for the desert was </w:t>
      </w:r>
      <w:proofErr w:type="gramStart"/>
      <w:r w:rsidRPr="00BF76E2">
        <w:rPr>
          <w:rFonts w:ascii="Times New Roman" w:eastAsia="Times New Roman" w:hAnsi="Times New Roman" w:cs="Times New Roman"/>
          <w:kern w:val="0"/>
          <w14:ligatures w14:val="none"/>
        </w:rPr>
        <w:t>actually leaving</w:t>
      </w:r>
      <w:proofErr w:type="gramEnd"/>
      <w:r w:rsidRPr="00BF76E2">
        <w:rPr>
          <w:rFonts w:ascii="Times New Roman" w:eastAsia="Times New Roman" w:hAnsi="Times New Roman" w:cs="Times New Roman"/>
          <w:kern w:val="0"/>
          <w14:ligatures w14:val="none"/>
        </w:rPr>
        <w:t xml:space="preserve"> was not nothing. The Egypt that produced the desert movement in the third and fourth centuries was a densely settled river civilization: the Nile valley and delta, narrow strips of extraordinarily fertile land hemmed in on both sides by desert, supported a dense population in villages and small cities whose social fabric was woven from family networks, local obligations, the rhythms of agricultural labor, and the economic and religious life of communities that had existed in the same configurations for many generations. To be a person in this world was to occupy a position in a network that had claims on </w:t>
      </w:r>
      <w:proofErr w:type="gramStart"/>
      <w:r w:rsidRPr="00BF76E2">
        <w:rPr>
          <w:rFonts w:ascii="Times New Roman" w:eastAsia="Times New Roman" w:hAnsi="Times New Roman" w:cs="Times New Roman"/>
          <w:kern w:val="0"/>
          <w14:ligatures w14:val="none"/>
        </w:rPr>
        <w:t>you —</w:t>
      </w:r>
      <w:proofErr w:type="gramEnd"/>
      <w:r w:rsidRPr="00BF76E2">
        <w:rPr>
          <w:rFonts w:ascii="Times New Roman" w:eastAsia="Times New Roman" w:hAnsi="Times New Roman" w:cs="Times New Roman"/>
          <w:kern w:val="0"/>
          <w14:ligatures w14:val="none"/>
        </w:rPr>
        <w:t xml:space="preserve"> family to be supported, debts of honor to be paid, relationships requiring maintenance, a place in the village's collective religious and economic life. Leaving this was not simply choosing a different kind of life. It was </w:t>
      </w:r>
      <w:proofErr w:type="gramStart"/>
      <w:r w:rsidRPr="00BF76E2">
        <w:rPr>
          <w:rFonts w:ascii="Times New Roman" w:eastAsia="Times New Roman" w:hAnsi="Times New Roman" w:cs="Times New Roman"/>
          <w:kern w:val="0"/>
          <w14:ligatures w14:val="none"/>
        </w:rPr>
        <w:t>severing</w:t>
      </w:r>
      <w:proofErr w:type="gramEnd"/>
      <w:r w:rsidRPr="00BF76E2">
        <w:rPr>
          <w:rFonts w:ascii="Times New Roman" w:eastAsia="Times New Roman" w:hAnsi="Times New Roman" w:cs="Times New Roman"/>
          <w:kern w:val="0"/>
          <w14:ligatures w14:val="none"/>
        </w:rPr>
        <w:t xml:space="preserve"> oneself from what a person, in this world's social logic, essentially was.</w:t>
      </w:r>
    </w:p>
    <w:p w14:paraId="2AB0FFF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desert was immediately adjacent to this dense social world — in some places literally across the canal from the nearest village — but it was a different kind of space. The Nile-fed black soil of the cultivated land gave way, at an abrupt line, to the red desert. Kellia, one of the major semi-anchoritic settlements, was about twelve miles from the village of </w:t>
      </w:r>
      <w:proofErr w:type="spellStart"/>
      <w:r w:rsidRPr="00BF76E2">
        <w:rPr>
          <w:rFonts w:ascii="Times New Roman" w:eastAsia="Times New Roman" w:hAnsi="Times New Roman" w:cs="Times New Roman"/>
          <w:kern w:val="0"/>
          <w14:ligatures w14:val="none"/>
        </w:rPr>
        <w:t>Nitria</w:t>
      </w:r>
      <w:proofErr w:type="spellEnd"/>
      <w:r w:rsidRPr="00BF76E2">
        <w:rPr>
          <w:rFonts w:ascii="Times New Roman" w:eastAsia="Times New Roman" w:hAnsi="Times New Roman" w:cs="Times New Roman"/>
          <w:kern w:val="0"/>
          <w14:ligatures w14:val="none"/>
        </w:rPr>
        <w:t>, which was itself on the edge of the Delta. The desert the monks entered was not the dramatic landscape of popular imagination — not primarily the red dunes of the deep Sahara, though the Thebaid settlements further south came closer to that — but a flat, stony, dry expanse that was genuinely inhospitable to permanent human settlement without the deliberate cultivation of water sources, the construction of simple shelters, and the import of basic provisions. The landscape was harsh in a specific way: not dramatically dangerous, not teeming with predators or theatrical hazards, but simply without the infrastructure that sustained human life. The monk who moved there was moving to a place where the ordinary business of staying alive required continuous intention, and where nothing — not the landscape, not the ecology, not the social arrangements — was organized to support him.</w:t>
      </w:r>
    </w:p>
    <w:p w14:paraId="6357A793"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tradition understood this movement into difficult, uninhabited space through several converging theological frames. The most ancient ran from the Hebrew scriptures: the desert was where Israel had been formed as a people, where the prophets had retreated to hear clearly what was obscured by settled life, where John the Baptist had lived, where Jesus had been tested for forty days. The desert was not empty; it was the place where the noise of ordinary human social arrangement fell away enough for something else to become audible — and it was also, in the same tradition, the place where the adversary was most present, most active, least constrained by the social arrangements that elsewhere kept the worst possibilities of human life partially contained. To go to the desert was to go toward </w:t>
      </w:r>
      <w:proofErr w:type="gramStart"/>
      <w:r w:rsidRPr="00BF76E2">
        <w:rPr>
          <w:rFonts w:ascii="Times New Roman" w:eastAsia="Times New Roman" w:hAnsi="Times New Roman" w:cs="Times New Roman"/>
          <w:kern w:val="0"/>
          <w14:ligatures w14:val="none"/>
        </w:rPr>
        <w:t>both of these</w:t>
      </w:r>
      <w:proofErr w:type="gramEnd"/>
      <w:r w:rsidRPr="00BF76E2">
        <w:rPr>
          <w:rFonts w:ascii="Times New Roman" w:eastAsia="Times New Roman" w:hAnsi="Times New Roman" w:cs="Times New Roman"/>
          <w:kern w:val="0"/>
          <w14:ligatures w14:val="none"/>
        </w:rPr>
        <w:t xml:space="preserve"> simultaneously: toward the possibility of encounter with God and toward the concentrated presence of the adversary. The martyrological-combat frame gave this combination its most vivid form: the desert as an arena in which the monk fought against demonic forces directly, without the buffer of social life.</w:t>
      </w:r>
    </w:p>
    <w:p w14:paraId="34C4A93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act of withdrawal in the Antonian tradition was gradual, and the gradation itself was meaningful. Antony, in Athanasius's account, did not immediately move to the deepest wilderness. He began by living near his village, visiting an older ascetic who lived at the edge of the community. Then he moved further out, to a tomb outside the village. Then further, to an </w:t>
      </w:r>
      <w:r w:rsidRPr="00BF76E2">
        <w:rPr>
          <w:rFonts w:ascii="Times New Roman" w:eastAsia="Times New Roman" w:hAnsi="Times New Roman" w:cs="Times New Roman"/>
          <w:kern w:val="0"/>
          <w14:ligatures w14:val="none"/>
        </w:rPr>
        <w:lastRenderedPageBreak/>
        <w:t>abandoned fort at some distance. Then, much later, to an inner mountain that Athanasius describes as truly remote. Each movement followed from some crisis or deepening of the formation process — from the sense that the current degree of separation was insufficient for what was required at this stage, or that the adversary had been met at this level and the combat had to be carried further in. Withdrawal was not a single event but an ongoing orientation, a direction of movement that the monk was always in the middle of.</w:t>
      </w:r>
    </w:p>
    <w:p w14:paraId="779D6625"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This is where Goehring's correction matters and needs to be held honestly rather than either deployed as a debunking or quietly set aside because the literary ideal is more vivid. The documentary evidence — papyri, ostraca, monastic correspondence, economic records — consistently shows a desert monastic world that was more porous, more socially connected, more economically integrated with the surrounding society than the literary sources suggest. Kellia's population numbered in the hundreds, eventually thousands. There were bakeries. There was economic exchange. The monks' trade goods (baskets, mats, rope) circulated in local markets. Pilgrims and scholars and curious visitors came and went. The same community that the sources describe in terms of solitary silence and total withdrawal was, in the documentary record, a substantial settlement with regular Saturday-Sunday communal gatherings, a shared internal economy, and regular news from and contact with Alexandria.</w:t>
      </w:r>
    </w:p>
    <w:p w14:paraId="6C64833D"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F76E2">
        <w:rPr>
          <w:rFonts w:ascii="Times New Roman" w:eastAsia="Times New Roman" w:hAnsi="Times New Roman" w:cs="Times New Roman"/>
          <w:kern w:val="0"/>
          <w14:ligatures w14:val="none"/>
        </w:rPr>
        <w:t>Both of these</w:t>
      </w:r>
      <w:proofErr w:type="gramEnd"/>
      <w:r w:rsidRPr="00BF76E2">
        <w:rPr>
          <w:rFonts w:ascii="Times New Roman" w:eastAsia="Times New Roman" w:hAnsi="Times New Roman" w:cs="Times New Roman"/>
          <w:kern w:val="0"/>
          <w14:ligatures w14:val="none"/>
        </w:rPr>
        <w:t xml:space="preserve"> things are true, and neither cancels the other. The literary ideal of withdrawal — total, heroic, constitutive — shaped how the monks understood what they were doing and gave their daily discipline its meaning, even where the practice fell short of the ideal. The actual conditions of semi-</w:t>
      </w:r>
      <w:proofErr w:type="spellStart"/>
      <w:r w:rsidRPr="00BF76E2">
        <w:rPr>
          <w:rFonts w:ascii="Times New Roman" w:eastAsia="Times New Roman" w:hAnsi="Times New Roman" w:cs="Times New Roman"/>
          <w:kern w:val="0"/>
          <w14:ligatures w14:val="none"/>
        </w:rPr>
        <w:t>anachoretic</w:t>
      </w:r>
      <w:proofErr w:type="spellEnd"/>
      <w:r w:rsidRPr="00BF76E2">
        <w:rPr>
          <w:rFonts w:ascii="Times New Roman" w:eastAsia="Times New Roman" w:hAnsi="Times New Roman" w:cs="Times New Roman"/>
          <w:kern w:val="0"/>
          <w14:ligatures w14:val="none"/>
        </w:rPr>
        <w:t xml:space="preserve"> life at </w:t>
      </w:r>
      <w:proofErr w:type="spellStart"/>
      <w:r w:rsidRPr="00BF76E2">
        <w:rPr>
          <w:rFonts w:ascii="Times New Roman" w:eastAsia="Times New Roman" w:hAnsi="Times New Roman" w:cs="Times New Roman"/>
          <w:kern w:val="0"/>
          <w14:ligatures w14:val="none"/>
        </w:rPr>
        <w:t>Nitria</w:t>
      </w:r>
      <w:proofErr w:type="spellEnd"/>
      <w:r w:rsidRPr="00BF76E2">
        <w:rPr>
          <w:rFonts w:ascii="Times New Roman" w:eastAsia="Times New Roman" w:hAnsi="Times New Roman" w:cs="Times New Roman"/>
          <w:kern w:val="0"/>
          <w14:ligatures w14:val="none"/>
        </w:rPr>
        <w:t xml:space="preserve">, Kellia, and </w:t>
      </w:r>
      <w:proofErr w:type="spellStart"/>
      <w:r w:rsidRPr="00BF76E2">
        <w:rPr>
          <w:rFonts w:ascii="Times New Roman" w:eastAsia="Times New Roman" w:hAnsi="Times New Roman" w:cs="Times New Roman"/>
          <w:kern w:val="0"/>
          <w14:ligatures w14:val="none"/>
        </w:rPr>
        <w:t>Scetis</w:t>
      </w:r>
      <w:proofErr w:type="spellEnd"/>
      <w:r w:rsidRPr="00BF76E2">
        <w:rPr>
          <w:rFonts w:ascii="Times New Roman" w:eastAsia="Times New Roman" w:hAnsi="Times New Roman" w:cs="Times New Roman"/>
          <w:kern w:val="0"/>
          <w14:ligatures w14:val="none"/>
        </w:rPr>
        <w:t xml:space="preserve"> were substantially more socially connected than that ideal suggested. The ideal was not false; it was an aspirational theological self-description that organized the monks' own sense of what their life meant. And it was not fully achieved; the documentary record makes that clear. The Representative who holds </w:t>
      </w:r>
      <w:proofErr w:type="gramStart"/>
      <w:r w:rsidRPr="00BF76E2">
        <w:rPr>
          <w:rFonts w:ascii="Times New Roman" w:eastAsia="Times New Roman" w:hAnsi="Times New Roman" w:cs="Times New Roman"/>
          <w:kern w:val="0"/>
          <w14:ligatures w14:val="none"/>
        </w:rPr>
        <w:t>both of these</w:t>
      </w:r>
      <w:proofErr w:type="gramEnd"/>
      <w:r w:rsidRPr="00BF76E2">
        <w:rPr>
          <w:rFonts w:ascii="Times New Roman" w:eastAsia="Times New Roman" w:hAnsi="Times New Roman" w:cs="Times New Roman"/>
          <w:kern w:val="0"/>
          <w14:ligatures w14:val="none"/>
        </w:rPr>
        <w:t xml:space="preserve"> simultaneously is giving the more honest account.</w:t>
      </w:r>
    </w:p>
    <w:p w14:paraId="670BA748"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The absence of this founding logic 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is itself a significant finding that this entry wants to name directly rather than mention in passing. Pachomius did not leave settled life to find a wilderness; he built an organized community on agricultural land near the Nile in </w:t>
      </w:r>
      <w:proofErr w:type="gramStart"/>
      <w:r w:rsidRPr="00BF76E2">
        <w:rPr>
          <w:rFonts w:ascii="Times New Roman" w:eastAsia="Times New Roman" w:hAnsi="Times New Roman" w:cs="Times New Roman"/>
          <w:kern w:val="0"/>
          <w14:ligatures w14:val="none"/>
        </w:rPr>
        <w:t>the Thebaid</w:t>
      </w:r>
      <w:proofErr w:type="gramEnd"/>
      <w:r w:rsidRPr="00BF76E2">
        <w:rPr>
          <w:rFonts w:ascii="Times New Roman" w:eastAsia="Times New Roman" w:hAnsi="Times New Roman" w:cs="Times New Roman"/>
          <w:kern w:val="0"/>
          <w14:ligatures w14:val="none"/>
        </w:rPr>
        <w:t xml:space="preserve"> and organized it from the beginning as a structured institution.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federation's founding narrative is not a withdrawal narrative at all — it is a foundation narrative, closer in structure to the founding of a new kind of social institution than to the individual's departure from society. Shenoute inherited his community from </w:t>
      </w:r>
      <w:proofErr w:type="spellStart"/>
      <w:r w:rsidRPr="00BF76E2">
        <w:rPr>
          <w:rFonts w:ascii="Times New Roman" w:eastAsia="Times New Roman" w:hAnsi="Times New Roman" w:cs="Times New Roman"/>
          <w:kern w:val="0"/>
          <w14:ligatures w14:val="none"/>
        </w:rPr>
        <w:t>Pcol</w:t>
      </w:r>
      <w:proofErr w:type="spellEnd"/>
      <w:r w:rsidRPr="00BF76E2">
        <w:rPr>
          <w:rFonts w:ascii="Times New Roman" w:eastAsia="Times New Roman" w:hAnsi="Times New Roman" w:cs="Times New Roman"/>
          <w:kern w:val="0"/>
          <w14:ligatures w14:val="none"/>
        </w:rPr>
        <w:t xml:space="preserve">, who had built it on a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model, at a site near the city of Panopolis. The White Monastery faced the city across the Nile. Shenoute's federation was not organized away from settled society; its organizational logic included the ongoing, deliberate, confrontational engagement with that society that Document 03 identified as the parallel most troubling for this world's Shenoute/Syria boundary question.</w:t>
      </w:r>
    </w:p>
    <w:p w14:paraId="451D5331"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kern w:val="0"/>
          <w14:ligatures w14:val="none"/>
        </w:rPr>
        <w:t xml:space="preserve">What this means for this Lexicon is that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cannot be used as a defining term for Desert Christianity </w:t>
      </w:r>
      <w:proofErr w:type="gramStart"/>
      <w:r w:rsidRPr="00BF76E2">
        <w:rPr>
          <w:rFonts w:ascii="Times New Roman" w:eastAsia="Times New Roman" w:hAnsi="Times New Roman" w:cs="Times New Roman"/>
          <w:kern w:val="0"/>
          <w14:ligatures w14:val="none"/>
        </w:rPr>
        <w:t>as a whole without</w:t>
      </w:r>
      <w:proofErr w:type="gramEnd"/>
      <w:r w:rsidRPr="00BF76E2">
        <w:rPr>
          <w:rFonts w:ascii="Times New Roman" w:eastAsia="Times New Roman" w:hAnsi="Times New Roman" w:cs="Times New Roman"/>
          <w:kern w:val="0"/>
          <w14:ligatures w14:val="none"/>
        </w:rPr>
        <w:t xml:space="preserve"> misrepresenting two of its four strands' own founding logic. It is the constitutive act for the anchoritic tradition specifically, and genuinely so — but its absence from the cenobitic strands' self-understanding is evidence, not merely an inconvenient exception.</w:t>
      </w:r>
    </w:p>
    <w:p w14:paraId="110D5712"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lastRenderedPageBreak/>
        <w:t>Ecological Function:</w:t>
      </w:r>
      <w:r w:rsidRPr="00BF76E2">
        <w:rPr>
          <w:rFonts w:ascii="Times New Roman" w:eastAsia="Times New Roman" w:hAnsi="Times New Roman" w:cs="Times New Roman"/>
          <w:kern w:val="0"/>
          <w14:ligatures w14:val="none"/>
        </w:rPr>
        <w:t xml:space="preserve"> The anchoritic strand's own account of its founding act; connects to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(the inhabited endpoint of withdrawal), </w:t>
      </w:r>
      <w:proofErr w:type="spellStart"/>
      <w:r w:rsidRPr="00BF76E2">
        <w:rPr>
          <w:rFonts w:ascii="Times New Roman" w:eastAsia="Times New Roman" w:hAnsi="Times New Roman" w:cs="Times New Roman"/>
          <w:kern w:val="0"/>
          <w14:ligatures w14:val="none"/>
        </w:rPr>
        <w:t>Xeniteia</w:t>
      </w:r>
      <w:proofErr w:type="spellEnd"/>
      <w:r w:rsidRPr="00BF76E2">
        <w:rPr>
          <w:rFonts w:ascii="Times New Roman" w:eastAsia="Times New Roman" w:hAnsi="Times New Roman" w:cs="Times New Roman"/>
          <w:kern w:val="0"/>
          <w14:ligatures w14:val="none"/>
        </w:rPr>
        <w:t xml:space="preserve"> (a related discipline of deliberate estrangement from kin and homeland), Hesychia (the interior stillness that withdrawal is meant to create conditions for), and the Martyrological Combat Frame (which gives the desert its theological character as an arena of total engagement). Its documented absence from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founding vocabulary is part of the strand-divergence finding that Document 03 identified as bearing on the one-world question.</w:t>
      </w:r>
    </w:p>
    <w:p w14:paraId="47D1FFF7"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Distortion Risk:</w:t>
      </w:r>
    </w:p>
    <w:p w14:paraId="5E5589EF" w14:textId="77777777" w:rsidR="00BF76E2" w:rsidRPr="00BF76E2" w:rsidRDefault="00BF76E2" w:rsidP="00BF7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Modern Hearing:</w:t>
      </w:r>
      <w:r w:rsidRPr="00BF76E2">
        <w:rPr>
          <w:rFonts w:ascii="Times New Roman" w:eastAsia="Times New Roman" w:hAnsi="Times New Roman" w:cs="Times New Roman"/>
          <w:kern w:val="0"/>
          <w14:ligatures w14:val="none"/>
        </w:rPr>
        <w:t xml:space="preserve"> The single most universally assumed feature of "the desert fathers" as a whole — flight from civilization into total isolation, taken as definitional of the entire tradition.</w:t>
      </w:r>
    </w:p>
    <w:p w14:paraId="1299828C" w14:textId="77777777" w:rsidR="00BF76E2" w:rsidRPr="00BF76E2" w:rsidRDefault="00BF76E2" w:rsidP="00BF7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i/>
          <w:iCs/>
          <w:kern w:val="0"/>
          <w14:ligatures w14:val="none"/>
        </w:rPr>
        <w:t>World Hearing:</w:t>
      </w:r>
      <w:r w:rsidRPr="00BF76E2">
        <w:rPr>
          <w:rFonts w:ascii="Times New Roman" w:eastAsia="Times New Roman" w:hAnsi="Times New Roman" w:cs="Times New Roman"/>
          <w:kern w:val="0"/>
          <w14:ligatures w14:val="none"/>
        </w:rPr>
        <w:t xml:space="preserve"> A constitutive founding ideal of the anchoritic and semi-anchoritic strands specifically, not shared by the cenobitic federations' own founding logic, and even within its native strand more porous in practice than the literary ideal suggests — with the ideal remaining spiritually and </w:t>
      </w:r>
      <w:proofErr w:type="spellStart"/>
      <w:r w:rsidRPr="00BF76E2">
        <w:rPr>
          <w:rFonts w:ascii="Times New Roman" w:eastAsia="Times New Roman" w:hAnsi="Times New Roman" w:cs="Times New Roman"/>
          <w:kern w:val="0"/>
          <w14:ligatures w14:val="none"/>
        </w:rPr>
        <w:t>formationally</w:t>
      </w:r>
      <w:proofErr w:type="spellEnd"/>
      <w:r w:rsidRPr="00BF76E2">
        <w:rPr>
          <w:rFonts w:ascii="Times New Roman" w:eastAsia="Times New Roman" w:hAnsi="Times New Roman" w:cs="Times New Roman"/>
          <w:kern w:val="0"/>
          <w14:ligatures w14:val="none"/>
        </w:rPr>
        <w:t xml:space="preserve"> real even where its full achievement was not.</w:t>
      </w:r>
    </w:p>
    <w:p w14:paraId="2631FDD7"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Texts:</w:t>
      </w:r>
      <w:r w:rsidRPr="00BF76E2">
        <w:rPr>
          <w:rFonts w:ascii="Times New Roman" w:eastAsia="Times New Roman" w:hAnsi="Times New Roman" w:cs="Times New Roman"/>
          <w:kern w:val="0"/>
          <w14:ligatures w14:val="none"/>
        </w:rPr>
        <w:t xml:space="preserve"> Athanasius,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xml:space="preserve"> (with Author Gravity caution: the Antonian withdrawal narrative as Athanasius's theological construction, Tier 3 confidence for specific narrative claims); </w:t>
      </w:r>
      <w:r w:rsidRPr="00BF76E2">
        <w:rPr>
          <w:rFonts w:ascii="Times New Roman" w:eastAsia="Times New Roman" w:hAnsi="Times New Roman" w:cs="Times New Roman"/>
          <w:i/>
          <w:iCs/>
          <w:kern w:val="0"/>
          <w14:ligatures w14:val="none"/>
        </w:rPr>
        <w:t xml:space="preserve">Historia </w:t>
      </w:r>
      <w:proofErr w:type="spellStart"/>
      <w:r w:rsidRPr="00BF76E2">
        <w:rPr>
          <w:rFonts w:ascii="Times New Roman" w:eastAsia="Times New Roman" w:hAnsi="Times New Roman" w:cs="Times New Roman"/>
          <w:i/>
          <w:iCs/>
          <w:kern w:val="0"/>
          <w14:ligatures w14:val="none"/>
        </w:rPr>
        <w:t>Monachorum</w:t>
      </w:r>
      <w:proofErr w:type="spellEnd"/>
      <w:r w:rsidRPr="00BF76E2">
        <w:rPr>
          <w:rFonts w:ascii="Times New Roman" w:eastAsia="Times New Roman" w:hAnsi="Times New Roman" w:cs="Times New Roman"/>
          <w:i/>
          <w:iCs/>
          <w:kern w:val="0"/>
          <w14:ligatures w14:val="none"/>
        </w:rPr>
        <w:t xml:space="preserve"> in </w:t>
      </w:r>
      <w:proofErr w:type="spellStart"/>
      <w:r w:rsidRPr="00BF76E2">
        <w:rPr>
          <w:rFonts w:ascii="Times New Roman" w:eastAsia="Times New Roman" w:hAnsi="Times New Roman" w:cs="Times New Roman"/>
          <w:i/>
          <w:iCs/>
          <w:kern w:val="0"/>
          <w14:ligatures w14:val="none"/>
        </w:rPr>
        <w:t>Aegypto</w:t>
      </w:r>
      <w:proofErr w:type="spellEnd"/>
      <w:r w:rsidRPr="00BF76E2">
        <w:rPr>
          <w:rFonts w:ascii="Times New Roman" w:eastAsia="Times New Roman" w:hAnsi="Times New Roman" w:cs="Times New Roman"/>
          <w:kern w:val="0"/>
          <w14:ligatures w14:val="none"/>
        </w:rPr>
        <w:t xml:space="preserve"> (downstream of the </w:t>
      </w:r>
      <w:r w:rsidRPr="00BF76E2">
        <w:rPr>
          <w:rFonts w:ascii="Times New Roman" w:eastAsia="Times New Roman" w:hAnsi="Times New Roman" w:cs="Times New Roman"/>
          <w:i/>
          <w:iCs/>
          <w:kern w:val="0"/>
          <w14:ligatures w14:val="none"/>
        </w:rPr>
        <w:t>Life of Antony</w:t>
      </w:r>
      <w:r w:rsidRPr="00BF76E2">
        <w:rPr>
          <w:rFonts w:ascii="Times New Roman" w:eastAsia="Times New Roman" w:hAnsi="Times New Roman" w:cs="Times New Roman"/>
          <w:kern w:val="0"/>
          <w14:ligatures w14:val="none"/>
        </w:rPr>
        <w:t>, not an independent control on it).</w:t>
      </w:r>
    </w:p>
    <w:p w14:paraId="66E3F7CC"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Key Sources:</w:t>
      </w:r>
      <w:r w:rsidRPr="00BF76E2">
        <w:rPr>
          <w:rFonts w:ascii="Times New Roman" w:eastAsia="Times New Roman" w:hAnsi="Times New Roman" w:cs="Times New Roman"/>
          <w:kern w:val="0"/>
          <w14:ligatures w14:val="none"/>
        </w:rPr>
        <w:t xml:space="preserve"> Document 01, Temporal Scope and Distinct World Test (Goehring adoption as foundational position); Document 03, Candidate A (fracture finding — this term's failed cross-strand gravity testing); Document 04, Section 5 (Spatial Ecology with Goehring correction at full strength); Goehring, </w:t>
      </w:r>
      <w:r w:rsidRPr="00BF76E2">
        <w:rPr>
          <w:rFonts w:ascii="Times New Roman" w:eastAsia="Times New Roman" w:hAnsi="Times New Roman" w:cs="Times New Roman"/>
          <w:i/>
          <w:iCs/>
          <w:kern w:val="0"/>
          <w14:ligatures w14:val="none"/>
        </w:rPr>
        <w:t>Ascetics, Society, and the Desert</w:t>
      </w:r>
      <w:r w:rsidRPr="00BF76E2">
        <w:rPr>
          <w:rFonts w:ascii="Times New Roman" w:eastAsia="Times New Roman" w:hAnsi="Times New Roman" w:cs="Times New Roman"/>
          <w:kern w:val="0"/>
          <w14:ligatures w14:val="none"/>
        </w:rPr>
        <w:t>.</w:t>
      </w:r>
    </w:p>
    <w:p w14:paraId="52A62D04"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Related Terms:</w:t>
      </w:r>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Kellion</w:t>
      </w:r>
      <w:proofErr w:type="spellEnd"/>
      <w:r w:rsidRPr="00BF76E2">
        <w:rPr>
          <w:rFonts w:ascii="Times New Roman" w:eastAsia="Times New Roman" w:hAnsi="Times New Roman" w:cs="Times New Roman"/>
          <w:kern w:val="0"/>
          <w14:ligatures w14:val="none"/>
        </w:rPr>
        <w:t xml:space="preserve">; </w:t>
      </w:r>
      <w:proofErr w:type="spellStart"/>
      <w:r w:rsidRPr="00BF76E2">
        <w:rPr>
          <w:rFonts w:ascii="Times New Roman" w:eastAsia="Times New Roman" w:hAnsi="Times New Roman" w:cs="Times New Roman"/>
          <w:kern w:val="0"/>
          <w14:ligatures w14:val="none"/>
        </w:rPr>
        <w:t>Xeniteia</w:t>
      </w:r>
      <w:proofErr w:type="spellEnd"/>
      <w:r w:rsidRPr="00BF76E2">
        <w:rPr>
          <w:rFonts w:ascii="Times New Roman" w:eastAsia="Times New Roman" w:hAnsi="Times New Roman" w:cs="Times New Roman"/>
          <w:kern w:val="0"/>
          <w14:ligatures w14:val="none"/>
        </w:rPr>
        <w:t xml:space="preserve">; Hesychia; Martyrological Combat Frame;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is absent from — and this absence is significant in — the entries for Koinonia [CT], Housemaster/Housemistress, and Federation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[CT].</w:t>
      </w:r>
    </w:p>
    <w:p w14:paraId="4C19DF79" w14:textId="77777777" w:rsidR="00BF76E2" w:rsidRPr="00BF76E2" w:rsidRDefault="00BF76E2" w:rsidP="00BF76E2">
      <w:pPr>
        <w:spacing w:before="100" w:beforeAutospacing="1" w:after="100" w:afterAutospacing="1" w:line="240" w:lineRule="auto"/>
        <w:rPr>
          <w:rFonts w:ascii="Times New Roman" w:eastAsia="Times New Roman" w:hAnsi="Times New Roman" w:cs="Times New Roman"/>
          <w:kern w:val="0"/>
          <w14:ligatures w14:val="none"/>
        </w:rPr>
      </w:pPr>
      <w:r w:rsidRPr="00BF76E2">
        <w:rPr>
          <w:rFonts w:ascii="Times New Roman" w:eastAsia="Times New Roman" w:hAnsi="Times New Roman" w:cs="Times New Roman"/>
          <w:b/>
          <w:bCs/>
          <w:kern w:val="0"/>
          <w14:ligatures w14:val="none"/>
        </w:rPr>
        <w:t>Representative Fluency:</w:t>
      </w:r>
      <w:r w:rsidRPr="00BF76E2">
        <w:rPr>
          <w:rFonts w:ascii="Times New Roman" w:eastAsia="Times New Roman" w:hAnsi="Times New Roman" w:cs="Times New Roman"/>
          <w:kern w:val="0"/>
          <w14:ligatures w14:val="none"/>
        </w:rPr>
        <w:t xml:space="preserve"> </w:t>
      </w:r>
      <w:r w:rsidRPr="00BF76E2">
        <w:rPr>
          <w:rFonts w:ascii="Times New Roman" w:eastAsia="Times New Roman" w:hAnsi="Times New Roman" w:cs="Times New Roman"/>
          <w:b/>
          <w:bCs/>
          <w:kern w:val="0"/>
          <w14:ligatures w14:val="none"/>
        </w:rPr>
        <w:t>Native</w:t>
      </w:r>
      <w:r w:rsidRPr="00BF76E2">
        <w:rPr>
          <w:rFonts w:ascii="Times New Roman" w:eastAsia="Times New Roman" w:hAnsi="Times New Roman" w:cs="Times New Roman"/>
          <w:kern w:val="0"/>
          <w14:ligatures w14:val="none"/>
        </w:rPr>
        <w:t xml:space="preserve">, with the explicit caveat the Representative should carry into his own speech: he should be able to describe </w:t>
      </w:r>
      <w:proofErr w:type="spellStart"/>
      <w:r w:rsidRPr="00BF76E2">
        <w:rPr>
          <w:rFonts w:ascii="Times New Roman" w:eastAsia="Times New Roman" w:hAnsi="Times New Roman" w:cs="Times New Roman"/>
          <w:kern w:val="0"/>
          <w14:ligatures w14:val="none"/>
        </w:rPr>
        <w:t>anachoresis</w:t>
      </w:r>
      <w:proofErr w:type="spellEnd"/>
      <w:r w:rsidRPr="00BF76E2">
        <w:rPr>
          <w:rFonts w:ascii="Times New Roman" w:eastAsia="Times New Roman" w:hAnsi="Times New Roman" w:cs="Times New Roman"/>
          <w:kern w:val="0"/>
          <w14:ligatures w14:val="none"/>
        </w:rPr>
        <w:t xml:space="preserve"> as constitutive to his own strand's self-understanding and to his own formation experience, while holding honestly, when relevant, that its lived reality was more socially connected than the ideal suggests, and that this constitutive act has no equivalent in the </w:t>
      </w:r>
      <w:proofErr w:type="spellStart"/>
      <w:r w:rsidRPr="00BF76E2">
        <w:rPr>
          <w:rFonts w:ascii="Times New Roman" w:eastAsia="Times New Roman" w:hAnsi="Times New Roman" w:cs="Times New Roman"/>
          <w:kern w:val="0"/>
          <w14:ligatures w14:val="none"/>
        </w:rPr>
        <w:t>Pachomian</w:t>
      </w:r>
      <w:proofErr w:type="spellEnd"/>
      <w:r w:rsidRPr="00BF76E2">
        <w:rPr>
          <w:rFonts w:ascii="Times New Roman" w:eastAsia="Times New Roman" w:hAnsi="Times New Roman" w:cs="Times New Roman"/>
          <w:kern w:val="0"/>
          <w14:ligatures w14:val="none"/>
        </w:rPr>
        <w:t xml:space="preserve"> and </w:t>
      </w:r>
      <w:proofErr w:type="spellStart"/>
      <w:r w:rsidRPr="00BF76E2">
        <w:rPr>
          <w:rFonts w:ascii="Times New Roman" w:eastAsia="Times New Roman" w:hAnsi="Times New Roman" w:cs="Times New Roman"/>
          <w:kern w:val="0"/>
          <w14:ligatures w14:val="none"/>
        </w:rPr>
        <w:t>Shenoutean</w:t>
      </w:r>
      <w:proofErr w:type="spellEnd"/>
      <w:r w:rsidRPr="00BF76E2">
        <w:rPr>
          <w:rFonts w:ascii="Times New Roman" w:eastAsia="Times New Roman" w:hAnsi="Times New Roman" w:cs="Times New Roman"/>
          <w:kern w:val="0"/>
          <w14:ligatures w14:val="none"/>
        </w:rPr>
        <w:t xml:space="preserve"> strands he can only describe as </w:t>
      </w:r>
      <w:r w:rsidRPr="00BF76E2">
        <w:rPr>
          <w:rFonts w:ascii="Times New Roman" w:eastAsia="Times New Roman" w:hAnsi="Times New Roman" w:cs="Times New Roman"/>
          <w:b/>
          <w:bCs/>
          <w:kern w:val="0"/>
          <w14:ligatures w14:val="none"/>
        </w:rPr>
        <w:t>Acknowledged-Only</w:t>
      </w:r>
      <w:r w:rsidRPr="00BF76E2">
        <w:rPr>
          <w:rFonts w:ascii="Times New Roman" w:eastAsia="Times New Roman" w:hAnsi="Times New Roman" w:cs="Times New Roman"/>
          <w:kern w:val="0"/>
          <w14:ligatures w14:val="none"/>
        </w:rPr>
        <w:t>.</w:t>
      </w:r>
    </w:p>
    <w:p w14:paraId="2C703ACF"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AFE"/>
    <w:multiLevelType w:val="multilevel"/>
    <w:tmpl w:val="17E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63D4C"/>
    <w:multiLevelType w:val="multilevel"/>
    <w:tmpl w:val="AA28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B26C1"/>
    <w:multiLevelType w:val="multilevel"/>
    <w:tmpl w:val="F7F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D73ED"/>
    <w:multiLevelType w:val="multilevel"/>
    <w:tmpl w:val="5D8C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C3572"/>
    <w:multiLevelType w:val="multilevel"/>
    <w:tmpl w:val="053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C2729"/>
    <w:multiLevelType w:val="multilevel"/>
    <w:tmpl w:val="0D8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125635">
    <w:abstractNumId w:val="4"/>
  </w:num>
  <w:num w:numId="2" w16cid:durableId="188105246">
    <w:abstractNumId w:val="1"/>
  </w:num>
  <w:num w:numId="3" w16cid:durableId="951976126">
    <w:abstractNumId w:val="3"/>
  </w:num>
  <w:num w:numId="4" w16cid:durableId="658968793">
    <w:abstractNumId w:val="2"/>
  </w:num>
  <w:num w:numId="5" w16cid:durableId="1322852143">
    <w:abstractNumId w:val="5"/>
  </w:num>
  <w:num w:numId="6" w16cid:durableId="197028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E2"/>
    <w:rsid w:val="006A5947"/>
    <w:rsid w:val="00792A0F"/>
    <w:rsid w:val="007F75C4"/>
    <w:rsid w:val="00BF76E2"/>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7980"/>
  <w15:chartTrackingRefBased/>
  <w15:docId w15:val="{F523AA5D-EB20-4D30-B706-32BB8C1DA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6E2"/>
    <w:rPr>
      <w:rFonts w:eastAsiaTheme="majorEastAsia" w:cstheme="majorBidi"/>
      <w:color w:val="272727" w:themeColor="text1" w:themeTint="D8"/>
    </w:rPr>
  </w:style>
  <w:style w:type="paragraph" w:styleId="Title">
    <w:name w:val="Title"/>
    <w:basedOn w:val="Normal"/>
    <w:next w:val="Normal"/>
    <w:link w:val="TitleChar"/>
    <w:uiPriority w:val="10"/>
    <w:qFormat/>
    <w:rsid w:val="00BF7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6E2"/>
    <w:pPr>
      <w:spacing w:before="160"/>
      <w:jc w:val="center"/>
    </w:pPr>
    <w:rPr>
      <w:i/>
      <w:iCs/>
      <w:color w:val="404040" w:themeColor="text1" w:themeTint="BF"/>
    </w:rPr>
  </w:style>
  <w:style w:type="character" w:customStyle="1" w:styleId="QuoteChar">
    <w:name w:val="Quote Char"/>
    <w:basedOn w:val="DefaultParagraphFont"/>
    <w:link w:val="Quote"/>
    <w:uiPriority w:val="29"/>
    <w:rsid w:val="00BF76E2"/>
    <w:rPr>
      <w:i/>
      <w:iCs/>
      <w:color w:val="404040" w:themeColor="text1" w:themeTint="BF"/>
    </w:rPr>
  </w:style>
  <w:style w:type="paragraph" w:styleId="ListParagraph">
    <w:name w:val="List Paragraph"/>
    <w:basedOn w:val="Normal"/>
    <w:uiPriority w:val="34"/>
    <w:qFormat/>
    <w:rsid w:val="00BF76E2"/>
    <w:pPr>
      <w:ind w:left="720"/>
      <w:contextualSpacing/>
    </w:pPr>
  </w:style>
  <w:style w:type="character" w:styleId="IntenseEmphasis">
    <w:name w:val="Intense Emphasis"/>
    <w:basedOn w:val="DefaultParagraphFont"/>
    <w:uiPriority w:val="21"/>
    <w:qFormat/>
    <w:rsid w:val="00BF76E2"/>
    <w:rPr>
      <w:i/>
      <w:iCs/>
      <w:color w:val="0F4761" w:themeColor="accent1" w:themeShade="BF"/>
    </w:rPr>
  </w:style>
  <w:style w:type="paragraph" w:styleId="IntenseQuote">
    <w:name w:val="Intense Quote"/>
    <w:basedOn w:val="Normal"/>
    <w:next w:val="Normal"/>
    <w:link w:val="IntenseQuoteChar"/>
    <w:uiPriority w:val="30"/>
    <w:qFormat/>
    <w:rsid w:val="00BF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6E2"/>
    <w:rPr>
      <w:i/>
      <w:iCs/>
      <w:color w:val="0F4761" w:themeColor="accent1" w:themeShade="BF"/>
    </w:rPr>
  </w:style>
  <w:style w:type="character" w:styleId="IntenseReference">
    <w:name w:val="Intense Reference"/>
    <w:basedOn w:val="DefaultParagraphFont"/>
    <w:uiPriority w:val="32"/>
    <w:qFormat/>
    <w:rsid w:val="00BF7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17</Pages>
  <Words>8428</Words>
  <Characters>46540</Characters>
  <Application>Microsoft Office Word</Application>
  <DocSecurity>0</DocSecurity>
  <Lines>658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2026-06-20T14:35:00Z</dcterms:created>
  <dcterms:modified xsi:type="dcterms:W3CDTF">2026-06-20T17:36:00Z</dcterms:modified>
</cp:coreProperties>
</file>