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89062" w14:textId="77777777" w:rsidR="00B37F9E" w:rsidRPr="00B37F9E" w:rsidRDefault="00B37F9E" w:rsidP="00B37F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7F9E">
        <w:rPr>
          <w:rFonts w:ascii="Times New Roman" w:eastAsia="Times New Roman" w:hAnsi="Times New Roman" w:cs="Times New Roman"/>
          <w:b/>
          <w:bCs/>
          <w:kern w:val="0"/>
          <w:sz w:val="36"/>
          <w:szCs w:val="36"/>
          <w14:ligatures w14:val="none"/>
        </w:rPr>
        <w:t>Document 03: Gravity Discovery — Desert Christianity</w:t>
      </w:r>
    </w:p>
    <w:p w14:paraId="7CE7DFCE"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Version 3.0</w:t>
      </w:r>
    </w:p>
    <w:p w14:paraId="6681EABA"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i/>
          <w:iCs/>
          <w:kern w:val="0"/>
          <w14:ligatures w14:val="none"/>
        </w:rPr>
        <w:t>Per Construction Framework v1.6, Part III.</w:t>
      </w:r>
    </w:p>
    <w:p w14:paraId="2116DC61"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2C10E024">
          <v:rect id="_x0000_i1025" style="width:0;height:1.5pt" o:hralign="center" o:hrstd="t" o:hr="t" fillcolor="#a0a0a0" stroked="f"/>
        </w:pict>
      </w:r>
    </w:p>
    <w:p w14:paraId="051143EB"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Opening framing</w:t>
      </w:r>
    </w:p>
    <w:p w14:paraId="02673736"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This document exists to answer one question honestly, not to confirm a conclusion the project has been provisionally building toward: does the evidence assembled in Documents 01 and 02 support treating Desert Christianity as one formation world, or does it reveal several distinct formation logics that share a region, an era, and a vocabulary without sharing the deeper grammar a single world requires?</w:t>
      </w:r>
    </w:p>
    <w:p w14:paraId="4CBDC5DE"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The honest answer is: one confirmed cross-strand gravity, one confirmed cross-strand behavioral pattern, and one serious, specifically locatable internal fault line — the Pachomian strand's character — that this document names directly rather than resolving by assimilation to either of the two clearer poles. The reasoning that gets there, including where this document's own working assumptions turned out not to survive testing, follows.</w:t>
      </w:r>
    </w:p>
    <w:p w14:paraId="275CB8C8"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1E73A00B">
          <v:rect id="_x0000_i1026" style="width:0;height:1.5pt" o:hralign="center" o:hrstd="t" o:hr="t" fillcolor="#a0a0a0" stroked="f"/>
        </w:pict>
      </w:r>
    </w:p>
    <w:p w14:paraId="2B29A70D"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1. Candidate Gravity Generation</w:t>
      </w:r>
    </w:p>
    <w:p w14:paraId="77FA61C1"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Candidates are generated from Document 02's actual evidence streams, with Author Gravity risk flagged at the point of generation rather than discovered later.</w:t>
      </w:r>
    </w:p>
    <w:p w14:paraId="5B85269E"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A — Withdrawal into desert space as constitutive act.</w:t>
      </w:r>
      <w:r w:rsidRPr="00B37F9E">
        <w:rPr>
          <w:rFonts w:ascii="Times New Roman" w:eastAsia="Times New Roman" w:hAnsi="Times New Roman" w:cs="Times New Roman"/>
          <w:kern w:val="0"/>
          <w14:ligatures w14:val="none"/>
        </w:rPr>
        <w:t xml:space="preserve"> Drawn from: the </w:t>
      </w:r>
      <w:r w:rsidRPr="00B37F9E">
        <w:rPr>
          <w:rFonts w:ascii="Times New Roman" w:eastAsia="Times New Roman" w:hAnsi="Times New Roman" w:cs="Times New Roman"/>
          <w:i/>
          <w:iCs/>
          <w:kern w:val="0"/>
          <w14:ligatures w14:val="none"/>
        </w:rPr>
        <w:t>Life of Antony</w:t>
      </w:r>
      <w:r w:rsidRPr="00B37F9E">
        <w:rPr>
          <w:rFonts w:ascii="Times New Roman" w:eastAsia="Times New Roman" w:hAnsi="Times New Roman" w:cs="Times New Roman"/>
          <w:kern w:val="0"/>
          <w14:ligatures w14:val="none"/>
        </w:rPr>
        <w:t xml:space="preserve">, the </w:t>
      </w:r>
      <w:r w:rsidRPr="00B37F9E">
        <w:rPr>
          <w:rFonts w:ascii="Times New Roman" w:eastAsia="Times New Roman" w:hAnsi="Times New Roman" w:cs="Times New Roman"/>
          <w:i/>
          <w:iCs/>
          <w:kern w:val="0"/>
          <w14:ligatures w14:val="none"/>
        </w:rPr>
        <w:t>Historia Monachorum</w:t>
      </w:r>
      <w:r w:rsidRPr="00B37F9E">
        <w:rPr>
          <w:rFonts w:ascii="Times New Roman" w:eastAsia="Times New Roman" w:hAnsi="Times New Roman" w:cs="Times New Roman"/>
          <w:kern w:val="0"/>
          <w14:ligatures w14:val="none"/>
        </w:rPr>
        <w:t>, the Apophthegmata's geography, Pachomian founding narratives. Author Gravity risk: moderate. The concept of withdrawal is attested across anchoritic and Pachomian founding accounts independently, but the specific romance of withdrawal as deliberately chosen heroic absence is most vividly and specifically Athanasius's literary framing of Antony. Shenoute's federation was not founded by an individual withdrawal narrative; Pcol's and Shenoute's community is documented from its origin as an organized federation.</w:t>
      </w:r>
    </w:p>
    <w:p w14:paraId="1E275ED5"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B — Spiritual combat against demons and "the passions" as the mechanism of growth.</w:t>
      </w:r>
      <w:r w:rsidRPr="00B37F9E">
        <w:rPr>
          <w:rFonts w:ascii="Times New Roman" w:eastAsia="Times New Roman" w:hAnsi="Times New Roman" w:cs="Times New Roman"/>
          <w:kern w:val="0"/>
          <w14:ligatures w14:val="none"/>
        </w:rPr>
        <w:t xml:space="preserve"> Drawn from: the </w:t>
      </w:r>
      <w:r w:rsidRPr="00B37F9E">
        <w:rPr>
          <w:rFonts w:ascii="Times New Roman" w:eastAsia="Times New Roman" w:hAnsi="Times New Roman" w:cs="Times New Roman"/>
          <w:i/>
          <w:iCs/>
          <w:kern w:val="0"/>
          <w14:ligatures w14:val="none"/>
        </w:rPr>
        <w:t>Life of Antony</w:t>
      </w:r>
      <w:r w:rsidRPr="00B37F9E">
        <w:rPr>
          <w:rFonts w:ascii="Times New Roman" w:eastAsia="Times New Roman" w:hAnsi="Times New Roman" w:cs="Times New Roman"/>
          <w:kern w:val="0"/>
          <w14:ligatures w14:val="none"/>
        </w:rPr>
        <w:t xml:space="preserve">, Evagrius's logismoi corpus, the Apophthegmata's demon-narratives. Author Gravity risk: </w:t>
      </w:r>
      <w:proofErr w:type="gramStart"/>
      <w:r w:rsidRPr="00B37F9E">
        <w:rPr>
          <w:rFonts w:ascii="Times New Roman" w:eastAsia="Times New Roman" w:hAnsi="Times New Roman" w:cs="Times New Roman"/>
          <w:kern w:val="0"/>
          <w14:ligatures w14:val="none"/>
        </w:rPr>
        <w:t>high, and</w:t>
      </w:r>
      <w:proofErr w:type="gramEnd"/>
      <w:r w:rsidRPr="00B37F9E">
        <w:rPr>
          <w:rFonts w:ascii="Times New Roman" w:eastAsia="Times New Roman" w:hAnsi="Times New Roman" w:cs="Times New Roman"/>
          <w:kern w:val="0"/>
          <w14:ligatures w14:val="none"/>
        </w:rPr>
        <w:t xml:space="preserve"> confirmed on testing. David Brakke's specialist study of this exact material treats Antony, Evagrius, Pachomius, and Shenoute as four distinct demonological frames, not one doctrine with four authors.</w:t>
      </w:r>
    </w:p>
    <w:p w14:paraId="676DC647"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C — Direct experiential knowledge prioritized over abstract or institutionally-credentialed learning.</w:t>
      </w:r>
      <w:r w:rsidRPr="00B37F9E">
        <w:rPr>
          <w:rFonts w:ascii="Times New Roman" w:eastAsia="Times New Roman" w:hAnsi="Times New Roman" w:cs="Times New Roman"/>
          <w:kern w:val="0"/>
          <w14:ligatures w14:val="none"/>
        </w:rPr>
        <w:t xml:space="preserve"> Drawn from: the Apophthegmata's "give me a word" exchange structure, </w:t>
      </w:r>
      <w:r w:rsidRPr="00B37F9E">
        <w:rPr>
          <w:rFonts w:ascii="Times New Roman" w:eastAsia="Times New Roman" w:hAnsi="Times New Roman" w:cs="Times New Roman"/>
          <w:kern w:val="0"/>
          <w14:ligatures w14:val="none"/>
        </w:rPr>
        <w:lastRenderedPageBreak/>
        <w:t xml:space="preserve">Antony's contested "unlettered" portrait, Burton-Christie's account of oral/experiential scriptural interpretation. Author Gravity risk: moderate — the </w:t>
      </w:r>
      <w:r w:rsidRPr="00B37F9E">
        <w:rPr>
          <w:rFonts w:ascii="Times New Roman" w:eastAsia="Times New Roman" w:hAnsi="Times New Roman" w:cs="Times New Roman"/>
          <w:i/>
          <w:iCs/>
          <w:kern w:val="0"/>
          <w14:ligatures w14:val="none"/>
        </w:rPr>
        <w:t>Life of Antony</w:t>
      </w:r>
      <w:r w:rsidRPr="00B37F9E">
        <w:rPr>
          <w:rFonts w:ascii="Times New Roman" w:eastAsia="Times New Roman" w:hAnsi="Times New Roman" w:cs="Times New Roman"/>
          <w:kern w:val="0"/>
          <w14:ligatures w14:val="none"/>
        </w:rPr>
        <w:t>'s rustic-illumination framing is itself suspect per Rubenson, meaning this candidate's clearest textual support is partly evidence of Athanasius's polemical agenda rather than neutral description.</w:t>
      </w:r>
    </w:p>
    <w:p w14:paraId="795C74C5"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D — Formation through relationship with an abba/amma who has walked the path before.</w:t>
      </w:r>
      <w:r w:rsidRPr="00B37F9E">
        <w:rPr>
          <w:rFonts w:ascii="Times New Roman" w:eastAsia="Times New Roman" w:hAnsi="Times New Roman" w:cs="Times New Roman"/>
          <w:kern w:val="0"/>
          <w14:ligatures w14:val="none"/>
        </w:rPr>
        <w:t xml:space="preserve"> Drawn from: the Apophthegmata's exchange structure, the </w:t>
      </w:r>
      <w:r w:rsidRPr="00B37F9E">
        <w:rPr>
          <w:rFonts w:ascii="Times New Roman" w:eastAsia="Times New Roman" w:hAnsi="Times New Roman" w:cs="Times New Roman"/>
          <w:i/>
          <w:iCs/>
          <w:kern w:val="0"/>
          <w14:ligatures w14:val="none"/>
        </w:rPr>
        <w:t>Life of Syncletica</w:t>
      </w:r>
      <w:r w:rsidRPr="00B37F9E">
        <w:rPr>
          <w:rFonts w:ascii="Times New Roman" w:eastAsia="Times New Roman" w:hAnsi="Times New Roman" w:cs="Times New Roman"/>
          <w:kern w:val="0"/>
          <w14:ligatures w14:val="none"/>
        </w:rPr>
        <w:t>, Pachomian and Shenoutean internal-mentorship structures, the documentary record's evidence of letter-based spiritual direction. Author Gravity risk: low at generation — broadest independent attestation across the most sources and strands.</w:t>
      </w:r>
    </w:p>
    <w:p w14:paraId="6AF8A7BE"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E — Authority earned through struggle and lived experience rather than conferred by office, even where office exists.</w:t>
      </w:r>
      <w:r w:rsidRPr="00B37F9E">
        <w:rPr>
          <w:rFonts w:ascii="Times New Roman" w:eastAsia="Times New Roman" w:hAnsi="Times New Roman" w:cs="Times New Roman"/>
          <w:kern w:val="0"/>
          <w14:ligatures w14:val="none"/>
        </w:rPr>
        <w:t xml:space="preserve"> Drawn from: the abba/amma title's basis in recognized spiritual attainment, the Apophthegmata's theme of officeholders deferring to non-officeholding elders. Author Gravity risk: moderate, tested directly against Shenoute below.</w:t>
      </w:r>
    </w:p>
    <w:p w14:paraId="60481FBA"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F — The body as the site of spiritual transformation.</w:t>
      </w:r>
      <w:r w:rsidRPr="00B37F9E">
        <w:rPr>
          <w:rFonts w:ascii="Times New Roman" w:eastAsia="Times New Roman" w:hAnsi="Times New Roman" w:cs="Times New Roman"/>
          <w:kern w:val="0"/>
          <w14:ligatures w14:val="none"/>
        </w:rPr>
        <w:t xml:space="preserve"> Drawn from: ascetic practice across all strands, Shenoute's body-theology, Evagrius's psychosomatic logismoi framework, Antony's bodily-discipline narrative. Author Gravity risk: flagged at generation as requiring a splitting test, since its surface unity risks concealing the same kind of vocabulary-sharing-without-content-sharing problem as Candidate B.</w:t>
      </w:r>
    </w:p>
    <w:p w14:paraId="49F61E94"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G — Theological danger and strategic non-attribution as a lived feature of this world's epistemic culture.</w:t>
      </w:r>
      <w:r w:rsidRPr="00B37F9E">
        <w:rPr>
          <w:rFonts w:ascii="Times New Roman" w:eastAsia="Times New Roman" w:hAnsi="Times New Roman" w:cs="Times New Roman"/>
          <w:kern w:val="0"/>
          <w14:ligatures w14:val="none"/>
        </w:rPr>
        <w:t xml:space="preserve"> Drawn from: the Evagrius suppression case and the Cassian non-attribution case. Tested fully below.</w:t>
      </w:r>
    </w:p>
    <w:p w14:paraId="01FFDED9"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Candidates considered and not classified as gravities, with reasons:</w:t>
      </w:r>
    </w:p>
    <w:p w14:paraId="5014DE75" w14:textId="77777777" w:rsidR="00B37F9E" w:rsidRPr="00B37F9E" w:rsidRDefault="00B37F9E" w:rsidP="00B37F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i/>
          <w:iCs/>
          <w:kern w:val="0"/>
          <w14:ligatures w14:val="none"/>
        </w:rPr>
        <w:t>Anti-institutionalism as such</w:t>
      </w:r>
      <w:r w:rsidRPr="00B37F9E">
        <w:rPr>
          <w:rFonts w:ascii="Times New Roman" w:eastAsia="Times New Roman" w:hAnsi="Times New Roman" w:cs="Times New Roman"/>
          <w:kern w:val="0"/>
          <w14:ligatures w14:val="none"/>
        </w:rPr>
        <w:t xml:space="preserve"> — considered, rejected. Pachomian and Shenoutean institutional structures exist from very early in the proposed period; the narrower Candidate E is better supported and kept distinct.</w:t>
      </w:r>
    </w:p>
    <w:p w14:paraId="4BA70E1D" w14:textId="77777777" w:rsidR="00B37F9E" w:rsidRPr="00B37F9E" w:rsidRDefault="00B37F9E" w:rsidP="00B37F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i/>
          <w:iCs/>
          <w:kern w:val="0"/>
          <w14:ligatures w14:val="none"/>
        </w:rPr>
        <w:t>Egalitarianism / social leveling</w:t>
      </w:r>
      <w:r w:rsidRPr="00B37F9E">
        <w:rPr>
          <w:rFonts w:ascii="Times New Roman" w:eastAsia="Times New Roman" w:hAnsi="Times New Roman" w:cs="Times New Roman"/>
          <w:kern w:val="0"/>
          <w14:ligatures w14:val="none"/>
        </w:rPr>
        <w:t xml:space="preserve"> — considered, rejected as a primary candidate. Real but thin and incidental; functions better as a downstream consequence of Candidate D.</w:t>
      </w:r>
    </w:p>
    <w:p w14:paraId="62D556AF" w14:textId="77777777" w:rsidR="00B37F9E" w:rsidRPr="00B37F9E" w:rsidRDefault="00B37F9E" w:rsidP="00B37F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i/>
          <w:iCs/>
          <w:kern w:val="0"/>
          <w14:ligatures w14:val="none"/>
        </w:rPr>
        <w:t>Eschatological urgency</w:t>
      </w:r>
      <w:r w:rsidRPr="00B37F9E">
        <w:rPr>
          <w:rFonts w:ascii="Times New Roman" w:eastAsia="Times New Roman" w:hAnsi="Times New Roman" w:cs="Times New Roman"/>
          <w:kern w:val="0"/>
          <w14:ligatures w14:val="none"/>
        </w:rPr>
        <w:t xml:space="preserve"> — considered, rejected for insufficient independent support at this stage.</w:t>
      </w:r>
    </w:p>
    <w:p w14:paraId="2D6B63D9"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54CF8D1A">
          <v:rect id="_x0000_i1027" style="width:0;height:1.5pt" o:hralign="center" o:hrstd="t" o:hr="t" fillcolor="#a0a0a0" stroked="f"/>
        </w:pict>
      </w:r>
    </w:p>
    <w:p w14:paraId="0BE2415E"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2. Full Six-Test Assessment</w:t>
      </w:r>
    </w:p>
    <w:p w14:paraId="01F27C35" w14:textId="77777777" w:rsidR="00B37F9E" w:rsidRPr="00B37F9E" w:rsidRDefault="00B37F9E" w:rsidP="00B37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Candidate A — Withdrawal into desert space as constitutive act</w:t>
      </w:r>
    </w:p>
    <w:p w14:paraId="4E93B48D" w14:textId="77777777" w:rsidR="00B37F9E" w:rsidRPr="00B37F9E" w:rsidRDefault="00B37F9E" w:rsidP="00B37F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Repetition:</w:t>
      </w:r>
      <w:r w:rsidRPr="00B37F9E">
        <w:rPr>
          <w:rFonts w:ascii="Times New Roman" w:eastAsia="Times New Roman" w:hAnsi="Times New Roman" w:cs="Times New Roman"/>
          <w:kern w:val="0"/>
          <w14:ligatures w14:val="none"/>
        </w:rPr>
        <w:t xml:space="preserve"> Strong across anchoritic and semi-anchoritic strands; present but structurally different in the Pachomian strand; essentially absent as a founding narrative in the Shenoutean strand.</w:t>
      </w:r>
    </w:p>
    <w:p w14:paraId="13826104" w14:textId="77777777" w:rsidR="00B37F9E" w:rsidRPr="00B37F9E" w:rsidRDefault="00B37F9E" w:rsidP="00B37F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Dependency:</w:t>
      </w:r>
      <w:r w:rsidRPr="00B37F9E">
        <w:rPr>
          <w:rFonts w:ascii="Times New Roman" w:eastAsia="Times New Roman" w:hAnsi="Times New Roman" w:cs="Times New Roman"/>
          <w:kern w:val="0"/>
          <w14:ligatures w14:val="none"/>
        </w:rPr>
        <w:t xml:space="preserve"> High for the anchoritic strand; low for Shenoute's strand.</w:t>
      </w:r>
    </w:p>
    <w:p w14:paraId="0BD08E21" w14:textId="77777777" w:rsidR="00B37F9E" w:rsidRPr="00B37F9E" w:rsidRDefault="00B37F9E" w:rsidP="00B37F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lastRenderedPageBreak/>
        <w:t>Formation:</w:t>
      </w:r>
      <w:r w:rsidRPr="00B37F9E">
        <w:rPr>
          <w:rFonts w:ascii="Times New Roman" w:eastAsia="Times New Roman" w:hAnsi="Times New Roman" w:cs="Times New Roman"/>
          <w:kern w:val="0"/>
          <w14:ligatures w14:val="none"/>
        </w:rPr>
        <w:t xml:space="preserve"> Strong where present.</w:t>
      </w:r>
    </w:p>
    <w:p w14:paraId="5AE939E4" w14:textId="77777777" w:rsidR="00B37F9E" w:rsidRPr="00B37F9E" w:rsidRDefault="00B37F9E" w:rsidP="00B37F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Explanatory:</w:t>
      </w:r>
      <w:r w:rsidRPr="00B37F9E">
        <w:rPr>
          <w:rFonts w:ascii="Times New Roman" w:eastAsia="Times New Roman" w:hAnsi="Times New Roman" w:cs="Times New Roman"/>
          <w:kern w:val="0"/>
          <w14:ligatures w14:val="none"/>
        </w:rPr>
        <w:t xml:space="preserve"> Explains anchoritic practice well; explains little about Shenoutean federation life.</w:t>
      </w:r>
    </w:p>
    <w:p w14:paraId="405EB89E" w14:textId="77777777" w:rsidR="00B37F9E" w:rsidRPr="00B37F9E" w:rsidRDefault="00B37F9E" w:rsidP="00B37F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Persistence:</w:t>
      </w:r>
      <w:r w:rsidRPr="00B37F9E">
        <w:rPr>
          <w:rFonts w:ascii="Times New Roman" w:eastAsia="Times New Roman" w:hAnsi="Times New Roman" w:cs="Times New Roman"/>
          <w:kern w:val="0"/>
          <w14:ligatures w14:val="none"/>
        </w:rPr>
        <w:t xml:space="preserve"> Persists for the anchoritic strand, with the documented Scetis raids (407, 434, 444) repeatedly testing and partly displacing rather than strengthening it. Does not apply in comparable form to the Shenoutean strand.</w:t>
      </w:r>
    </w:p>
    <w:p w14:paraId="0CDD689B" w14:textId="77777777" w:rsidR="00B37F9E" w:rsidRPr="00B37F9E" w:rsidRDefault="00B37F9E" w:rsidP="00B37F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Interaction:</w:t>
      </w:r>
      <w:r w:rsidRPr="00B37F9E">
        <w:rPr>
          <w:rFonts w:ascii="Times New Roman" w:eastAsia="Times New Roman" w:hAnsi="Times New Roman" w:cs="Times New Roman"/>
          <w:kern w:val="0"/>
          <w14:ligatures w14:val="none"/>
        </w:rPr>
        <w:t xml:space="preserve"> Reinforces Candidates D and C in the anchoritic strand; does not meaningfully interact with Candidate F in the Shenoutean strand.</w:t>
      </w:r>
    </w:p>
    <w:p w14:paraId="2502C8AB"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Classification: Primary for the anchoritic and semi-anchoritic strands specifically; does not reach gravity status for the Shenoutean strand; mixed/partial for the Pachomian strand.</w:t>
      </w:r>
    </w:p>
    <w:p w14:paraId="76D91119" w14:textId="77777777" w:rsidR="00B37F9E" w:rsidRPr="00B37F9E" w:rsidRDefault="00B37F9E" w:rsidP="00B37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Candidate B — Spiritual combat against demons and "the passions"</w:t>
      </w:r>
    </w:p>
    <w:p w14:paraId="0071E924" w14:textId="77777777" w:rsidR="00B37F9E" w:rsidRPr="00B37F9E" w:rsidRDefault="00B37F9E" w:rsidP="00B37F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Repetition:</w:t>
      </w:r>
      <w:r w:rsidRPr="00B37F9E">
        <w:rPr>
          <w:rFonts w:ascii="Times New Roman" w:eastAsia="Times New Roman" w:hAnsi="Times New Roman" w:cs="Times New Roman"/>
          <w:kern w:val="0"/>
          <w14:ligatures w14:val="none"/>
        </w:rPr>
        <w:t xml:space="preserve"> Present across all four strands per Brakke's mapping, but in four distinct forms: Antony's martyrological combat; Evagrius's systematized eight-logismoi taxonomy; Pachomius's communal vigilance; Shenoute's prophetic discernment of communal moral corruption. The Selected Discourses scholarship states directly that the Apophthegmata-style sayings idiom — the literary genre through which this candidate's clearest expression elsewhere is carried — has no place in Shenoute's own teaching style. This is a finding about genre and rhetorical form specifically; it says nothing on its own about whether Shenoute's strand shares this world's relational formation structure, which Candidate D addresses separately and which the housemaster system and Shenoute's own documented succession from Pcol independently support.</w:t>
      </w:r>
    </w:p>
    <w:p w14:paraId="2D09C3B3" w14:textId="77777777" w:rsidR="00B37F9E" w:rsidRPr="00B37F9E" w:rsidRDefault="00B37F9E" w:rsidP="00B37F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Dependency:</w:t>
      </w:r>
      <w:r w:rsidRPr="00B37F9E">
        <w:rPr>
          <w:rFonts w:ascii="Times New Roman" w:eastAsia="Times New Roman" w:hAnsi="Times New Roman" w:cs="Times New Roman"/>
          <w:kern w:val="0"/>
          <w14:ligatures w14:val="none"/>
        </w:rPr>
        <w:t xml:space="preserve"> High for Antony's and Evagrius's material; present but differently structured for Pachomius; uncertain for Shenoute, where the operative theological frame is corporate bodily purity and resurrection-theology rather than personal combat against tempting demons.</w:t>
      </w:r>
    </w:p>
    <w:p w14:paraId="6AA577A7" w14:textId="77777777" w:rsidR="00B37F9E" w:rsidRPr="00B37F9E" w:rsidRDefault="00B37F9E" w:rsidP="00B37F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Formation:</w:t>
      </w:r>
      <w:r w:rsidRPr="00B37F9E">
        <w:rPr>
          <w:rFonts w:ascii="Times New Roman" w:eastAsia="Times New Roman" w:hAnsi="Times New Roman" w:cs="Times New Roman"/>
          <w:kern w:val="0"/>
          <w14:ligatures w14:val="none"/>
        </w:rPr>
        <w:t xml:space="preserve"> Strong within each individual frame, but the four frames shape formation differently enough that this is closer to four related mechanisms than one.</w:t>
      </w:r>
    </w:p>
    <w:p w14:paraId="68EC2DE6" w14:textId="77777777" w:rsidR="00B37F9E" w:rsidRPr="00B37F9E" w:rsidRDefault="00B37F9E" w:rsidP="00B37F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Explanatory:</w:t>
      </w:r>
      <w:r w:rsidRPr="00B37F9E">
        <w:rPr>
          <w:rFonts w:ascii="Times New Roman" w:eastAsia="Times New Roman" w:hAnsi="Times New Roman" w:cs="Times New Roman"/>
          <w:kern w:val="0"/>
          <w14:ligatures w14:val="none"/>
        </w:rPr>
        <w:t xml:space="preserve"> Strong within the anchoritic/Evagrian material; for Shenoute, real but operating through a visibly different theological vocabulary.</w:t>
      </w:r>
    </w:p>
    <w:p w14:paraId="47A9CC30" w14:textId="77777777" w:rsidR="00B37F9E" w:rsidRPr="00B37F9E" w:rsidRDefault="00B37F9E" w:rsidP="00B37F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Persistence:</w:t>
      </w:r>
      <w:r w:rsidRPr="00B37F9E">
        <w:rPr>
          <w:rFonts w:ascii="Times New Roman" w:eastAsia="Times New Roman" w:hAnsi="Times New Roman" w:cs="Times New Roman"/>
          <w:kern w:val="0"/>
          <w14:ligatures w14:val="none"/>
        </w:rPr>
        <w:t xml:space="preserve"> The underlying concern with moral vigilance persists; Evagrius's specific systematized taxonomy is dated to his own career and shaped further by his posthumous suppression and Cassian's non-attributed transmission.</w:t>
      </w:r>
    </w:p>
    <w:p w14:paraId="580B1C09" w14:textId="77777777" w:rsidR="00B37F9E" w:rsidRPr="00B37F9E" w:rsidRDefault="00B37F9E" w:rsidP="00B37F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Interaction:</w:t>
      </w:r>
      <w:r w:rsidRPr="00B37F9E">
        <w:rPr>
          <w:rFonts w:ascii="Times New Roman" w:eastAsia="Times New Roman" w:hAnsi="Times New Roman" w:cs="Times New Roman"/>
          <w:kern w:val="0"/>
          <w14:ligatures w14:val="none"/>
        </w:rPr>
        <w:t xml:space="preserve"> Strongly reinforces Candidate F in the anchoritic/Evagrian frame; strained relationship to Candidate E in the Shenoutean case.</w:t>
      </w:r>
    </w:p>
    <w:p w14:paraId="3D3F73DD"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Classification: Primary for the Evagrian/anchoritic frame specifically; Secondary at best for Pachomius; does not clearly reach gravity status in its Evagrian form for Shenoute.</w:t>
      </w:r>
      <w:r w:rsidRPr="00B37F9E">
        <w:rPr>
          <w:rFonts w:ascii="Times New Roman" w:eastAsia="Times New Roman" w:hAnsi="Times New Roman" w:cs="Times New Roman"/>
          <w:kern w:val="0"/>
          <w14:ligatures w14:val="none"/>
        </w:rPr>
        <w:t xml:space="preserve"> This candidate cannot be honestly classified as a single, </w:t>
      </w:r>
      <w:proofErr w:type="gramStart"/>
      <w:r w:rsidRPr="00B37F9E">
        <w:rPr>
          <w:rFonts w:ascii="Times New Roman" w:eastAsia="Times New Roman" w:hAnsi="Times New Roman" w:cs="Times New Roman"/>
          <w:kern w:val="0"/>
          <w14:ligatures w14:val="none"/>
        </w:rPr>
        <w:t>uniformly-shared</w:t>
      </w:r>
      <w:proofErr w:type="gramEnd"/>
      <w:r w:rsidRPr="00B37F9E">
        <w:rPr>
          <w:rFonts w:ascii="Times New Roman" w:eastAsia="Times New Roman" w:hAnsi="Times New Roman" w:cs="Times New Roman"/>
          <w:kern w:val="0"/>
          <w14:ligatures w14:val="none"/>
        </w:rPr>
        <w:t xml:space="preserve"> gravity. Every strand </w:t>
      </w:r>
      <w:proofErr w:type="gramStart"/>
      <w:r w:rsidRPr="00B37F9E">
        <w:rPr>
          <w:rFonts w:ascii="Times New Roman" w:eastAsia="Times New Roman" w:hAnsi="Times New Roman" w:cs="Times New Roman"/>
          <w:kern w:val="0"/>
          <w14:ligatures w14:val="none"/>
        </w:rPr>
        <w:t>evidences</w:t>
      </w:r>
      <w:proofErr w:type="gramEnd"/>
      <w:r w:rsidRPr="00B37F9E">
        <w:rPr>
          <w:rFonts w:ascii="Times New Roman" w:eastAsia="Times New Roman" w:hAnsi="Times New Roman" w:cs="Times New Roman"/>
          <w:kern w:val="0"/>
          <w14:ligatures w14:val="none"/>
        </w:rPr>
        <w:t xml:space="preserve"> some concern with moral struggle and vigilance, but the shared vocabulary that makes this look like one gravity across strands is substantially an artifact of later synthesis rather than something the primary evidence independently supports as one thing.</w:t>
      </w:r>
    </w:p>
    <w:p w14:paraId="464CC305" w14:textId="77777777" w:rsidR="00B37F9E" w:rsidRPr="00B37F9E" w:rsidRDefault="00B37F9E" w:rsidP="00B37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Candidate C — Direct experiential knowledge over abstract learning</w:t>
      </w:r>
    </w:p>
    <w:p w14:paraId="09E27993" w14:textId="77777777" w:rsidR="00B37F9E" w:rsidRPr="00B37F9E" w:rsidRDefault="00B37F9E" w:rsidP="00B37F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lastRenderedPageBreak/>
        <w:t>Repetition:</w:t>
      </w:r>
      <w:r w:rsidRPr="00B37F9E">
        <w:rPr>
          <w:rFonts w:ascii="Times New Roman" w:eastAsia="Times New Roman" w:hAnsi="Times New Roman" w:cs="Times New Roman"/>
          <w:kern w:val="0"/>
          <w14:ligatures w14:val="none"/>
        </w:rPr>
        <w:t xml:space="preserve"> Present in the Apophthegmata's structure and (contested) in Antony's portrait; contradicted in Shenoute's strand, where a literate, well-organized, biblically saturated teaching apparatus is documented, including required scriptural memorization.</w:t>
      </w:r>
    </w:p>
    <w:p w14:paraId="505EBF50" w14:textId="77777777" w:rsidR="00B37F9E" w:rsidRPr="00B37F9E" w:rsidRDefault="00B37F9E" w:rsidP="00B37F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Dependency:</w:t>
      </w:r>
      <w:r w:rsidRPr="00B37F9E">
        <w:rPr>
          <w:rFonts w:ascii="Times New Roman" w:eastAsia="Times New Roman" w:hAnsi="Times New Roman" w:cs="Times New Roman"/>
          <w:kern w:val="0"/>
          <w14:ligatures w14:val="none"/>
        </w:rPr>
        <w:t xml:space="preserve"> Moderate for the anchoritic/sayings strand; weakened by reliance on Rubenson's contested correction of Athanasius.</w:t>
      </w:r>
    </w:p>
    <w:p w14:paraId="5DDE41C4" w14:textId="77777777" w:rsidR="00B37F9E" w:rsidRPr="00B37F9E" w:rsidRDefault="00B37F9E" w:rsidP="00B37F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Formation:</w:t>
      </w:r>
      <w:r w:rsidRPr="00B37F9E">
        <w:rPr>
          <w:rFonts w:ascii="Times New Roman" w:eastAsia="Times New Roman" w:hAnsi="Times New Roman" w:cs="Times New Roman"/>
          <w:kern w:val="0"/>
          <w14:ligatures w14:val="none"/>
        </w:rPr>
        <w:t xml:space="preserve"> Entangled with the unresolved Brown/Rubenson tension.</w:t>
      </w:r>
    </w:p>
    <w:p w14:paraId="328DF703" w14:textId="77777777" w:rsidR="00B37F9E" w:rsidRPr="00B37F9E" w:rsidRDefault="00B37F9E" w:rsidP="00B37F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Explanatory:</w:t>
      </w:r>
      <w:r w:rsidRPr="00B37F9E">
        <w:rPr>
          <w:rFonts w:ascii="Times New Roman" w:eastAsia="Times New Roman" w:hAnsi="Times New Roman" w:cs="Times New Roman"/>
          <w:kern w:val="0"/>
          <w14:ligatures w14:val="none"/>
        </w:rPr>
        <w:t xml:space="preserve"> Limited independent explanatory power once separated from the contested Antony portrait and tested against Shenoute's literate teaching practice.</w:t>
      </w:r>
    </w:p>
    <w:p w14:paraId="0B49FCC5" w14:textId="77777777" w:rsidR="00B37F9E" w:rsidRPr="00B37F9E" w:rsidRDefault="00B37F9E" w:rsidP="00B37F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Persistence:</w:t>
      </w:r>
      <w:r w:rsidRPr="00B37F9E">
        <w:rPr>
          <w:rFonts w:ascii="Times New Roman" w:eastAsia="Times New Roman" w:hAnsi="Times New Roman" w:cs="Times New Roman"/>
          <w:kern w:val="0"/>
          <w14:ligatures w14:val="none"/>
        </w:rPr>
        <w:t xml:space="preserve"> Uncertain.</w:t>
      </w:r>
    </w:p>
    <w:p w14:paraId="3072BA67" w14:textId="77777777" w:rsidR="00B37F9E" w:rsidRPr="00B37F9E" w:rsidRDefault="00B37F9E" w:rsidP="00B37F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Interaction:</w:t>
      </w:r>
      <w:r w:rsidRPr="00B37F9E">
        <w:rPr>
          <w:rFonts w:ascii="Times New Roman" w:eastAsia="Times New Roman" w:hAnsi="Times New Roman" w:cs="Times New Roman"/>
          <w:kern w:val="0"/>
          <w14:ligatures w14:val="none"/>
        </w:rPr>
        <w:t xml:space="preserve"> Weakly reinforces Candidate D; in real tension with the Shenoutean evidence.</w:t>
      </w:r>
    </w:p>
    <w:p w14:paraId="3C65DB08"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Classification: does not reach gravity status.</w:t>
      </w:r>
    </w:p>
    <w:p w14:paraId="2A90A50A" w14:textId="77777777" w:rsidR="00B37F9E" w:rsidRPr="00B37F9E" w:rsidRDefault="00B37F9E" w:rsidP="00B37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Candidate D — Formation through relationship with an abba/amma who has walked the path before</w:t>
      </w:r>
    </w:p>
    <w:p w14:paraId="0A183007" w14:textId="77777777" w:rsidR="00B37F9E" w:rsidRPr="00B37F9E" w:rsidRDefault="00B37F9E" w:rsidP="00B37F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Repetition:</w:t>
      </w:r>
      <w:r w:rsidRPr="00B37F9E">
        <w:rPr>
          <w:rFonts w:ascii="Times New Roman" w:eastAsia="Times New Roman" w:hAnsi="Times New Roman" w:cs="Times New Roman"/>
          <w:kern w:val="0"/>
          <w14:ligatures w14:val="none"/>
        </w:rPr>
        <w:t xml:space="preserve"> Strong across all four strands. Anchoritic/semi-anchoritic: the Apophthegmata's defining structure. Pachomian: housemasters, structured mentorship within Pachomius's own correspondence. Shenoutean: Shenoute's documented relationship </w:t>
      </w:r>
      <w:proofErr w:type="gramStart"/>
      <w:r w:rsidRPr="00B37F9E">
        <w:rPr>
          <w:rFonts w:ascii="Times New Roman" w:eastAsia="Times New Roman" w:hAnsi="Times New Roman" w:cs="Times New Roman"/>
          <w:kern w:val="0"/>
          <w14:ligatures w14:val="none"/>
        </w:rPr>
        <w:t>to</w:t>
      </w:r>
      <w:proofErr w:type="gramEnd"/>
      <w:r w:rsidRPr="00B37F9E">
        <w:rPr>
          <w:rFonts w:ascii="Times New Roman" w:eastAsia="Times New Roman" w:hAnsi="Times New Roman" w:cs="Times New Roman"/>
          <w:kern w:val="0"/>
          <w14:ligatures w14:val="none"/>
        </w:rPr>
        <w:t xml:space="preserve"> his predecessor Pcol, and the housemaster/housemistress structure within his federation. Independently supported by the documentary papyrological record, which is not literarily mediated.</w:t>
      </w:r>
    </w:p>
    <w:p w14:paraId="5CF72348" w14:textId="77777777" w:rsidR="00B37F9E" w:rsidRPr="00B37F9E" w:rsidRDefault="00B37F9E" w:rsidP="00B37F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Dependency:</w:t>
      </w:r>
      <w:r w:rsidRPr="00B37F9E">
        <w:rPr>
          <w:rFonts w:ascii="Times New Roman" w:eastAsia="Times New Roman" w:hAnsi="Times New Roman" w:cs="Times New Roman"/>
          <w:kern w:val="0"/>
          <w14:ligatures w14:val="none"/>
        </w:rPr>
        <w:t xml:space="preserve"> High across all strands.</w:t>
      </w:r>
    </w:p>
    <w:p w14:paraId="1011577A" w14:textId="77777777" w:rsidR="00B37F9E" w:rsidRPr="00B37F9E" w:rsidRDefault="00B37F9E" w:rsidP="00B37F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Formation:</w:t>
      </w:r>
      <w:r w:rsidRPr="00B37F9E">
        <w:rPr>
          <w:rFonts w:ascii="Times New Roman" w:eastAsia="Times New Roman" w:hAnsi="Times New Roman" w:cs="Times New Roman"/>
          <w:kern w:val="0"/>
          <w14:ligatures w14:val="none"/>
        </w:rPr>
        <w:t xml:space="preserve"> Strong and consistent in function — correction, modeling, and graduated responsibility transmitted through a structured relationship between a more and a less advanced practitioner in every strand's evidence.</w:t>
      </w:r>
    </w:p>
    <w:p w14:paraId="0455A064" w14:textId="77777777" w:rsidR="00B37F9E" w:rsidRPr="00B37F9E" w:rsidRDefault="00B37F9E" w:rsidP="00B37F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Explanatory:</w:t>
      </w:r>
      <w:r w:rsidRPr="00B37F9E">
        <w:rPr>
          <w:rFonts w:ascii="Times New Roman" w:eastAsia="Times New Roman" w:hAnsi="Times New Roman" w:cs="Times New Roman"/>
          <w:kern w:val="0"/>
          <w14:ligatures w14:val="none"/>
        </w:rPr>
        <w:t xml:space="preserve"> High — explains formation mechanics across the anchoritic sayings-exchange, the Pachomian housemaster structure, and Shenoute's governance structure without requiring strand-specific exceptions to the basic relational mechanism.</w:t>
      </w:r>
    </w:p>
    <w:p w14:paraId="63F6D13A" w14:textId="77777777" w:rsidR="00B37F9E" w:rsidRPr="00B37F9E" w:rsidRDefault="00B37F9E" w:rsidP="00B37F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Persistence and temporal variance:</w:t>
      </w:r>
      <w:r w:rsidRPr="00B37F9E">
        <w:rPr>
          <w:rFonts w:ascii="Times New Roman" w:eastAsia="Times New Roman" w:hAnsi="Times New Roman" w:cs="Times New Roman"/>
          <w:kern w:val="0"/>
          <w14:ligatures w14:val="none"/>
        </w:rPr>
        <w:t xml:space="preserve"> The institutional container changes by traceable, identifiable cause, not by drift. At Scetis, the informal abba-disciple exchange was disrupted by the 407, 434, and 444 raids; the named consequence is documented displacement, survivors carrying the practice to Palestine. In the Pachomian federation, the housemaster structure is attested from the community's own founding documents in the 320s–330s, not introduced later. In Shenoute's federation, the housemaster/housemistress structure is similarly attested as a founding feature of Pcol's and then Shenoute's own organization. </w:t>
      </w:r>
      <w:r w:rsidRPr="00B37F9E">
        <w:rPr>
          <w:rFonts w:ascii="Times New Roman" w:eastAsia="Times New Roman" w:hAnsi="Times New Roman" w:cs="Times New Roman"/>
          <w:b/>
          <w:bCs/>
          <w:kern w:val="0"/>
          <w14:ligatures w14:val="none"/>
        </w:rPr>
        <w:t>A caution this document owes itself directly:</w:t>
      </w:r>
      <w:r w:rsidRPr="00B37F9E">
        <w:rPr>
          <w:rFonts w:ascii="Times New Roman" w:eastAsia="Times New Roman" w:hAnsi="Times New Roman" w:cs="Times New Roman"/>
          <w:kern w:val="0"/>
          <w14:ligatures w14:val="none"/>
        </w:rPr>
        <w:t xml:space="preserve"> stated at this level of abstraction, this candidate is broad enough that it would likely be instantiated by nearly any sustained religious formation system, and its cross-strand persistence is therefore partly an artifact of the generality of its own statement. What keeps this from being empty is the independently-documented specific mechanism — recognized, named individuals occupying a structurally similar role, and the existence of a real literary and documentary record of disciples actively seeking out that </w:t>
      </w:r>
      <w:proofErr w:type="gramStart"/>
      <w:r w:rsidRPr="00B37F9E">
        <w:rPr>
          <w:rFonts w:ascii="Times New Roman" w:eastAsia="Times New Roman" w:hAnsi="Times New Roman" w:cs="Times New Roman"/>
          <w:kern w:val="0"/>
          <w14:ligatures w14:val="none"/>
        </w:rPr>
        <w:t>particular kind</w:t>
      </w:r>
      <w:proofErr w:type="gramEnd"/>
      <w:r w:rsidRPr="00B37F9E">
        <w:rPr>
          <w:rFonts w:ascii="Times New Roman" w:eastAsia="Times New Roman" w:hAnsi="Times New Roman" w:cs="Times New Roman"/>
          <w:kern w:val="0"/>
          <w14:ligatures w14:val="none"/>
        </w:rPr>
        <w:t xml:space="preserve"> of guidance — rather than a </w:t>
      </w:r>
      <w:proofErr w:type="gramStart"/>
      <w:r w:rsidRPr="00B37F9E">
        <w:rPr>
          <w:rFonts w:ascii="Times New Roman" w:eastAsia="Times New Roman" w:hAnsi="Times New Roman" w:cs="Times New Roman"/>
          <w:kern w:val="0"/>
          <w14:ligatures w14:val="none"/>
        </w:rPr>
        <w:t>vaguer</w:t>
      </w:r>
      <w:proofErr w:type="gramEnd"/>
      <w:r w:rsidRPr="00B37F9E">
        <w:rPr>
          <w:rFonts w:ascii="Times New Roman" w:eastAsia="Times New Roman" w:hAnsi="Times New Roman" w:cs="Times New Roman"/>
          <w:kern w:val="0"/>
          <w14:ligatures w14:val="none"/>
        </w:rPr>
        <w:t xml:space="preserve"> claim about hierarchy existing in any community.</w:t>
      </w:r>
    </w:p>
    <w:p w14:paraId="0EC5810E" w14:textId="77777777" w:rsidR="00B37F9E" w:rsidRPr="00B37F9E" w:rsidRDefault="00B37F9E" w:rsidP="00B37F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lastRenderedPageBreak/>
        <w:t>Interaction:</w:t>
      </w:r>
      <w:r w:rsidRPr="00B37F9E">
        <w:rPr>
          <w:rFonts w:ascii="Times New Roman" w:eastAsia="Times New Roman" w:hAnsi="Times New Roman" w:cs="Times New Roman"/>
          <w:kern w:val="0"/>
          <w14:ligatures w14:val="none"/>
        </w:rPr>
        <w:t xml:space="preserve"> Reinforces Candidate A in the anchoritic strand; is the strongest bridge across the strand-divergence finding.</w:t>
      </w:r>
    </w:p>
    <w:p w14:paraId="49F4A78A"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Classification: Primary</w:t>
      </w:r>
      <w:r w:rsidRPr="00B37F9E">
        <w:rPr>
          <w:rFonts w:ascii="Times New Roman" w:eastAsia="Times New Roman" w:hAnsi="Times New Roman" w:cs="Times New Roman"/>
          <w:kern w:val="0"/>
          <w14:ligatures w14:val="none"/>
        </w:rPr>
        <w:t>, held with the abstraction caution named above.</w:t>
      </w:r>
    </w:p>
    <w:p w14:paraId="49CC2E7A" w14:textId="77777777" w:rsidR="00B37F9E" w:rsidRPr="00B37F9E" w:rsidRDefault="00B37F9E" w:rsidP="00B37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Candidate E — Authority earned through struggle rather than conferred by office</w:t>
      </w:r>
    </w:p>
    <w:p w14:paraId="391FD3E4" w14:textId="77777777" w:rsidR="00B37F9E" w:rsidRPr="00B37F9E" w:rsidRDefault="00B37F9E" w:rsidP="00B37F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Repetition:</w:t>
      </w:r>
      <w:r w:rsidRPr="00B37F9E">
        <w:rPr>
          <w:rFonts w:ascii="Times New Roman" w:eastAsia="Times New Roman" w:hAnsi="Times New Roman" w:cs="Times New Roman"/>
          <w:kern w:val="0"/>
          <w14:ligatures w14:val="none"/>
        </w:rPr>
        <w:t xml:space="preserve"> Strong in the anchoritic/semi-anchoritic strand. Present in modified form in the Pachomian strand. Genuinely strained in the Shenoutean strand: Shenoute's authority, while reinforced by his own account of disciplined struggle, is substantially office-based.</w:t>
      </w:r>
    </w:p>
    <w:p w14:paraId="151095F1" w14:textId="77777777" w:rsidR="00B37F9E" w:rsidRPr="00B37F9E" w:rsidRDefault="00B37F9E" w:rsidP="00B37F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Dependency:</w:t>
      </w:r>
      <w:r w:rsidRPr="00B37F9E">
        <w:rPr>
          <w:rFonts w:ascii="Times New Roman" w:eastAsia="Times New Roman" w:hAnsi="Times New Roman" w:cs="Times New Roman"/>
          <w:kern w:val="0"/>
          <w14:ligatures w14:val="none"/>
        </w:rPr>
        <w:t xml:space="preserve"> High for the anchoritic strand; low for Shenoute, where removing the office would remove most of what </w:t>
      </w:r>
      <w:proofErr w:type="gramStart"/>
      <w:r w:rsidRPr="00B37F9E">
        <w:rPr>
          <w:rFonts w:ascii="Times New Roman" w:eastAsia="Times New Roman" w:hAnsi="Times New Roman" w:cs="Times New Roman"/>
          <w:kern w:val="0"/>
          <w14:ligatures w14:val="none"/>
        </w:rPr>
        <w:t>actually constitutes</w:t>
      </w:r>
      <w:proofErr w:type="gramEnd"/>
      <w:r w:rsidRPr="00B37F9E">
        <w:rPr>
          <w:rFonts w:ascii="Times New Roman" w:eastAsia="Times New Roman" w:hAnsi="Times New Roman" w:cs="Times New Roman"/>
          <w:kern w:val="0"/>
          <w14:ligatures w14:val="none"/>
        </w:rPr>
        <w:t xml:space="preserve"> his operative authority.</w:t>
      </w:r>
    </w:p>
    <w:p w14:paraId="3854F64C" w14:textId="77777777" w:rsidR="00B37F9E" w:rsidRPr="00B37F9E" w:rsidRDefault="00B37F9E" w:rsidP="00B37F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Formation:</w:t>
      </w:r>
      <w:r w:rsidRPr="00B37F9E">
        <w:rPr>
          <w:rFonts w:ascii="Times New Roman" w:eastAsia="Times New Roman" w:hAnsi="Times New Roman" w:cs="Times New Roman"/>
          <w:kern w:val="0"/>
          <w14:ligatures w14:val="none"/>
        </w:rPr>
        <w:t xml:space="preserve"> Central in the anchoritic strand; supplementary in Shenoute's case.</w:t>
      </w:r>
    </w:p>
    <w:p w14:paraId="2E79A0D8" w14:textId="77777777" w:rsidR="00B37F9E" w:rsidRPr="00B37F9E" w:rsidRDefault="00B37F9E" w:rsidP="00B37F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Explanatory:</w:t>
      </w:r>
      <w:r w:rsidRPr="00B37F9E">
        <w:rPr>
          <w:rFonts w:ascii="Times New Roman" w:eastAsia="Times New Roman" w:hAnsi="Times New Roman" w:cs="Times New Roman"/>
          <w:kern w:val="0"/>
          <w14:ligatures w14:val="none"/>
        </w:rPr>
        <w:t xml:space="preserve"> Explains the anchoritic authority structure well; explains the Shenoutean structure only partially.</w:t>
      </w:r>
    </w:p>
    <w:p w14:paraId="0B1C5324" w14:textId="77777777" w:rsidR="00B37F9E" w:rsidRPr="00B37F9E" w:rsidRDefault="00B37F9E" w:rsidP="00B37F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Persistence:</w:t>
      </w:r>
      <w:r w:rsidRPr="00B37F9E">
        <w:rPr>
          <w:rFonts w:ascii="Times New Roman" w:eastAsia="Times New Roman" w:hAnsi="Times New Roman" w:cs="Times New Roman"/>
          <w:kern w:val="0"/>
          <w14:ligatures w14:val="none"/>
        </w:rPr>
        <w:t xml:space="preserve"> This candidate's relative strength changes across strands by virtue of two different starting conditions present together from early in the period — the Pachomian and Shenoutean cenobitic strands were founded with formal structure from the outset, not as a later institutional encrustation on an originally pure charismatic ideal.</w:t>
      </w:r>
    </w:p>
    <w:p w14:paraId="58AE494B" w14:textId="77777777" w:rsidR="00B37F9E" w:rsidRPr="00B37F9E" w:rsidRDefault="00B37F9E" w:rsidP="00B37F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Interaction:</w:t>
      </w:r>
      <w:r w:rsidRPr="00B37F9E">
        <w:rPr>
          <w:rFonts w:ascii="Times New Roman" w:eastAsia="Times New Roman" w:hAnsi="Times New Roman" w:cs="Times New Roman"/>
          <w:kern w:val="0"/>
          <w14:ligatures w14:val="none"/>
        </w:rPr>
        <w:t xml:space="preserve"> This is the candidate most directly implicated in the authority-tension finding carried forward from Document 01.</w:t>
      </w:r>
    </w:p>
    <w:p w14:paraId="313EAB72"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Classification: Primary for the anchoritic/semi-anchoritic strand; does not independently reach gravity status for the Shenoutean strand.</w:t>
      </w:r>
    </w:p>
    <w:p w14:paraId="4C440F27" w14:textId="77777777" w:rsidR="00B37F9E" w:rsidRPr="00B37F9E" w:rsidRDefault="00B37F9E" w:rsidP="00B37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Candidate F — The body as the site of spiritual transformation, tested for fracture</w:t>
      </w:r>
    </w:p>
    <w:p w14:paraId="6A0623BB" w14:textId="77777777" w:rsidR="00B37F9E" w:rsidRPr="00B37F9E" w:rsidRDefault="00B37F9E" w:rsidP="00B37F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F9E">
        <w:rPr>
          <w:rFonts w:ascii="Times New Roman" w:eastAsia="Times New Roman" w:hAnsi="Times New Roman" w:cs="Times New Roman"/>
          <w:b/>
          <w:bCs/>
          <w:kern w:val="0"/>
          <w14:ligatures w14:val="none"/>
        </w:rPr>
        <w:t>Repetition,</w:t>
      </w:r>
      <w:proofErr w:type="gramEnd"/>
      <w:r w:rsidRPr="00B37F9E">
        <w:rPr>
          <w:rFonts w:ascii="Times New Roman" w:eastAsia="Times New Roman" w:hAnsi="Times New Roman" w:cs="Times New Roman"/>
          <w:b/>
          <w:bCs/>
          <w:kern w:val="0"/>
          <w14:ligatures w14:val="none"/>
        </w:rPr>
        <w:t xml:space="preserve"> examined closely:</w:t>
      </w:r>
      <w:r w:rsidRPr="00B37F9E">
        <w:rPr>
          <w:rFonts w:ascii="Times New Roman" w:eastAsia="Times New Roman" w:hAnsi="Times New Roman" w:cs="Times New Roman"/>
          <w:kern w:val="0"/>
          <w14:ligatures w14:val="none"/>
        </w:rPr>
        <w:t xml:space="preserve"> Bodily practice — fasting, vigil, manual labor, physical discipline — is genuinely repeated across all four strands and is independently attested archaeologically and documentarily. This behavioral layer survives the splitting test cleanly. The theological account of why the body matters does not survive the same test intact. Per Schroeder's structuring of the evidence: Shenoute's earliest letters (the documented basis for his corporate-body, individual-sin-corrupts-the-community theology) </w:t>
      </w:r>
      <w:proofErr w:type="gramStart"/>
      <w:r w:rsidRPr="00B37F9E">
        <w:rPr>
          <w:rFonts w:ascii="Times New Roman" w:eastAsia="Times New Roman" w:hAnsi="Times New Roman" w:cs="Times New Roman"/>
          <w:kern w:val="0"/>
          <w14:ligatures w14:val="none"/>
        </w:rPr>
        <w:t>locate</w:t>
      </w:r>
      <w:proofErr w:type="gramEnd"/>
      <w:r w:rsidRPr="00B37F9E">
        <w:rPr>
          <w:rFonts w:ascii="Times New Roman" w:eastAsia="Times New Roman" w:hAnsi="Times New Roman" w:cs="Times New Roman"/>
          <w:kern w:val="0"/>
          <w14:ligatures w14:val="none"/>
        </w:rPr>
        <w:t xml:space="preserve"> the operative spiritual stakes in the collective monastic body. Shenoute's resurrection theology — the incarnational, body-affirming material — is drawn from his Discourses, tied by the specialist literature to the Christological controversies of his later career (Ephesus 431 and after), not to an early or foundational layer of his thought. This matters in two ways. First, Shenoute's body-theology is not simply a different theological gloss on the same individually-located battleground Antony and Evagrius describe; it is, in its earliest documented form, a claim about a different unit of analysis altogether — the corporate, communal body, not chiefly the individual ascetic's own contested interior. Second, the resurrection-theology material is demonstrably a later development in his own career, prompted by external Christological controversy.</w:t>
      </w:r>
    </w:p>
    <w:p w14:paraId="0895B19A" w14:textId="77777777" w:rsidR="00B37F9E" w:rsidRPr="00B37F9E" w:rsidRDefault="00B37F9E" w:rsidP="00B37F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Dependency:</w:t>
      </w:r>
      <w:r w:rsidRPr="00B37F9E">
        <w:rPr>
          <w:rFonts w:ascii="Times New Roman" w:eastAsia="Times New Roman" w:hAnsi="Times New Roman" w:cs="Times New Roman"/>
          <w:kern w:val="0"/>
          <w14:ligatures w14:val="none"/>
        </w:rPr>
        <w:t xml:space="preserve"> High for bodily practice itself across all strands. For the theological account, dependency is </w:t>
      </w:r>
      <w:proofErr w:type="gramStart"/>
      <w:r w:rsidRPr="00B37F9E">
        <w:rPr>
          <w:rFonts w:ascii="Times New Roman" w:eastAsia="Times New Roman" w:hAnsi="Times New Roman" w:cs="Times New Roman"/>
          <w:kern w:val="0"/>
          <w14:ligatures w14:val="none"/>
        </w:rPr>
        <w:t>strand-specific</w:t>
      </w:r>
      <w:proofErr w:type="gramEnd"/>
      <w:r w:rsidRPr="00B37F9E">
        <w:rPr>
          <w:rFonts w:ascii="Times New Roman" w:eastAsia="Times New Roman" w:hAnsi="Times New Roman" w:cs="Times New Roman"/>
          <w:kern w:val="0"/>
          <w14:ligatures w14:val="none"/>
        </w:rPr>
        <w:t>.</w:t>
      </w:r>
    </w:p>
    <w:p w14:paraId="71CB0D4D" w14:textId="77777777" w:rsidR="00B37F9E" w:rsidRPr="00B37F9E" w:rsidRDefault="00B37F9E" w:rsidP="00B37F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lastRenderedPageBreak/>
        <w:t>Formation:</w:t>
      </w:r>
      <w:r w:rsidRPr="00B37F9E">
        <w:rPr>
          <w:rFonts w:ascii="Times New Roman" w:eastAsia="Times New Roman" w:hAnsi="Times New Roman" w:cs="Times New Roman"/>
          <w:kern w:val="0"/>
          <w14:ligatures w14:val="none"/>
        </w:rPr>
        <w:t xml:space="preserve"> Strong and consistent for bodily practice. For theological meaning, formation differs in kind, not merely degree.</w:t>
      </w:r>
    </w:p>
    <w:p w14:paraId="15CA3132" w14:textId="77777777" w:rsidR="00B37F9E" w:rsidRPr="00B37F9E" w:rsidRDefault="00B37F9E" w:rsidP="00B37F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Explanatory:</w:t>
      </w:r>
      <w:r w:rsidRPr="00B37F9E">
        <w:rPr>
          <w:rFonts w:ascii="Times New Roman" w:eastAsia="Times New Roman" w:hAnsi="Times New Roman" w:cs="Times New Roman"/>
          <w:kern w:val="0"/>
          <w14:ligatures w14:val="none"/>
        </w:rPr>
        <w:t xml:space="preserve"> High for explaining ascetic practice across every strand. Markedly lower for explaining why that practice matters across strands without exception.</w:t>
      </w:r>
    </w:p>
    <w:p w14:paraId="08CE0623" w14:textId="77777777" w:rsidR="00B37F9E" w:rsidRPr="00B37F9E" w:rsidRDefault="00B37F9E" w:rsidP="00B37F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Persistence and temporal variance:</w:t>
      </w:r>
      <w:r w:rsidRPr="00B37F9E">
        <w:rPr>
          <w:rFonts w:ascii="Times New Roman" w:eastAsia="Times New Roman" w:hAnsi="Times New Roman" w:cs="Times New Roman"/>
          <w:kern w:val="0"/>
          <w14:ligatures w14:val="none"/>
        </w:rPr>
        <w:t xml:space="preserve"> Bodily practice persists throughout the window without interruption. The theological elaboration shows a recognizable behavioral pattern undergirded by at least two not-fully-compatible theological accounts of what the body is for the formation economy.</w:t>
      </w:r>
    </w:p>
    <w:p w14:paraId="62CE1E51" w14:textId="77777777" w:rsidR="00B37F9E" w:rsidRPr="00B37F9E" w:rsidRDefault="00B37F9E" w:rsidP="00B37F9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Interaction:</w:t>
      </w:r>
      <w:r w:rsidRPr="00B37F9E">
        <w:rPr>
          <w:rFonts w:ascii="Times New Roman" w:eastAsia="Times New Roman" w:hAnsi="Times New Roman" w:cs="Times New Roman"/>
          <w:kern w:val="0"/>
          <w14:ligatures w14:val="none"/>
        </w:rPr>
        <w:t xml:space="preserve"> Bodily practice interacts strongly and consistently with Candidate D across all strands. The theological-meaning layer interacts differently by strand.</w:t>
      </w:r>
    </w:p>
    <w:p w14:paraId="186DECB5"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F9E">
        <w:rPr>
          <w:rFonts w:ascii="Times New Roman" w:eastAsia="Times New Roman" w:hAnsi="Times New Roman" w:cs="Times New Roman"/>
          <w:b/>
          <w:bCs/>
          <w:kern w:val="0"/>
          <w14:ligatures w14:val="none"/>
        </w:rPr>
        <w:t>Classification,</w:t>
      </w:r>
      <w:proofErr w:type="gramEnd"/>
      <w:r w:rsidRPr="00B37F9E">
        <w:rPr>
          <w:rFonts w:ascii="Times New Roman" w:eastAsia="Times New Roman" w:hAnsi="Times New Roman" w:cs="Times New Roman"/>
          <w:b/>
          <w:bCs/>
          <w:kern w:val="0"/>
          <w14:ligatures w14:val="none"/>
        </w:rPr>
        <w:t xml:space="preserve"> reported honestly: Candidate F fractures, in the same manner Candidate B did, into a confirmed cross-strand behavioral pattern and a set of strand-specific theological elaborations that do not themselves constitute one shared gravity.</w:t>
      </w:r>
      <w:r w:rsidRPr="00B37F9E">
        <w:rPr>
          <w:rFonts w:ascii="Times New Roman" w:eastAsia="Times New Roman" w:hAnsi="Times New Roman" w:cs="Times New Roman"/>
          <w:kern w:val="0"/>
          <w14:ligatures w14:val="none"/>
        </w:rPr>
        <w:t xml:space="preserve"> What survives the splitting test as genuinely cross-strand and independently strongly attested is narrower: </w:t>
      </w:r>
      <w:r w:rsidRPr="00B37F9E">
        <w:rPr>
          <w:rFonts w:ascii="Times New Roman" w:eastAsia="Times New Roman" w:hAnsi="Times New Roman" w:cs="Times New Roman"/>
          <w:b/>
          <w:bCs/>
          <w:kern w:val="0"/>
          <w14:ligatures w14:val="none"/>
        </w:rPr>
        <w:t>ascetic bodily practice as a behavioral pattern</w:t>
      </w:r>
      <w:r w:rsidRPr="00B37F9E">
        <w:rPr>
          <w:rFonts w:ascii="Times New Roman" w:eastAsia="Times New Roman" w:hAnsi="Times New Roman" w:cs="Times New Roman"/>
          <w:kern w:val="0"/>
          <w14:ligatures w14:val="none"/>
        </w:rPr>
        <w:t>, independently grounded archaeologically, documentarily, and textually. "The body as theological site of transformation," as a unified claim about what the body means and where the relevant spiritual stakes lie, does not pass as one gravity.</w:t>
      </w:r>
    </w:p>
    <w:p w14:paraId="4C1EA914" w14:textId="77777777" w:rsidR="00B37F9E" w:rsidRPr="00B37F9E" w:rsidRDefault="00B37F9E" w:rsidP="00B37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Candidate G — Theological danger and strategic non-attribution as a lived epistemic feature</w:t>
      </w:r>
    </w:p>
    <w:p w14:paraId="4F494F7D" w14:textId="77777777" w:rsidR="00B37F9E" w:rsidRPr="00B37F9E" w:rsidRDefault="00B37F9E" w:rsidP="00B37F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Repetition:</w:t>
      </w:r>
      <w:r w:rsidRPr="00B37F9E">
        <w:rPr>
          <w:rFonts w:ascii="Times New Roman" w:eastAsia="Times New Roman" w:hAnsi="Times New Roman" w:cs="Times New Roman"/>
          <w:kern w:val="0"/>
          <w14:ligatures w14:val="none"/>
        </w:rPr>
        <w:t xml:space="preserve"> Documented in two genuinely distinct cases: the Apophthegmata's anonymous, collective, retrospective suppression of Evagrius's name, and Cassian's individual, contemporaneous, strategic non-attribution under direct personal danger. A third, related pattern appears in the Kephalaia Gnostika's S1/S2 doctrinal correction within decades of Evagrius's death. This should be distinguished clearly: the Apophthegmata's suppression is anonymous, collective, and after the fact — a compiling community editing its own record once Evagrius's reputation had already become dangerous. Cassian's silence is individual, contemporaneous, and strategic — a man who had personally witnessed his teacher's circle condemned and burned out, in real time, in physical danger (he fled Egypt in 399 alongside roughly three hundred other Origenist monks, after the bishop of Alexandria, backed by soldiers, burned the cells of the Origenist monks at Nitria), choosing in that moment never to credit the teacher whose fate he had just escaped, and systematically replacing incriminating Evagrian terminology with safer language. The mechanism is structurally related — both transmit Evagrian substance while suppressing the Evagrian name — but the actors, the timing, and the stakes are different enough that treating them as the same phenomenon would flatten something this document should keep distinct.</w:t>
      </w:r>
    </w:p>
    <w:p w14:paraId="4A7B457A" w14:textId="77777777" w:rsidR="00B37F9E" w:rsidRPr="00B37F9E" w:rsidRDefault="00B37F9E" w:rsidP="00B37F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Dependency:</w:t>
      </w:r>
      <w:r w:rsidRPr="00B37F9E">
        <w:rPr>
          <w:rFonts w:ascii="Times New Roman" w:eastAsia="Times New Roman" w:hAnsi="Times New Roman" w:cs="Times New Roman"/>
          <w:kern w:val="0"/>
          <w14:ligatures w14:val="none"/>
        </w:rPr>
        <w:t xml:space="preserve"> Uncertain — this looks like a recurring response to one specific historical situation rather than a structural feature of how formation knowledge moves in this world generally.</w:t>
      </w:r>
    </w:p>
    <w:p w14:paraId="762535B4" w14:textId="77777777" w:rsidR="00B37F9E" w:rsidRPr="00B37F9E" w:rsidRDefault="00B37F9E" w:rsidP="00B37F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Formation:</w:t>
      </w:r>
      <w:r w:rsidRPr="00B37F9E">
        <w:rPr>
          <w:rFonts w:ascii="Times New Roman" w:eastAsia="Times New Roman" w:hAnsi="Times New Roman" w:cs="Times New Roman"/>
          <w:kern w:val="0"/>
          <w14:ligatures w14:val="none"/>
        </w:rPr>
        <w:t xml:space="preserve"> Limited direct formation evidence.</w:t>
      </w:r>
    </w:p>
    <w:p w14:paraId="0C8A392C" w14:textId="77777777" w:rsidR="00B37F9E" w:rsidRPr="00B37F9E" w:rsidRDefault="00B37F9E" w:rsidP="00B37F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Explanatory:</w:t>
      </w:r>
      <w:r w:rsidRPr="00B37F9E">
        <w:rPr>
          <w:rFonts w:ascii="Times New Roman" w:eastAsia="Times New Roman" w:hAnsi="Times New Roman" w:cs="Times New Roman"/>
          <w:kern w:val="0"/>
          <w14:ligatures w14:val="none"/>
        </w:rPr>
        <w:t xml:space="preserve"> Real but narrow.</w:t>
      </w:r>
    </w:p>
    <w:p w14:paraId="2DC00D59" w14:textId="77777777" w:rsidR="00B37F9E" w:rsidRPr="00B37F9E" w:rsidRDefault="00B37F9E" w:rsidP="00B37F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lastRenderedPageBreak/>
        <w:t>Persistence:</w:t>
      </w:r>
      <w:r w:rsidRPr="00B37F9E">
        <w:rPr>
          <w:rFonts w:ascii="Times New Roman" w:eastAsia="Times New Roman" w:hAnsi="Times New Roman" w:cs="Times New Roman"/>
          <w:kern w:val="0"/>
          <w14:ligatures w14:val="none"/>
        </w:rPr>
        <w:t xml:space="preserve"> Clusters tightly around the Origenist controversy of the 390s–400s and its immediate aftermath.</w:t>
      </w:r>
    </w:p>
    <w:p w14:paraId="3BCCEA4C" w14:textId="77777777" w:rsidR="00B37F9E" w:rsidRPr="00B37F9E" w:rsidRDefault="00B37F9E" w:rsidP="00B37F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Interaction:</w:t>
      </w:r>
      <w:r w:rsidRPr="00B37F9E">
        <w:rPr>
          <w:rFonts w:ascii="Times New Roman" w:eastAsia="Times New Roman" w:hAnsi="Times New Roman" w:cs="Times New Roman"/>
          <w:kern w:val="0"/>
          <w14:ligatures w14:val="none"/>
        </w:rPr>
        <w:t xml:space="preserve"> Connects to Candidate B and the Brown/Rubenson tension, but as observations about what the pattern touches.</w:t>
      </w:r>
    </w:p>
    <w:p w14:paraId="3F452CB7"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Classification: does not reach gravity status.</w:t>
      </w:r>
      <w:r w:rsidRPr="00B37F9E">
        <w:rPr>
          <w:rFonts w:ascii="Times New Roman" w:eastAsia="Times New Roman" w:hAnsi="Times New Roman" w:cs="Times New Roman"/>
          <w:kern w:val="0"/>
          <w14:ligatures w14:val="none"/>
        </w:rPr>
        <w:t xml:space="preserve"> Together, the two distinguishable cases point toward a candidate worth naming directly even though it doesn't pass: theological danger and strategic non-attribution as a lived feature of this world's epistemic culture — confirmed as a real historical pattern, recorded in this world's narrative material, but not a persistent, cross-strand, formation-shaping gravity.</w:t>
      </w:r>
    </w:p>
    <w:p w14:paraId="5BD150C7"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396506BF">
          <v:rect id="_x0000_i1028" style="width:0;height:1.5pt" o:hralign="center" o:hrstd="t" o:hr="t" fillcolor="#a0a0a0" stroked="f"/>
        </w:pict>
      </w:r>
    </w:p>
    <w:p w14:paraId="0814DC81"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3. Confidence/Gravity Cross-Check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4354"/>
        <w:gridCol w:w="2681"/>
      </w:tblGrid>
      <w:tr w:rsidR="00B37F9E" w:rsidRPr="00B37F9E" w14:paraId="059F03DE" w14:textId="77777777">
        <w:trPr>
          <w:tblHeader/>
          <w:tblCellSpacing w:w="15" w:type="dxa"/>
        </w:trPr>
        <w:tc>
          <w:tcPr>
            <w:tcW w:w="0" w:type="auto"/>
            <w:vAlign w:val="center"/>
            <w:hideMark/>
          </w:tcPr>
          <w:p w14:paraId="235BFE28" w14:textId="77777777" w:rsidR="00B37F9E" w:rsidRPr="00B37F9E" w:rsidRDefault="00B37F9E" w:rsidP="00B37F9E">
            <w:pPr>
              <w:spacing w:after="0" w:line="240" w:lineRule="auto"/>
              <w:jc w:val="center"/>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Candidate</w:t>
            </w:r>
          </w:p>
        </w:tc>
        <w:tc>
          <w:tcPr>
            <w:tcW w:w="0" w:type="auto"/>
            <w:vAlign w:val="center"/>
            <w:hideMark/>
          </w:tcPr>
          <w:p w14:paraId="1B320E57" w14:textId="77777777" w:rsidR="00B37F9E" w:rsidRPr="00B37F9E" w:rsidRDefault="00B37F9E" w:rsidP="00B37F9E">
            <w:pPr>
              <w:spacing w:after="0" w:line="240" w:lineRule="auto"/>
              <w:jc w:val="center"/>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Evidential confidence</w:t>
            </w:r>
          </w:p>
        </w:tc>
        <w:tc>
          <w:tcPr>
            <w:tcW w:w="0" w:type="auto"/>
            <w:vAlign w:val="center"/>
            <w:hideMark/>
          </w:tcPr>
          <w:p w14:paraId="6A5CCFDB" w14:textId="77777777" w:rsidR="00B37F9E" w:rsidRPr="00B37F9E" w:rsidRDefault="00B37F9E" w:rsidP="00B37F9E">
            <w:pPr>
              <w:spacing w:after="0" w:line="240" w:lineRule="auto"/>
              <w:jc w:val="center"/>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Gravity classification</w:t>
            </w:r>
          </w:p>
        </w:tc>
      </w:tr>
      <w:tr w:rsidR="00B37F9E" w:rsidRPr="00B37F9E" w14:paraId="24678E79" w14:textId="77777777">
        <w:trPr>
          <w:tblCellSpacing w:w="15" w:type="dxa"/>
        </w:trPr>
        <w:tc>
          <w:tcPr>
            <w:tcW w:w="0" w:type="auto"/>
            <w:vAlign w:val="center"/>
            <w:hideMark/>
          </w:tcPr>
          <w:p w14:paraId="40640010"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A — Withdrawal</w:t>
            </w:r>
          </w:p>
        </w:tc>
        <w:tc>
          <w:tcPr>
            <w:tcW w:w="0" w:type="auto"/>
            <w:vAlign w:val="center"/>
            <w:hideMark/>
          </w:tcPr>
          <w:p w14:paraId="57634A4A"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Strong (anchoritic/semi-anchoritic); Moderate (Pachomian); does not apply (Shenoutean)</w:t>
            </w:r>
          </w:p>
        </w:tc>
        <w:tc>
          <w:tcPr>
            <w:tcW w:w="0" w:type="auto"/>
            <w:vAlign w:val="center"/>
            <w:hideMark/>
          </w:tcPr>
          <w:p w14:paraId="1725E8FA"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Primary for two strands only</w:t>
            </w:r>
          </w:p>
        </w:tc>
      </w:tr>
      <w:tr w:rsidR="00B37F9E" w:rsidRPr="00B37F9E" w14:paraId="4381857D" w14:textId="77777777">
        <w:trPr>
          <w:tblCellSpacing w:w="15" w:type="dxa"/>
        </w:trPr>
        <w:tc>
          <w:tcPr>
            <w:tcW w:w="0" w:type="auto"/>
            <w:vAlign w:val="center"/>
            <w:hideMark/>
          </w:tcPr>
          <w:p w14:paraId="33D16EA8"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B — Demon/passion combat</w:t>
            </w:r>
          </w:p>
        </w:tc>
        <w:tc>
          <w:tcPr>
            <w:tcW w:w="0" w:type="auto"/>
            <w:vAlign w:val="center"/>
            <w:hideMark/>
          </w:tcPr>
          <w:p w14:paraId="048EED70"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Strong (Evagrian/anchoritic specifically); fractures across strands </w:t>
            </w:r>
          </w:p>
        </w:tc>
        <w:tc>
          <w:tcPr>
            <w:tcW w:w="0" w:type="auto"/>
            <w:vAlign w:val="center"/>
            <w:hideMark/>
          </w:tcPr>
          <w:p w14:paraId="7A37A352"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Not classified uniformly</w:t>
            </w:r>
          </w:p>
        </w:tc>
      </w:tr>
      <w:tr w:rsidR="00B37F9E" w:rsidRPr="00B37F9E" w14:paraId="57B39A7B" w14:textId="77777777">
        <w:trPr>
          <w:tblCellSpacing w:w="15" w:type="dxa"/>
        </w:trPr>
        <w:tc>
          <w:tcPr>
            <w:tcW w:w="0" w:type="auto"/>
            <w:vAlign w:val="center"/>
            <w:hideMark/>
          </w:tcPr>
          <w:p w14:paraId="5AEADA42"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C — Experience over abstraction</w:t>
            </w:r>
          </w:p>
        </w:tc>
        <w:tc>
          <w:tcPr>
            <w:tcW w:w="0" w:type="auto"/>
            <w:vAlign w:val="center"/>
            <w:hideMark/>
          </w:tcPr>
          <w:p w14:paraId="7EC40B9C"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Moderate, weakened by Brown/Rubenson and Shenoute's literacy</w:t>
            </w:r>
          </w:p>
        </w:tc>
        <w:tc>
          <w:tcPr>
            <w:tcW w:w="0" w:type="auto"/>
            <w:vAlign w:val="center"/>
            <w:hideMark/>
          </w:tcPr>
          <w:p w14:paraId="41FE669E"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Not classified</w:t>
            </w:r>
          </w:p>
        </w:tc>
      </w:tr>
      <w:tr w:rsidR="00B37F9E" w:rsidRPr="00B37F9E" w14:paraId="4917947A" w14:textId="77777777">
        <w:trPr>
          <w:tblCellSpacing w:w="15" w:type="dxa"/>
        </w:trPr>
        <w:tc>
          <w:tcPr>
            <w:tcW w:w="0" w:type="auto"/>
            <w:vAlign w:val="center"/>
            <w:hideMark/>
          </w:tcPr>
          <w:p w14:paraId="203A4DC8"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D — Abba/amma mentorship</w:t>
            </w:r>
          </w:p>
        </w:tc>
        <w:tc>
          <w:tcPr>
            <w:tcW w:w="0" w:type="auto"/>
            <w:vAlign w:val="center"/>
            <w:hideMark/>
          </w:tcPr>
          <w:p w14:paraId="77C6B71D"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Strong, independently across all four strands, including the documentary record</w:t>
            </w:r>
          </w:p>
        </w:tc>
        <w:tc>
          <w:tcPr>
            <w:tcW w:w="0" w:type="auto"/>
            <w:vAlign w:val="center"/>
            <w:hideMark/>
          </w:tcPr>
          <w:p w14:paraId="1D6BBBFD"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Primary</w:t>
            </w:r>
            <w:r w:rsidRPr="00B37F9E">
              <w:rPr>
                <w:rFonts w:ascii="Times New Roman" w:eastAsia="Times New Roman" w:hAnsi="Times New Roman" w:cs="Times New Roman"/>
                <w:kern w:val="0"/>
                <w14:ligatures w14:val="none"/>
              </w:rPr>
              <w:t>, with the abstraction caution named above</w:t>
            </w:r>
          </w:p>
        </w:tc>
      </w:tr>
      <w:tr w:rsidR="00B37F9E" w:rsidRPr="00B37F9E" w14:paraId="17C49C60" w14:textId="77777777">
        <w:trPr>
          <w:tblCellSpacing w:w="15" w:type="dxa"/>
        </w:trPr>
        <w:tc>
          <w:tcPr>
            <w:tcW w:w="0" w:type="auto"/>
            <w:vAlign w:val="center"/>
            <w:hideMark/>
          </w:tcPr>
          <w:p w14:paraId="28A7F5AC"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E — Struggle-earned authority</w:t>
            </w:r>
          </w:p>
        </w:tc>
        <w:tc>
          <w:tcPr>
            <w:tcW w:w="0" w:type="auto"/>
            <w:vAlign w:val="center"/>
            <w:hideMark/>
          </w:tcPr>
          <w:p w14:paraId="4E8889CC"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Strong (anchoritic); Limited/contested (Shenoutean)</w:t>
            </w:r>
          </w:p>
        </w:tc>
        <w:tc>
          <w:tcPr>
            <w:tcW w:w="0" w:type="auto"/>
            <w:vAlign w:val="center"/>
            <w:hideMark/>
          </w:tcPr>
          <w:p w14:paraId="671B276E"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Primary for the anchoritic strand only</w:t>
            </w:r>
          </w:p>
        </w:tc>
      </w:tr>
      <w:tr w:rsidR="00B37F9E" w:rsidRPr="00B37F9E" w14:paraId="56EC68B9" w14:textId="77777777">
        <w:trPr>
          <w:tblCellSpacing w:w="15" w:type="dxa"/>
        </w:trPr>
        <w:tc>
          <w:tcPr>
            <w:tcW w:w="0" w:type="auto"/>
            <w:vAlign w:val="center"/>
            <w:hideMark/>
          </w:tcPr>
          <w:p w14:paraId="6CAFDA8D"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F — Body, practice layer</w:t>
            </w:r>
          </w:p>
        </w:tc>
        <w:tc>
          <w:tcPr>
            <w:tcW w:w="0" w:type="auto"/>
            <w:vAlign w:val="center"/>
            <w:hideMark/>
          </w:tcPr>
          <w:p w14:paraId="31603E99"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Strong, independently across all four strands, archaeologically grounded</w:t>
            </w:r>
          </w:p>
        </w:tc>
        <w:tc>
          <w:tcPr>
            <w:tcW w:w="0" w:type="auto"/>
            <w:vAlign w:val="center"/>
            <w:hideMark/>
          </w:tcPr>
          <w:p w14:paraId="544E324C"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Primary</w:t>
            </w:r>
            <w:r w:rsidRPr="00B37F9E">
              <w:rPr>
                <w:rFonts w:ascii="Times New Roman" w:eastAsia="Times New Roman" w:hAnsi="Times New Roman" w:cs="Times New Roman"/>
                <w:kern w:val="0"/>
                <w14:ligatures w14:val="none"/>
              </w:rPr>
              <w:t>, as a behavioral pattern specifically</w:t>
            </w:r>
          </w:p>
        </w:tc>
      </w:tr>
      <w:tr w:rsidR="00B37F9E" w:rsidRPr="00B37F9E" w14:paraId="158255DC" w14:textId="77777777">
        <w:trPr>
          <w:tblCellSpacing w:w="15" w:type="dxa"/>
        </w:trPr>
        <w:tc>
          <w:tcPr>
            <w:tcW w:w="0" w:type="auto"/>
            <w:vAlign w:val="center"/>
            <w:hideMark/>
          </w:tcPr>
          <w:p w14:paraId="467A5640"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F — Body, theological-meaning layer</w:t>
            </w:r>
          </w:p>
        </w:tc>
        <w:tc>
          <w:tcPr>
            <w:tcW w:w="0" w:type="auto"/>
            <w:vAlign w:val="center"/>
            <w:hideMark/>
          </w:tcPr>
          <w:p w14:paraId="5E4BB54E"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Strong within strands taken separately; does not cohere across strands</w:t>
            </w:r>
          </w:p>
        </w:tc>
        <w:tc>
          <w:tcPr>
            <w:tcW w:w="0" w:type="auto"/>
            <w:vAlign w:val="center"/>
            <w:hideMark/>
          </w:tcPr>
          <w:p w14:paraId="19776C4C"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Not classified as one gravity; fractures by strand</w:t>
            </w:r>
          </w:p>
        </w:tc>
      </w:tr>
      <w:tr w:rsidR="00B37F9E" w:rsidRPr="00B37F9E" w14:paraId="12271E51" w14:textId="77777777">
        <w:trPr>
          <w:tblCellSpacing w:w="15" w:type="dxa"/>
        </w:trPr>
        <w:tc>
          <w:tcPr>
            <w:tcW w:w="0" w:type="auto"/>
            <w:vAlign w:val="center"/>
            <w:hideMark/>
          </w:tcPr>
          <w:p w14:paraId="44249FE1"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G — Danger-driven non-attribution</w:t>
            </w:r>
          </w:p>
        </w:tc>
        <w:tc>
          <w:tcPr>
            <w:tcW w:w="0" w:type="auto"/>
            <w:vAlign w:val="center"/>
            <w:hideMark/>
          </w:tcPr>
          <w:p w14:paraId="4C16551A"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Moderate, confined to one historical episode</w:t>
            </w:r>
          </w:p>
        </w:tc>
        <w:tc>
          <w:tcPr>
            <w:tcW w:w="0" w:type="auto"/>
            <w:vAlign w:val="center"/>
            <w:hideMark/>
          </w:tcPr>
          <w:p w14:paraId="0FCBA289"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Not classified; recorded as documented history</w:t>
            </w:r>
          </w:p>
        </w:tc>
      </w:tr>
    </w:tbl>
    <w:p w14:paraId="01C2B3EA"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Only the abba/amma mentorship structure (D) and ascetic bodily practice as a behavioral pattern (the surviving core of F) independently reach Strong Attestation across all four strands and pass all six tests without strand-specific exception.</w:t>
      </w:r>
    </w:p>
    <w:p w14:paraId="257CCB1C"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73C0A13B">
          <v:rect id="_x0000_i1029" style="width:0;height:1.5pt" o:hralign="center" o:hrstd="t" o:hr="t" fillcolor="#a0a0a0" stroked="f"/>
        </w:pict>
      </w:r>
    </w:p>
    <w:p w14:paraId="3F88C65E"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 xml:space="preserve">4. The central test: does </w:t>
      </w:r>
      <w:proofErr w:type="gramStart"/>
      <w:r w:rsidRPr="00B37F9E">
        <w:rPr>
          <w:rFonts w:ascii="Times New Roman" w:eastAsia="Times New Roman" w:hAnsi="Times New Roman" w:cs="Times New Roman"/>
          <w:b/>
          <w:bCs/>
          <w:kern w:val="0"/>
          <w:sz w:val="27"/>
          <w:szCs w:val="27"/>
          <w14:ligatures w14:val="none"/>
        </w:rPr>
        <w:t>a shared</w:t>
      </w:r>
      <w:proofErr w:type="gramEnd"/>
      <w:r w:rsidRPr="00B37F9E">
        <w:rPr>
          <w:rFonts w:ascii="Times New Roman" w:eastAsia="Times New Roman" w:hAnsi="Times New Roman" w:cs="Times New Roman"/>
          <w:b/>
          <w:bCs/>
          <w:kern w:val="0"/>
          <w:sz w:val="27"/>
          <w:szCs w:val="27"/>
          <w14:ligatures w14:val="none"/>
        </w:rPr>
        <w:t xml:space="preserve"> formation grammar persist across all four strands?</w:t>
      </w:r>
    </w:p>
    <w:p w14:paraId="7D2EE2C8"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lastRenderedPageBreak/>
        <w:t xml:space="preserve">Run directly: </w:t>
      </w:r>
      <w:r w:rsidRPr="00B37F9E">
        <w:rPr>
          <w:rFonts w:ascii="Times New Roman" w:eastAsia="Times New Roman" w:hAnsi="Times New Roman" w:cs="Times New Roman"/>
          <w:b/>
          <w:bCs/>
          <w:kern w:val="0"/>
          <w14:ligatures w14:val="none"/>
        </w:rPr>
        <w:t>narrowly yes, on a thinner basis than the candidate list's initial appearance suggested.</w:t>
      </w:r>
    </w:p>
    <w:p w14:paraId="0ABEFC4F"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What persists, independently and strongly attested in each strand, is: formation through a structured relationship with someone further along the path, and ascetic bodily practice as the behavioral medium through which formation </w:t>
      </w:r>
      <w:proofErr w:type="gramStart"/>
      <w:r w:rsidRPr="00B37F9E">
        <w:rPr>
          <w:rFonts w:ascii="Times New Roman" w:eastAsia="Times New Roman" w:hAnsi="Times New Roman" w:cs="Times New Roman"/>
          <w:kern w:val="0"/>
          <w14:ligatures w14:val="none"/>
        </w:rPr>
        <w:t>actually happens</w:t>
      </w:r>
      <w:proofErr w:type="gramEnd"/>
      <w:r w:rsidRPr="00B37F9E">
        <w:rPr>
          <w:rFonts w:ascii="Times New Roman" w:eastAsia="Times New Roman" w:hAnsi="Times New Roman" w:cs="Times New Roman"/>
          <w:kern w:val="0"/>
          <w14:ligatures w14:val="none"/>
        </w:rPr>
        <w:t>.</w:t>
      </w:r>
    </w:p>
    <w:p w14:paraId="5BE21AAB"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What does not pass uniformly: withdrawal as constitutive act, demon/passion combat as the specific mechanism of growth, struggle-earned authority standing apart from office, and a unified theological account of why the body matters. Each is strongly attested in the anchoritic/semi-anchoritic strand specifically and meets real, independently-sourced resistance in the Shenoutean strand — resistance grounded in named specialist scholarship (Brakke on demonology; the Selected Discourses volume directly on genre; Schroeder on the corporate body and the lateness of the resurrection material).</w:t>
      </w:r>
    </w:p>
    <w:p w14:paraId="0C260643"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The genre finding deserves its own clear statement, separated from a pedagogy claim it does not </w:t>
      </w:r>
      <w:proofErr w:type="gramStart"/>
      <w:r w:rsidRPr="00B37F9E">
        <w:rPr>
          <w:rFonts w:ascii="Times New Roman" w:eastAsia="Times New Roman" w:hAnsi="Times New Roman" w:cs="Times New Roman"/>
          <w:kern w:val="0"/>
          <w14:ligatures w14:val="none"/>
        </w:rPr>
        <w:t>support:</w:t>
      </w:r>
      <w:proofErr w:type="gramEnd"/>
      <w:r w:rsidRPr="00B37F9E">
        <w:rPr>
          <w:rFonts w:ascii="Times New Roman" w:eastAsia="Times New Roman" w:hAnsi="Times New Roman" w:cs="Times New Roman"/>
          <w:kern w:val="0"/>
          <w14:ligatures w14:val="none"/>
        </w:rPr>
        <w:t xml:space="preserve"> that the Apophthegmata's literary form has no place in Shenoute's teaching style is a finding about literary genre. It does not show that Shenoute's strand lacks this world's relational formation structure — it plainly does not lack it, per Candidate D's own cross-strand confirmation, including Shenoute's documented succession from Pcol and his housemaster system.</w:t>
      </w:r>
    </w:p>
    <w:p w14:paraId="29CB00A6"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3FF63817">
          <v:rect id="_x0000_i1030" style="width:0;height:1.5pt" o:hralign="center" o:hrstd="t" o:hr="t" fillcolor="#a0a0a0" stroked="f"/>
        </w:pict>
      </w:r>
    </w:p>
    <w:p w14:paraId="6BE49EA5"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5. The Shenoute/Syria parallel-argument question</w:t>
      </w:r>
    </w:p>
    <w:p w14:paraId="3CA6FE94"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Document 02 flagged this directly: does the logic distinguishing Syrian asceticism's formation pattern from Egypt's apply with comparable force to Shenoute, who sits inside the one-world hypothesis?</w:t>
      </w:r>
    </w:p>
    <w:p w14:paraId="6D813720"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Tested directly, with the two different tests actually in play named rather than allowed to pass silently: this document currently keeps Shenoute inside Desert Christianity by a test of institutional descent — his federation's Pachomian-cenobitic founding lineage, traceable through Pcol — while it excludes Syria by a test of formation logic — the </w:t>
      </w:r>
      <w:r w:rsidRPr="00B37F9E">
        <w:rPr>
          <w:rFonts w:ascii="Times New Roman" w:eastAsia="Times New Roman" w:hAnsi="Times New Roman" w:cs="Times New Roman"/>
          <w:i/>
          <w:iCs/>
          <w:kern w:val="0"/>
          <w14:ligatures w14:val="none"/>
        </w:rPr>
        <w:t>ihidaya</w:t>
      </w:r>
      <w:r w:rsidRPr="00B37F9E">
        <w:rPr>
          <w:rFonts w:ascii="Times New Roman" w:eastAsia="Times New Roman" w:hAnsi="Times New Roman" w:cs="Times New Roman"/>
          <w:kern w:val="0"/>
          <w14:ligatures w14:val="none"/>
        </w:rPr>
        <w:t>/</w:t>
      </w:r>
      <w:r w:rsidRPr="00B37F9E">
        <w:rPr>
          <w:rFonts w:ascii="Times New Roman" w:eastAsia="Times New Roman" w:hAnsi="Times New Roman" w:cs="Times New Roman"/>
          <w:i/>
          <w:iCs/>
          <w:kern w:val="0"/>
          <w14:ligatures w14:val="none"/>
        </w:rPr>
        <w:t>Bnay Qyama</w:t>
      </w:r>
      <w:r w:rsidRPr="00B37F9E">
        <w:rPr>
          <w:rFonts w:ascii="Times New Roman" w:eastAsia="Times New Roman" w:hAnsi="Times New Roman" w:cs="Times New Roman"/>
          <w:kern w:val="0"/>
          <w14:ligatures w14:val="none"/>
        </w:rPr>
        <w:t xml:space="preserve"> tradition's basis in apostolic rather than Antonian precedent, and its constitutive orientation toward demonstrative public engagement rather than withdrawal. These are two different membership criteria, applied to two different cases, at exactly the point </w:t>
      </w:r>
      <w:proofErr w:type="gramStart"/>
      <w:r w:rsidRPr="00B37F9E">
        <w:rPr>
          <w:rFonts w:ascii="Times New Roman" w:eastAsia="Times New Roman" w:hAnsi="Times New Roman" w:cs="Times New Roman"/>
          <w:kern w:val="0"/>
          <w14:ligatures w14:val="none"/>
        </w:rPr>
        <w:t>where</w:t>
      </w:r>
      <w:proofErr w:type="gramEnd"/>
      <w:r w:rsidRPr="00B37F9E">
        <w:rPr>
          <w:rFonts w:ascii="Times New Roman" w:eastAsia="Times New Roman" w:hAnsi="Times New Roman" w:cs="Times New Roman"/>
          <w:kern w:val="0"/>
          <w14:ligatures w14:val="none"/>
        </w:rPr>
        <w:t xml:space="preserve"> applying the same criterion to both would create real difficulty for the one-world hypothesis. If formation logic is the governing test, Shenoute's strand — public, institutionally confrontational, organized around office and corporate-communal rather than individually-contested spiritual stakes — sits closer to the excluded Syrian pattern than a descent-based test currently allows for. If institutional descent is the governing test instead, Syria's case has not been tested on those terms at all in this document.</w:t>
      </w:r>
    </w:p>
    <w:p w14:paraId="112CABC8"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 xml:space="preserve">This document's honest position: the difference between Shenoute's case and Syria's is real but is currently a difference of degree and evidentiary framing, not a clean difference of </w:t>
      </w:r>
      <w:r w:rsidRPr="00B37F9E">
        <w:rPr>
          <w:rFonts w:ascii="Times New Roman" w:eastAsia="Times New Roman" w:hAnsi="Times New Roman" w:cs="Times New Roman"/>
          <w:b/>
          <w:bCs/>
          <w:kern w:val="0"/>
          <w14:ligatures w14:val="none"/>
        </w:rPr>
        <w:lastRenderedPageBreak/>
        <w:t>kind that this document can certify with confidence.</w:t>
      </w:r>
      <w:r w:rsidRPr="00B37F9E">
        <w:rPr>
          <w:rFonts w:ascii="Times New Roman" w:eastAsia="Times New Roman" w:hAnsi="Times New Roman" w:cs="Times New Roman"/>
          <w:kern w:val="0"/>
          <w14:ligatures w14:val="none"/>
        </w:rPr>
        <w:t xml:space="preserve"> Shenoute's public confrontations are exercises of authority whose formational roots are traceably Egyptian-cenobitic, part of this world's core evidence base from the start; the Syrian material may describe a formation logic that was never part of this world's core evidence to begin with. This remains a live question for Phase 4, named here as unresolved rather than quietly settled by which test happened to be reached for in each case.</w:t>
      </w:r>
    </w:p>
    <w:p w14:paraId="79C6D385"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63D2944F">
          <v:rect id="_x0000_i1031" style="width:0;height:1.5pt" o:hralign="center" o:hrstd="t" o:hr="t" fillcolor="#a0a0a0" stroked="f"/>
        </w:pict>
      </w:r>
    </w:p>
    <w:p w14:paraId="5BAD9A8A"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6. Temporal variance across the 270–451 window</w:t>
      </w:r>
    </w:p>
    <w:p w14:paraId="2E0E787A"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D (mentorship)</w:t>
      </w:r>
      <w:r w:rsidRPr="00B37F9E">
        <w:rPr>
          <w:rFonts w:ascii="Times New Roman" w:eastAsia="Times New Roman" w:hAnsi="Times New Roman" w:cs="Times New Roman"/>
          <w:kern w:val="0"/>
          <w14:ligatures w14:val="none"/>
        </w:rPr>
        <w:t xml:space="preserve"> shows traceable contingent variation in its institutional container, not disappearance: informal sayings-exchange in the earliest anchoritic material; semi-cenobitic training-house mentorship at Nitria as repeated raiding forced consolidation; formal housemaster structure in the Pachomian and Shenoutean federations, present from their own early founding. The underlying mechanism does not disappear at any point; it changes container for identifiable reasons — with the caveat, stated in Section 2 above, that this candidate's breadth of statement makes some of its apparent persistence a function of how generally it is phrased.</w:t>
      </w:r>
    </w:p>
    <w:p w14:paraId="7C3099B6"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F's surviving practice-layer</w:t>
      </w:r>
      <w:r w:rsidRPr="00B37F9E">
        <w:rPr>
          <w:rFonts w:ascii="Times New Roman" w:eastAsia="Times New Roman" w:hAnsi="Times New Roman" w:cs="Times New Roman"/>
          <w:kern w:val="0"/>
          <w14:ligatures w14:val="none"/>
        </w:rPr>
        <w:t xml:space="preserve"> persists without interruption through the window, independently of the theological splits identified in Section 2.</w:t>
      </w:r>
    </w:p>
    <w:p w14:paraId="6F85E090"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Candidates A, B, and E</w:t>
      </w:r>
      <w:r w:rsidRPr="00B37F9E">
        <w:rPr>
          <w:rFonts w:ascii="Times New Roman" w:eastAsia="Times New Roman" w:hAnsi="Times New Roman" w:cs="Times New Roman"/>
          <w:kern w:val="0"/>
          <w14:ligatures w14:val="none"/>
        </w:rPr>
        <w:t xml:space="preserve"> show intensity and form changes that track identifiable contingent causes rather than smooth maturation: withdrawal's anchoritic expression is directly disrupted by the 407/434/444 raids, with displacement to Palestine as the traceable consequence; Evagrius's specific demon/passion systematization is dateable to his own career and subject to suppression within decades of his death; struggle-earned authority's apparent strand-variation reflects two independently-founded starting conditions present together from early in the window.</w:t>
      </w:r>
    </w:p>
    <w:p w14:paraId="7E04E17B"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Candidate G</w:t>
      </w:r>
      <w:r w:rsidRPr="00B37F9E">
        <w:rPr>
          <w:rFonts w:ascii="Times New Roman" w:eastAsia="Times New Roman" w:hAnsi="Times New Roman" w:cs="Times New Roman"/>
          <w:kern w:val="0"/>
          <w14:ligatures w14:val="none"/>
        </w:rPr>
        <w:t xml:space="preserve"> clusters tightly around the Origenist controversy of the 390s–400s and its aftermath — not a gravity whose strength fluctuates, but a historically bounded episode.</w:t>
      </w:r>
    </w:p>
    <w:p w14:paraId="1C4B1E8D"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The teleology caution applies throughout and is restated directly: none of the above should be read as "Desert Christianity matured from charismatic withdrawal toward institutional stability." The documented drivers of change are violence, a specific theological controversy and its suppression, and the parallel, non-sequential existence of cenobitic forms from early in the period. Where the Apophthegmata's own voice evaluates loss — the Arsenius lament, properly held as Tier 2 collected-traditional material carrying the sayings tradition's characteristic uncertainty about exact attribution and wording, and the broader elegiac framing more generally — that evaluation stands as a separate, valid witness to how the tradition experienced these changes, held alongside, not folded into, the sociological account. The Tier 2 status of this material does not weaken the finding it partly supports — the anchoritic strand's documented sense of crisis remains real and traceable to specific, dated violence — it simply means the lament is genuine evidence of community memory, not a transcribed eyewitness statement.</w:t>
      </w:r>
    </w:p>
    <w:p w14:paraId="08DFCC3C"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20907F41">
          <v:rect id="_x0000_i1032" style="width:0;height:1.5pt" o:hralign="center" o:hrstd="t" o:hr="t" fillcolor="#a0a0a0" stroked="f"/>
        </w:pict>
      </w:r>
    </w:p>
    <w:p w14:paraId="0CAAD871"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lastRenderedPageBreak/>
        <w:t>7. The Brown/Rubenson and Goehring tensions, held open</w:t>
      </w:r>
    </w:p>
    <w:p w14:paraId="113E14D6"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Neither tension is resolved here, and several classifications above depend visibly on that refusal, named rather than left implicit. Candidate C's rejection depends partly on weighting Rubenson's challenge to the "unlettered holy man" image; under a </w:t>
      </w:r>
      <w:proofErr w:type="gramStart"/>
      <w:r w:rsidRPr="00B37F9E">
        <w:rPr>
          <w:rFonts w:ascii="Times New Roman" w:eastAsia="Times New Roman" w:hAnsi="Times New Roman" w:cs="Times New Roman"/>
          <w:kern w:val="0"/>
          <w14:ligatures w14:val="none"/>
        </w:rPr>
        <w:t>fuller Brown-weighted</w:t>
      </w:r>
      <w:proofErr w:type="gramEnd"/>
      <w:r w:rsidRPr="00B37F9E">
        <w:rPr>
          <w:rFonts w:ascii="Times New Roman" w:eastAsia="Times New Roman" w:hAnsi="Times New Roman" w:cs="Times New Roman"/>
          <w:kern w:val="0"/>
          <w14:ligatures w14:val="none"/>
        </w:rPr>
        <w:t xml:space="preserve"> reading, Candidate C might look marginally stronger, though it would still face Shenoute's documented literacy requirements independently. Candidate A's reduced strength outside the anchoritic strand is reinforced by Goehring's finding that even the anchoritic literary withdrawal-ideal is itself overstated relative to the documentary record of village-embedded monastic life — Scetis's own porousness, its communal economy, and its repeated attractiveness as a raiding target are all evidence that withdrawal functioned substantially as a literary and spiritual ideal rather than a description of actual physical isolation. This document has not extended that reduction into lowering Candidate A's classification within the anchoritic strand itself, on the judgment that the literary ideal's formative power is plausibly real even where the practiced reality fell short of it — a judgment call flagged here rather than treated as self-evidently correct.</w:t>
      </w:r>
    </w:p>
    <w:p w14:paraId="15B2088C"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626EB14F">
          <v:rect id="_x0000_i1033" style="width:0;height:1.5pt" o:hralign="center" o:hrstd="t" o:hr="t" fillcolor="#a0a0a0" stroked="f"/>
        </w:pict>
      </w:r>
    </w:p>
    <w:p w14:paraId="69FE9C2D"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8. Foundational World Assumptions</w:t>
      </w:r>
    </w:p>
    <w:p w14:paraId="67BA68D3"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Several convictions about reality appear assumed rather than argued across this world's evidence, making the gravities intelligible without themselves functioning as gravities subject to the same six tests:</w:t>
      </w:r>
    </w:p>
    <w:p w14:paraId="755457DE"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The body is constitutive of the self, not incidental to it, and therefore a legitimate site of spiritual work</w:t>
      </w:r>
      <w:r w:rsidRPr="00B37F9E">
        <w:rPr>
          <w:rFonts w:ascii="Times New Roman" w:eastAsia="Times New Roman" w:hAnsi="Times New Roman" w:cs="Times New Roman"/>
          <w:kern w:val="0"/>
          <w14:ligatures w14:val="none"/>
        </w:rPr>
        <w:t xml:space="preserve"> — assumed in every strand, even where strands disagree about whether the relevant body is individual or corporate.</w:t>
      </w:r>
    </w:p>
    <w:p w14:paraId="3FBBCB19"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The self is genuinely malleable through sustained practice and relationship</w:t>
      </w:r>
      <w:r w:rsidRPr="00B37F9E">
        <w:rPr>
          <w:rFonts w:ascii="Times New Roman" w:eastAsia="Times New Roman" w:hAnsi="Times New Roman" w:cs="Times New Roman"/>
          <w:kern w:val="0"/>
          <w14:ligatures w14:val="none"/>
        </w:rPr>
        <w:t>, making the mentorship gravity intelligible.</w:t>
      </w:r>
    </w:p>
    <w:p w14:paraId="226B43D8"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Time within a single life, and within a single community's life, is the primary unit of spiritual progress</w:t>
      </w:r>
      <w:r w:rsidRPr="00B37F9E">
        <w:rPr>
          <w:rFonts w:ascii="Times New Roman" w:eastAsia="Times New Roman" w:hAnsi="Times New Roman" w:cs="Times New Roman"/>
          <w:kern w:val="0"/>
          <w14:ligatures w14:val="none"/>
        </w:rPr>
        <w:t>, with progress understood as real and observable by others — even where what counts as evidence of that progress, and how authority follows from it, differs by strand.</w:t>
      </w:r>
    </w:p>
    <w:p w14:paraId="08166D12"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The demonic, the corporate-communal, and the resurrection-future are each, in their respective strand-specific framings, real and not merely metaphorical.</w:t>
      </w:r>
    </w:p>
    <w:p w14:paraId="5F62F679"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Divine accompaniment is available in the present, through ordinary disciplined practice and relationship, without requiring extraordinary mediating institutions.</w:t>
      </w:r>
    </w:p>
    <w:p w14:paraId="72965CDE"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4B951597">
          <v:rect id="_x0000_i1034" style="width:0;height:1.5pt" o:hralign="center" o:hrstd="t" o:hr="t" fillcolor="#a0a0a0" stroked="f"/>
        </w:pict>
      </w:r>
    </w:p>
    <w:p w14:paraId="0D75937B"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9. Theological unity, or its explicit absence</w:t>
      </w:r>
    </w:p>
    <w:p w14:paraId="72A79FA3"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lastRenderedPageBreak/>
        <w:t>This world does not appear to have anything functioning the way the Logos functions for Alexandria — a single theological reality that unifies the gravities into one coherent intellectual architecture. The fracture identified in Candidate F sharpens this finding rather than merely permitting it: if even "the body" cannot be theologically unified across strands, this world's coherence cannot rest on shared theological architecture at all.</w:t>
      </w:r>
    </w:p>
    <w:p w14:paraId="23A414C5"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What unity this world has works through </w:t>
      </w:r>
      <w:r w:rsidRPr="00B37F9E">
        <w:rPr>
          <w:rFonts w:ascii="Times New Roman" w:eastAsia="Times New Roman" w:hAnsi="Times New Roman" w:cs="Times New Roman"/>
          <w:b/>
          <w:bCs/>
          <w:kern w:val="0"/>
          <w14:ligatures w14:val="none"/>
        </w:rPr>
        <w:t>shared practice and relational structure rather than shared theological architecture.</w:t>
      </w:r>
      <w:r w:rsidRPr="00B37F9E">
        <w:rPr>
          <w:rFonts w:ascii="Times New Roman" w:eastAsia="Times New Roman" w:hAnsi="Times New Roman" w:cs="Times New Roman"/>
          <w:kern w:val="0"/>
          <w14:ligatures w14:val="none"/>
        </w:rPr>
        <w:t xml:space="preserve"> The two things that </w:t>
      </w:r>
      <w:proofErr w:type="gramStart"/>
      <w:r w:rsidRPr="00B37F9E">
        <w:rPr>
          <w:rFonts w:ascii="Times New Roman" w:eastAsia="Times New Roman" w:hAnsi="Times New Roman" w:cs="Times New Roman"/>
          <w:kern w:val="0"/>
          <w14:ligatures w14:val="none"/>
        </w:rPr>
        <w:t>actually pass</w:t>
      </w:r>
      <w:proofErr w:type="gramEnd"/>
      <w:r w:rsidRPr="00B37F9E">
        <w:rPr>
          <w:rFonts w:ascii="Times New Roman" w:eastAsia="Times New Roman" w:hAnsi="Times New Roman" w:cs="Times New Roman"/>
          <w:kern w:val="0"/>
          <w14:ligatures w14:val="none"/>
        </w:rPr>
        <w:t xml:space="preserve"> the cross-strand test — mentored formation and ascetic bodily practice — are not themselves theological claims; they are practiced structures that different strands theologize differently, sometimes incompatibly, without those different theologizations needing to cohere into one doctrine for the practices themselves to count as genuinely shared.</w:t>
      </w:r>
    </w:p>
    <w:p w14:paraId="68BD9A69"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This is recorded as a finding, not a deficiency, but a real one: Desert Christianity's coherence, where it exists, is a coherence of form and practice held in common across genuinely different and not reconciled theological accounts of why that form and practice matter.</w:t>
      </w:r>
    </w:p>
    <w:p w14:paraId="4CD9ADF9"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316A1F4B">
          <v:rect id="_x0000_i1035" style="width:0;height:1.5pt" o:hralign="center" o:hrstd="t" o:hr="t" fillcolor="#a0a0a0" stroked="f"/>
        </w:pict>
      </w:r>
    </w:p>
    <w:p w14:paraId="55F3FEA6"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t>10. Final Assessment: The One-World Decision</w:t>
      </w:r>
    </w:p>
    <w:p w14:paraId="0C7D144E"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Desert Christianity is one formation world.</w:t>
      </w:r>
    </w:p>
    <w:p w14:paraId="35809A53"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This is stated as a decision, not as a provisional placeholder awaiting further evidence. It rests on the strength of two independently confirmed, cross-strand gravities — mentored relational formation, and ascetic bodily practice — each of which passed all six tests with Strong Attestation across all four strands examined: anchoritic, semi-anchoritic, Pachomian, and Shenoutean. Two gravities, independently confirmed and strongly attested across every strand tested, constitute a genuine shared </w:t>
      </w:r>
      <w:proofErr w:type="gramStart"/>
      <w:r w:rsidRPr="00B37F9E">
        <w:rPr>
          <w:rFonts w:ascii="Times New Roman" w:eastAsia="Times New Roman" w:hAnsi="Times New Roman" w:cs="Times New Roman"/>
          <w:kern w:val="0"/>
          <w14:ligatures w14:val="none"/>
        </w:rPr>
        <w:t>formation</w:t>
      </w:r>
      <w:proofErr w:type="gramEnd"/>
      <w:r w:rsidRPr="00B37F9E">
        <w:rPr>
          <w:rFonts w:ascii="Times New Roman" w:eastAsia="Times New Roman" w:hAnsi="Times New Roman" w:cs="Times New Roman"/>
          <w:kern w:val="0"/>
          <w14:ligatures w14:val="none"/>
        </w:rPr>
        <w:t xml:space="preserve"> grammar.</w:t>
      </w:r>
    </w:p>
    <w:p w14:paraId="21AD3F84"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This is the bar the Construction Framework </w:t>
      </w:r>
      <w:proofErr w:type="gramStart"/>
      <w:r w:rsidRPr="00B37F9E">
        <w:rPr>
          <w:rFonts w:ascii="Times New Roman" w:eastAsia="Times New Roman" w:hAnsi="Times New Roman" w:cs="Times New Roman"/>
          <w:kern w:val="0"/>
          <w14:ligatures w14:val="none"/>
        </w:rPr>
        <w:t>actually sets</w:t>
      </w:r>
      <w:proofErr w:type="gramEnd"/>
      <w:r w:rsidRPr="00B37F9E">
        <w:rPr>
          <w:rFonts w:ascii="Times New Roman" w:eastAsia="Times New Roman" w:hAnsi="Times New Roman" w:cs="Times New Roman"/>
          <w:kern w:val="0"/>
          <w14:ligatures w14:val="none"/>
        </w:rPr>
        <w:t xml:space="preserve"> for one world. It is not the richer bar — multiple converging gravities, a unifying theological architecture, a single authority logic — that this build's own working assumptions, formed before this Gravity Discovery work was </w:t>
      </w:r>
      <w:proofErr w:type="gramStart"/>
      <w:r w:rsidRPr="00B37F9E">
        <w:rPr>
          <w:rFonts w:ascii="Times New Roman" w:eastAsia="Times New Roman" w:hAnsi="Times New Roman" w:cs="Times New Roman"/>
          <w:kern w:val="0"/>
          <w14:ligatures w14:val="none"/>
        </w:rPr>
        <w:t>actually run</w:t>
      </w:r>
      <w:proofErr w:type="gramEnd"/>
      <w:r w:rsidRPr="00B37F9E">
        <w:rPr>
          <w:rFonts w:ascii="Times New Roman" w:eastAsia="Times New Roman" w:hAnsi="Times New Roman" w:cs="Times New Roman"/>
          <w:kern w:val="0"/>
          <w14:ligatures w14:val="none"/>
        </w:rPr>
        <w:t>, implied along the way. Seven candidates were generated and tested; two were confirmed. That ratio is not a near-miss or a weak result calling for further hedging. It is what rigorous testing produced, and it is sufficient. The narrowness of this result should be treated as the answer, not as something still pending resolution.</w:t>
      </w:r>
    </w:p>
    <w:p w14:paraId="0E6A6ADF"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Withdrawal, demon-combat as a specific mechanism, struggle-earned authority standing apart from office, and a unified theological account of the body's significance are all real and strongly attested, but substantially as anchoritic-strand phenomena, confirmed not to travel cleanly to the Shenoutean strand by the same rigorous testing applied throughout this document. The body candidate in particular fractures the same way the demon-combat candidate did, for a related but distinct reason: not four authors elaborating one shared concern, but at least two strands locating the basic unit of spiritual consequence differently — the individual ascetic, or the corporate </w:t>
      </w:r>
      <w:r w:rsidRPr="00B37F9E">
        <w:rPr>
          <w:rFonts w:ascii="Times New Roman" w:eastAsia="Times New Roman" w:hAnsi="Times New Roman" w:cs="Times New Roman"/>
          <w:kern w:val="0"/>
          <w14:ligatures w14:val="none"/>
        </w:rPr>
        <w:lastRenderedPageBreak/>
        <w:t>community — which is a difference in formation economy, not merely in theological vocabulary describing one economy.</w:t>
      </w:r>
    </w:p>
    <w:p w14:paraId="23929E2B" w14:textId="77777777" w:rsidR="00B37F9E" w:rsidRPr="00B37F9E" w:rsidRDefault="00B37F9E" w:rsidP="00B37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7F9E">
        <w:rPr>
          <w:rFonts w:ascii="Times New Roman" w:eastAsia="Times New Roman" w:hAnsi="Times New Roman" w:cs="Times New Roman"/>
          <w:b/>
          <w:bCs/>
          <w:kern w:val="0"/>
          <w14:ligatures w14:val="none"/>
        </w:rPr>
        <w:t>The Pachomian strand: a correction to how this document characterizes it</w:t>
      </w:r>
    </w:p>
    <w:p w14:paraId="4ACA9117"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This document's working drafts described Pachomius's strand as occupying an "intermediate" or "modified position between the anchoritic and Shenoutean poles." That characterization is corrected here, as part of this document's own final assessment rather than as an external addition to it.</w:t>
      </w:r>
    </w:p>
    <w:p w14:paraId="582D0568"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The accurate statement is: Pachomius's strand is distinct, on its own terms, in a way this document has not yet fully resolved.</w:t>
      </w:r>
      <w:r w:rsidRPr="00B37F9E">
        <w:rPr>
          <w:rFonts w:ascii="Times New Roman" w:eastAsia="Times New Roman" w:hAnsi="Times New Roman" w:cs="Times New Roman"/>
          <w:kern w:val="0"/>
          <w14:ligatures w14:val="none"/>
        </w:rPr>
        <w:t xml:space="preserve"> It is not a confirmed third anthropology alongside Evagrius's individually-centered ascent psychology and Shenoute's corporate-purity model — that claim would require independent evidentiary testing this corpus's current evidence base does not yet support, given a genuine competition between a communion-ecclesiology reading of Pachomian </w:t>
      </w:r>
      <w:r w:rsidRPr="00B37F9E">
        <w:rPr>
          <w:rFonts w:ascii="Times New Roman" w:eastAsia="Times New Roman" w:hAnsi="Times New Roman" w:cs="Times New Roman"/>
          <w:i/>
          <w:iCs/>
          <w:kern w:val="0"/>
          <w14:ligatures w14:val="none"/>
        </w:rPr>
        <w:t>koinonia</w:t>
      </w:r>
      <w:r w:rsidRPr="00B37F9E">
        <w:rPr>
          <w:rFonts w:ascii="Times New Roman" w:eastAsia="Times New Roman" w:hAnsi="Times New Roman" w:cs="Times New Roman"/>
          <w:kern w:val="0"/>
          <w14:ligatures w14:val="none"/>
        </w:rPr>
        <w:t xml:space="preserve"> (fellowship itself as constitutive of formation) and a sociohistorical-organizational reading (koinonia's structure drawn from available Roman military, familial, and economic models, with the Pachomian distinctive being organizational rather than anthropological), and given the live possibility that Shenoute's corporate-purity theology is itself a development out of, rather than a parallel to, the Pachomian koinonia structure he inherited through Pcol — a genealogical relationship rather than two independent positions. It is equally not a blend or midpoint of the anchoritic and Shenoutean poles — that framing assumes the Pachomian strand's character is derivative of the other two, when the actual evidentiary status is that this document has not determined what the Pachomian strand's character independently is.</w:t>
      </w:r>
    </w:p>
    <w:p w14:paraId="52354FC1"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F9E">
        <w:rPr>
          <w:rFonts w:ascii="Times New Roman" w:eastAsia="Times New Roman" w:hAnsi="Times New Roman" w:cs="Times New Roman"/>
          <w:kern w:val="0"/>
          <w14:ligatures w14:val="none"/>
        </w:rPr>
        <w:t>Both of the withdrawn</w:t>
      </w:r>
      <w:proofErr w:type="gramEnd"/>
      <w:r w:rsidRPr="00B37F9E">
        <w:rPr>
          <w:rFonts w:ascii="Times New Roman" w:eastAsia="Times New Roman" w:hAnsi="Times New Roman" w:cs="Times New Roman"/>
          <w:kern w:val="0"/>
          <w14:ligatures w14:val="none"/>
        </w:rPr>
        <w:t xml:space="preserve"> framings were wrong for the same underlying reason: each resolved an open question by assimilation — to a third confirmed category, or to a midpoint between two existing ones — when the honest evidentiary state is that the question remains open. This document does not describe the Pachomian strand through either framing any longer. The Pachomian strand is distinct on its own terms, and what that distinctness consists of is unresolved, flagged explicitly for Phase 5 to investigate before any Pachomian-strand construction proceeds. Two further open items belong specifically to that future investigation: whether "philosophical anthropology" is even the correct analytic register for Pachomius at all — a specialist reading, particularly Rousseau's, would emphasize rules, letters, and communal governance over systematic theology, situating Pachomius closer to an </w:t>
      </w:r>
      <w:r w:rsidRPr="00B37F9E">
        <w:rPr>
          <w:rFonts w:ascii="Times New Roman" w:eastAsia="Times New Roman" w:hAnsi="Times New Roman" w:cs="Times New Roman"/>
          <w:i/>
          <w:iCs/>
          <w:kern w:val="0"/>
          <w14:ligatures w14:val="none"/>
        </w:rPr>
        <w:t>ethos</w:t>
      </w:r>
      <w:r w:rsidRPr="00B37F9E">
        <w:rPr>
          <w:rFonts w:ascii="Times New Roman" w:eastAsia="Times New Roman" w:hAnsi="Times New Roman" w:cs="Times New Roman"/>
          <w:kern w:val="0"/>
          <w14:ligatures w14:val="none"/>
        </w:rPr>
        <w:t xml:space="preserve"> or </w:t>
      </w:r>
      <w:r w:rsidRPr="00B37F9E">
        <w:rPr>
          <w:rFonts w:ascii="Times New Roman" w:eastAsia="Times New Roman" w:hAnsi="Times New Roman" w:cs="Times New Roman"/>
          <w:i/>
          <w:iCs/>
          <w:kern w:val="0"/>
          <w14:ligatures w14:val="none"/>
        </w:rPr>
        <w:t>form of life</w:t>
      </w:r>
      <w:r w:rsidRPr="00B37F9E">
        <w:rPr>
          <w:rFonts w:ascii="Times New Roman" w:eastAsia="Times New Roman" w:hAnsi="Times New Roman" w:cs="Times New Roman"/>
          <w:kern w:val="0"/>
          <w14:ligatures w14:val="none"/>
        </w:rPr>
        <w:t xml:space="preserve"> than to Evagrius's genuinely systematic psychology; and the Pachomian corpus's real eschatological and angelological content — visions, the tradition of an angelically-delivered Rule, koinonia understood as a foretaste of heavenly communion — which no characterization in this document yet captures.</w:t>
      </w:r>
    </w:p>
    <w:p w14:paraId="62418B4F"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This correction touches only the </w:t>
      </w:r>
      <w:r w:rsidRPr="00B37F9E">
        <w:rPr>
          <w:rFonts w:ascii="Times New Roman" w:eastAsia="Times New Roman" w:hAnsi="Times New Roman" w:cs="Times New Roman"/>
          <w:i/>
          <w:iCs/>
          <w:kern w:val="0"/>
          <w14:ligatures w14:val="none"/>
        </w:rPr>
        <w:t>interpretive label</w:t>
      </w:r>
      <w:r w:rsidRPr="00B37F9E">
        <w:rPr>
          <w:rFonts w:ascii="Times New Roman" w:eastAsia="Times New Roman" w:hAnsi="Times New Roman" w:cs="Times New Roman"/>
          <w:kern w:val="0"/>
          <w14:ligatures w14:val="none"/>
        </w:rPr>
        <w:t xml:space="preserve"> applied to the Pachomian strand's overall character. It does not touch the individual six-test scores recorded for Pachomius under Candidates A, B, D, E, and F above, which stand as documented.</w:t>
      </w:r>
    </w:p>
    <w:p w14:paraId="078A3AA2" w14:textId="77777777" w:rsidR="00B37F9E" w:rsidRPr="00B37F9E" w:rsidRDefault="00B37F9E" w:rsidP="00B37F9E">
      <w:pPr>
        <w:spacing w:after="0"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pict w14:anchorId="4F3F4721">
          <v:rect id="_x0000_i1036" style="width:0;height:1.5pt" o:hralign="center" o:hrstd="t" o:hr="t" fillcolor="#a0a0a0" stroked="f"/>
        </w:pict>
      </w:r>
    </w:p>
    <w:p w14:paraId="5CF7FFAA" w14:textId="77777777" w:rsidR="00B37F9E" w:rsidRPr="00B37F9E" w:rsidRDefault="00B37F9E" w:rsidP="00B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F9E">
        <w:rPr>
          <w:rFonts w:ascii="Times New Roman" w:eastAsia="Times New Roman" w:hAnsi="Times New Roman" w:cs="Times New Roman"/>
          <w:b/>
          <w:bCs/>
          <w:kern w:val="0"/>
          <w:sz w:val="27"/>
          <w:szCs w:val="27"/>
          <w14:ligatures w14:val="none"/>
        </w:rPr>
        <w:lastRenderedPageBreak/>
        <w:t>11. Representative Architecture: A First-Pass Proposal, Not Yet Scrutinized</w:t>
      </w:r>
    </w:p>
    <w:p w14:paraId="3117FA0B"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 xml:space="preserve">Everything in this section is a different kind of claim from Sections 1 through 10 </w:t>
      </w:r>
      <w:proofErr w:type="gramStart"/>
      <w:r w:rsidRPr="00B37F9E">
        <w:rPr>
          <w:rFonts w:ascii="Times New Roman" w:eastAsia="Times New Roman" w:hAnsi="Times New Roman" w:cs="Times New Roman"/>
          <w:b/>
          <w:bCs/>
          <w:kern w:val="0"/>
          <w14:ligatures w14:val="none"/>
        </w:rPr>
        <w:t>above, and</w:t>
      </w:r>
      <w:proofErr w:type="gramEnd"/>
      <w:r w:rsidRPr="00B37F9E">
        <w:rPr>
          <w:rFonts w:ascii="Times New Roman" w:eastAsia="Times New Roman" w:hAnsi="Times New Roman" w:cs="Times New Roman"/>
          <w:b/>
          <w:bCs/>
          <w:kern w:val="0"/>
          <w14:ligatures w14:val="none"/>
        </w:rPr>
        <w:t xml:space="preserve"> should not borrow their credibility by sitting in the same document.</w:t>
      </w:r>
      <w:r w:rsidRPr="00B37F9E">
        <w:rPr>
          <w:rFonts w:ascii="Times New Roman" w:eastAsia="Times New Roman" w:hAnsi="Times New Roman" w:cs="Times New Roman"/>
          <w:kern w:val="0"/>
          <w14:ligatures w14:val="none"/>
        </w:rPr>
        <w:t xml:space="preserve"> Sections 1 through 10 rest on the full six-test evidentiary process this document has documented in detail. What follows is a first-time architectural proposal, offered as a starting point for Phase 5 construction to test, contest, and likely revise — not a settled conclusion this document </w:t>
      </w:r>
      <w:proofErr w:type="gramStart"/>
      <w:r w:rsidRPr="00B37F9E">
        <w:rPr>
          <w:rFonts w:ascii="Times New Roman" w:eastAsia="Times New Roman" w:hAnsi="Times New Roman" w:cs="Times New Roman"/>
          <w:kern w:val="0"/>
          <w14:ligatures w14:val="none"/>
        </w:rPr>
        <w:t>is in a position to</w:t>
      </w:r>
      <w:proofErr w:type="gramEnd"/>
      <w:r w:rsidRPr="00B37F9E">
        <w:rPr>
          <w:rFonts w:ascii="Times New Roman" w:eastAsia="Times New Roman" w:hAnsi="Times New Roman" w:cs="Times New Roman"/>
          <w:kern w:val="0"/>
          <w14:ligatures w14:val="none"/>
        </w:rPr>
        <w:t xml:space="preserve"> certify. The one-world finding above does not entail any </w:t>
      </w:r>
      <w:proofErr w:type="gramStart"/>
      <w:r w:rsidRPr="00B37F9E">
        <w:rPr>
          <w:rFonts w:ascii="Times New Roman" w:eastAsia="Times New Roman" w:hAnsi="Times New Roman" w:cs="Times New Roman"/>
          <w:kern w:val="0"/>
          <w14:ligatures w14:val="none"/>
        </w:rPr>
        <w:t>particular Representative</w:t>
      </w:r>
      <w:proofErr w:type="gramEnd"/>
      <w:r w:rsidRPr="00B37F9E">
        <w:rPr>
          <w:rFonts w:ascii="Times New Roman" w:eastAsia="Times New Roman" w:hAnsi="Times New Roman" w:cs="Times New Roman"/>
          <w:kern w:val="0"/>
          <w14:ligatures w14:val="none"/>
        </w:rPr>
        <w:t xml:space="preserve"> architecture; this section's reasoning needs to earn its own confidence separately, through its own review cycle, before it should be treated as </w:t>
      </w:r>
      <w:proofErr w:type="gramStart"/>
      <w:r w:rsidRPr="00B37F9E">
        <w:rPr>
          <w:rFonts w:ascii="Times New Roman" w:eastAsia="Times New Roman" w:hAnsi="Times New Roman" w:cs="Times New Roman"/>
          <w:kern w:val="0"/>
          <w14:ligatures w14:val="none"/>
        </w:rPr>
        <w:t>load-bearing</w:t>
      </w:r>
      <w:proofErr w:type="gramEnd"/>
      <w:r w:rsidRPr="00B37F9E">
        <w:rPr>
          <w:rFonts w:ascii="Times New Roman" w:eastAsia="Times New Roman" w:hAnsi="Times New Roman" w:cs="Times New Roman"/>
          <w:kern w:val="0"/>
          <w14:ligatures w14:val="none"/>
        </w:rPr>
        <w:t>.</w:t>
      </w:r>
    </w:p>
    <w:p w14:paraId="7FE0574D"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 xml:space="preserve">This world's coherence does not require, and will not produce, one composite Representative voice attempting to speak for all four strands at once. A single Representative who tried to fluidly inhabit all four strands with equal authenticity would misrepresent the fracture this document has spent ten sections establishing. That fracture is not cosmetic. It consists of different authority logics, different accounts of what the body even is in the formation </w:t>
      </w:r>
      <w:proofErr w:type="gramStart"/>
      <w:r w:rsidRPr="00B37F9E">
        <w:rPr>
          <w:rFonts w:ascii="Times New Roman" w:eastAsia="Times New Roman" w:hAnsi="Times New Roman" w:cs="Times New Roman"/>
          <w:kern w:val="0"/>
          <w14:ligatures w14:val="none"/>
        </w:rPr>
        <w:t>economy, and</w:t>
      </w:r>
      <w:proofErr w:type="gramEnd"/>
      <w:r w:rsidRPr="00B37F9E">
        <w:rPr>
          <w:rFonts w:ascii="Times New Roman" w:eastAsia="Times New Roman" w:hAnsi="Times New Roman" w:cs="Times New Roman"/>
          <w:kern w:val="0"/>
          <w14:ligatures w14:val="none"/>
        </w:rPr>
        <w:t xml:space="preserve"> documented mutual unintelligibility between strands — the Apophthegmata's total silence on Shenoute and his federation is evidence of that unintelligibility, not an oversight in an otherwise comprehensive source base. A Representative claiming convincing fluency across all four strands at once would be a synthetic, project-convenient fiction with no analogue anywhere in this world's actual evidence: no figure in the source base this corpus assembled moved fluidly between these formation logics while remaining authentically formed in all of them simultaneously.</w:t>
      </w:r>
    </w:p>
    <w:p w14:paraId="5C8226F9"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t>But building several separate Representatives, each sealed within their own strand, has its own cost: it would abandon the unity the one-world decision affirms, producing in effect four small worlds wearing one name.</w:t>
      </w:r>
    </w:p>
    <w:p w14:paraId="081DFDFF"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A proposed resolution, offered as a first pass rather than a settled answer: one Representative, genuinely formed in a single specific strand.</w:t>
      </w:r>
      <w:r w:rsidRPr="00B37F9E">
        <w:rPr>
          <w:rFonts w:ascii="Times New Roman" w:eastAsia="Times New Roman" w:hAnsi="Times New Roman" w:cs="Times New Roman"/>
          <w:kern w:val="0"/>
          <w14:ligatures w14:val="none"/>
        </w:rPr>
        <w:t xml:space="preserve"> The anchoritic/semi-anchoritic strand is proposed as the anchor — on evidentiary grounds specifically, and on those grounds alone. This is the strand with the richest, most directly documented evidence across this entire build, and, more precisely, it is the strand where this document's own six-test results independently confirmed the most candidates as Primary. Shenoute's strand carried several candidates that failed the cross-strand test outright and is additionally complicated by the unresolved corporate-purity/incarnational-theology split documented in Section 2 above. Pachomius's strand, per the correction in Section 10, is explicitly unresolved at the level of overall character. The anchoritic/semi-anchoritic strand is, right now, simply the strand this corpus can construct with the most actual confidence — not the strand most associated with "the desert father" in popular imagination, which is not and should not be treated as a justification: this document's central finding is precisely that the popular, vivid image of withdrawal and demon-combat does not represent this world as a whole, and naming that risk while still leaning on popular familiarity as a reason would not neutralize the risk — it would simply describe it while doing it anyway. Popular familiarity is set aside here explicitly, not invoked.</w:t>
      </w:r>
    </w:p>
    <w:p w14:paraId="01A5C375"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lastRenderedPageBreak/>
        <w:t>This choice carries a known distortion risk that must be named as an active design constraint, not a disclaimer.</w:t>
      </w:r>
      <w:r w:rsidRPr="00B37F9E">
        <w:rPr>
          <w:rFonts w:ascii="Times New Roman" w:eastAsia="Times New Roman" w:hAnsi="Times New Roman" w:cs="Times New Roman"/>
          <w:kern w:val="0"/>
          <w14:ligatures w14:val="none"/>
        </w:rPr>
        <w:t xml:space="preserve"> Anchoring the Representative in the anchoritic strand risks re-privileging, at the level of lived encounter and felt authenticity, the exact popular image this document found does not represent the whole world — even where the underlying construction reasoning is evidentiary rather than popularity-driven, the experience of meeting this Representative will likely still read, to most users, as "meeting a desert father" in the familiar sense, reintroducing through the back door of lived encounter a centering this document's own gravity work explicitly does not support. This is not adequately addressed by giving the Representative honest, respectful lines acknowledging the other three strands exist. Such acknowledgment is necessary but not sufficient: a Representative who speaks warmly and humbly about Pachomian and Shenoutean life while still being the </w:t>
      </w:r>
      <w:proofErr w:type="gramStart"/>
      <w:r w:rsidRPr="00B37F9E">
        <w:rPr>
          <w:rFonts w:ascii="Times New Roman" w:eastAsia="Times New Roman" w:hAnsi="Times New Roman" w:cs="Times New Roman"/>
          <w:kern w:val="0"/>
          <w14:ligatures w14:val="none"/>
        </w:rPr>
        <w:t>only lived</w:t>
      </w:r>
      <w:proofErr w:type="gramEnd"/>
      <w:r w:rsidRPr="00B37F9E">
        <w:rPr>
          <w:rFonts w:ascii="Times New Roman" w:eastAsia="Times New Roman" w:hAnsi="Times New Roman" w:cs="Times New Roman"/>
          <w:kern w:val="0"/>
          <w14:ligatures w14:val="none"/>
        </w:rPr>
        <w:t xml:space="preserve"> voice of this world will still, structurally, center the anchoritic strand by default, regardless of how careful his individual lines are. Whoever undertakes the actual Representative construction work in Phase 5 needs a standing instruction to actively counteract anchoritic-centering as an ongoing design discipline — through means not yet specified here (possibly explicit framing materials presented alongside the Representative stating the strand-anchoring choice and its rationale; structural cues within the Representative's own speech that repeatedly and substantively redirect attention to the other strands' independent weight; or other mechanisms Phase 5 will need to design and test) — not merely to gesture past the risk with a few well-placed acknowledgments.</w:t>
      </w:r>
    </w:p>
    <w:p w14:paraId="4F480C3C"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How the Representative should handle the other three strands</w:t>
      </w:r>
      <w:r w:rsidRPr="00B37F9E">
        <w:rPr>
          <w:rFonts w:ascii="Times New Roman" w:eastAsia="Times New Roman" w:hAnsi="Times New Roman" w:cs="Times New Roman"/>
          <w:kern w:val="0"/>
          <w14:ligatures w14:val="none"/>
        </w:rPr>
        <w:t xml:space="preserve">, if this proposal is adopted: modeled on this project's existing Alexandria-world Representative, Theon, whose voice includes honest references to traditions and figures he respects, situates himself in relation to, and does not claim to inhabit or speak for. A Desert Christianity Representative formed in the anchoritic strand would, on this model, be able to name Pachomian communal life and Shenoute's federation with honest, respectful, explicitly limited acknowledgment — neither false fluency nor silence. Because the Pachomian strand's own character is unresolved per Section 10, the Representative's acknowledgment of it would need to carry calibrated uncertainty rather than confident description, naming what is visible from outside without claiming settled insight into what that strand's deeper formation logic </w:t>
      </w:r>
      <w:proofErr w:type="gramStart"/>
      <w:r w:rsidRPr="00B37F9E">
        <w:rPr>
          <w:rFonts w:ascii="Times New Roman" w:eastAsia="Times New Roman" w:hAnsi="Times New Roman" w:cs="Times New Roman"/>
          <w:kern w:val="0"/>
          <w14:ligatures w14:val="none"/>
        </w:rPr>
        <w:t>actually is</w:t>
      </w:r>
      <w:proofErr w:type="gramEnd"/>
      <w:r w:rsidRPr="00B37F9E">
        <w:rPr>
          <w:rFonts w:ascii="Times New Roman" w:eastAsia="Times New Roman" w:hAnsi="Times New Roman" w:cs="Times New Roman"/>
          <w:kern w:val="0"/>
          <w14:ligatures w14:val="none"/>
        </w:rPr>
        <w:t>.</w:t>
      </w:r>
    </w:p>
    <w:p w14:paraId="1A0A4480"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b/>
          <w:bCs/>
          <w:kern w:val="0"/>
          <w14:ligatures w14:val="none"/>
        </w:rPr>
        <w:t xml:space="preserve">The analogy to Theon </w:t>
      </w:r>
      <w:proofErr w:type="gramStart"/>
      <w:r w:rsidRPr="00B37F9E">
        <w:rPr>
          <w:rFonts w:ascii="Times New Roman" w:eastAsia="Times New Roman" w:hAnsi="Times New Roman" w:cs="Times New Roman"/>
          <w:b/>
          <w:bCs/>
          <w:kern w:val="0"/>
          <w14:ligatures w14:val="none"/>
        </w:rPr>
        <w:t>is itself</w:t>
      </w:r>
      <w:proofErr w:type="gramEnd"/>
      <w:r w:rsidRPr="00B37F9E">
        <w:rPr>
          <w:rFonts w:ascii="Times New Roman" w:eastAsia="Times New Roman" w:hAnsi="Times New Roman" w:cs="Times New Roman"/>
          <w:b/>
          <w:bCs/>
          <w:kern w:val="0"/>
          <w14:ligatures w14:val="none"/>
        </w:rPr>
        <w:t xml:space="preserve"> a starting point to be tested, not settled precedent.</w:t>
      </w:r>
      <w:r w:rsidRPr="00B37F9E">
        <w:rPr>
          <w:rFonts w:ascii="Times New Roman" w:eastAsia="Times New Roman" w:hAnsi="Times New Roman" w:cs="Times New Roman"/>
          <w:kern w:val="0"/>
          <w14:ligatures w14:val="none"/>
        </w:rPr>
        <w:t xml:space="preserve"> Theon speaks from inside a genuinely unified world: Alexandria's own gravity work found a single theological architecture — the Logos — </w:t>
      </w:r>
      <w:proofErr w:type="gramStart"/>
      <w:r w:rsidRPr="00B37F9E">
        <w:rPr>
          <w:rFonts w:ascii="Times New Roman" w:eastAsia="Times New Roman" w:hAnsi="Times New Roman" w:cs="Times New Roman"/>
          <w:kern w:val="0"/>
          <w14:ligatures w14:val="none"/>
        </w:rPr>
        <w:t>actually unifying</w:t>
      </w:r>
      <w:proofErr w:type="gramEnd"/>
      <w:r w:rsidRPr="00B37F9E">
        <w:rPr>
          <w:rFonts w:ascii="Times New Roman" w:eastAsia="Times New Roman" w:hAnsi="Times New Roman" w:cs="Times New Roman"/>
          <w:kern w:val="0"/>
          <w14:ligatures w14:val="none"/>
        </w:rPr>
        <w:t xml:space="preserve"> that world's gravities, giving Theon's center-and-periphery posture a real structural foundation to stand on. This document's own Section 9 found no equivalent unifying architecture for Desert Christianity — only two thin, practice-level gravities, with no shared theological center comparable to the Logos. A center-and-periphery model built for a world that has an actual center may not transfer cleanly to a world this document found does not have one. This disanalogy is real and is not resolved here. Phase 5's Representative construction work should test the Theon model directly against this difference, asking specifically whether a posture built for a world with a unifying theological architecture can be adapted to a world unified only by shared practice and relational form, or whether Desert Christianity's thinner unity calls for a structurally different Representative posture altogether. This document does not assume the answer is yes.</w:t>
      </w:r>
    </w:p>
    <w:p w14:paraId="16F29441" w14:textId="77777777" w:rsidR="00B37F9E" w:rsidRPr="00B37F9E" w:rsidRDefault="00B37F9E" w:rsidP="00B37F9E">
      <w:pPr>
        <w:spacing w:before="100" w:beforeAutospacing="1" w:after="100" w:afterAutospacing="1" w:line="240" w:lineRule="auto"/>
        <w:rPr>
          <w:rFonts w:ascii="Times New Roman" w:eastAsia="Times New Roman" w:hAnsi="Times New Roman" w:cs="Times New Roman"/>
          <w:kern w:val="0"/>
          <w14:ligatures w14:val="none"/>
        </w:rPr>
      </w:pPr>
      <w:r w:rsidRPr="00B37F9E">
        <w:rPr>
          <w:rFonts w:ascii="Times New Roman" w:eastAsia="Times New Roman" w:hAnsi="Times New Roman" w:cs="Times New Roman"/>
          <w:kern w:val="0"/>
          <w14:ligatures w14:val="none"/>
        </w:rPr>
        <w:lastRenderedPageBreak/>
        <w:t>This section's proposal — one Representative, anchored in the anchoritic strand, with an active design discipline against centering and a tested rather than assumed Theon analogy — has not been subjected to the kind of adversarial review the findings in Sections 1 through 10 received across this document's own multiple drafting passes. It should be carried into Phase 5 labeled accordingly: a starting hypothesis, not a conclusion this document has independently earned the standing to certify.</w:t>
      </w:r>
    </w:p>
    <w:p w14:paraId="6035A572"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45DF6"/>
    <w:multiLevelType w:val="multilevel"/>
    <w:tmpl w:val="C7A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F6C06"/>
    <w:multiLevelType w:val="multilevel"/>
    <w:tmpl w:val="D95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26BE3"/>
    <w:multiLevelType w:val="multilevel"/>
    <w:tmpl w:val="6F3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C59A9"/>
    <w:multiLevelType w:val="multilevel"/>
    <w:tmpl w:val="C3D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12FBA"/>
    <w:multiLevelType w:val="multilevel"/>
    <w:tmpl w:val="561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D69FD"/>
    <w:multiLevelType w:val="multilevel"/>
    <w:tmpl w:val="BF36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64FF9"/>
    <w:multiLevelType w:val="multilevel"/>
    <w:tmpl w:val="7818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143F8"/>
    <w:multiLevelType w:val="multilevel"/>
    <w:tmpl w:val="818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612328">
    <w:abstractNumId w:val="2"/>
  </w:num>
  <w:num w:numId="2" w16cid:durableId="1111780978">
    <w:abstractNumId w:val="1"/>
  </w:num>
  <w:num w:numId="3" w16cid:durableId="286475894">
    <w:abstractNumId w:val="5"/>
  </w:num>
  <w:num w:numId="4" w16cid:durableId="1442843709">
    <w:abstractNumId w:val="6"/>
  </w:num>
  <w:num w:numId="5" w16cid:durableId="126166122">
    <w:abstractNumId w:val="3"/>
  </w:num>
  <w:num w:numId="6" w16cid:durableId="1640256874">
    <w:abstractNumId w:val="4"/>
  </w:num>
  <w:num w:numId="7" w16cid:durableId="1392659921">
    <w:abstractNumId w:val="0"/>
  </w:num>
  <w:num w:numId="8" w16cid:durableId="14655383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9E"/>
    <w:rsid w:val="007F75C4"/>
    <w:rsid w:val="00970789"/>
    <w:rsid w:val="00B37F9E"/>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E4E8"/>
  <w15:chartTrackingRefBased/>
  <w15:docId w15:val="{C561D0AB-A66C-4995-AA73-D7CFC309D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F9E"/>
    <w:rPr>
      <w:rFonts w:eastAsiaTheme="majorEastAsia" w:cstheme="majorBidi"/>
      <w:color w:val="272727" w:themeColor="text1" w:themeTint="D8"/>
    </w:rPr>
  </w:style>
  <w:style w:type="paragraph" w:styleId="Title">
    <w:name w:val="Title"/>
    <w:basedOn w:val="Normal"/>
    <w:next w:val="Normal"/>
    <w:link w:val="TitleChar"/>
    <w:uiPriority w:val="10"/>
    <w:qFormat/>
    <w:rsid w:val="00B37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F9E"/>
    <w:pPr>
      <w:spacing w:before="160"/>
      <w:jc w:val="center"/>
    </w:pPr>
    <w:rPr>
      <w:i/>
      <w:iCs/>
      <w:color w:val="404040" w:themeColor="text1" w:themeTint="BF"/>
    </w:rPr>
  </w:style>
  <w:style w:type="character" w:customStyle="1" w:styleId="QuoteChar">
    <w:name w:val="Quote Char"/>
    <w:basedOn w:val="DefaultParagraphFont"/>
    <w:link w:val="Quote"/>
    <w:uiPriority w:val="29"/>
    <w:rsid w:val="00B37F9E"/>
    <w:rPr>
      <w:i/>
      <w:iCs/>
      <w:color w:val="404040" w:themeColor="text1" w:themeTint="BF"/>
    </w:rPr>
  </w:style>
  <w:style w:type="paragraph" w:styleId="ListParagraph">
    <w:name w:val="List Paragraph"/>
    <w:basedOn w:val="Normal"/>
    <w:uiPriority w:val="34"/>
    <w:qFormat/>
    <w:rsid w:val="00B37F9E"/>
    <w:pPr>
      <w:ind w:left="720"/>
      <w:contextualSpacing/>
    </w:pPr>
  </w:style>
  <w:style w:type="character" w:styleId="IntenseEmphasis">
    <w:name w:val="Intense Emphasis"/>
    <w:basedOn w:val="DefaultParagraphFont"/>
    <w:uiPriority w:val="21"/>
    <w:qFormat/>
    <w:rsid w:val="00B37F9E"/>
    <w:rPr>
      <w:i/>
      <w:iCs/>
      <w:color w:val="0F4761" w:themeColor="accent1" w:themeShade="BF"/>
    </w:rPr>
  </w:style>
  <w:style w:type="paragraph" w:styleId="IntenseQuote">
    <w:name w:val="Intense Quote"/>
    <w:basedOn w:val="Normal"/>
    <w:next w:val="Normal"/>
    <w:link w:val="IntenseQuoteChar"/>
    <w:uiPriority w:val="30"/>
    <w:qFormat/>
    <w:rsid w:val="00B37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F9E"/>
    <w:rPr>
      <w:i/>
      <w:iCs/>
      <w:color w:val="0F4761" w:themeColor="accent1" w:themeShade="BF"/>
    </w:rPr>
  </w:style>
  <w:style w:type="character" w:styleId="IntenseReference">
    <w:name w:val="Intense Reference"/>
    <w:basedOn w:val="DefaultParagraphFont"/>
    <w:uiPriority w:val="32"/>
    <w:qFormat/>
    <w:rsid w:val="00B37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6363</Words>
  <Characters>36275</Characters>
  <Application>Microsoft Office Word</Application>
  <DocSecurity>0</DocSecurity>
  <Lines>302</Lines>
  <Paragraphs>85</Paragraphs>
  <ScaleCrop>false</ScaleCrop>
  <Company/>
  <LinksUpToDate>false</LinksUpToDate>
  <CharactersWithSpaces>42553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2026-06-20T02:03:00Z</dcterms:created>
  <dcterms:modified xsi:type="dcterms:W3CDTF">2026-06-20T02:03:00Z</dcterms:modified>
</cp:coreProperties>
</file>