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4F81" w14:textId="77777777" w:rsidR="00975C60" w:rsidRPr="00975C60" w:rsidRDefault="00975C60" w:rsidP="00975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C60">
        <w:rPr>
          <w:rFonts w:ascii="Times New Roman" w:eastAsia="Times New Roman" w:hAnsi="Times New Roman" w:cs="Times New Roman"/>
          <w:b/>
          <w:bCs/>
          <w:kern w:val="0"/>
          <w:sz w:val="36"/>
          <w:szCs w:val="36"/>
          <w14:ligatures w14:val="none"/>
        </w:rPr>
        <w:t>Document 03: Gravity Discovery — Desert Christianity</w:t>
      </w:r>
    </w:p>
    <w:p w14:paraId="60D0B74B"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i/>
          <w:iCs/>
          <w:kern w:val="0"/>
          <w14:ligatures w14:val="none"/>
        </w:rPr>
        <w:t>Per Construction Framework v1.6, Part III.</w:t>
      </w:r>
    </w:p>
    <w:p w14:paraId="42149143"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5F26C2">
          <v:rect id="_x0000_i1025" style="width:0;height:1.5pt" o:hralign="center" o:hrstd="t" o:hr="t" fillcolor="#a0a0a0" stroked="f"/>
        </w:pict>
      </w:r>
    </w:p>
    <w:p w14:paraId="2A158917"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Opening framing</w:t>
      </w:r>
    </w:p>
    <w:p w14:paraId="1738F15A"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This document exists to answer one question honestly, not to confirm a conclusion the project has been provisionally building toward: does the evidence assembled in Documents 01 and 02 support treating Desert Christianity as one formation world, or does it reveal several distinct formation logics that share a region, an era, and a vocabulary without sharing the deeper grammar a single world requires?</w:t>
      </w:r>
    </w:p>
    <w:p w14:paraId="7E8FD3CC"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The honest answer is: </w:t>
      </w:r>
      <w:r w:rsidRPr="00975C60">
        <w:rPr>
          <w:rFonts w:ascii="Times New Roman" w:eastAsia="Times New Roman" w:hAnsi="Times New Roman" w:cs="Times New Roman"/>
          <w:b/>
          <w:bCs/>
          <w:kern w:val="0"/>
          <w14:ligatures w14:val="none"/>
        </w:rPr>
        <w:t>one confirmed cross-strand gravity, one practice-level pattern that does not itself rise to gravity status as a unified theological claim, and one serious, specifically locatable internal fault line that this document cannot responsibly close.</w:t>
      </w:r>
      <w:r w:rsidRPr="00975C60">
        <w:rPr>
          <w:rFonts w:ascii="Times New Roman" w:eastAsia="Times New Roman" w:hAnsi="Times New Roman" w:cs="Times New Roman"/>
          <w:kern w:val="0"/>
          <w14:ligatures w14:val="none"/>
        </w:rPr>
        <w:t xml:space="preserve"> The reasoning that gets there, including where this document's own working assumptions turned out not to survive testing, follows.</w:t>
      </w:r>
    </w:p>
    <w:p w14:paraId="6EBD2B99"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EB6A4">
          <v:rect id="_x0000_i1026" style="width:0;height:1.5pt" o:hralign="center" o:hrstd="t" o:hr="t" fillcolor="#a0a0a0" stroked="f"/>
        </w:pict>
      </w:r>
    </w:p>
    <w:p w14:paraId="6A3E7B66"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1. Candidate Gravity Generation</w:t>
      </w:r>
    </w:p>
    <w:p w14:paraId="7A10EAC4"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Candidates are generated from Document 02's actual evidence streams, with Author Gravity risk flagged at the point of generation rather than discovered later.</w:t>
      </w:r>
    </w:p>
    <w:p w14:paraId="760B64ED"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A — Withdrawal into desert space as constitutive act.</w:t>
      </w:r>
      <w:r w:rsidRPr="00975C60">
        <w:rPr>
          <w:rFonts w:ascii="Times New Roman" w:eastAsia="Times New Roman" w:hAnsi="Times New Roman" w:cs="Times New Roman"/>
          <w:kern w:val="0"/>
          <w14:ligatures w14:val="none"/>
        </w:rPr>
        <w:t xml:space="preserve"> Drawn from: the </w:t>
      </w:r>
      <w:r w:rsidRPr="00975C60">
        <w:rPr>
          <w:rFonts w:ascii="Times New Roman" w:eastAsia="Times New Roman" w:hAnsi="Times New Roman" w:cs="Times New Roman"/>
          <w:i/>
          <w:iCs/>
          <w:kern w:val="0"/>
          <w14:ligatures w14:val="none"/>
        </w:rPr>
        <w:t>Life of Antony</w:t>
      </w:r>
      <w:r w:rsidRPr="00975C60">
        <w:rPr>
          <w:rFonts w:ascii="Times New Roman" w:eastAsia="Times New Roman" w:hAnsi="Times New Roman" w:cs="Times New Roman"/>
          <w:kern w:val="0"/>
          <w14:ligatures w14:val="none"/>
        </w:rPr>
        <w:t xml:space="preserve">, the </w:t>
      </w:r>
      <w:r w:rsidRPr="00975C60">
        <w:rPr>
          <w:rFonts w:ascii="Times New Roman" w:eastAsia="Times New Roman" w:hAnsi="Times New Roman" w:cs="Times New Roman"/>
          <w:i/>
          <w:iCs/>
          <w:kern w:val="0"/>
          <w14:ligatures w14:val="none"/>
        </w:rPr>
        <w:t xml:space="preserve">Historia </w:t>
      </w:r>
      <w:proofErr w:type="spellStart"/>
      <w:r w:rsidRPr="00975C60">
        <w:rPr>
          <w:rFonts w:ascii="Times New Roman" w:eastAsia="Times New Roman" w:hAnsi="Times New Roman" w:cs="Times New Roman"/>
          <w:i/>
          <w:iCs/>
          <w:kern w:val="0"/>
          <w14:ligatures w14:val="none"/>
        </w:rPr>
        <w:t>Monachorum</w:t>
      </w:r>
      <w:proofErr w:type="spellEnd"/>
      <w:r w:rsidRPr="00975C60">
        <w:rPr>
          <w:rFonts w:ascii="Times New Roman" w:eastAsia="Times New Roman" w:hAnsi="Times New Roman" w:cs="Times New Roman"/>
          <w:kern w:val="0"/>
          <w14:ligatures w14:val="none"/>
        </w:rPr>
        <w:t xml:space="preserve">,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geography,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founding narratives. Author Gravity risk: moderate. The concept of withdrawal is attested across anchoritic and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founding accounts independently, but the specific romance of withdrawal as deliberately chosen heroic absence is most vividly and specifically Athanasius's literary framing of Antony. Shenoute's federation was not founded by an individual withdrawal narrative; </w:t>
      </w:r>
      <w:proofErr w:type="spellStart"/>
      <w:r w:rsidRPr="00975C60">
        <w:rPr>
          <w:rFonts w:ascii="Times New Roman" w:eastAsia="Times New Roman" w:hAnsi="Times New Roman" w:cs="Times New Roman"/>
          <w:kern w:val="0"/>
          <w14:ligatures w14:val="none"/>
        </w:rPr>
        <w:t>Pcol's</w:t>
      </w:r>
      <w:proofErr w:type="spellEnd"/>
      <w:r w:rsidRPr="00975C60">
        <w:rPr>
          <w:rFonts w:ascii="Times New Roman" w:eastAsia="Times New Roman" w:hAnsi="Times New Roman" w:cs="Times New Roman"/>
          <w:kern w:val="0"/>
          <w14:ligatures w14:val="none"/>
        </w:rPr>
        <w:t xml:space="preserve"> and Shenoute's community is documented from its origin as an organized federation.</w:t>
      </w:r>
    </w:p>
    <w:p w14:paraId="2E2BBE87"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B — Spiritual combat against demons and "the passions" as the mechanism of growth.</w:t>
      </w:r>
      <w:r w:rsidRPr="00975C60">
        <w:rPr>
          <w:rFonts w:ascii="Times New Roman" w:eastAsia="Times New Roman" w:hAnsi="Times New Roman" w:cs="Times New Roman"/>
          <w:kern w:val="0"/>
          <w14:ligatures w14:val="none"/>
        </w:rPr>
        <w:t xml:space="preserve"> Drawn from: the </w:t>
      </w:r>
      <w:r w:rsidRPr="00975C60">
        <w:rPr>
          <w:rFonts w:ascii="Times New Roman" w:eastAsia="Times New Roman" w:hAnsi="Times New Roman" w:cs="Times New Roman"/>
          <w:i/>
          <w:iCs/>
          <w:kern w:val="0"/>
          <w14:ligatures w14:val="none"/>
        </w:rPr>
        <w:t>Life of Antony</w:t>
      </w:r>
      <w:r w:rsidRPr="00975C60">
        <w:rPr>
          <w:rFonts w:ascii="Times New Roman" w:eastAsia="Times New Roman" w:hAnsi="Times New Roman" w:cs="Times New Roman"/>
          <w:kern w:val="0"/>
          <w14:ligatures w14:val="none"/>
        </w:rPr>
        <w:t xml:space="preserve">,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w:t>
      </w:r>
      <w:proofErr w:type="spellStart"/>
      <w:r w:rsidRPr="00975C60">
        <w:rPr>
          <w:rFonts w:ascii="Times New Roman" w:eastAsia="Times New Roman" w:hAnsi="Times New Roman" w:cs="Times New Roman"/>
          <w:kern w:val="0"/>
          <w14:ligatures w14:val="none"/>
        </w:rPr>
        <w:t>logismoi</w:t>
      </w:r>
      <w:proofErr w:type="spellEnd"/>
      <w:r w:rsidRPr="00975C60">
        <w:rPr>
          <w:rFonts w:ascii="Times New Roman" w:eastAsia="Times New Roman" w:hAnsi="Times New Roman" w:cs="Times New Roman"/>
          <w:kern w:val="0"/>
          <w14:ligatures w14:val="none"/>
        </w:rPr>
        <w:t xml:space="preserve"> corpus,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demon-narratives. Author Gravity risk: </w:t>
      </w:r>
      <w:proofErr w:type="gramStart"/>
      <w:r w:rsidRPr="00975C60">
        <w:rPr>
          <w:rFonts w:ascii="Times New Roman" w:eastAsia="Times New Roman" w:hAnsi="Times New Roman" w:cs="Times New Roman"/>
          <w:kern w:val="0"/>
          <w14:ligatures w14:val="none"/>
        </w:rPr>
        <w:t>high, and</w:t>
      </w:r>
      <w:proofErr w:type="gramEnd"/>
      <w:r w:rsidRPr="00975C60">
        <w:rPr>
          <w:rFonts w:ascii="Times New Roman" w:eastAsia="Times New Roman" w:hAnsi="Times New Roman" w:cs="Times New Roman"/>
          <w:kern w:val="0"/>
          <w14:ligatures w14:val="none"/>
        </w:rPr>
        <w:t xml:space="preserve"> confirmed on testing. David Brakke's specialist study of this exact material treats Antony, Evagrius, Pachomius, and Shenoute as four distinct demonological frames, not one doctrine with four authors.</w:t>
      </w:r>
    </w:p>
    <w:p w14:paraId="5F390035"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C — Direct experiential knowledge prioritized over abstract or institutionally-credentialed learning.</w:t>
      </w:r>
      <w:r w:rsidRPr="00975C60">
        <w:rPr>
          <w:rFonts w:ascii="Times New Roman" w:eastAsia="Times New Roman" w:hAnsi="Times New Roman" w:cs="Times New Roman"/>
          <w:kern w:val="0"/>
          <w14:ligatures w14:val="none"/>
        </w:rPr>
        <w:t xml:space="preserve"> Drawn from: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"give me a word" exchange structure, Antony's contested "unlettered" portrait, Burton-Christie's account of oral/experiential scriptural interpretation. Author Gravity risk: moderate — the </w:t>
      </w:r>
      <w:r w:rsidRPr="00975C60">
        <w:rPr>
          <w:rFonts w:ascii="Times New Roman" w:eastAsia="Times New Roman" w:hAnsi="Times New Roman" w:cs="Times New Roman"/>
          <w:i/>
          <w:iCs/>
          <w:kern w:val="0"/>
          <w14:ligatures w14:val="none"/>
        </w:rPr>
        <w:t>Life of Antony</w:t>
      </w:r>
      <w:r w:rsidRPr="00975C60">
        <w:rPr>
          <w:rFonts w:ascii="Times New Roman" w:eastAsia="Times New Roman" w:hAnsi="Times New Roman" w:cs="Times New Roman"/>
          <w:kern w:val="0"/>
          <w14:ligatures w14:val="none"/>
        </w:rPr>
        <w:t xml:space="preserve">'s rustic-illumination framing </w:t>
      </w:r>
      <w:r w:rsidRPr="00975C60">
        <w:rPr>
          <w:rFonts w:ascii="Times New Roman" w:eastAsia="Times New Roman" w:hAnsi="Times New Roman" w:cs="Times New Roman"/>
          <w:kern w:val="0"/>
          <w14:ligatures w14:val="none"/>
        </w:rPr>
        <w:lastRenderedPageBreak/>
        <w:t>is itself suspect per Rubenson, meaning this candidate's clearest textual support is partly evidence of Athanasius's polemical agenda rather than neutral description.</w:t>
      </w:r>
    </w:p>
    <w:p w14:paraId="28C9CFD1"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D — Formation through relationship with an abba/amma who has walked the path before.</w:t>
      </w:r>
      <w:r w:rsidRPr="00975C60">
        <w:rPr>
          <w:rFonts w:ascii="Times New Roman" w:eastAsia="Times New Roman" w:hAnsi="Times New Roman" w:cs="Times New Roman"/>
          <w:kern w:val="0"/>
          <w14:ligatures w14:val="none"/>
        </w:rPr>
        <w:t xml:space="preserve"> Drawn from: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exchange structure, the </w:t>
      </w:r>
      <w:r w:rsidRPr="00975C60">
        <w:rPr>
          <w:rFonts w:ascii="Times New Roman" w:eastAsia="Times New Roman" w:hAnsi="Times New Roman" w:cs="Times New Roman"/>
          <w:i/>
          <w:iCs/>
          <w:kern w:val="0"/>
          <w14:ligatures w14:val="none"/>
        </w:rPr>
        <w:t xml:space="preserve">Life of </w:t>
      </w:r>
      <w:proofErr w:type="spellStart"/>
      <w:r w:rsidRPr="00975C60">
        <w:rPr>
          <w:rFonts w:ascii="Times New Roman" w:eastAsia="Times New Roman" w:hAnsi="Times New Roman" w:cs="Times New Roman"/>
          <w:i/>
          <w:iCs/>
          <w:kern w:val="0"/>
          <w14:ligatures w14:val="none"/>
        </w:rPr>
        <w:t>Syncletica</w:t>
      </w:r>
      <w:proofErr w:type="spellEnd"/>
      <w:r w:rsidRPr="00975C60">
        <w:rPr>
          <w:rFonts w:ascii="Times New Roman" w:eastAsia="Times New Roman" w:hAnsi="Times New Roman" w:cs="Times New Roman"/>
          <w:kern w:val="0"/>
          <w14:ligatures w14:val="none"/>
        </w:rPr>
        <w:t xml:space="preserv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internal-mentorship structures, the documentary record's evidence of letter-based spiritual direction. Author Gravity risk: low at generation — broadest independent attestation across the most sources and strands.</w:t>
      </w:r>
    </w:p>
    <w:p w14:paraId="6136413E"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E — Authority earned through struggle and lived experience rather than conferred by office, even where office exists.</w:t>
      </w:r>
      <w:r w:rsidRPr="00975C60">
        <w:rPr>
          <w:rFonts w:ascii="Times New Roman" w:eastAsia="Times New Roman" w:hAnsi="Times New Roman" w:cs="Times New Roman"/>
          <w:kern w:val="0"/>
          <w14:ligatures w14:val="none"/>
        </w:rPr>
        <w:t xml:space="preserve"> Drawn from: the abba/amma title's basis in recognized spiritual attainment,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theme of officeholders deferring to non-officeholding elders. Author Gravity risk: moderate, tested directly against Shenoute below.</w:t>
      </w:r>
    </w:p>
    <w:p w14:paraId="7971C9D4"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F — The body as the site of spiritual transformation.</w:t>
      </w:r>
      <w:r w:rsidRPr="00975C60">
        <w:rPr>
          <w:rFonts w:ascii="Times New Roman" w:eastAsia="Times New Roman" w:hAnsi="Times New Roman" w:cs="Times New Roman"/>
          <w:kern w:val="0"/>
          <w14:ligatures w14:val="none"/>
        </w:rPr>
        <w:t xml:space="preserve"> Drawn from: ascetic practice across all strands, Shenoute's body-theology,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psychosomatic </w:t>
      </w:r>
      <w:proofErr w:type="spellStart"/>
      <w:r w:rsidRPr="00975C60">
        <w:rPr>
          <w:rFonts w:ascii="Times New Roman" w:eastAsia="Times New Roman" w:hAnsi="Times New Roman" w:cs="Times New Roman"/>
          <w:kern w:val="0"/>
          <w14:ligatures w14:val="none"/>
        </w:rPr>
        <w:t>logismoi</w:t>
      </w:r>
      <w:proofErr w:type="spellEnd"/>
      <w:r w:rsidRPr="00975C60">
        <w:rPr>
          <w:rFonts w:ascii="Times New Roman" w:eastAsia="Times New Roman" w:hAnsi="Times New Roman" w:cs="Times New Roman"/>
          <w:kern w:val="0"/>
          <w14:ligatures w14:val="none"/>
        </w:rPr>
        <w:t xml:space="preserve"> framework, Antony's bodily-discipline narrative. Author Gravity risk: flagged at generation as requiring the same splitting test already anticipated for Candidate B, since its surface unity (every strand discusses "the body") risks concealing the same kind of vocabulary-sharing-without-content-sharing problem.</w:t>
      </w:r>
    </w:p>
    <w:p w14:paraId="1D58AFD8"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G — Theological danger and strategic non-attribution as a lived feature of this world's epistemic culture.</w:t>
      </w:r>
      <w:r w:rsidRPr="00975C60">
        <w:rPr>
          <w:rFonts w:ascii="Times New Roman" w:eastAsia="Times New Roman" w:hAnsi="Times New Roman" w:cs="Times New Roman"/>
          <w:kern w:val="0"/>
          <w14:ligatures w14:val="none"/>
        </w:rPr>
        <w:t xml:space="preserve"> Drawn from: the </w:t>
      </w:r>
      <w:proofErr w:type="spellStart"/>
      <w:r w:rsidRPr="00975C60">
        <w:rPr>
          <w:rFonts w:ascii="Times New Roman" w:eastAsia="Times New Roman" w:hAnsi="Times New Roman" w:cs="Times New Roman"/>
          <w:kern w:val="0"/>
          <w14:ligatures w14:val="none"/>
        </w:rPr>
        <w:t>Evagrius</w:t>
      </w:r>
      <w:proofErr w:type="spellEnd"/>
      <w:r w:rsidRPr="00975C60">
        <w:rPr>
          <w:rFonts w:ascii="Times New Roman" w:eastAsia="Times New Roman" w:hAnsi="Times New Roman" w:cs="Times New Roman"/>
          <w:kern w:val="0"/>
          <w14:ligatures w14:val="none"/>
        </w:rPr>
        <w:t xml:space="preserve"> suppression case and the Cassian non-attribution case. Tested fully below rather than left as a suggestive observation.</w:t>
      </w:r>
    </w:p>
    <w:p w14:paraId="6E5EC59C"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Candidates considered and not classified as gravities, with reasons:</w:t>
      </w:r>
    </w:p>
    <w:p w14:paraId="44CFF133" w14:textId="77777777" w:rsidR="00975C60" w:rsidRPr="00975C60" w:rsidRDefault="00975C60" w:rsidP="00975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i/>
          <w:iCs/>
          <w:kern w:val="0"/>
          <w14:ligatures w14:val="none"/>
        </w:rPr>
        <w:t>Anti-institutionalism as such</w:t>
      </w:r>
      <w:r w:rsidRPr="00975C60">
        <w:rPr>
          <w:rFonts w:ascii="Times New Roman" w:eastAsia="Times New Roman" w:hAnsi="Times New Roman" w:cs="Times New Roman"/>
          <w:kern w:val="0"/>
          <w14:ligatures w14:val="none"/>
        </w:rPr>
        <w:t xml:space="preserve"> — considered, rejected.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institutional structures exist from very early in the proposed period, not as later corruption of an originally anti-institutional ideal; the narrower Candidate E (authority earned through struggle, which can coexist with office) is better supported and kept distinct.</w:t>
      </w:r>
    </w:p>
    <w:p w14:paraId="7865115C" w14:textId="77777777" w:rsidR="00975C60" w:rsidRPr="00975C60" w:rsidRDefault="00975C60" w:rsidP="00975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i/>
          <w:iCs/>
          <w:kern w:val="0"/>
          <w14:ligatures w14:val="none"/>
        </w:rPr>
        <w:t>Egalitarianism / social leveling</w:t>
      </w:r>
      <w:r w:rsidRPr="00975C60">
        <w:rPr>
          <w:rFonts w:ascii="Times New Roman" w:eastAsia="Times New Roman" w:hAnsi="Times New Roman" w:cs="Times New Roman"/>
          <w:kern w:val="0"/>
          <w14:ligatures w14:val="none"/>
        </w:rPr>
        <w:t xml:space="preserve"> — considered, rejected as a primary candidate. Real but thin and incidental; functions better as a downstream consequence of Candidate D than as its own gravity.</w:t>
      </w:r>
    </w:p>
    <w:p w14:paraId="5857DC79" w14:textId="77777777" w:rsidR="00975C60" w:rsidRPr="00975C60" w:rsidRDefault="00975C60" w:rsidP="00975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i/>
          <w:iCs/>
          <w:kern w:val="0"/>
          <w14:ligatures w14:val="none"/>
        </w:rPr>
        <w:t>Eschatological urgency</w:t>
      </w:r>
      <w:r w:rsidRPr="00975C60">
        <w:rPr>
          <w:rFonts w:ascii="Times New Roman" w:eastAsia="Times New Roman" w:hAnsi="Times New Roman" w:cs="Times New Roman"/>
          <w:kern w:val="0"/>
          <w14:ligatures w14:val="none"/>
        </w:rPr>
        <w:t xml:space="preserve"> — considered, rejected for insufficient independent support at this stage. Present in Shenoute's apocalyptic material but not yet demonstrated across enough strands to test seriously.</w:t>
      </w:r>
    </w:p>
    <w:p w14:paraId="3DB1F715"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1AD6F">
          <v:rect id="_x0000_i1027" style="width:0;height:1.5pt" o:hralign="center" o:hrstd="t" o:hr="t" fillcolor="#a0a0a0" stroked="f"/>
        </w:pict>
      </w:r>
    </w:p>
    <w:p w14:paraId="6F60B465"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2. Full Six-Test Assessment</w:t>
      </w:r>
    </w:p>
    <w:p w14:paraId="6BF589BD"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A — Withdrawal into desert space as constitutive act</w:t>
      </w:r>
    </w:p>
    <w:p w14:paraId="45B20C06"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lastRenderedPageBreak/>
        <w:t>Repetition:</w:t>
      </w:r>
      <w:r w:rsidRPr="00975C60">
        <w:rPr>
          <w:rFonts w:ascii="Times New Roman" w:eastAsia="Times New Roman" w:hAnsi="Times New Roman" w:cs="Times New Roman"/>
          <w:kern w:val="0"/>
          <w14:ligatures w14:val="none"/>
        </w:rPr>
        <w:t xml:space="preserve"> Strong across anchoritic and semi-anchoritic strands; present but structurally different in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strand (communal withdrawal, organized from the outset); essentially absent as a founding narrative in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w:t>
      </w:r>
    </w:p>
    <w:p w14:paraId="5A841F77"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High for the anchoritic strand; low for Shenoute's strand.</w:t>
      </w:r>
    </w:p>
    <w:p w14:paraId="19B7F78B"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Strong where present.</w:t>
      </w:r>
    </w:p>
    <w:p w14:paraId="41A044C5"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Explains anchoritic practice well; explains little about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federation life.</w:t>
      </w:r>
    </w:p>
    <w:p w14:paraId="3C7B1907"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w:t>
      </w:r>
      <w:r w:rsidRPr="00975C60">
        <w:rPr>
          <w:rFonts w:ascii="Times New Roman" w:eastAsia="Times New Roman" w:hAnsi="Times New Roman" w:cs="Times New Roman"/>
          <w:kern w:val="0"/>
          <w14:ligatures w14:val="none"/>
        </w:rPr>
        <w:t xml:space="preserve"> Persists for the anchoritic strand, with the documented </w:t>
      </w:r>
      <w:proofErr w:type="spellStart"/>
      <w:r w:rsidRPr="00975C60">
        <w:rPr>
          <w:rFonts w:ascii="Times New Roman" w:eastAsia="Times New Roman" w:hAnsi="Times New Roman" w:cs="Times New Roman"/>
          <w:kern w:val="0"/>
          <w14:ligatures w14:val="none"/>
        </w:rPr>
        <w:t>Scetis</w:t>
      </w:r>
      <w:proofErr w:type="spellEnd"/>
      <w:r w:rsidRPr="00975C60">
        <w:rPr>
          <w:rFonts w:ascii="Times New Roman" w:eastAsia="Times New Roman" w:hAnsi="Times New Roman" w:cs="Times New Roman"/>
          <w:kern w:val="0"/>
          <w14:ligatures w14:val="none"/>
        </w:rPr>
        <w:t xml:space="preserve"> raids (407, 434, 444) repeatedly testing and partly displacing rather than strengthening it. Does not apply in comparable form to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 at any point.</w:t>
      </w:r>
    </w:p>
    <w:p w14:paraId="597BE4C1" w14:textId="77777777" w:rsidR="00975C60" w:rsidRPr="00975C60" w:rsidRDefault="00975C60" w:rsidP="00975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Reinforces Candidates D and C in the anchoritic strand; does not meaningfully interact with Candidate F in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w:t>
      </w:r>
    </w:p>
    <w:p w14:paraId="01039755"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 xml:space="preserve">Classification: Primary for the anchoritic and semi-anchoritic strands specifically; does not reach gravity status for the </w:t>
      </w:r>
      <w:proofErr w:type="spellStart"/>
      <w:r w:rsidRPr="00975C60">
        <w:rPr>
          <w:rFonts w:ascii="Times New Roman" w:eastAsia="Times New Roman" w:hAnsi="Times New Roman" w:cs="Times New Roman"/>
          <w:b/>
          <w:bCs/>
          <w:kern w:val="0"/>
          <w14:ligatures w14:val="none"/>
        </w:rPr>
        <w:t>Shenoutean</w:t>
      </w:r>
      <w:proofErr w:type="spellEnd"/>
      <w:r w:rsidRPr="00975C60">
        <w:rPr>
          <w:rFonts w:ascii="Times New Roman" w:eastAsia="Times New Roman" w:hAnsi="Times New Roman" w:cs="Times New Roman"/>
          <w:b/>
          <w:bCs/>
          <w:kern w:val="0"/>
          <w14:ligatures w14:val="none"/>
        </w:rPr>
        <w:t xml:space="preserve"> strand; mixed/partial for the </w:t>
      </w:r>
      <w:proofErr w:type="spellStart"/>
      <w:r w:rsidRPr="00975C60">
        <w:rPr>
          <w:rFonts w:ascii="Times New Roman" w:eastAsia="Times New Roman" w:hAnsi="Times New Roman" w:cs="Times New Roman"/>
          <w:b/>
          <w:bCs/>
          <w:kern w:val="0"/>
          <w14:ligatures w14:val="none"/>
        </w:rPr>
        <w:t>Pachomian</w:t>
      </w:r>
      <w:proofErr w:type="spellEnd"/>
      <w:r w:rsidRPr="00975C60">
        <w:rPr>
          <w:rFonts w:ascii="Times New Roman" w:eastAsia="Times New Roman" w:hAnsi="Times New Roman" w:cs="Times New Roman"/>
          <w:b/>
          <w:bCs/>
          <w:kern w:val="0"/>
          <w14:ligatures w14:val="none"/>
        </w:rPr>
        <w:t xml:space="preserve"> strand.</w:t>
      </w:r>
    </w:p>
    <w:p w14:paraId="01D15BD8"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B — Spiritual combat against demons and "the passions"</w:t>
      </w:r>
    </w:p>
    <w:p w14:paraId="57BD1747"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Repetition:</w:t>
      </w:r>
      <w:r w:rsidRPr="00975C60">
        <w:rPr>
          <w:rFonts w:ascii="Times New Roman" w:eastAsia="Times New Roman" w:hAnsi="Times New Roman" w:cs="Times New Roman"/>
          <w:kern w:val="0"/>
          <w14:ligatures w14:val="none"/>
        </w:rPr>
        <w:t xml:space="preserve"> Present across all four strands per Brakke's mapping, but in four distinct forms: Antony's martyrological combat;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systematized eight-</w:t>
      </w:r>
      <w:proofErr w:type="spellStart"/>
      <w:r w:rsidRPr="00975C60">
        <w:rPr>
          <w:rFonts w:ascii="Times New Roman" w:eastAsia="Times New Roman" w:hAnsi="Times New Roman" w:cs="Times New Roman"/>
          <w:kern w:val="0"/>
          <w14:ligatures w14:val="none"/>
        </w:rPr>
        <w:t>logismoi</w:t>
      </w:r>
      <w:proofErr w:type="spellEnd"/>
      <w:r w:rsidRPr="00975C60">
        <w:rPr>
          <w:rFonts w:ascii="Times New Roman" w:eastAsia="Times New Roman" w:hAnsi="Times New Roman" w:cs="Times New Roman"/>
          <w:kern w:val="0"/>
          <w14:ligatures w14:val="none"/>
        </w:rPr>
        <w:t xml:space="preserve"> taxonomy; Pachomius's communal vigilance; Shenoute's prophetic discernment of communal moral corruption. The Selected Discourses scholarship states directly that the </w:t>
      </w:r>
      <w:proofErr w:type="spellStart"/>
      <w:r w:rsidRPr="00975C60">
        <w:rPr>
          <w:rFonts w:ascii="Times New Roman" w:eastAsia="Times New Roman" w:hAnsi="Times New Roman" w:cs="Times New Roman"/>
          <w:kern w:val="0"/>
          <w14:ligatures w14:val="none"/>
        </w:rPr>
        <w:t>Apophthegmata</w:t>
      </w:r>
      <w:proofErr w:type="spellEnd"/>
      <w:r w:rsidRPr="00975C60">
        <w:rPr>
          <w:rFonts w:ascii="Times New Roman" w:eastAsia="Times New Roman" w:hAnsi="Times New Roman" w:cs="Times New Roman"/>
          <w:kern w:val="0"/>
          <w14:ligatures w14:val="none"/>
        </w:rPr>
        <w:t xml:space="preserve">-style sayings idiom — the specific </w:t>
      </w:r>
      <w:r w:rsidRPr="00975C60">
        <w:rPr>
          <w:rFonts w:ascii="Times New Roman" w:eastAsia="Times New Roman" w:hAnsi="Times New Roman" w:cs="Times New Roman"/>
          <w:i/>
          <w:iCs/>
          <w:kern w:val="0"/>
          <w14:ligatures w14:val="none"/>
        </w:rPr>
        <w:t>literary genre</w:t>
      </w:r>
      <w:r w:rsidRPr="00975C60">
        <w:rPr>
          <w:rFonts w:ascii="Times New Roman" w:eastAsia="Times New Roman" w:hAnsi="Times New Roman" w:cs="Times New Roman"/>
          <w:kern w:val="0"/>
          <w14:ligatures w14:val="none"/>
        </w:rPr>
        <w:t xml:space="preserve"> through which this candidate's clearest expression elsewhere is carried — has no place in Shenoute's own teaching style. This is a finding about genre and rhetorical form specifically; it says nothing on its own about whether Shenoute's strand shares this world's relational formation structure, which Candidate D addresses separately and which the housemaster system and Shenoute's own documented succession from </w:t>
      </w:r>
      <w:proofErr w:type="spellStart"/>
      <w:r w:rsidRPr="00975C60">
        <w:rPr>
          <w:rFonts w:ascii="Times New Roman" w:eastAsia="Times New Roman" w:hAnsi="Times New Roman" w:cs="Times New Roman"/>
          <w:kern w:val="0"/>
          <w14:ligatures w14:val="none"/>
        </w:rPr>
        <w:t>Pcol</w:t>
      </w:r>
      <w:proofErr w:type="spellEnd"/>
      <w:r w:rsidRPr="00975C60">
        <w:rPr>
          <w:rFonts w:ascii="Times New Roman" w:eastAsia="Times New Roman" w:hAnsi="Times New Roman" w:cs="Times New Roman"/>
          <w:kern w:val="0"/>
          <w14:ligatures w14:val="none"/>
        </w:rPr>
        <w:t xml:space="preserve"> independently support.</w:t>
      </w:r>
    </w:p>
    <w:p w14:paraId="0C32F1C6"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High for Antony's and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material; present but differently structured for Pachomius; uncertain for Shenoute, where the operative theological frame is corporate bodily purity and resurrection-theology rather than personal combat against tempting demons.</w:t>
      </w:r>
    </w:p>
    <w:p w14:paraId="1971DE2C"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Strong within each individual frame, but the four frames shape formation differently enough that this is closer to four related mechanisms than one.</w:t>
      </w:r>
    </w:p>
    <w:p w14:paraId="4064FC06"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Strong within the anchoritic/</w:t>
      </w:r>
      <w:proofErr w:type="spellStart"/>
      <w:r w:rsidRPr="00975C60">
        <w:rPr>
          <w:rFonts w:ascii="Times New Roman" w:eastAsia="Times New Roman" w:hAnsi="Times New Roman" w:cs="Times New Roman"/>
          <w:kern w:val="0"/>
          <w14:ligatures w14:val="none"/>
        </w:rPr>
        <w:t>Evagrian</w:t>
      </w:r>
      <w:proofErr w:type="spellEnd"/>
      <w:r w:rsidRPr="00975C60">
        <w:rPr>
          <w:rFonts w:ascii="Times New Roman" w:eastAsia="Times New Roman" w:hAnsi="Times New Roman" w:cs="Times New Roman"/>
          <w:kern w:val="0"/>
          <w14:ligatures w14:val="none"/>
        </w:rPr>
        <w:t xml:space="preserve"> material; for Shenoute, real but operating through a visibly different theological vocabulary this candidate's surface description does not capture without distortion.</w:t>
      </w:r>
    </w:p>
    <w:p w14:paraId="7D255B4D"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w:t>
      </w:r>
      <w:r w:rsidRPr="00975C60">
        <w:rPr>
          <w:rFonts w:ascii="Times New Roman" w:eastAsia="Times New Roman" w:hAnsi="Times New Roman" w:cs="Times New Roman"/>
          <w:kern w:val="0"/>
          <w14:ligatures w14:val="none"/>
        </w:rPr>
        <w:t xml:space="preserve"> The underlying concern with moral vigilance persists across strands;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specific systematized taxonomy is dated to his own career and shaped further by his posthumous suppression and Cassian's non-attributed transmission, not present in comparable systematized form from the world's beginning.</w:t>
      </w:r>
    </w:p>
    <w:p w14:paraId="1D2C931C" w14:textId="77777777" w:rsidR="00975C60" w:rsidRPr="00975C60" w:rsidRDefault="00975C60" w:rsidP="00975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Strongly reinforces Candidate F in the anchoritic/</w:t>
      </w:r>
      <w:proofErr w:type="spellStart"/>
      <w:r w:rsidRPr="00975C60">
        <w:rPr>
          <w:rFonts w:ascii="Times New Roman" w:eastAsia="Times New Roman" w:hAnsi="Times New Roman" w:cs="Times New Roman"/>
          <w:kern w:val="0"/>
          <w14:ligatures w14:val="none"/>
        </w:rPr>
        <w:t>Evagrian</w:t>
      </w:r>
      <w:proofErr w:type="spellEnd"/>
      <w:r w:rsidRPr="00975C60">
        <w:rPr>
          <w:rFonts w:ascii="Times New Roman" w:eastAsia="Times New Roman" w:hAnsi="Times New Roman" w:cs="Times New Roman"/>
          <w:kern w:val="0"/>
          <w14:ligatures w14:val="none"/>
        </w:rPr>
        <w:t xml:space="preserve"> frame; its relationship to Candidate E is strained in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case, where demon-discernment operates through office-backed authority over others rather than personal struggle validating one's own authority.</w:t>
      </w:r>
    </w:p>
    <w:p w14:paraId="52144FA5"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lastRenderedPageBreak/>
        <w:t xml:space="preserve">Classification: Primary for the </w:t>
      </w:r>
      <w:proofErr w:type="spellStart"/>
      <w:r w:rsidRPr="00975C60">
        <w:rPr>
          <w:rFonts w:ascii="Times New Roman" w:eastAsia="Times New Roman" w:hAnsi="Times New Roman" w:cs="Times New Roman"/>
          <w:b/>
          <w:bCs/>
          <w:kern w:val="0"/>
          <w14:ligatures w14:val="none"/>
        </w:rPr>
        <w:t>Evagrian</w:t>
      </w:r>
      <w:proofErr w:type="spellEnd"/>
      <w:r w:rsidRPr="00975C60">
        <w:rPr>
          <w:rFonts w:ascii="Times New Roman" w:eastAsia="Times New Roman" w:hAnsi="Times New Roman" w:cs="Times New Roman"/>
          <w:b/>
          <w:bCs/>
          <w:kern w:val="0"/>
          <w14:ligatures w14:val="none"/>
        </w:rPr>
        <w:t xml:space="preserve">/anchoritic frame specifically, where it independently reaches Strong Attestation; Secondary at best for Pachomius; does not clearly reach gravity status in its </w:t>
      </w:r>
      <w:proofErr w:type="spellStart"/>
      <w:r w:rsidRPr="00975C60">
        <w:rPr>
          <w:rFonts w:ascii="Times New Roman" w:eastAsia="Times New Roman" w:hAnsi="Times New Roman" w:cs="Times New Roman"/>
          <w:b/>
          <w:bCs/>
          <w:kern w:val="0"/>
          <w14:ligatures w14:val="none"/>
        </w:rPr>
        <w:t>Evagrian</w:t>
      </w:r>
      <w:proofErr w:type="spellEnd"/>
      <w:r w:rsidRPr="00975C60">
        <w:rPr>
          <w:rFonts w:ascii="Times New Roman" w:eastAsia="Times New Roman" w:hAnsi="Times New Roman" w:cs="Times New Roman"/>
          <w:b/>
          <w:bCs/>
          <w:kern w:val="0"/>
          <w14:ligatures w14:val="none"/>
        </w:rPr>
        <w:t xml:space="preserve"> form for Shenoute.</w:t>
      </w:r>
      <w:r w:rsidRPr="00975C60">
        <w:rPr>
          <w:rFonts w:ascii="Times New Roman" w:eastAsia="Times New Roman" w:hAnsi="Times New Roman" w:cs="Times New Roman"/>
          <w:kern w:val="0"/>
          <w14:ligatures w14:val="none"/>
        </w:rPr>
        <w:t xml:space="preserve"> This candidate cannot be honestly classified as a single, </w:t>
      </w:r>
      <w:proofErr w:type="gramStart"/>
      <w:r w:rsidRPr="00975C60">
        <w:rPr>
          <w:rFonts w:ascii="Times New Roman" w:eastAsia="Times New Roman" w:hAnsi="Times New Roman" w:cs="Times New Roman"/>
          <w:kern w:val="0"/>
          <w14:ligatures w14:val="none"/>
        </w:rPr>
        <w:t>uniformly-shared</w:t>
      </w:r>
      <w:proofErr w:type="gramEnd"/>
      <w:r w:rsidRPr="00975C60">
        <w:rPr>
          <w:rFonts w:ascii="Times New Roman" w:eastAsia="Times New Roman" w:hAnsi="Times New Roman" w:cs="Times New Roman"/>
          <w:kern w:val="0"/>
          <w14:ligatures w14:val="none"/>
        </w:rPr>
        <w:t xml:space="preserve"> gravity. Every strand </w:t>
      </w:r>
      <w:proofErr w:type="gramStart"/>
      <w:r w:rsidRPr="00975C60">
        <w:rPr>
          <w:rFonts w:ascii="Times New Roman" w:eastAsia="Times New Roman" w:hAnsi="Times New Roman" w:cs="Times New Roman"/>
          <w:kern w:val="0"/>
          <w14:ligatures w14:val="none"/>
        </w:rPr>
        <w:t>evidences</w:t>
      </w:r>
      <w:proofErr w:type="gramEnd"/>
      <w:r w:rsidRPr="00975C60">
        <w:rPr>
          <w:rFonts w:ascii="Times New Roman" w:eastAsia="Times New Roman" w:hAnsi="Times New Roman" w:cs="Times New Roman"/>
          <w:kern w:val="0"/>
          <w14:ligatures w14:val="none"/>
        </w:rPr>
        <w:t xml:space="preserve"> some concern with moral struggle and vigilance, but the shared vocabulary that makes this look like one gravity across strands is substantially an artifact of later synthesis rather than something the primary evidence independently supports as one thing.</w:t>
      </w:r>
    </w:p>
    <w:p w14:paraId="704048CD"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C — Direct experiential knowledge over abstract learning</w:t>
      </w:r>
    </w:p>
    <w:p w14:paraId="6D35D4D5"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Repetition:</w:t>
      </w:r>
      <w:r w:rsidRPr="00975C60">
        <w:rPr>
          <w:rFonts w:ascii="Times New Roman" w:eastAsia="Times New Roman" w:hAnsi="Times New Roman" w:cs="Times New Roman"/>
          <w:kern w:val="0"/>
          <w14:ligatures w14:val="none"/>
        </w:rPr>
        <w:t xml:space="preserve"> Present in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structure and (contested) in Antony's portrait; contradicted in Shenoute's strand, where a literate, well-organized, biblically saturated teaching apparatus is documented, including required scriptural memorization.</w:t>
      </w:r>
    </w:p>
    <w:p w14:paraId="4532F307"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Moderate for the anchoritic/sayings strand; weakened by reliance on Rubenson's contested correction of Athanasius.</w:t>
      </w:r>
    </w:p>
    <w:p w14:paraId="4EA232ED"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Entangled with the unresolved Brown/Rubenson tension; if Rubenson is right, this candidate's strength is correspondingly reduced.</w:t>
      </w:r>
    </w:p>
    <w:p w14:paraId="3F8890B4"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Limited independent explanatory power once separated from the contested Antony portrait and tested against Shenoute's literate teaching practice.</w:t>
      </w:r>
    </w:p>
    <w:p w14:paraId="752424BA"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w:t>
      </w:r>
      <w:r w:rsidRPr="00975C60">
        <w:rPr>
          <w:rFonts w:ascii="Times New Roman" w:eastAsia="Times New Roman" w:hAnsi="Times New Roman" w:cs="Times New Roman"/>
          <w:kern w:val="0"/>
          <w14:ligatures w14:val="none"/>
        </w:rPr>
        <w:t xml:space="preserve"> Uncertain, for the reasons above.</w:t>
      </w:r>
    </w:p>
    <w:p w14:paraId="06A1DD86" w14:textId="77777777" w:rsidR="00975C60" w:rsidRPr="00975C60" w:rsidRDefault="00975C60" w:rsidP="00975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Weakly reinforces Candidate D; in real tension with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evidence.</w:t>
      </w:r>
    </w:p>
    <w:p w14:paraId="0ABC0B2A"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Classification: does not reach gravity status.</w:t>
      </w:r>
      <w:r w:rsidRPr="00975C60">
        <w:rPr>
          <w:rFonts w:ascii="Times New Roman" w:eastAsia="Times New Roman" w:hAnsi="Times New Roman" w:cs="Times New Roman"/>
          <w:kern w:val="0"/>
          <w14:ligatures w14:val="none"/>
        </w:rPr>
        <w:t xml:space="preserve"> Not classified as </w:t>
      </w:r>
      <w:proofErr w:type="gramStart"/>
      <w:r w:rsidRPr="00975C60">
        <w:rPr>
          <w:rFonts w:ascii="Times New Roman" w:eastAsia="Times New Roman" w:hAnsi="Times New Roman" w:cs="Times New Roman"/>
          <w:kern w:val="0"/>
          <w14:ligatures w14:val="none"/>
        </w:rPr>
        <w:t>a gravity</w:t>
      </w:r>
      <w:proofErr w:type="gramEnd"/>
      <w:r w:rsidRPr="00975C60">
        <w:rPr>
          <w:rFonts w:ascii="Times New Roman" w:eastAsia="Times New Roman" w:hAnsi="Times New Roman" w:cs="Times New Roman"/>
          <w:kern w:val="0"/>
          <w14:ligatures w14:val="none"/>
        </w:rPr>
        <w:t xml:space="preserve"> of this world.</w:t>
      </w:r>
    </w:p>
    <w:p w14:paraId="6B05078C"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D — Formation through relationship with an abba/amma who has walked the path before</w:t>
      </w:r>
    </w:p>
    <w:p w14:paraId="3AFF7607"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Repetition:</w:t>
      </w:r>
      <w:r w:rsidRPr="00975C60">
        <w:rPr>
          <w:rFonts w:ascii="Times New Roman" w:eastAsia="Times New Roman" w:hAnsi="Times New Roman" w:cs="Times New Roman"/>
          <w:kern w:val="0"/>
          <w14:ligatures w14:val="none"/>
        </w:rPr>
        <w:t xml:space="preserve"> Strong across all four strands. Anchoritic/semi-anchoritic: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defining structure.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housemasters, structured mentorship within Pachomius's own correspondence.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Shenoute's documented relationship </w:t>
      </w:r>
      <w:proofErr w:type="gramStart"/>
      <w:r w:rsidRPr="00975C60">
        <w:rPr>
          <w:rFonts w:ascii="Times New Roman" w:eastAsia="Times New Roman" w:hAnsi="Times New Roman" w:cs="Times New Roman"/>
          <w:kern w:val="0"/>
          <w14:ligatures w14:val="none"/>
        </w:rPr>
        <w:t>to</w:t>
      </w:r>
      <w:proofErr w:type="gramEnd"/>
      <w:r w:rsidRPr="00975C60">
        <w:rPr>
          <w:rFonts w:ascii="Times New Roman" w:eastAsia="Times New Roman" w:hAnsi="Times New Roman" w:cs="Times New Roman"/>
          <w:kern w:val="0"/>
          <w14:ligatures w14:val="none"/>
        </w:rPr>
        <w:t xml:space="preserve"> his predecessor </w:t>
      </w:r>
      <w:proofErr w:type="spellStart"/>
      <w:r w:rsidRPr="00975C60">
        <w:rPr>
          <w:rFonts w:ascii="Times New Roman" w:eastAsia="Times New Roman" w:hAnsi="Times New Roman" w:cs="Times New Roman"/>
          <w:kern w:val="0"/>
          <w14:ligatures w14:val="none"/>
        </w:rPr>
        <w:t>Pcol</w:t>
      </w:r>
      <w:proofErr w:type="spellEnd"/>
      <w:r w:rsidRPr="00975C60">
        <w:rPr>
          <w:rFonts w:ascii="Times New Roman" w:eastAsia="Times New Roman" w:hAnsi="Times New Roman" w:cs="Times New Roman"/>
          <w:kern w:val="0"/>
          <w14:ligatures w14:val="none"/>
        </w:rPr>
        <w:t>, and the housemaster/housemistress structure within his federation. Independently supported by the documentary papyrological record, which is not literarily mediated.</w:t>
      </w:r>
    </w:p>
    <w:p w14:paraId="755FC13B"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High across all strands.</w:t>
      </w:r>
    </w:p>
    <w:p w14:paraId="7584FAB4"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Strong and consistent in its function — correction, modeling, and graduated responsibility are transmitted through a structured relationship between a more and a less advanced practitioner in every strand's evidence.</w:t>
      </w:r>
    </w:p>
    <w:p w14:paraId="0992B86A"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High — explains formation mechanics across the anchoritic sayings-exchange,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housemaster structure, and Shenoute's own governance structure without requiring strand-specific exceptions to the basic relational mechanism.</w:t>
      </w:r>
    </w:p>
    <w:p w14:paraId="5CB97912"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75C60">
        <w:rPr>
          <w:rFonts w:ascii="Times New Roman" w:eastAsia="Times New Roman" w:hAnsi="Times New Roman" w:cs="Times New Roman"/>
          <w:b/>
          <w:bCs/>
          <w:kern w:val="0"/>
          <w14:ligatures w14:val="none"/>
        </w:rPr>
        <w:t>Persistence and temporal variance,</w:t>
      </w:r>
      <w:proofErr w:type="gramEnd"/>
      <w:r w:rsidRPr="00975C60">
        <w:rPr>
          <w:rFonts w:ascii="Times New Roman" w:eastAsia="Times New Roman" w:hAnsi="Times New Roman" w:cs="Times New Roman"/>
          <w:b/>
          <w:bCs/>
          <w:kern w:val="0"/>
          <w14:ligatures w14:val="none"/>
        </w:rPr>
        <w:t xml:space="preserve"> tested specifically rather than asserted:</w:t>
      </w:r>
      <w:r w:rsidRPr="00975C60">
        <w:rPr>
          <w:rFonts w:ascii="Times New Roman" w:eastAsia="Times New Roman" w:hAnsi="Times New Roman" w:cs="Times New Roman"/>
          <w:kern w:val="0"/>
          <w14:ligatures w14:val="none"/>
        </w:rPr>
        <w:t xml:space="preserve"> The institutional container changes by traceable, identifiable cause, not by drift. At </w:t>
      </w:r>
      <w:proofErr w:type="spellStart"/>
      <w:r w:rsidRPr="00975C60">
        <w:rPr>
          <w:rFonts w:ascii="Times New Roman" w:eastAsia="Times New Roman" w:hAnsi="Times New Roman" w:cs="Times New Roman"/>
          <w:kern w:val="0"/>
          <w14:ligatures w14:val="none"/>
        </w:rPr>
        <w:t>Scetis</w:t>
      </w:r>
      <w:proofErr w:type="spellEnd"/>
      <w:r w:rsidRPr="00975C60">
        <w:rPr>
          <w:rFonts w:ascii="Times New Roman" w:eastAsia="Times New Roman" w:hAnsi="Times New Roman" w:cs="Times New Roman"/>
          <w:kern w:val="0"/>
          <w14:ligatures w14:val="none"/>
        </w:rPr>
        <w:t xml:space="preserve">, the informal abba-disciple exchange the </w:t>
      </w:r>
      <w:proofErr w:type="spellStart"/>
      <w:r w:rsidRPr="00975C60">
        <w:rPr>
          <w:rFonts w:ascii="Times New Roman" w:eastAsia="Times New Roman" w:hAnsi="Times New Roman" w:cs="Times New Roman"/>
          <w:kern w:val="0"/>
          <w14:ligatures w14:val="none"/>
        </w:rPr>
        <w:t>Apophthegmata</w:t>
      </w:r>
      <w:proofErr w:type="spellEnd"/>
      <w:r w:rsidRPr="00975C60">
        <w:rPr>
          <w:rFonts w:ascii="Times New Roman" w:eastAsia="Times New Roman" w:hAnsi="Times New Roman" w:cs="Times New Roman"/>
          <w:kern w:val="0"/>
          <w14:ligatures w14:val="none"/>
        </w:rPr>
        <w:t xml:space="preserve"> depicts was itself disrupted by the 407, 434, and 444 raids; the named consequence is not gradual evolution but documented displacement — survivors carrying the practice to Palestine, where the compiling </w:t>
      </w:r>
      <w:r w:rsidRPr="00975C60">
        <w:rPr>
          <w:rFonts w:ascii="Times New Roman" w:eastAsia="Times New Roman" w:hAnsi="Times New Roman" w:cs="Times New Roman"/>
          <w:kern w:val="0"/>
          <w14:ligatures w14:val="none"/>
        </w:rPr>
        <w:lastRenderedPageBreak/>
        <w:t xml:space="preserve">community's own retrospective, elegiac framing of the sayings (the Arsenius lament) is itself evidence the relational mechanism was experienced as endangered, not as smoothly continuous. In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federation, the housemaster structure is attested from the community's own founding documents in the 320s–330s, not introduced later as the anchoritic ideal scaled up — meaning this is a second, independently-originated instantiation of the same basic mechanism, present in parallel from early in the window, not a development out of the anchoritic form. In Shenoute's federation, the housemaster/housemistress structure is similarly attested as a founding feature of </w:t>
      </w:r>
      <w:proofErr w:type="spellStart"/>
      <w:r w:rsidRPr="00975C60">
        <w:rPr>
          <w:rFonts w:ascii="Times New Roman" w:eastAsia="Times New Roman" w:hAnsi="Times New Roman" w:cs="Times New Roman"/>
          <w:kern w:val="0"/>
          <w14:ligatures w14:val="none"/>
        </w:rPr>
        <w:t>Pcol's</w:t>
      </w:r>
      <w:proofErr w:type="spellEnd"/>
      <w:r w:rsidRPr="00975C60">
        <w:rPr>
          <w:rFonts w:ascii="Times New Roman" w:eastAsia="Times New Roman" w:hAnsi="Times New Roman" w:cs="Times New Roman"/>
          <w:kern w:val="0"/>
          <w14:ligatures w14:val="none"/>
        </w:rPr>
        <w:t xml:space="preserve"> and then Shenoute's own organization, not a later innovation. </w:t>
      </w:r>
      <w:r w:rsidRPr="00975C60">
        <w:rPr>
          <w:rFonts w:ascii="Times New Roman" w:eastAsia="Times New Roman" w:hAnsi="Times New Roman" w:cs="Times New Roman"/>
          <w:b/>
          <w:bCs/>
          <w:kern w:val="0"/>
          <w14:ligatures w14:val="none"/>
        </w:rPr>
        <w:t>A caution this document owes itself directly:</w:t>
      </w:r>
      <w:r w:rsidRPr="00975C60">
        <w:rPr>
          <w:rFonts w:ascii="Times New Roman" w:eastAsia="Times New Roman" w:hAnsi="Times New Roman" w:cs="Times New Roman"/>
          <w:kern w:val="0"/>
          <w14:ligatures w14:val="none"/>
        </w:rPr>
        <w:t xml:space="preserve"> stated at this level of abstraction — "formation happens through a relationship with someone further along the path" — this candidate is broad enough that it would likely be instantiated by nearly any sustained religious formation system, monastic or otherwise, and its cross-strand persistence is therefore partly an artifact of the generality of its own statement rather than purely evidence of one specific, richly-described gravity holding steady through real change. What keeps this from being empty is the independently-documented </w:t>
      </w:r>
      <w:r w:rsidRPr="00975C60">
        <w:rPr>
          <w:rFonts w:ascii="Times New Roman" w:eastAsia="Times New Roman" w:hAnsi="Times New Roman" w:cs="Times New Roman"/>
          <w:i/>
          <w:iCs/>
          <w:kern w:val="0"/>
          <w14:ligatures w14:val="none"/>
        </w:rPr>
        <w:t>specific mechanism</w:t>
      </w:r>
      <w:r w:rsidRPr="00975C60">
        <w:rPr>
          <w:rFonts w:ascii="Times New Roman" w:eastAsia="Times New Roman" w:hAnsi="Times New Roman" w:cs="Times New Roman"/>
          <w:kern w:val="0"/>
          <w14:ligatures w14:val="none"/>
        </w:rPr>
        <w:t xml:space="preserve"> — recognized, named individuals occupying a structurally similar role (abba, housemaster, archimandrite-over-housemasters) and the existence of a real literary and documentary record of disciples actively seeking out that particular kind of guidance (the papyrological letters,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"give me a word" formula, Shenoute's own succession narrative) — rather than a vaguer claim about hierarchy or teaching existing in any community. This document holds the classification below while naming this limitation rather than letting the abstraction pass as if it were self-evidently as concrete as Candidate F's </w:t>
      </w:r>
      <w:proofErr w:type="gramStart"/>
      <w:r w:rsidRPr="00975C60">
        <w:rPr>
          <w:rFonts w:ascii="Times New Roman" w:eastAsia="Times New Roman" w:hAnsi="Times New Roman" w:cs="Times New Roman"/>
          <w:kern w:val="0"/>
          <w14:ligatures w14:val="none"/>
        </w:rPr>
        <w:t>archaeologically-grounded</w:t>
      </w:r>
      <w:proofErr w:type="gramEnd"/>
      <w:r w:rsidRPr="00975C60">
        <w:rPr>
          <w:rFonts w:ascii="Times New Roman" w:eastAsia="Times New Roman" w:hAnsi="Times New Roman" w:cs="Times New Roman"/>
          <w:kern w:val="0"/>
          <w14:ligatures w14:val="none"/>
        </w:rPr>
        <w:t xml:space="preserve"> behavioral pattern.</w:t>
      </w:r>
    </w:p>
    <w:p w14:paraId="52669B14" w14:textId="77777777" w:rsidR="00975C60" w:rsidRPr="00975C60" w:rsidRDefault="00975C60" w:rsidP="00975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Reinforces Candidate A in the anchoritic strand; is the strongest bridge across the strand-divergence finding, operating recognizably in the anchoritic,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strands alike even as its packaging differs.</w:t>
      </w:r>
    </w:p>
    <w:p w14:paraId="45582B8D"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Classification: Primary</w:t>
      </w:r>
      <w:r w:rsidRPr="00975C60">
        <w:rPr>
          <w:rFonts w:ascii="Times New Roman" w:eastAsia="Times New Roman" w:hAnsi="Times New Roman" w:cs="Times New Roman"/>
          <w:kern w:val="0"/>
          <w14:ligatures w14:val="none"/>
        </w:rPr>
        <w:t>, held with the caution above named explicitly rather than left implicit.</w:t>
      </w:r>
    </w:p>
    <w:p w14:paraId="628B9F88"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E — Authority earned through struggle rather than conferred by office</w:t>
      </w:r>
    </w:p>
    <w:p w14:paraId="2174000C"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Repetition:</w:t>
      </w:r>
      <w:r w:rsidRPr="00975C60">
        <w:rPr>
          <w:rFonts w:ascii="Times New Roman" w:eastAsia="Times New Roman" w:hAnsi="Times New Roman" w:cs="Times New Roman"/>
          <w:kern w:val="0"/>
          <w14:ligatures w14:val="none"/>
        </w:rPr>
        <w:t xml:space="preserve"> Strong in the anchoritic/semi-anchoritic strand. Present in modified form in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strand. Genuinely strained in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 Shenoute's authority, while reinforced by his own account of disciplined struggle, is substantially office-based — archimandrite of a federation, recognized by the highest ecclesial authority — in a way that sits closer to conferred institutional standing than to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model of authority arising from recognized struggle alone.</w:t>
      </w:r>
    </w:p>
    <w:p w14:paraId="7A328574"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High for the anchoritic strand; low for Shenoute, where removing the office would remove most of what </w:t>
      </w:r>
      <w:proofErr w:type="gramStart"/>
      <w:r w:rsidRPr="00975C60">
        <w:rPr>
          <w:rFonts w:ascii="Times New Roman" w:eastAsia="Times New Roman" w:hAnsi="Times New Roman" w:cs="Times New Roman"/>
          <w:kern w:val="0"/>
          <w14:ligatures w14:val="none"/>
        </w:rPr>
        <w:t>actually constitutes</w:t>
      </w:r>
      <w:proofErr w:type="gramEnd"/>
      <w:r w:rsidRPr="00975C60">
        <w:rPr>
          <w:rFonts w:ascii="Times New Roman" w:eastAsia="Times New Roman" w:hAnsi="Times New Roman" w:cs="Times New Roman"/>
          <w:kern w:val="0"/>
          <w14:ligatures w14:val="none"/>
        </w:rPr>
        <w:t xml:space="preserve"> his operative authority.</w:t>
      </w:r>
    </w:p>
    <w:p w14:paraId="7F369CB6"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Central in the anchoritic strand; supplementary in Shenoute's case.</w:t>
      </w:r>
    </w:p>
    <w:p w14:paraId="6D26EFC5"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Explains the anchoritic authority structure well; explains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structure only partially.</w:t>
      </w:r>
    </w:p>
    <w:p w14:paraId="09C949F0"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w:t>
      </w:r>
      <w:r w:rsidRPr="00975C60">
        <w:rPr>
          <w:rFonts w:ascii="Times New Roman" w:eastAsia="Times New Roman" w:hAnsi="Times New Roman" w:cs="Times New Roman"/>
          <w:kern w:val="0"/>
          <w14:ligatures w14:val="none"/>
        </w:rPr>
        <w:t xml:space="preserve"> This candidate's relative strength changes across strands by virtue of two different starting conditions present together from early in the period —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cenobitic strands were founded with formal structure from the outset, not </w:t>
      </w:r>
      <w:r w:rsidRPr="00975C60">
        <w:rPr>
          <w:rFonts w:ascii="Times New Roman" w:eastAsia="Times New Roman" w:hAnsi="Times New Roman" w:cs="Times New Roman"/>
          <w:kern w:val="0"/>
          <w14:ligatures w14:val="none"/>
        </w:rPr>
        <w:lastRenderedPageBreak/>
        <w:t>as a later institutional encrustation on an originally pure charismatic ideal — rather than one gravity fading through a single maturation process.</w:t>
      </w:r>
    </w:p>
    <w:p w14:paraId="0A2628EC" w14:textId="77777777" w:rsidR="00975C60" w:rsidRPr="00975C60" w:rsidRDefault="00975C60" w:rsidP="00975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This is the candidate most directly implicated in the authority-tension finding carried forward from Document 01, and testing here confirms rather than resolves that finding's seriousness.</w:t>
      </w:r>
    </w:p>
    <w:p w14:paraId="74FCAA11"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 xml:space="preserve">Classification: Primary for the anchoritic/semi-anchoritic strand; does not independently reach gravity status for the </w:t>
      </w:r>
      <w:proofErr w:type="spellStart"/>
      <w:r w:rsidRPr="00975C60">
        <w:rPr>
          <w:rFonts w:ascii="Times New Roman" w:eastAsia="Times New Roman" w:hAnsi="Times New Roman" w:cs="Times New Roman"/>
          <w:b/>
          <w:bCs/>
          <w:kern w:val="0"/>
          <w14:ligatures w14:val="none"/>
        </w:rPr>
        <w:t>Shenoutean</w:t>
      </w:r>
      <w:proofErr w:type="spellEnd"/>
      <w:r w:rsidRPr="00975C60">
        <w:rPr>
          <w:rFonts w:ascii="Times New Roman" w:eastAsia="Times New Roman" w:hAnsi="Times New Roman" w:cs="Times New Roman"/>
          <w:b/>
          <w:bCs/>
          <w:kern w:val="0"/>
          <w14:ligatures w14:val="none"/>
        </w:rPr>
        <w:t xml:space="preserve"> strand,</w:t>
      </w:r>
      <w:r w:rsidRPr="00975C60">
        <w:rPr>
          <w:rFonts w:ascii="Times New Roman" w:eastAsia="Times New Roman" w:hAnsi="Times New Roman" w:cs="Times New Roman"/>
          <w:kern w:val="0"/>
          <w14:ligatures w14:val="none"/>
        </w:rPr>
        <w:t xml:space="preserve"> where office-conferred authority does comparable or greater explanatory work.</w:t>
      </w:r>
    </w:p>
    <w:p w14:paraId="1C154131"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 F — The body as the site of spiritual transformation, tested for fracture with the same rigor applied to Candidate B</w:t>
      </w:r>
    </w:p>
    <w:p w14:paraId="7672C7BE"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Run as the genuinely consequential test of this document: does "the body as site of transformation" describe one shared thing across strands, theologized differently, or four different accounts of what the body even is, sharing a vocabulary word the way "demons" did for Candidate B?</w:t>
      </w:r>
    </w:p>
    <w:p w14:paraId="2C65C726"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75C60">
        <w:rPr>
          <w:rFonts w:ascii="Times New Roman" w:eastAsia="Times New Roman" w:hAnsi="Times New Roman" w:cs="Times New Roman"/>
          <w:b/>
          <w:bCs/>
          <w:kern w:val="0"/>
          <w14:ligatures w14:val="none"/>
        </w:rPr>
        <w:t>Repetition,</w:t>
      </w:r>
      <w:proofErr w:type="gramEnd"/>
      <w:r w:rsidRPr="00975C60">
        <w:rPr>
          <w:rFonts w:ascii="Times New Roman" w:eastAsia="Times New Roman" w:hAnsi="Times New Roman" w:cs="Times New Roman"/>
          <w:b/>
          <w:bCs/>
          <w:kern w:val="0"/>
          <w14:ligatures w14:val="none"/>
        </w:rPr>
        <w:t xml:space="preserve"> examined closely rather than assumed:</w:t>
      </w:r>
      <w:r w:rsidRPr="00975C60">
        <w:rPr>
          <w:rFonts w:ascii="Times New Roman" w:eastAsia="Times New Roman" w:hAnsi="Times New Roman" w:cs="Times New Roman"/>
          <w:kern w:val="0"/>
          <w14:ligatures w14:val="none"/>
        </w:rPr>
        <w:t xml:space="preserve"> Bodily practice itself — fasting, vigil, manual labor, physical discipline — is genuinely repeated across all four strands and is independently attested archaeologically (cell construction, the material record of monastic daily life) and documentarily, not only through theologically-loaded literary sources. This behavioral layer survives the splitting test cleanly. The </w:t>
      </w:r>
      <w:r w:rsidRPr="00975C60">
        <w:rPr>
          <w:rFonts w:ascii="Times New Roman" w:eastAsia="Times New Roman" w:hAnsi="Times New Roman" w:cs="Times New Roman"/>
          <w:i/>
          <w:iCs/>
          <w:kern w:val="0"/>
          <w14:ligatures w14:val="none"/>
        </w:rPr>
        <w:t xml:space="preserve">theological account of why the body matters and where the relevant spiritual stakes </w:t>
      </w:r>
      <w:proofErr w:type="gramStart"/>
      <w:r w:rsidRPr="00975C60">
        <w:rPr>
          <w:rFonts w:ascii="Times New Roman" w:eastAsia="Times New Roman" w:hAnsi="Times New Roman" w:cs="Times New Roman"/>
          <w:i/>
          <w:iCs/>
          <w:kern w:val="0"/>
          <w14:ligatures w14:val="none"/>
        </w:rPr>
        <w:t>actually sit</w:t>
      </w:r>
      <w:proofErr w:type="gramEnd"/>
      <w:r w:rsidRPr="00975C60">
        <w:rPr>
          <w:rFonts w:ascii="Times New Roman" w:eastAsia="Times New Roman" w:hAnsi="Times New Roman" w:cs="Times New Roman"/>
          <w:kern w:val="0"/>
          <w14:ligatures w14:val="none"/>
        </w:rPr>
        <w:t xml:space="preserve">, however, does not survive the same test intact. Per Schroeder's own structuring of the evidence: Shenoute's </w:t>
      </w:r>
      <w:r w:rsidRPr="00975C60">
        <w:rPr>
          <w:rFonts w:ascii="Times New Roman" w:eastAsia="Times New Roman" w:hAnsi="Times New Roman" w:cs="Times New Roman"/>
          <w:i/>
          <w:iCs/>
          <w:kern w:val="0"/>
          <w14:ligatures w14:val="none"/>
        </w:rPr>
        <w:t>earliest letters</w:t>
      </w:r>
      <w:r w:rsidRPr="00975C60">
        <w:rPr>
          <w:rFonts w:ascii="Times New Roman" w:eastAsia="Times New Roman" w:hAnsi="Times New Roman" w:cs="Times New Roman"/>
          <w:kern w:val="0"/>
          <w14:ligatures w14:val="none"/>
        </w:rPr>
        <w:t xml:space="preserve"> (the documented basis for his corporate-body, individual-sin-corrupts-the-community theology) </w:t>
      </w:r>
      <w:proofErr w:type="gramStart"/>
      <w:r w:rsidRPr="00975C60">
        <w:rPr>
          <w:rFonts w:ascii="Times New Roman" w:eastAsia="Times New Roman" w:hAnsi="Times New Roman" w:cs="Times New Roman"/>
          <w:kern w:val="0"/>
          <w14:ligatures w14:val="none"/>
        </w:rPr>
        <w:t>locate</w:t>
      </w:r>
      <w:proofErr w:type="gramEnd"/>
      <w:r w:rsidRPr="00975C60">
        <w:rPr>
          <w:rFonts w:ascii="Times New Roman" w:eastAsia="Times New Roman" w:hAnsi="Times New Roman" w:cs="Times New Roman"/>
          <w:kern w:val="0"/>
          <w14:ligatures w14:val="none"/>
        </w:rPr>
        <w:t xml:space="preserve"> the operative spiritual stakes in the </w:t>
      </w:r>
      <w:r w:rsidRPr="00975C60">
        <w:rPr>
          <w:rFonts w:ascii="Times New Roman" w:eastAsia="Times New Roman" w:hAnsi="Times New Roman" w:cs="Times New Roman"/>
          <w:b/>
          <w:bCs/>
          <w:kern w:val="0"/>
          <w14:ligatures w14:val="none"/>
        </w:rPr>
        <w:t>collective monastic body</w:t>
      </w:r>
      <w:r w:rsidRPr="00975C60">
        <w:rPr>
          <w:rFonts w:ascii="Times New Roman" w:eastAsia="Times New Roman" w:hAnsi="Times New Roman" w:cs="Times New Roman"/>
          <w:kern w:val="0"/>
          <w14:ligatures w14:val="none"/>
        </w:rPr>
        <w:t xml:space="preserve">, with individual bodily purity mattering because of its bearing on that corporate body's integrity. Shenoute's </w:t>
      </w:r>
      <w:r w:rsidRPr="00975C60">
        <w:rPr>
          <w:rFonts w:ascii="Times New Roman" w:eastAsia="Times New Roman" w:hAnsi="Times New Roman" w:cs="Times New Roman"/>
          <w:i/>
          <w:iCs/>
          <w:kern w:val="0"/>
          <w14:ligatures w14:val="none"/>
        </w:rPr>
        <w:t>resurrection theology</w:t>
      </w:r>
      <w:r w:rsidRPr="00975C60">
        <w:rPr>
          <w:rFonts w:ascii="Times New Roman" w:eastAsia="Times New Roman" w:hAnsi="Times New Roman" w:cs="Times New Roman"/>
          <w:kern w:val="0"/>
          <w14:ligatures w14:val="none"/>
        </w:rPr>
        <w:t xml:space="preserve"> — the incarnational, body-affirming material explicitly defending the goodness and future resurrection of the body — is drawn from his </w:t>
      </w:r>
      <w:r w:rsidRPr="00975C60">
        <w:rPr>
          <w:rFonts w:ascii="Times New Roman" w:eastAsia="Times New Roman" w:hAnsi="Times New Roman" w:cs="Times New Roman"/>
          <w:i/>
          <w:iCs/>
          <w:kern w:val="0"/>
          <w14:ligatures w14:val="none"/>
        </w:rPr>
        <w:t>Discourses</w:t>
      </w:r>
      <w:r w:rsidRPr="00975C60">
        <w:rPr>
          <w:rFonts w:ascii="Times New Roman" w:eastAsia="Times New Roman" w:hAnsi="Times New Roman" w:cs="Times New Roman"/>
          <w:kern w:val="0"/>
          <w14:ligatures w14:val="none"/>
        </w:rPr>
        <w:t xml:space="preserve">, tied by the specialist literature to the Christological controversies of his later career (Ephesus 431 and the theological environment running toward and past it), not to an early or foundational layer of his thought. This matters in two ways the prior account of this candidate did not adequately separate. First, </w:t>
      </w:r>
      <w:r w:rsidRPr="00975C60">
        <w:rPr>
          <w:rFonts w:ascii="Times New Roman" w:eastAsia="Times New Roman" w:hAnsi="Times New Roman" w:cs="Times New Roman"/>
          <w:b/>
          <w:bCs/>
          <w:kern w:val="0"/>
          <w14:ligatures w14:val="none"/>
        </w:rPr>
        <w:t xml:space="preserve">Shenoute's body-theology is not simply a different theological gloss on the same individually-located battleground Antony and </w:t>
      </w:r>
      <w:proofErr w:type="spellStart"/>
      <w:r w:rsidRPr="00975C60">
        <w:rPr>
          <w:rFonts w:ascii="Times New Roman" w:eastAsia="Times New Roman" w:hAnsi="Times New Roman" w:cs="Times New Roman"/>
          <w:b/>
          <w:bCs/>
          <w:kern w:val="0"/>
          <w14:ligatures w14:val="none"/>
        </w:rPr>
        <w:t>Evagrius</w:t>
      </w:r>
      <w:proofErr w:type="spellEnd"/>
      <w:r w:rsidRPr="00975C60">
        <w:rPr>
          <w:rFonts w:ascii="Times New Roman" w:eastAsia="Times New Roman" w:hAnsi="Times New Roman" w:cs="Times New Roman"/>
          <w:b/>
          <w:bCs/>
          <w:kern w:val="0"/>
          <w14:ligatures w14:val="none"/>
        </w:rPr>
        <w:t xml:space="preserve"> describe; it is, in its earliest documented form, a claim about a different unit of analysis altogether</w:t>
      </w:r>
      <w:r w:rsidRPr="00975C60">
        <w:rPr>
          <w:rFonts w:ascii="Times New Roman" w:eastAsia="Times New Roman" w:hAnsi="Times New Roman" w:cs="Times New Roman"/>
          <w:kern w:val="0"/>
          <w14:ligatures w14:val="none"/>
        </w:rPr>
        <w:t xml:space="preserve"> — the corporate, communal body, not chiefly the individual ascetic's own contested interior — which is a difference in what the body </w:t>
      </w:r>
      <w:r w:rsidRPr="00975C60">
        <w:rPr>
          <w:rFonts w:ascii="Times New Roman" w:eastAsia="Times New Roman" w:hAnsi="Times New Roman" w:cs="Times New Roman"/>
          <w:i/>
          <w:iCs/>
          <w:kern w:val="0"/>
          <w14:ligatures w14:val="none"/>
        </w:rPr>
        <w:t>is</w:t>
      </w:r>
      <w:r w:rsidRPr="00975C60">
        <w:rPr>
          <w:rFonts w:ascii="Times New Roman" w:eastAsia="Times New Roman" w:hAnsi="Times New Roman" w:cs="Times New Roman"/>
          <w:kern w:val="0"/>
          <w14:ligatures w14:val="none"/>
        </w:rPr>
        <w:t xml:space="preserve"> within the formation economy, not merely a difference in why bodily discipline matters. Second, the resurrection-theology material that does engage the individual body's ultimate status is demonstrably a </w:t>
      </w:r>
      <w:r w:rsidRPr="00975C60">
        <w:rPr>
          <w:rFonts w:ascii="Times New Roman" w:eastAsia="Times New Roman" w:hAnsi="Times New Roman" w:cs="Times New Roman"/>
          <w:i/>
          <w:iCs/>
          <w:kern w:val="0"/>
          <w14:ligatures w14:val="none"/>
        </w:rPr>
        <w:t>later</w:t>
      </w:r>
      <w:r w:rsidRPr="00975C60">
        <w:rPr>
          <w:rFonts w:ascii="Times New Roman" w:eastAsia="Times New Roman" w:hAnsi="Times New Roman" w:cs="Times New Roman"/>
          <w:kern w:val="0"/>
          <w14:ligatures w14:val="none"/>
        </w:rPr>
        <w:t xml:space="preserve"> development in his own career, prompted by external Christological controversy, not an early or foundational layer this document can treat as comparably continuous with Antony's or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frameworks from early in the period.</w:t>
      </w:r>
    </w:p>
    <w:p w14:paraId="5795D1D9"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High for bodily practice itself across all strands. For the theological account of the body's significance, dependency is strand-specific: Antony's and </w:t>
      </w:r>
      <w:proofErr w:type="spellStart"/>
      <w:r w:rsidRPr="00975C60">
        <w:rPr>
          <w:rFonts w:ascii="Times New Roman" w:eastAsia="Times New Roman" w:hAnsi="Times New Roman" w:cs="Times New Roman"/>
          <w:kern w:val="0"/>
          <w14:ligatures w14:val="none"/>
        </w:rPr>
        <w:lastRenderedPageBreak/>
        <w:t>Evagrius's</w:t>
      </w:r>
      <w:proofErr w:type="spellEnd"/>
      <w:r w:rsidRPr="00975C60">
        <w:rPr>
          <w:rFonts w:ascii="Times New Roman" w:eastAsia="Times New Roman" w:hAnsi="Times New Roman" w:cs="Times New Roman"/>
          <w:kern w:val="0"/>
          <w14:ligatures w14:val="none"/>
        </w:rPr>
        <w:t xml:space="preserve"> frameworks depend on an individually-located battleground; Shenoute's earliest framework depends on a corporate-body model that does not require an individually-contested interior in the same sense, and his later resurrection theology depends on a Christological controversy external to this world's core formation logic.</w:t>
      </w:r>
    </w:p>
    <w:p w14:paraId="29A051E4"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Strong and consistent for bodily </w:t>
      </w:r>
      <w:r w:rsidRPr="00975C60">
        <w:rPr>
          <w:rFonts w:ascii="Times New Roman" w:eastAsia="Times New Roman" w:hAnsi="Times New Roman" w:cs="Times New Roman"/>
          <w:i/>
          <w:iCs/>
          <w:kern w:val="0"/>
          <w14:ligatures w14:val="none"/>
        </w:rPr>
        <w:t>practice</w:t>
      </w:r>
      <w:r w:rsidRPr="00975C60">
        <w:rPr>
          <w:rFonts w:ascii="Times New Roman" w:eastAsia="Times New Roman" w:hAnsi="Times New Roman" w:cs="Times New Roman"/>
          <w:kern w:val="0"/>
          <w14:ligatures w14:val="none"/>
        </w:rPr>
        <w:t xml:space="preserve">. For the theological </w:t>
      </w:r>
      <w:r w:rsidRPr="00975C60">
        <w:rPr>
          <w:rFonts w:ascii="Times New Roman" w:eastAsia="Times New Roman" w:hAnsi="Times New Roman" w:cs="Times New Roman"/>
          <w:i/>
          <w:iCs/>
          <w:kern w:val="0"/>
          <w14:ligatures w14:val="none"/>
        </w:rPr>
        <w:t>meaning</w:t>
      </w:r>
      <w:r w:rsidRPr="00975C60">
        <w:rPr>
          <w:rFonts w:ascii="Times New Roman" w:eastAsia="Times New Roman" w:hAnsi="Times New Roman" w:cs="Times New Roman"/>
          <w:kern w:val="0"/>
          <w14:ligatures w14:val="none"/>
        </w:rPr>
        <w:t xml:space="preserve"> of that practice, formation differs in kind, not merely degree, between the </w:t>
      </w:r>
      <w:proofErr w:type="gramStart"/>
      <w:r w:rsidRPr="00975C60">
        <w:rPr>
          <w:rFonts w:ascii="Times New Roman" w:eastAsia="Times New Roman" w:hAnsi="Times New Roman" w:cs="Times New Roman"/>
          <w:kern w:val="0"/>
          <w14:ligatures w14:val="none"/>
        </w:rPr>
        <w:t>individually-centered</w:t>
      </w:r>
      <w:proofErr w:type="gramEnd"/>
      <w:r w:rsidRPr="00975C60">
        <w:rPr>
          <w:rFonts w:ascii="Times New Roman" w:eastAsia="Times New Roman" w:hAnsi="Times New Roman" w:cs="Times New Roman"/>
          <w:kern w:val="0"/>
          <w14:ligatures w14:val="none"/>
        </w:rPr>
        <w:t xml:space="preserve"> anchoritic/</w:t>
      </w:r>
      <w:proofErr w:type="spellStart"/>
      <w:r w:rsidRPr="00975C60">
        <w:rPr>
          <w:rFonts w:ascii="Times New Roman" w:eastAsia="Times New Roman" w:hAnsi="Times New Roman" w:cs="Times New Roman"/>
          <w:kern w:val="0"/>
          <w14:ligatures w14:val="none"/>
        </w:rPr>
        <w:t>Evagrian</w:t>
      </w:r>
      <w:proofErr w:type="spellEnd"/>
      <w:r w:rsidRPr="00975C60">
        <w:rPr>
          <w:rFonts w:ascii="Times New Roman" w:eastAsia="Times New Roman" w:hAnsi="Times New Roman" w:cs="Times New Roman"/>
          <w:kern w:val="0"/>
          <w14:ligatures w14:val="none"/>
        </w:rPr>
        <w:t xml:space="preserve"> frame and Shenoute's </w:t>
      </w:r>
      <w:proofErr w:type="gramStart"/>
      <w:r w:rsidRPr="00975C60">
        <w:rPr>
          <w:rFonts w:ascii="Times New Roman" w:eastAsia="Times New Roman" w:hAnsi="Times New Roman" w:cs="Times New Roman"/>
          <w:kern w:val="0"/>
          <w14:ligatures w14:val="none"/>
        </w:rPr>
        <w:t>corporately-centered</w:t>
      </w:r>
      <w:proofErr w:type="gramEnd"/>
      <w:r w:rsidRPr="00975C60">
        <w:rPr>
          <w:rFonts w:ascii="Times New Roman" w:eastAsia="Times New Roman" w:hAnsi="Times New Roman" w:cs="Times New Roman"/>
          <w:kern w:val="0"/>
          <w14:ligatures w14:val="none"/>
        </w:rPr>
        <w:t xml:space="preserve"> and (later) </w:t>
      </w:r>
      <w:proofErr w:type="gramStart"/>
      <w:r w:rsidRPr="00975C60">
        <w:rPr>
          <w:rFonts w:ascii="Times New Roman" w:eastAsia="Times New Roman" w:hAnsi="Times New Roman" w:cs="Times New Roman"/>
          <w:kern w:val="0"/>
          <w14:ligatures w14:val="none"/>
        </w:rPr>
        <w:t>Christologically-centered</w:t>
      </w:r>
      <w:proofErr w:type="gramEnd"/>
      <w:r w:rsidRPr="00975C60">
        <w:rPr>
          <w:rFonts w:ascii="Times New Roman" w:eastAsia="Times New Roman" w:hAnsi="Times New Roman" w:cs="Times New Roman"/>
          <w:kern w:val="0"/>
          <w14:ligatures w14:val="none"/>
        </w:rPr>
        <w:t xml:space="preserve"> frames.</w:t>
      </w:r>
    </w:p>
    <w:p w14:paraId="06726C6D"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High for explaining ascetic </w:t>
      </w:r>
      <w:r w:rsidRPr="00975C60">
        <w:rPr>
          <w:rFonts w:ascii="Times New Roman" w:eastAsia="Times New Roman" w:hAnsi="Times New Roman" w:cs="Times New Roman"/>
          <w:i/>
          <w:iCs/>
          <w:kern w:val="0"/>
          <w14:ligatures w14:val="none"/>
        </w:rPr>
        <w:t>practice</w:t>
      </w:r>
      <w:r w:rsidRPr="00975C60">
        <w:rPr>
          <w:rFonts w:ascii="Times New Roman" w:eastAsia="Times New Roman" w:hAnsi="Times New Roman" w:cs="Times New Roman"/>
          <w:kern w:val="0"/>
          <w14:ligatures w14:val="none"/>
        </w:rPr>
        <w:t xml:space="preserve"> across every strand without exception. Markedly lower for explaining </w:t>
      </w:r>
      <w:r w:rsidRPr="00975C60">
        <w:rPr>
          <w:rFonts w:ascii="Times New Roman" w:eastAsia="Times New Roman" w:hAnsi="Times New Roman" w:cs="Times New Roman"/>
          <w:i/>
          <w:iCs/>
          <w:kern w:val="0"/>
          <w14:ligatures w14:val="none"/>
        </w:rPr>
        <w:t>why that practice matters</w:t>
      </w:r>
      <w:r w:rsidRPr="00975C60">
        <w:rPr>
          <w:rFonts w:ascii="Times New Roman" w:eastAsia="Times New Roman" w:hAnsi="Times New Roman" w:cs="Times New Roman"/>
          <w:kern w:val="0"/>
          <w14:ligatures w14:val="none"/>
        </w:rPr>
        <w:t xml:space="preserve"> across strands without exception, once Shenoute's corporate-body and later resurrection material are read on their own documented terms rather than assimilated to the individual-battleground model by default.</w:t>
      </w:r>
    </w:p>
    <w:p w14:paraId="6EB647D8"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 and temporal variance:</w:t>
      </w:r>
      <w:r w:rsidRPr="00975C60">
        <w:rPr>
          <w:rFonts w:ascii="Times New Roman" w:eastAsia="Times New Roman" w:hAnsi="Times New Roman" w:cs="Times New Roman"/>
          <w:kern w:val="0"/>
          <w14:ligatures w14:val="none"/>
        </w:rPr>
        <w:t xml:space="preserve"> Bodily practice persists throughout the window without interruption. The theological elaboration does not show one gravity persisting with varied expression; it shows a recognizable behavioral pattern undergirded by </w:t>
      </w:r>
      <w:r w:rsidRPr="00975C60">
        <w:rPr>
          <w:rFonts w:ascii="Times New Roman" w:eastAsia="Times New Roman" w:hAnsi="Times New Roman" w:cs="Times New Roman"/>
          <w:b/>
          <w:bCs/>
          <w:kern w:val="0"/>
          <w14:ligatures w14:val="none"/>
        </w:rPr>
        <w:t>at least two not-fully-compatible theological accounts of what the body is for the formation economy</w:t>
      </w:r>
      <w:r w:rsidRPr="00975C60">
        <w:rPr>
          <w:rFonts w:ascii="Times New Roman" w:eastAsia="Times New Roman" w:hAnsi="Times New Roman" w:cs="Times New Roman"/>
          <w:kern w:val="0"/>
          <w14:ligatures w14:val="none"/>
        </w:rPr>
        <w:t xml:space="preserve"> (individual battleground; corporate body; with resurrection-theology as a further, later, externally-prompted layer specifically in Shenoute's case) — and unlike Candidate D's housemaster structures, which instantiate one mechanism in different containers, these are not obviously different containers for one underlying claim.</w:t>
      </w:r>
    </w:p>
    <w:p w14:paraId="61EF16CA" w14:textId="77777777" w:rsidR="00975C60" w:rsidRPr="00975C60" w:rsidRDefault="00975C60" w:rsidP="00975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Bodily practice interacts strongly and consistently with Candidate D across all strands. The theological-meaning layer interacts differently by strand: strongly with Candidate B in the individually-centered anchoritic/</w:t>
      </w:r>
      <w:proofErr w:type="spellStart"/>
      <w:r w:rsidRPr="00975C60">
        <w:rPr>
          <w:rFonts w:ascii="Times New Roman" w:eastAsia="Times New Roman" w:hAnsi="Times New Roman" w:cs="Times New Roman"/>
          <w:kern w:val="0"/>
          <w14:ligatures w14:val="none"/>
        </w:rPr>
        <w:t>Evagrian</w:t>
      </w:r>
      <w:proofErr w:type="spellEnd"/>
      <w:r w:rsidRPr="00975C60">
        <w:rPr>
          <w:rFonts w:ascii="Times New Roman" w:eastAsia="Times New Roman" w:hAnsi="Times New Roman" w:cs="Times New Roman"/>
          <w:kern w:val="0"/>
          <w14:ligatures w14:val="none"/>
        </w:rPr>
        <w:t xml:space="preserve"> frame; with a separate, corporate-ecclesial logic in Shenoute's earliest material that does not require Candidate B's demon-vocabulary at all; and, in Shenoute's later resurrection material, with the wider Christological politics of the 420s–430s rather than with this world's internal formation grammar specifically.</w:t>
      </w:r>
    </w:p>
    <w:p w14:paraId="2C4A1DD3"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75C60">
        <w:rPr>
          <w:rFonts w:ascii="Times New Roman" w:eastAsia="Times New Roman" w:hAnsi="Times New Roman" w:cs="Times New Roman"/>
          <w:b/>
          <w:bCs/>
          <w:kern w:val="0"/>
          <w14:ligatures w14:val="none"/>
        </w:rPr>
        <w:t>Classification,</w:t>
      </w:r>
      <w:proofErr w:type="gramEnd"/>
      <w:r w:rsidRPr="00975C60">
        <w:rPr>
          <w:rFonts w:ascii="Times New Roman" w:eastAsia="Times New Roman" w:hAnsi="Times New Roman" w:cs="Times New Roman"/>
          <w:b/>
          <w:bCs/>
          <w:kern w:val="0"/>
          <w14:ligatures w14:val="none"/>
        </w:rPr>
        <w:t xml:space="preserve"> reported honestly rather than rounded up: Candidate F fractures, in the same manner Candidate B did, into a confirmed cross-strand behavioral pattern and a set of strand-specific theological elaborations that do not themselves constitute one shared gravity.</w:t>
      </w:r>
      <w:r w:rsidRPr="00975C60">
        <w:rPr>
          <w:rFonts w:ascii="Times New Roman" w:eastAsia="Times New Roman" w:hAnsi="Times New Roman" w:cs="Times New Roman"/>
          <w:kern w:val="0"/>
          <w14:ligatures w14:val="none"/>
        </w:rPr>
        <w:t xml:space="preserve"> What survives the splitting test as genuinely cross-strand and independently strongly attested is narrower than the original candidate: </w:t>
      </w:r>
      <w:r w:rsidRPr="00975C60">
        <w:rPr>
          <w:rFonts w:ascii="Times New Roman" w:eastAsia="Times New Roman" w:hAnsi="Times New Roman" w:cs="Times New Roman"/>
          <w:b/>
          <w:bCs/>
          <w:kern w:val="0"/>
          <w14:ligatures w14:val="none"/>
        </w:rPr>
        <w:t>ascetic bodily practice — fasting, vigil, manual labor, physical discipline — as a behavioral pattern</w:t>
      </w:r>
      <w:r w:rsidRPr="00975C60">
        <w:rPr>
          <w:rFonts w:ascii="Times New Roman" w:eastAsia="Times New Roman" w:hAnsi="Times New Roman" w:cs="Times New Roman"/>
          <w:kern w:val="0"/>
          <w14:ligatures w14:val="none"/>
        </w:rPr>
        <w:t xml:space="preserve">, independently grounded in the archaeological and documentary record as well as in every strand's own textual record. </w:t>
      </w:r>
      <w:r w:rsidRPr="00975C60">
        <w:rPr>
          <w:rFonts w:ascii="Times New Roman" w:eastAsia="Times New Roman" w:hAnsi="Times New Roman" w:cs="Times New Roman"/>
          <w:b/>
          <w:bCs/>
          <w:kern w:val="0"/>
          <w14:ligatures w14:val="none"/>
        </w:rPr>
        <w:t>"The body as theological site of transformation," as a unified claim about what the body means and where the relevant spiritual stakes lie, does not pass as one gravity</w:t>
      </w:r>
      <w:r w:rsidRPr="00975C60">
        <w:rPr>
          <w:rFonts w:ascii="Times New Roman" w:eastAsia="Times New Roman" w:hAnsi="Times New Roman" w:cs="Times New Roman"/>
          <w:kern w:val="0"/>
          <w14:ligatures w14:val="none"/>
        </w:rPr>
        <w:t>, for reasons structurally parallel to, though not identical in mechanism to, Candidate B's fracture: Candidate B split because four authors built four different demonologies on a shared vocabulary word; Candidate F splits because at least two strands locate the relevant unit of spiritual consequence differently — the individual ascetic's contested interior, versus the corporate monastic body — which is a difference in formation economy, not merely in theological idiom describing the same economy.</w:t>
      </w:r>
    </w:p>
    <w:p w14:paraId="3266E458" w14:textId="77777777" w:rsidR="00975C60" w:rsidRPr="00975C60" w:rsidRDefault="00975C60" w:rsidP="00975C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lastRenderedPageBreak/>
        <w:t>Candidate G — Theological danger and strategic non-attribution as a lived epistemic feature</w:t>
      </w:r>
    </w:p>
    <w:p w14:paraId="3052E2C1"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Repetition:</w:t>
      </w:r>
      <w:r w:rsidRPr="00975C60">
        <w:rPr>
          <w:rFonts w:ascii="Times New Roman" w:eastAsia="Times New Roman" w:hAnsi="Times New Roman" w:cs="Times New Roman"/>
          <w:kern w:val="0"/>
          <w14:ligatures w14:val="none"/>
        </w:rPr>
        <w:t xml:space="preserve"> Documented in two genuinely distinct cases: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anonymous, collective, retrospective suppression of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name, and Cassian's individual, contemporaneous, strategic non-attribution under direct personal danger. A third, related pattern appears in the </w:t>
      </w:r>
      <w:proofErr w:type="spellStart"/>
      <w:r w:rsidRPr="00975C60">
        <w:rPr>
          <w:rFonts w:ascii="Times New Roman" w:eastAsia="Times New Roman" w:hAnsi="Times New Roman" w:cs="Times New Roman"/>
          <w:kern w:val="0"/>
          <w14:ligatures w14:val="none"/>
        </w:rPr>
        <w:t>Kephalaia</w:t>
      </w:r>
      <w:proofErr w:type="spellEnd"/>
      <w:r w:rsidRPr="00975C60">
        <w:rPr>
          <w:rFonts w:ascii="Times New Roman" w:eastAsia="Times New Roman" w:hAnsi="Times New Roman" w:cs="Times New Roman"/>
          <w:kern w:val="0"/>
          <w14:ligatures w14:val="none"/>
        </w:rPr>
        <w:t xml:space="preserve"> </w:t>
      </w:r>
      <w:proofErr w:type="spellStart"/>
      <w:r w:rsidRPr="00975C60">
        <w:rPr>
          <w:rFonts w:ascii="Times New Roman" w:eastAsia="Times New Roman" w:hAnsi="Times New Roman" w:cs="Times New Roman"/>
          <w:kern w:val="0"/>
          <w14:ligatures w14:val="none"/>
        </w:rPr>
        <w:t>Gnostika's</w:t>
      </w:r>
      <w:proofErr w:type="spellEnd"/>
      <w:r w:rsidRPr="00975C60">
        <w:rPr>
          <w:rFonts w:ascii="Times New Roman" w:eastAsia="Times New Roman" w:hAnsi="Times New Roman" w:cs="Times New Roman"/>
          <w:kern w:val="0"/>
          <w14:ligatures w14:val="none"/>
        </w:rPr>
        <w:t xml:space="preserve"> S1/S2 doctrinal correction within decades of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death. Two or three documented instances, not a broad pattern repeated across many independent cases or strands.</w:t>
      </w:r>
    </w:p>
    <w:p w14:paraId="76D1D755"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Dependency:</w:t>
      </w:r>
      <w:r w:rsidRPr="00975C60">
        <w:rPr>
          <w:rFonts w:ascii="Times New Roman" w:eastAsia="Times New Roman" w:hAnsi="Times New Roman" w:cs="Times New Roman"/>
          <w:kern w:val="0"/>
          <w14:ligatures w14:val="none"/>
        </w:rPr>
        <w:t xml:space="preserve"> Uncertain — this looks like a recurring response to one specific historical situation (the </w:t>
      </w:r>
      <w:proofErr w:type="spellStart"/>
      <w:r w:rsidRPr="00975C60">
        <w:rPr>
          <w:rFonts w:ascii="Times New Roman" w:eastAsia="Times New Roman" w:hAnsi="Times New Roman" w:cs="Times New Roman"/>
          <w:kern w:val="0"/>
          <w14:ligatures w14:val="none"/>
        </w:rPr>
        <w:t>Origenist</w:t>
      </w:r>
      <w:proofErr w:type="spellEnd"/>
      <w:r w:rsidRPr="00975C60">
        <w:rPr>
          <w:rFonts w:ascii="Times New Roman" w:eastAsia="Times New Roman" w:hAnsi="Times New Roman" w:cs="Times New Roman"/>
          <w:kern w:val="0"/>
          <w14:ligatures w14:val="none"/>
        </w:rPr>
        <w:t xml:space="preserve"> controversy) rather than a structural feature of how formation knowledge moves in this world generally.</w:t>
      </w:r>
    </w:p>
    <w:p w14:paraId="6B3ED42F"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Formation:</w:t>
      </w:r>
      <w:r w:rsidRPr="00975C60">
        <w:rPr>
          <w:rFonts w:ascii="Times New Roman" w:eastAsia="Times New Roman" w:hAnsi="Times New Roman" w:cs="Times New Roman"/>
          <w:kern w:val="0"/>
          <w14:ligatures w14:val="none"/>
        </w:rPr>
        <w:t xml:space="preserve"> Limited direct formation evidence; does not evidently shape ordinary day-to-day formation practice the way Candidates D and the bodily-practice layer of F do.</w:t>
      </w:r>
    </w:p>
    <w:p w14:paraId="645EF619"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Explanatory:</w:t>
      </w:r>
      <w:r w:rsidRPr="00975C60">
        <w:rPr>
          <w:rFonts w:ascii="Times New Roman" w:eastAsia="Times New Roman" w:hAnsi="Times New Roman" w:cs="Times New Roman"/>
          <w:kern w:val="0"/>
          <w14:ligatures w14:val="none"/>
        </w:rPr>
        <w:t xml:space="preserve"> Real but narrow — explains specific transmission puzzles well, does not explain broader features of worship, formation, or authority.</w:t>
      </w:r>
    </w:p>
    <w:p w14:paraId="2A1413FF"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Persistence:</w:t>
      </w:r>
      <w:r w:rsidRPr="00975C60">
        <w:rPr>
          <w:rFonts w:ascii="Times New Roman" w:eastAsia="Times New Roman" w:hAnsi="Times New Roman" w:cs="Times New Roman"/>
          <w:kern w:val="0"/>
          <w14:ligatures w14:val="none"/>
        </w:rPr>
        <w:t xml:space="preserve"> Clusters tightly around the </w:t>
      </w:r>
      <w:proofErr w:type="spellStart"/>
      <w:r w:rsidRPr="00975C60">
        <w:rPr>
          <w:rFonts w:ascii="Times New Roman" w:eastAsia="Times New Roman" w:hAnsi="Times New Roman" w:cs="Times New Roman"/>
          <w:kern w:val="0"/>
          <w14:ligatures w14:val="none"/>
        </w:rPr>
        <w:t>Origenist</w:t>
      </w:r>
      <w:proofErr w:type="spellEnd"/>
      <w:r w:rsidRPr="00975C60">
        <w:rPr>
          <w:rFonts w:ascii="Times New Roman" w:eastAsia="Times New Roman" w:hAnsi="Times New Roman" w:cs="Times New Roman"/>
          <w:kern w:val="0"/>
          <w14:ligatures w14:val="none"/>
        </w:rPr>
        <w:t xml:space="preserve"> controversy of the 390s–400s and its immediate aftermath, rather than persisting as a recurring feature across the full 270–451 window.</w:t>
      </w:r>
    </w:p>
    <w:p w14:paraId="5F4FDB3A" w14:textId="77777777" w:rsidR="00975C60" w:rsidRPr="00975C60" w:rsidRDefault="00975C60" w:rsidP="00975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Interaction:</w:t>
      </w:r>
      <w:r w:rsidRPr="00975C60">
        <w:rPr>
          <w:rFonts w:ascii="Times New Roman" w:eastAsia="Times New Roman" w:hAnsi="Times New Roman" w:cs="Times New Roman"/>
          <w:kern w:val="0"/>
          <w14:ligatures w14:val="none"/>
        </w:rPr>
        <w:t xml:space="preserve"> Connects to Candidate B (the suppressed material is specifically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systematization) and to the Brown/Rubenson tension, but as observations about what the pattern touches, not evidence the pattern itself is a gravity of the whole world.</w:t>
      </w:r>
    </w:p>
    <w:p w14:paraId="159A25C0"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Classification: does not reach gravity status.</w:t>
      </w:r>
      <w:r w:rsidRPr="00975C60">
        <w:rPr>
          <w:rFonts w:ascii="Times New Roman" w:eastAsia="Times New Roman" w:hAnsi="Times New Roman" w:cs="Times New Roman"/>
          <w:kern w:val="0"/>
          <w14:ligatures w14:val="none"/>
        </w:rPr>
        <w:t xml:space="preserve"> A real, well-evidenced historical episode, recorded in this world's narrative material, but not a persistent, cross-strand, formation-shaping gravity.</w:t>
      </w:r>
    </w:p>
    <w:p w14:paraId="55A6FCE2"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B75ED4">
          <v:rect id="_x0000_i1028" style="width:0;height:1.5pt" o:hralign="center" o:hrstd="t" o:hr="t" fillcolor="#a0a0a0" stroked="f"/>
        </w:pict>
      </w:r>
    </w:p>
    <w:p w14:paraId="0240448B"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3. Confidence/Gravity Cross-Check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354"/>
        <w:gridCol w:w="2681"/>
      </w:tblGrid>
      <w:tr w:rsidR="00975C60" w:rsidRPr="00975C60" w14:paraId="193AF0B4" w14:textId="77777777">
        <w:trPr>
          <w:tblHeader/>
          <w:tblCellSpacing w:w="15" w:type="dxa"/>
        </w:trPr>
        <w:tc>
          <w:tcPr>
            <w:tcW w:w="0" w:type="auto"/>
            <w:vAlign w:val="center"/>
            <w:hideMark/>
          </w:tcPr>
          <w:p w14:paraId="7692452F" w14:textId="77777777" w:rsidR="00975C60" w:rsidRPr="00975C60" w:rsidRDefault="00975C60" w:rsidP="00975C60">
            <w:pPr>
              <w:spacing w:after="0" w:line="240" w:lineRule="auto"/>
              <w:jc w:val="center"/>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Candidate</w:t>
            </w:r>
          </w:p>
        </w:tc>
        <w:tc>
          <w:tcPr>
            <w:tcW w:w="0" w:type="auto"/>
            <w:vAlign w:val="center"/>
            <w:hideMark/>
          </w:tcPr>
          <w:p w14:paraId="64752139" w14:textId="77777777" w:rsidR="00975C60" w:rsidRPr="00975C60" w:rsidRDefault="00975C60" w:rsidP="00975C60">
            <w:pPr>
              <w:spacing w:after="0" w:line="240" w:lineRule="auto"/>
              <w:jc w:val="center"/>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Evidential confidence</w:t>
            </w:r>
          </w:p>
        </w:tc>
        <w:tc>
          <w:tcPr>
            <w:tcW w:w="0" w:type="auto"/>
            <w:vAlign w:val="center"/>
            <w:hideMark/>
          </w:tcPr>
          <w:p w14:paraId="7C886FEE" w14:textId="77777777" w:rsidR="00975C60" w:rsidRPr="00975C60" w:rsidRDefault="00975C60" w:rsidP="00975C60">
            <w:pPr>
              <w:spacing w:after="0" w:line="240" w:lineRule="auto"/>
              <w:jc w:val="center"/>
              <w:rPr>
                <w:rFonts w:ascii="Times New Roman" w:eastAsia="Times New Roman" w:hAnsi="Times New Roman" w:cs="Times New Roman"/>
                <w:b/>
                <w:bCs/>
                <w:kern w:val="0"/>
                <w14:ligatures w14:val="none"/>
              </w:rPr>
            </w:pPr>
            <w:r w:rsidRPr="00975C60">
              <w:rPr>
                <w:rFonts w:ascii="Times New Roman" w:eastAsia="Times New Roman" w:hAnsi="Times New Roman" w:cs="Times New Roman"/>
                <w:b/>
                <w:bCs/>
                <w:kern w:val="0"/>
                <w14:ligatures w14:val="none"/>
              </w:rPr>
              <w:t>Gravity classification</w:t>
            </w:r>
          </w:p>
        </w:tc>
      </w:tr>
      <w:tr w:rsidR="00975C60" w:rsidRPr="00975C60" w14:paraId="7BB3E20E" w14:textId="77777777">
        <w:trPr>
          <w:tblCellSpacing w:w="15" w:type="dxa"/>
        </w:trPr>
        <w:tc>
          <w:tcPr>
            <w:tcW w:w="0" w:type="auto"/>
            <w:vAlign w:val="center"/>
            <w:hideMark/>
          </w:tcPr>
          <w:p w14:paraId="0530EAF5"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A — Withdrawal</w:t>
            </w:r>
          </w:p>
        </w:tc>
        <w:tc>
          <w:tcPr>
            <w:tcW w:w="0" w:type="auto"/>
            <w:vAlign w:val="center"/>
            <w:hideMark/>
          </w:tcPr>
          <w:p w14:paraId="40B26A02"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(anchoritic/semi-anchoritic); Moderate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does not apply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w:t>
            </w:r>
          </w:p>
        </w:tc>
        <w:tc>
          <w:tcPr>
            <w:tcW w:w="0" w:type="auto"/>
            <w:vAlign w:val="center"/>
            <w:hideMark/>
          </w:tcPr>
          <w:p w14:paraId="1799A0A0"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Primary for two strands only</w:t>
            </w:r>
          </w:p>
        </w:tc>
      </w:tr>
      <w:tr w:rsidR="00975C60" w:rsidRPr="00975C60" w14:paraId="65E4350D" w14:textId="77777777">
        <w:trPr>
          <w:tblCellSpacing w:w="15" w:type="dxa"/>
        </w:trPr>
        <w:tc>
          <w:tcPr>
            <w:tcW w:w="0" w:type="auto"/>
            <w:vAlign w:val="center"/>
            <w:hideMark/>
          </w:tcPr>
          <w:p w14:paraId="3EF41B50"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B — Demon/passion combat</w:t>
            </w:r>
          </w:p>
        </w:tc>
        <w:tc>
          <w:tcPr>
            <w:tcW w:w="0" w:type="auto"/>
            <w:vAlign w:val="center"/>
            <w:hideMark/>
          </w:tcPr>
          <w:p w14:paraId="35C89904"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w:t>
            </w:r>
            <w:proofErr w:type="spellStart"/>
            <w:r w:rsidRPr="00975C60">
              <w:rPr>
                <w:rFonts w:ascii="Times New Roman" w:eastAsia="Times New Roman" w:hAnsi="Times New Roman" w:cs="Times New Roman"/>
                <w:kern w:val="0"/>
                <w14:ligatures w14:val="none"/>
              </w:rPr>
              <w:t>Evagrian</w:t>
            </w:r>
            <w:proofErr w:type="spellEnd"/>
            <w:r w:rsidRPr="00975C60">
              <w:rPr>
                <w:rFonts w:ascii="Times New Roman" w:eastAsia="Times New Roman" w:hAnsi="Times New Roman" w:cs="Times New Roman"/>
                <w:kern w:val="0"/>
                <w14:ligatures w14:val="none"/>
              </w:rPr>
              <w:t>/anchoritic specifically); fractures across strands</w:t>
            </w:r>
          </w:p>
        </w:tc>
        <w:tc>
          <w:tcPr>
            <w:tcW w:w="0" w:type="auto"/>
            <w:vAlign w:val="center"/>
            <w:hideMark/>
          </w:tcPr>
          <w:p w14:paraId="6BA2F6D5"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Not classified uniformly</w:t>
            </w:r>
          </w:p>
        </w:tc>
      </w:tr>
      <w:tr w:rsidR="00975C60" w:rsidRPr="00975C60" w14:paraId="09952172" w14:textId="77777777">
        <w:trPr>
          <w:tblCellSpacing w:w="15" w:type="dxa"/>
        </w:trPr>
        <w:tc>
          <w:tcPr>
            <w:tcW w:w="0" w:type="auto"/>
            <w:vAlign w:val="center"/>
            <w:hideMark/>
          </w:tcPr>
          <w:p w14:paraId="7ED40E4F"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C — Experience over abstraction</w:t>
            </w:r>
          </w:p>
        </w:tc>
        <w:tc>
          <w:tcPr>
            <w:tcW w:w="0" w:type="auto"/>
            <w:vAlign w:val="center"/>
            <w:hideMark/>
          </w:tcPr>
          <w:p w14:paraId="2835DDB1"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Moderate, weakened by Brown/Rubenson and Shenoute's literacy</w:t>
            </w:r>
          </w:p>
        </w:tc>
        <w:tc>
          <w:tcPr>
            <w:tcW w:w="0" w:type="auto"/>
            <w:vAlign w:val="center"/>
            <w:hideMark/>
          </w:tcPr>
          <w:p w14:paraId="3586A5D8"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Not classified</w:t>
            </w:r>
          </w:p>
        </w:tc>
      </w:tr>
      <w:tr w:rsidR="00975C60" w:rsidRPr="00975C60" w14:paraId="78217B72" w14:textId="77777777">
        <w:trPr>
          <w:tblCellSpacing w:w="15" w:type="dxa"/>
        </w:trPr>
        <w:tc>
          <w:tcPr>
            <w:tcW w:w="0" w:type="auto"/>
            <w:vAlign w:val="center"/>
            <w:hideMark/>
          </w:tcPr>
          <w:p w14:paraId="3930BAF3"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D — Abba/amma mentorship</w:t>
            </w:r>
          </w:p>
        </w:tc>
        <w:tc>
          <w:tcPr>
            <w:tcW w:w="0" w:type="auto"/>
            <w:vAlign w:val="center"/>
            <w:hideMark/>
          </w:tcPr>
          <w:p w14:paraId="1D80E062"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independently across all four strands, including the documentary record</w:t>
            </w:r>
          </w:p>
        </w:tc>
        <w:tc>
          <w:tcPr>
            <w:tcW w:w="0" w:type="auto"/>
            <w:vAlign w:val="center"/>
            <w:hideMark/>
          </w:tcPr>
          <w:p w14:paraId="742CDCDA"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Primary</w:t>
            </w:r>
            <w:r w:rsidRPr="00975C60">
              <w:rPr>
                <w:rFonts w:ascii="Times New Roman" w:eastAsia="Times New Roman" w:hAnsi="Times New Roman" w:cs="Times New Roman"/>
                <w:kern w:val="0"/>
                <w14:ligatures w14:val="none"/>
              </w:rPr>
              <w:t>, with the abstraction caution named above</w:t>
            </w:r>
          </w:p>
        </w:tc>
      </w:tr>
      <w:tr w:rsidR="00975C60" w:rsidRPr="00975C60" w14:paraId="33F030A2" w14:textId="77777777">
        <w:trPr>
          <w:tblCellSpacing w:w="15" w:type="dxa"/>
        </w:trPr>
        <w:tc>
          <w:tcPr>
            <w:tcW w:w="0" w:type="auto"/>
            <w:vAlign w:val="center"/>
            <w:hideMark/>
          </w:tcPr>
          <w:p w14:paraId="3789C61E"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E — Struggle-earned authority</w:t>
            </w:r>
          </w:p>
        </w:tc>
        <w:tc>
          <w:tcPr>
            <w:tcW w:w="0" w:type="auto"/>
            <w:vAlign w:val="center"/>
            <w:hideMark/>
          </w:tcPr>
          <w:p w14:paraId="3B82308F"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(anchoritic); Limited/contested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w:t>
            </w:r>
          </w:p>
        </w:tc>
        <w:tc>
          <w:tcPr>
            <w:tcW w:w="0" w:type="auto"/>
            <w:vAlign w:val="center"/>
            <w:hideMark/>
          </w:tcPr>
          <w:p w14:paraId="0C8DB89E"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Primary for the anchoritic strand only</w:t>
            </w:r>
          </w:p>
        </w:tc>
      </w:tr>
      <w:tr w:rsidR="00975C60" w:rsidRPr="00975C60" w14:paraId="613852FB" w14:textId="77777777">
        <w:trPr>
          <w:tblCellSpacing w:w="15" w:type="dxa"/>
        </w:trPr>
        <w:tc>
          <w:tcPr>
            <w:tcW w:w="0" w:type="auto"/>
            <w:vAlign w:val="center"/>
            <w:hideMark/>
          </w:tcPr>
          <w:p w14:paraId="20868946"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lastRenderedPageBreak/>
              <w:t>F — Body, practice layer</w:t>
            </w:r>
          </w:p>
        </w:tc>
        <w:tc>
          <w:tcPr>
            <w:tcW w:w="0" w:type="auto"/>
            <w:vAlign w:val="center"/>
            <w:hideMark/>
          </w:tcPr>
          <w:p w14:paraId="644D14C6"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independently across all four strands, archaeologically grounded</w:t>
            </w:r>
          </w:p>
        </w:tc>
        <w:tc>
          <w:tcPr>
            <w:tcW w:w="0" w:type="auto"/>
            <w:vAlign w:val="center"/>
            <w:hideMark/>
          </w:tcPr>
          <w:p w14:paraId="7C22E1AB"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Primary</w:t>
            </w:r>
            <w:r w:rsidRPr="00975C60">
              <w:rPr>
                <w:rFonts w:ascii="Times New Roman" w:eastAsia="Times New Roman" w:hAnsi="Times New Roman" w:cs="Times New Roman"/>
                <w:kern w:val="0"/>
                <w14:ligatures w14:val="none"/>
              </w:rPr>
              <w:t>, as a behavioral pattern specifically</w:t>
            </w:r>
          </w:p>
        </w:tc>
      </w:tr>
      <w:tr w:rsidR="00975C60" w:rsidRPr="00975C60" w14:paraId="395D1BBE" w14:textId="77777777">
        <w:trPr>
          <w:tblCellSpacing w:w="15" w:type="dxa"/>
        </w:trPr>
        <w:tc>
          <w:tcPr>
            <w:tcW w:w="0" w:type="auto"/>
            <w:vAlign w:val="center"/>
            <w:hideMark/>
          </w:tcPr>
          <w:p w14:paraId="48D45CBF"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F — Body, theological-meaning layer</w:t>
            </w:r>
          </w:p>
        </w:tc>
        <w:tc>
          <w:tcPr>
            <w:tcW w:w="0" w:type="auto"/>
            <w:vAlign w:val="center"/>
            <w:hideMark/>
          </w:tcPr>
          <w:p w14:paraId="15F6E501"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Strong within strands taken separately; does not cohere across strands</w:t>
            </w:r>
          </w:p>
        </w:tc>
        <w:tc>
          <w:tcPr>
            <w:tcW w:w="0" w:type="auto"/>
            <w:vAlign w:val="center"/>
            <w:hideMark/>
          </w:tcPr>
          <w:p w14:paraId="3BBC1421"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Not classified as one gravity; fractures by strand</w:t>
            </w:r>
          </w:p>
        </w:tc>
      </w:tr>
      <w:tr w:rsidR="00975C60" w:rsidRPr="00975C60" w14:paraId="49124A72" w14:textId="77777777">
        <w:trPr>
          <w:tblCellSpacing w:w="15" w:type="dxa"/>
        </w:trPr>
        <w:tc>
          <w:tcPr>
            <w:tcW w:w="0" w:type="auto"/>
            <w:vAlign w:val="center"/>
            <w:hideMark/>
          </w:tcPr>
          <w:p w14:paraId="43FE1520"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G — Danger-driven non-attribution</w:t>
            </w:r>
          </w:p>
        </w:tc>
        <w:tc>
          <w:tcPr>
            <w:tcW w:w="0" w:type="auto"/>
            <w:vAlign w:val="center"/>
            <w:hideMark/>
          </w:tcPr>
          <w:p w14:paraId="057D42F2"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Moderate, confined to one historical episode</w:t>
            </w:r>
          </w:p>
        </w:tc>
        <w:tc>
          <w:tcPr>
            <w:tcW w:w="0" w:type="auto"/>
            <w:vAlign w:val="center"/>
            <w:hideMark/>
          </w:tcPr>
          <w:p w14:paraId="317DFAFB" w14:textId="77777777" w:rsidR="00975C60" w:rsidRPr="00975C60" w:rsidRDefault="00975C60" w:rsidP="00975C60">
            <w:pPr>
              <w:spacing w:after="0"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Not classified; recorded as documented history</w:t>
            </w:r>
          </w:p>
        </w:tc>
      </w:tr>
    </w:tbl>
    <w:p w14:paraId="5DBEDA65"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Only the abba/amma mentorship structure (D) and ascetic bodily practice as a behavioral pattern (the surviving core of F) independently reach Strong Attestation across all four strands and pass all six tests without strand-specific exception.</w:t>
      </w:r>
      <w:r w:rsidRPr="00975C60">
        <w:rPr>
          <w:rFonts w:ascii="Times New Roman" w:eastAsia="Times New Roman" w:hAnsi="Times New Roman" w:cs="Times New Roman"/>
          <w:kern w:val="0"/>
          <w14:ligatures w14:val="none"/>
        </w:rPr>
        <w:t xml:space="preserve"> This is narrower than treating the original Candidate F as a single confirmed theological </w:t>
      </w:r>
      <w:proofErr w:type="gramStart"/>
      <w:r w:rsidRPr="00975C60">
        <w:rPr>
          <w:rFonts w:ascii="Times New Roman" w:eastAsia="Times New Roman" w:hAnsi="Times New Roman" w:cs="Times New Roman"/>
          <w:kern w:val="0"/>
          <w14:ligatures w14:val="none"/>
        </w:rPr>
        <w:t>gravity, and</w:t>
      </w:r>
      <w:proofErr w:type="gramEnd"/>
      <w:r w:rsidRPr="00975C60">
        <w:rPr>
          <w:rFonts w:ascii="Times New Roman" w:eastAsia="Times New Roman" w:hAnsi="Times New Roman" w:cs="Times New Roman"/>
          <w:kern w:val="0"/>
          <w14:ligatures w14:val="none"/>
        </w:rPr>
        <w:t xml:space="preserve"> is reported here as the honest result of the test rather than rounded toward a more comfortable number.</w:t>
      </w:r>
    </w:p>
    <w:p w14:paraId="7DCD2C81"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BDCD40">
          <v:rect id="_x0000_i1029" style="width:0;height:1.5pt" o:hralign="center" o:hrstd="t" o:hr="t" fillcolor="#a0a0a0" stroked="f"/>
        </w:pict>
      </w:r>
    </w:p>
    <w:p w14:paraId="43314C92"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 xml:space="preserve">4. The central test: does </w:t>
      </w:r>
      <w:proofErr w:type="gramStart"/>
      <w:r w:rsidRPr="00975C60">
        <w:rPr>
          <w:rFonts w:ascii="Times New Roman" w:eastAsia="Times New Roman" w:hAnsi="Times New Roman" w:cs="Times New Roman"/>
          <w:b/>
          <w:bCs/>
          <w:kern w:val="0"/>
          <w:sz w:val="27"/>
          <w:szCs w:val="27"/>
          <w14:ligatures w14:val="none"/>
        </w:rPr>
        <w:t>a shared</w:t>
      </w:r>
      <w:proofErr w:type="gramEnd"/>
      <w:r w:rsidRPr="00975C60">
        <w:rPr>
          <w:rFonts w:ascii="Times New Roman" w:eastAsia="Times New Roman" w:hAnsi="Times New Roman" w:cs="Times New Roman"/>
          <w:b/>
          <w:bCs/>
          <w:kern w:val="0"/>
          <w:sz w:val="27"/>
          <w:szCs w:val="27"/>
          <w14:ligatures w14:val="none"/>
        </w:rPr>
        <w:t xml:space="preserve"> formation grammar persist across all four strands?</w:t>
      </w:r>
    </w:p>
    <w:p w14:paraId="555352AE"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Run directly: </w:t>
      </w:r>
      <w:r w:rsidRPr="00975C60">
        <w:rPr>
          <w:rFonts w:ascii="Times New Roman" w:eastAsia="Times New Roman" w:hAnsi="Times New Roman" w:cs="Times New Roman"/>
          <w:b/>
          <w:bCs/>
          <w:kern w:val="0"/>
          <w14:ligatures w14:val="none"/>
        </w:rPr>
        <w:t>narrowly yes, on a thinner basis than the candidate list's initial appearance suggested.</w:t>
      </w:r>
    </w:p>
    <w:p w14:paraId="7897CEA6"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What persists across the anchoritic, semi-anchoritic,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strands, independently and strongly attested in each, is: formation through a structured relationship with someone further along the path, and ascetic bodily practice as the behavioral medium through which formation </w:t>
      </w:r>
      <w:proofErr w:type="gramStart"/>
      <w:r w:rsidRPr="00975C60">
        <w:rPr>
          <w:rFonts w:ascii="Times New Roman" w:eastAsia="Times New Roman" w:hAnsi="Times New Roman" w:cs="Times New Roman"/>
          <w:kern w:val="0"/>
          <w14:ligatures w14:val="none"/>
        </w:rPr>
        <w:t>actually happens</w:t>
      </w:r>
      <w:proofErr w:type="gramEnd"/>
      <w:r w:rsidRPr="00975C60">
        <w:rPr>
          <w:rFonts w:ascii="Times New Roman" w:eastAsia="Times New Roman" w:hAnsi="Times New Roman" w:cs="Times New Roman"/>
          <w:kern w:val="0"/>
          <w14:ligatures w14:val="none"/>
        </w:rPr>
        <w:t>. Both are genuine, not artifacts of this project's vocabulary going in — though Candidate D's persistence carries the acknowledged risk of resting partly on the generality of its own statement, and Candidate F's persistence holds only at the level of practice, not at the level of theological meaning.</w:t>
      </w:r>
    </w:p>
    <w:p w14:paraId="72DFB6A7"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What does not pass uniformly: withdrawal as constitutive act, demon/passion combat as the specific mechanism of growth, struggle-earned authority standing apart from office, and a unified theological account of why the body matters. Each of these is strongly attested in the anchoritic/semi-anchoritic strand specifically and meets real, independently-sourced resistance in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 — not vague resistance, but resistance grounded in named specialist scholarship (Brakke on demonology; the Selected Discourses volume directly on genre; Schroeder on the corporate body and the lateness of the resurrection material) showing that Shenoute's strand is doing something structurally different, not merely expressing the same thing in different words.</w:t>
      </w:r>
    </w:p>
    <w:p w14:paraId="0B6F2AB8"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The genre finding deserves its own clear statement, separated from a pedagogy claim it does not </w:t>
      </w:r>
      <w:proofErr w:type="gramStart"/>
      <w:r w:rsidRPr="00975C60">
        <w:rPr>
          <w:rFonts w:ascii="Times New Roman" w:eastAsia="Times New Roman" w:hAnsi="Times New Roman" w:cs="Times New Roman"/>
          <w:kern w:val="0"/>
          <w14:ligatures w14:val="none"/>
        </w:rPr>
        <w:t>support:</w:t>
      </w:r>
      <w:proofErr w:type="gramEnd"/>
      <w:r w:rsidRPr="00975C60">
        <w:rPr>
          <w:rFonts w:ascii="Times New Roman" w:eastAsia="Times New Roman" w:hAnsi="Times New Roman" w:cs="Times New Roman"/>
          <w:kern w:val="0"/>
          <w14:ligatures w14:val="none"/>
        </w:rPr>
        <w:t xml:space="preserve"> that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literary form has no place in Shenoute's teaching style is a finding about literary genre. It does not show that Shenoute's strand lacks this world's relational formation structure — it plainly does not lack it, per Candidate D's own cross-strand </w:t>
      </w:r>
      <w:r w:rsidRPr="00975C60">
        <w:rPr>
          <w:rFonts w:ascii="Times New Roman" w:eastAsia="Times New Roman" w:hAnsi="Times New Roman" w:cs="Times New Roman"/>
          <w:kern w:val="0"/>
          <w14:ligatures w14:val="none"/>
        </w:rPr>
        <w:lastRenderedPageBreak/>
        <w:t xml:space="preserve">confirmation, including Shenoute's documented succession from </w:t>
      </w:r>
      <w:proofErr w:type="spellStart"/>
      <w:r w:rsidRPr="00975C60">
        <w:rPr>
          <w:rFonts w:ascii="Times New Roman" w:eastAsia="Times New Roman" w:hAnsi="Times New Roman" w:cs="Times New Roman"/>
          <w:kern w:val="0"/>
          <w14:ligatures w14:val="none"/>
        </w:rPr>
        <w:t>Pcol</w:t>
      </w:r>
      <w:proofErr w:type="spellEnd"/>
      <w:r w:rsidRPr="00975C60">
        <w:rPr>
          <w:rFonts w:ascii="Times New Roman" w:eastAsia="Times New Roman" w:hAnsi="Times New Roman" w:cs="Times New Roman"/>
          <w:kern w:val="0"/>
          <w14:ligatures w14:val="none"/>
        </w:rPr>
        <w:t xml:space="preserve"> and his housemaster system. The genre difference and the relational-structure continuity are both true at once and should not be allowed to blur into each other.</w:t>
      </w:r>
    </w:p>
    <w:p w14:paraId="42C686AC"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77C8BF">
          <v:rect id="_x0000_i1030" style="width:0;height:1.5pt" o:hralign="center" o:hrstd="t" o:hr="t" fillcolor="#a0a0a0" stroked="f"/>
        </w:pict>
      </w:r>
    </w:p>
    <w:p w14:paraId="5529464E"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5. The Shenoute/Syria parallel-argument question</w:t>
      </w:r>
    </w:p>
    <w:p w14:paraId="2B7B05AA"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Document 02 flagged this directly: does the logic distinguishing Syrian asceticism's formation pattern from Egypt's apply with comparable force to Shenoute, who sits inside the one-world hypothesis?</w:t>
      </w:r>
    </w:p>
    <w:p w14:paraId="299510BE"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Tested directly, with the two different tests actually in play named rather than allowed to pass silently: </w:t>
      </w:r>
      <w:r w:rsidRPr="00975C60">
        <w:rPr>
          <w:rFonts w:ascii="Times New Roman" w:eastAsia="Times New Roman" w:hAnsi="Times New Roman" w:cs="Times New Roman"/>
          <w:b/>
          <w:bCs/>
          <w:kern w:val="0"/>
          <w14:ligatures w14:val="none"/>
        </w:rPr>
        <w:t xml:space="preserve">this document currently keeps Shenoute inside Desert Christianity by a test of institutional descent — his federation's </w:t>
      </w:r>
      <w:proofErr w:type="spellStart"/>
      <w:r w:rsidRPr="00975C60">
        <w:rPr>
          <w:rFonts w:ascii="Times New Roman" w:eastAsia="Times New Roman" w:hAnsi="Times New Roman" w:cs="Times New Roman"/>
          <w:b/>
          <w:bCs/>
          <w:kern w:val="0"/>
          <w14:ligatures w14:val="none"/>
        </w:rPr>
        <w:t>Pachomian</w:t>
      </w:r>
      <w:proofErr w:type="spellEnd"/>
      <w:r w:rsidRPr="00975C60">
        <w:rPr>
          <w:rFonts w:ascii="Times New Roman" w:eastAsia="Times New Roman" w:hAnsi="Times New Roman" w:cs="Times New Roman"/>
          <w:b/>
          <w:bCs/>
          <w:kern w:val="0"/>
          <w14:ligatures w14:val="none"/>
        </w:rPr>
        <w:t xml:space="preserve">-cenobitic founding lineage, traceable through </w:t>
      </w:r>
      <w:proofErr w:type="spellStart"/>
      <w:r w:rsidRPr="00975C60">
        <w:rPr>
          <w:rFonts w:ascii="Times New Roman" w:eastAsia="Times New Roman" w:hAnsi="Times New Roman" w:cs="Times New Roman"/>
          <w:b/>
          <w:bCs/>
          <w:kern w:val="0"/>
          <w14:ligatures w14:val="none"/>
        </w:rPr>
        <w:t>Pcol</w:t>
      </w:r>
      <w:proofErr w:type="spellEnd"/>
      <w:r w:rsidRPr="00975C60">
        <w:rPr>
          <w:rFonts w:ascii="Times New Roman" w:eastAsia="Times New Roman" w:hAnsi="Times New Roman" w:cs="Times New Roman"/>
          <w:b/>
          <w:bCs/>
          <w:kern w:val="0"/>
          <w14:ligatures w14:val="none"/>
        </w:rPr>
        <w:t xml:space="preserve"> — while it excludes Syria by a test of formation logic — the </w:t>
      </w:r>
      <w:proofErr w:type="spellStart"/>
      <w:r w:rsidRPr="00975C60">
        <w:rPr>
          <w:rFonts w:ascii="Times New Roman" w:eastAsia="Times New Roman" w:hAnsi="Times New Roman" w:cs="Times New Roman"/>
          <w:b/>
          <w:bCs/>
          <w:i/>
          <w:iCs/>
          <w:kern w:val="0"/>
          <w14:ligatures w14:val="none"/>
        </w:rPr>
        <w:t>ihidaya</w:t>
      </w:r>
      <w:proofErr w:type="spellEnd"/>
      <w:r w:rsidRPr="00975C60">
        <w:rPr>
          <w:rFonts w:ascii="Times New Roman" w:eastAsia="Times New Roman" w:hAnsi="Times New Roman" w:cs="Times New Roman"/>
          <w:b/>
          <w:bCs/>
          <w:kern w:val="0"/>
          <w14:ligatures w14:val="none"/>
        </w:rPr>
        <w:t>/</w:t>
      </w:r>
      <w:proofErr w:type="spellStart"/>
      <w:r w:rsidRPr="00975C60">
        <w:rPr>
          <w:rFonts w:ascii="Times New Roman" w:eastAsia="Times New Roman" w:hAnsi="Times New Roman" w:cs="Times New Roman"/>
          <w:b/>
          <w:bCs/>
          <w:i/>
          <w:iCs/>
          <w:kern w:val="0"/>
          <w14:ligatures w14:val="none"/>
        </w:rPr>
        <w:t>Bnay</w:t>
      </w:r>
      <w:proofErr w:type="spellEnd"/>
      <w:r w:rsidRPr="00975C60">
        <w:rPr>
          <w:rFonts w:ascii="Times New Roman" w:eastAsia="Times New Roman" w:hAnsi="Times New Roman" w:cs="Times New Roman"/>
          <w:b/>
          <w:bCs/>
          <w:i/>
          <w:iCs/>
          <w:kern w:val="0"/>
          <w14:ligatures w14:val="none"/>
        </w:rPr>
        <w:t xml:space="preserve"> </w:t>
      </w:r>
      <w:proofErr w:type="spellStart"/>
      <w:r w:rsidRPr="00975C60">
        <w:rPr>
          <w:rFonts w:ascii="Times New Roman" w:eastAsia="Times New Roman" w:hAnsi="Times New Roman" w:cs="Times New Roman"/>
          <w:b/>
          <w:bCs/>
          <w:i/>
          <w:iCs/>
          <w:kern w:val="0"/>
          <w14:ligatures w14:val="none"/>
        </w:rPr>
        <w:t>Qyama</w:t>
      </w:r>
      <w:proofErr w:type="spellEnd"/>
      <w:r w:rsidRPr="00975C60">
        <w:rPr>
          <w:rFonts w:ascii="Times New Roman" w:eastAsia="Times New Roman" w:hAnsi="Times New Roman" w:cs="Times New Roman"/>
          <w:b/>
          <w:bCs/>
          <w:kern w:val="0"/>
          <w14:ligatures w14:val="none"/>
        </w:rPr>
        <w:t xml:space="preserve"> tradition's basis in apostolic rather than Antonian precedent, and its constitutive orientation toward demonstrative public engagement rather than withdrawal.</w:t>
      </w:r>
      <w:r w:rsidRPr="00975C60">
        <w:rPr>
          <w:rFonts w:ascii="Times New Roman" w:eastAsia="Times New Roman" w:hAnsi="Times New Roman" w:cs="Times New Roman"/>
          <w:kern w:val="0"/>
          <w14:ligatures w14:val="none"/>
        </w:rPr>
        <w:t xml:space="preserve"> These are two different membership criteria, applied to two different cases, at exactly the point </w:t>
      </w:r>
      <w:proofErr w:type="gramStart"/>
      <w:r w:rsidRPr="00975C60">
        <w:rPr>
          <w:rFonts w:ascii="Times New Roman" w:eastAsia="Times New Roman" w:hAnsi="Times New Roman" w:cs="Times New Roman"/>
          <w:kern w:val="0"/>
          <w14:ligatures w14:val="none"/>
        </w:rPr>
        <w:t>where</w:t>
      </w:r>
      <w:proofErr w:type="gramEnd"/>
      <w:r w:rsidRPr="00975C60">
        <w:rPr>
          <w:rFonts w:ascii="Times New Roman" w:eastAsia="Times New Roman" w:hAnsi="Times New Roman" w:cs="Times New Roman"/>
          <w:kern w:val="0"/>
          <w14:ligatures w14:val="none"/>
        </w:rPr>
        <w:t xml:space="preserve"> applying the same criterion to both would create real difficulty for the one-world hypothesis. This document does not resolve which criterion should govern, but it states the inconsistency plainly rather than letting it pass unnoticed: if formation logic is the governing test, Shenoute's strand — public, institutionally confrontational, organized around office and corporate-communal rather than individually-contested spiritual stakes, by this document's own Candidate F finding — sits closer to the excluded Syrian pattern than a descent-based test currently allows for. If institutional descent is the governing test instead, Syria's case has not been tested on those terms at all in this </w:t>
      </w:r>
      <w:proofErr w:type="gramStart"/>
      <w:r w:rsidRPr="00975C60">
        <w:rPr>
          <w:rFonts w:ascii="Times New Roman" w:eastAsia="Times New Roman" w:hAnsi="Times New Roman" w:cs="Times New Roman"/>
          <w:kern w:val="0"/>
          <w14:ligatures w14:val="none"/>
        </w:rPr>
        <w:t>document, and</w:t>
      </w:r>
      <w:proofErr w:type="gramEnd"/>
      <w:r w:rsidRPr="00975C60">
        <w:rPr>
          <w:rFonts w:ascii="Times New Roman" w:eastAsia="Times New Roman" w:hAnsi="Times New Roman" w:cs="Times New Roman"/>
          <w:kern w:val="0"/>
          <w14:ligatures w14:val="none"/>
        </w:rPr>
        <w:t xml:space="preserve"> might look different if it were.</w:t>
      </w:r>
    </w:p>
    <w:p w14:paraId="56B01586"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This document's honest position: the difference between Shenoute's case and Syria's is real but is currently a difference of degree and evidentiary framing, not a clean difference of kind that this document can certify with confidence.</w:t>
      </w:r>
      <w:r w:rsidRPr="00975C60">
        <w:rPr>
          <w:rFonts w:ascii="Times New Roman" w:eastAsia="Times New Roman" w:hAnsi="Times New Roman" w:cs="Times New Roman"/>
          <w:kern w:val="0"/>
          <w14:ligatures w14:val="none"/>
        </w:rPr>
        <w:t xml:space="preserve"> Shenoute's public confrontations are exercises of authority whose formational roots are traceably Egyptian-cenobitic, part of this world's core evidence base from the start; the Syrian material may describe a formation logic that was never part of this world's core evidence to begin with. That distinction is meaningful, but it is doing real argumentative work without having been tested as rigorously as the rest of this document's other classifications. This remains a live question for Phase 4, named here as unresolved rather than quietly settled by which test happened to be reached for in each case.</w:t>
      </w:r>
    </w:p>
    <w:p w14:paraId="3C36A0FA"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5D1F94">
          <v:rect id="_x0000_i1031" style="width:0;height:1.5pt" o:hralign="center" o:hrstd="t" o:hr="t" fillcolor="#a0a0a0" stroked="f"/>
        </w:pict>
      </w:r>
    </w:p>
    <w:p w14:paraId="16CA74DC"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6. Temporal variance across the 270–451 window, tested for each surviving candidate</w:t>
      </w:r>
    </w:p>
    <w:p w14:paraId="6FF1CDD2"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D (mentorship)</w:t>
      </w:r>
      <w:r w:rsidRPr="00975C60">
        <w:rPr>
          <w:rFonts w:ascii="Times New Roman" w:eastAsia="Times New Roman" w:hAnsi="Times New Roman" w:cs="Times New Roman"/>
          <w:kern w:val="0"/>
          <w14:ligatures w14:val="none"/>
        </w:rPr>
        <w:t xml:space="preserve"> shows traceable contingent variation in its institutional container, not disappearance: informal sayings-exchange in the earliest anchoritic material; semi-cenobitic training-house mentorship at </w:t>
      </w:r>
      <w:proofErr w:type="spellStart"/>
      <w:r w:rsidRPr="00975C60">
        <w:rPr>
          <w:rFonts w:ascii="Times New Roman" w:eastAsia="Times New Roman" w:hAnsi="Times New Roman" w:cs="Times New Roman"/>
          <w:kern w:val="0"/>
          <w14:ligatures w14:val="none"/>
        </w:rPr>
        <w:t>Nitria</w:t>
      </w:r>
      <w:proofErr w:type="spellEnd"/>
      <w:r w:rsidRPr="00975C60">
        <w:rPr>
          <w:rFonts w:ascii="Times New Roman" w:eastAsia="Times New Roman" w:hAnsi="Times New Roman" w:cs="Times New Roman"/>
          <w:kern w:val="0"/>
          <w14:ligatures w14:val="none"/>
        </w:rPr>
        <w:t xml:space="preserve"> as repeated raiding forced consolidation; formal housemaster </w:t>
      </w:r>
      <w:r w:rsidRPr="00975C60">
        <w:rPr>
          <w:rFonts w:ascii="Times New Roman" w:eastAsia="Times New Roman" w:hAnsi="Times New Roman" w:cs="Times New Roman"/>
          <w:kern w:val="0"/>
          <w14:ligatures w14:val="none"/>
        </w:rPr>
        <w:lastRenderedPageBreak/>
        <w:t xml:space="preserve">structure in the </w:t>
      </w:r>
      <w:proofErr w:type="spellStart"/>
      <w:r w:rsidRPr="00975C60">
        <w:rPr>
          <w:rFonts w:ascii="Times New Roman" w:eastAsia="Times New Roman" w:hAnsi="Times New Roman" w:cs="Times New Roman"/>
          <w:kern w:val="0"/>
          <w14:ligatures w14:val="none"/>
        </w:rPr>
        <w:t>Pachomian</w:t>
      </w:r>
      <w:proofErr w:type="spellEnd"/>
      <w:r w:rsidRPr="00975C60">
        <w:rPr>
          <w:rFonts w:ascii="Times New Roman" w:eastAsia="Times New Roman" w:hAnsi="Times New Roman" w:cs="Times New Roman"/>
          <w:kern w:val="0"/>
          <w14:ligatures w14:val="none"/>
        </w:rPr>
        <w:t xml:space="preserve"> and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federations, present from their own early founding rather than arrived at gradually. The underlying mechanism does not disappear at any point; it changes container for identifiable reasons (violence, independently-founded institutional </w:t>
      </w:r>
      <w:proofErr w:type="gramStart"/>
      <w:r w:rsidRPr="00975C60">
        <w:rPr>
          <w:rFonts w:ascii="Times New Roman" w:eastAsia="Times New Roman" w:hAnsi="Times New Roman" w:cs="Times New Roman"/>
          <w:kern w:val="0"/>
          <w14:ligatures w14:val="none"/>
        </w:rPr>
        <w:t>scale) —</w:t>
      </w:r>
      <w:proofErr w:type="gramEnd"/>
      <w:r w:rsidRPr="00975C60">
        <w:rPr>
          <w:rFonts w:ascii="Times New Roman" w:eastAsia="Times New Roman" w:hAnsi="Times New Roman" w:cs="Times New Roman"/>
          <w:kern w:val="0"/>
          <w14:ligatures w14:val="none"/>
        </w:rPr>
        <w:t xml:space="preserve"> with the caveat, stated plainly in Section 2 above, that this candidate's breadth of statement makes some of its apparent persistence a function of how generally it is phrased.</w:t>
      </w:r>
    </w:p>
    <w:p w14:paraId="2A71F072"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F's surviving practice-layer</w:t>
      </w:r>
      <w:r w:rsidRPr="00975C60">
        <w:rPr>
          <w:rFonts w:ascii="Times New Roman" w:eastAsia="Times New Roman" w:hAnsi="Times New Roman" w:cs="Times New Roman"/>
          <w:kern w:val="0"/>
          <w14:ligatures w14:val="none"/>
        </w:rPr>
        <w:t xml:space="preserve"> persists without interruption through the window, also independently of the theological splits identified in Section 2: fasting, vigil, and labor are attested archaeologically and documentarily across the full window and across all four strands, even where (per Section 2) the theological account of their significance does not travel uniformly.</w:t>
      </w:r>
    </w:p>
    <w:p w14:paraId="70220254"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Candidates A, B, and E</w:t>
      </w:r>
      <w:r w:rsidRPr="00975C60">
        <w:rPr>
          <w:rFonts w:ascii="Times New Roman" w:eastAsia="Times New Roman" w:hAnsi="Times New Roman" w:cs="Times New Roman"/>
          <w:kern w:val="0"/>
          <w14:ligatures w14:val="none"/>
        </w:rPr>
        <w:t xml:space="preserve"> show intensity and form changes that track identifiable contingent causes rather than smooth maturation: withdrawal's anchoritic expression is directly disrupted by the 407/434/444 raids, with displacement to Palestine as the traceable consequence;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specific demon/passion systematization is dateable to his own career and subject to suppression within decades of his death; struggle-earned authority's apparent strand-variation reflects two independently-founded starting conditions present together from early in the window rather than one gravity weakening over time.</w:t>
      </w:r>
    </w:p>
    <w:p w14:paraId="63C04434"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Candidate G</w:t>
      </w:r>
      <w:r w:rsidRPr="00975C60">
        <w:rPr>
          <w:rFonts w:ascii="Times New Roman" w:eastAsia="Times New Roman" w:hAnsi="Times New Roman" w:cs="Times New Roman"/>
          <w:kern w:val="0"/>
          <w14:ligatures w14:val="none"/>
        </w:rPr>
        <w:t xml:space="preserve"> clusters tightly around the </w:t>
      </w:r>
      <w:proofErr w:type="spellStart"/>
      <w:r w:rsidRPr="00975C60">
        <w:rPr>
          <w:rFonts w:ascii="Times New Roman" w:eastAsia="Times New Roman" w:hAnsi="Times New Roman" w:cs="Times New Roman"/>
          <w:kern w:val="0"/>
          <w14:ligatures w14:val="none"/>
        </w:rPr>
        <w:t>Origenist</w:t>
      </w:r>
      <w:proofErr w:type="spellEnd"/>
      <w:r w:rsidRPr="00975C60">
        <w:rPr>
          <w:rFonts w:ascii="Times New Roman" w:eastAsia="Times New Roman" w:hAnsi="Times New Roman" w:cs="Times New Roman"/>
          <w:kern w:val="0"/>
          <w14:ligatures w14:val="none"/>
        </w:rPr>
        <w:t xml:space="preserve"> controversy of the 390s–400s and its aftermath, consistent with its non-classification as a gravity — not a gravity whose strength fluctuates, but a historically bounded episode.</w:t>
      </w:r>
    </w:p>
    <w:p w14:paraId="62056A1C"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The teleology caution applies throughout and is restated directly: none of the above should be read as "Desert Christianity matured from charismatic withdrawal toward institutional stability." The documented drivers of change are violence, a specific theological controversy and its suppression, and the parallel, non-sequential existence of cenobitic forms from early in the period. Where the </w:t>
      </w:r>
      <w:proofErr w:type="spellStart"/>
      <w:r w:rsidRPr="00975C60">
        <w:rPr>
          <w:rFonts w:ascii="Times New Roman" w:eastAsia="Times New Roman" w:hAnsi="Times New Roman" w:cs="Times New Roman"/>
          <w:kern w:val="0"/>
          <w14:ligatures w14:val="none"/>
        </w:rPr>
        <w:t>Apophthegmata's</w:t>
      </w:r>
      <w:proofErr w:type="spellEnd"/>
      <w:r w:rsidRPr="00975C60">
        <w:rPr>
          <w:rFonts w:ascii="Times New Roman" w:eastAsia="Times New Roman" w:hAnsi="Times New Roman" w:cs="Times New Roman"/>
          <w:kern w:val="0"/>
          <w14:ligatures w14:val="none"/>
        </w:rPr>
        <w:t xml:space="preserve"> own voice evaluates loss — the Arsenius lament, the broader elegiac framing — that evaluation stands as a separate, valid witness to how the tradition experienced these changes, held alongside, not folded into, the sociological account.</w:t>
      </w:r>
    </w:p>
    <w:p w14:paraId="04C4B19B"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14297">
          <v:rect id="_x0000_i1032" style="width:0;height:1.5pt" o:hralign="center" o:hrstd="t" o:hr="t" fillcolor="#a0a0a0" stroked="f"/>
        </w:pict>
      </w:r>
    </w:p>
    <w:p w14:paraId="08DE3D56"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7. The Brown/Rubenson and Goehring tensions, held open</w:t>
      </w:r>
    </w:p>
    <w:p w14:paraId="50E3BE4B"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Neither tension is resolved here, and several classifications above depend visibly on that refusal, named rather than left implicit. Candidate C's rejection depends partly on weighting Rubenson's challenge to the "unlettered holy man" image; under a </w:t>
      </w:r>
      <w:proofErr w:type="gramStart"/>
      <w:r w:rsidRPr="00975C60">
        <w:rPr>
          <w:rFonts w:ascii="Times New Roman" w:eastAsia="Times New Roman" w:hAnsi="Times New Roman" w:cs="Times New Roman"/>
          <w:kern w:val="0"/>
          <w14:ligatures w14:val="none"/>
        </w:rPr>
        <w:t>fuller Brown-weighted</w:t>
      </w:r>
      <w:proofErr w:type="gramEnd"/>
      <w:r w:rsidRPr="00975C60">
        <w:rPr>
          <w:rFonts w:ascii="Times New Roman" w:eastAsia="Times New Roman" w:hAnsi="Times New Roman" w:cs="Times New Roman"/>
          <w:kern w:val="0"/>
          <w14:ligatures w14:val="none"/>
        </w:rPr>
        <w:t xml:space="preserve"> reading, Candidate C might look marginally stronger, though it would still face Shenoute's documented literacy requirements independently. Candidate A's reduced strength outside the anchoritic strand is reinforced by Goehring's finding that even the anchoritic literary withdrawal-ideal is itself overstated relative to the documentary record of village-embedded monastic life; this document has not extended that reduction into lowering Candidate A's classification within the anchoritic strand itself, on the judgment that the literary ideal's formative power is plausibly real even where the practiced reality fell short of it — a judgment call flagged here rather than treated as self-evidently correct.</w:t>
      </w:r>
    </w:p>
    <w:p w14:paraId="4C0829F9"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FB45BD1">
          <v:rect id="_x0000_i1033" style="width:0;height:1.5pt" o:hralign="center" o:hrstd="t" o:hr="t" fillcolor="#a0a0a0" stroked="f"/>
        </w:pict>
      </w:r>
    </w:p>
    <w:p w14:paraId="703F106B"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8. Foundational World Assumptions</w:t>
      </w:r>
    </w:p>
    <w:p w14:paraId="3E65C657"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Several convictions about reality appear assumed rather than argued across this world's evidence, making the gravities intelligible without themselves functioning as gravities subject to the same six tests:</w:t>
      </w:r>
    </w:p>
    <w:p w14:paraId="6176DFFB"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The body is constitutive of the self, not incidental to it, and therefore a legitimate site of spiritual work</w:t>
      </w:r>
      <w:r w:rsidRPr="00975C60">
        <w:rPr>
          <w:rFonts w:ascii="Times New Roman" w:eastAsia="Times New Roman" w:hAnsi="Times New Roman" w:cs="Times New Roman"/>
          <w:kern w:val="0"/>
          <w14:ligatures w14:val="none"/>
        </w:rPr>
        <w:t xml:space="preserve"> — assumed in every strand, even where strands disagree about whether the relevant body is individual or corporate.</w:t>
      </w:r>
    </w:p>
    <w:p w14:paraId="287B7B00"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The self is genuinely malleable through sustained practice and relationship</w:t>
      </w:r>
      <w:r w:rsidRPr="00975C60">
        <w:rPr>
          <w:rFonts w:ascii="Times New Roman" w:eastAsia="Times New Roman" w:hAnsi="Times New Roman" w:cs="Times New Roman"/>
          <w:kern w:val="0"/>
          <w14:ligatures w14:val="none"/>
        </w:rPr>
        <w:t>, making the mentorship gravity intelligible: formation through an abba/amma or housemaster only makes sense against a background assumption that the self can be substantially reshaped by sustained attention and discipline.</w:t>
      </w:r>
    </w:p>
    <w:p w14:paraId="242A682C"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Time within a single life, and within a single community's life, is the primary unit of spiritual progress</w:t>
      </w:r>
      <w:r w:rsidRPr="00975C60">
        <w:rPr>
          <w:rFonts w:ascii="Times New Roman" w:eastAsia="Times New Roman" w:hAnsi="Times New Roman" w:cs="Times New Roman"/>
          <w:kern w:val="0"/>
          <w14:ligatures w14:val="none"/>
        </w:rPr>
        <w:t>, with progress understood as real and observable by others — even where what counts as evidence of that progress, and how authority follows from it, differs by strand.</w:t>
      </w:r>
    </w:p>
    <w:p w14:paraId="09EB2A2B"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The demonic, the corporate-communal, and the resurrection-future are each, in their respective strand-specific framings, real and not merely metaphorical</w:t>
      </w:r>
      <w:r w:rsidRPr="00975C60">
        <w:rPr>
          <w:rFonts w:ascii="Times New Roman" w:eastAsia="Times New Roman" w:hAnsi="Times New Roman" w:cs="Times New Roman"/>
          <w:kern w:val="0"/>
          <w14:ligatures w14:val="none"/>
        </w:rPr>
        <w:t xml:space="preserve"> — even </w:t>
      </w:r>
      <w:proofErr w:type="spellStart"/>
      <w:r w:rsidRPr="00975C60">
        <w:rPr>
          <w:rFonts w:ascii="Times New Roman" w:eastAsia="Times New Roman" w:hAnsi="Times New Roman" w:cs="Times New Roman"/>
          <w:kern w:val="0"/>
          <w14:ligatures w14:val="none"/>
        </w:rPr>
        <w:t>Evagrius's</w:t>
      </w:r>
      <w:proofErr w:type="spellEnd"/>
      <w:r w:rsidRPr="00975C60">
        <w:rPr>
          <w:rFonts w:ascii="Times New Roman" w:eastAsia="Times New Roman" w:hAnsi="Times New Roman" w:cs="Times New Roman"/>
          <w:kern w:val="0"/>
          <w14:ligatures w14:val="none"/>
        </w:rPr>
        <w:t xml:space="preserve"> most systematized psychological vocabulary does not eliminate real demonic agency, and Shenoute's corporate-body language does not treat communal contamination as a mere figure of speech.</w:t>
      </w:r>
    </w:p>
    <w:p w14:paraId="1DBD605B"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Divine accompaniment is available in the present, through ordinary disciplined practice and relationship, without requiring extraordinary mediating institutions</w:t>
      </w:r>
      <w:r w:rsidRPr="00975C60">
        <w:rPr>
          <w:rFonts w:ascii="Times New Roman" w:eastAsia="Times New Roman" w:hAnsi="Times New Roman" w:cs="Times New Roman"/>
          <w:kern w:val="0"/>
          <w14:ligatures w14:val="none"/>
        </w:rPr>
        <w:t xml:space="preserve"> — underlying the mentorship gravity's portability across strands regardless of whether its container is an informal abba relationship or a formal housemaster office.</w:t>
      </w:r>
    </w:p>
    <w:p w14:paraId="05264766"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34D46">
          <v:rect id="_x0000_i1034" style="width:0;height:1.5pt" o:hralign="center" o:hrstd="t" o:hr="t" fillcolor="#a0a0a0" stroked="f"/>
        </w:pict>
      </w:r>
    </w:p>
    <w:p w14:paraId="288DBA58"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9. Theological unity, or its explicit absence</w:t>
      </w:r>
    </w:p>
    <w:p w14:paraId="603294D6"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This world does not appear to have anything functioning the way the Logos functions for Alexandria — a single theological reality whose explication unifies the gravities into one coherent intellectual architecture. The fracture identified in Candidate F sharpens this finding rather than merely permitting it: if even "the body" cannot be theologically unified across strands, this world's coherence cannot rest on shared theological architecture at all.</w:t>
      </w:r>
    </w:p>
    <w:p w14:paraId="0F84D1E7"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What unity this world has works through </w:t>
      </w:r>
      <w:r w:rsidRPr="00975C60">
        <w:rPr>
          <w:rFonts w:ascii="Times New Roman" w:eastAsia="Times New Roman" w:hAnsi="Times New Roman" w:cs="Times New Roman"/>
          <w:b/>
          <w:bCs/>
          <w:kern w:val="0"/>
          <w14:ligatures w14:val="none"/>
        </w:rPr>
        <w:t>shared practice and relational structure rather than shared theological architecture.</w:t>
      </w:r>
      <w:r w:rsidRPr="00975C60">
        <w:rPr>
          <w:rFonts w:ascii="Times New Roman" w:eastAsia="Times New Roman" w:hAnsi="Times New Roman" w:cs="Times New Roman"/>
          <w:kern w:val="0"/>
          <w14:ligatures w14:val="none"/>
        </w:rPr>
        <w:t xml:space="preserve"> The two things that actually pass the cross-strand test — mentored formation and ascetic bodily practice — are not themselves theological claims; they are practiced structures that different strands theologize differently, sometimes incompatibly (an </w:t>
      </w:r>
      <w:r w:rsidRPr="00975C60">
        <w:rPr>
          <w:rFonts w:ascii="Times New Roman" w:eastAsia="Times New Roman" w:hAnsi="Times New Roman" w:cs="Times New Roman"/>
          <w:kern w:val="0"/>
          <w14:ligatures w14:val="none"/>
        </w:rPr>
        <w:lastRenderedPageBreak/>
        <w:t xml:space="preserve">individually-contested body versus a corporately-contested body), without those different </w:t>
      </w:r>
      <w:proofErr w:type="spellStart"/>
      <w:r w:rsidRPr="00975C60">
        <w:rPr>
          <w:rFonts w:ascii="Times New Roman" w:eastAsia="Times New Roman" w:hAnsi="Times New Roman" w:cs="Times New Roman"/>
          <w:kern w:val="0"/>
          <w14:ligatures w14:val="none"/>
        </w:rPr>
        <w:t>theologizations</w:t>
      </w:r>
      <w:proofErr w:type="spellEnd"/>
      <w:r w:rsidRPr="00975C60">
        <w:rPr>
          <w:rFonts w:ascii="Times New Roman" w:eastAsia="Times New Roman" w:hAnsi="Times New Roman" w:cs="Times New Roman"/>
          <w:kern w:val="0"/>
          <w14:ligatures w14:val="none"/>
        </w:rPr>
        <w:t xml:space="preserve"> needing to cohere into one doctrine for the practices themselves to count as genuinely shared.</w:t>
      </w:r>
    </w:p>
    <w:p w14:paraId="75753D91"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This is recorded as a finding, not a deficiency, but a real one: Desert Christianity's coherence, where it exists, is a coherence of form and practice held in common across genuinely different and not reconciled theological accounts of why that form and practice matter. Whether this is sufficient to ground one formation </w:t>
      </w:r>
      <w:proofErr w:type="gramStart"/>
      <w:r w:rsidRPr="00975C60">
        <w:rPr>
          <w:rFonts w:ascii="Times New Roman" w:eastAsia="Times New Roman" w:hAnsi="Times New Roman" w:cs="Times New Roman"/>
          <w:kern w:val="0"/>
          <w14:ligatures w14:val="none"/>
        </w:rPr>
        <w:t>world, or</w:t>
      </w:r>
      <w:proofErr w:type="gramEnd"/>
      <w:r w:rsidRPr="00975C60">
        <w:rPr>
          <w:rFonts w:ascii="Times New Roman" w:eastAsia="Times New Roman" w:hAnsi="Times New Roman" w:cs="Times New Roman"/>
          <w:kern w:val="0"/>
          <w14:ligatures w14:val="none"/>
        </w:rPr>
        <w:t xml:space="preserve"> is a weaker form of unity than this project's prior work has required, is raised here for Phase 4 rather than settled.</w:t>
      </w:r>
    </w:p>
    <w:p w14:paraId="2DC7DBCA" w14:textId="77777777" w:rsidR="00975C60" w:rsidRPr="00975C60" w:rsidRDefault="00000000" w:rsidP="00975C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284314">
          <v:rect id="_x0000_i1035" style="width:0;height:1.5pt" o:hralign="center" o:hrstd="t" o:hr="t" fillcolor="#a0a0a0" stroked="f"/>
        </w:pict>
      </w:r>
    </w:p>
    <w:p w14:paraId="67478E73" w14:textId="77777777" w:rsidR="00975C60" w:rsidRPr="00975C60" w:rsidRDefault="00975C60" w:rsidP="00975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C60">
        <w:rPr>
          <w:rFonts w:ascii="Times New Roman" w:eastAsia="Times New Roman" w:hAnsi="Times New Roman" w:cs="Times New Roman"/>
          <w:b/>
          <w:bCs/>
          <w:kern w:val="0"/>
          <w:sz w:val="27"/>
          <w:szCs w:val="27"/>
          <w14:ligatures w14:val="none"/>
        </w:rPr>
        <w:t>10. Final Assessment and Readiness for Phase 4</w:t>
      </w:r>
    </w:p>
    <w:p w14:paraId="3F30C937"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b/>
          <w:bCs/>
          <w:kern w:val="0"/>
          <w14:ligatures w14:val="none"/>
        </w:rPr>
        <w:t>This document supports treating Desert Christianity as one formation world, but on a thinner evidentiary basis than the candidate-generation stage suggested, resting on exactly two independently confirmed cross-strand elements — formation through mentored relationship, and ascetic bodily practice as a behavioral pattern — rather than on a fuller set of shared gravities including a unified theology of the body.</w:t>
      </w:r>
    </w:p>
    <w:p w14:paraId="4DA40AFC"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 xml:space="preserve">Withdrawal, demon-combat as a specific mechanism, struggle-earned authority standing apart from office, and a unified theological account of the body's significance are all real and strongly attested, but substantially as anchoritic-strand phenomena, confirmed not to travel cleanly to the </w:t>
      </w:r>
      <w:proofErr w:type="spellStart"/>
      <w:r w:rsidRPr="00975C60">
        <w:rPr>
          <w:rFonts w:ascii="Times New Roman" w:eastAsia="Times New Roman" w:hAnsi="Times New Roman" w:cs="Times New Roman"/>
          <w:kern w:val="0"/>
          <w14:ligatures w14:val="none"/>
        </w:rPr>
        <w:t>Shenoutean</w:t>
      </w:r>
      <w:proofErr w:type="spellEnd"/>
      <w:r w:rsidRPr="00975C60">
        <w:rPr>
          <w:rFonts w:ascii="Times New Roman" w:eastAsia="Times New Roman" w:hAnsi="Times New Roman" w:cs="Times New Roman"/>
          <w:kern w:val="0"/>
          <w14:ligatures w14:val="none"/>
        </w:rPr>
        <w:t xml:space="preserve"> strand by the same rigorous testing this document applied throughout. The body candidate in particular, on close inspection, fractures the same way the demon-combat candidate did, for a related but distinct reason: not four authors elaborating one shared concern, but at least two strands locating the basic unit of spiritual consequence differently — the individual ascetic, or the corporate community — which is a difference in formation economy, not merely in theological vocabulary describing one economy.</w:t>
      </w:r>
    </w:p>
    <w:p w14:paraId="294654BE"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The Shenoute/Syria parallel question is not resolved, and this document names directly, rather than conceals, that it currently keeps Shenoute inside this world by a different test (institutional descent) than the one it uses to exclude Syria (formation logic) — an inconsistency Phase 4 inherits rather than one this document has quietly smoothed over.</w:t>
      </w:r>
    </w:p>
    <w:p w14:paraId="0A2DC5C8" w14:textId="77777777" w:rsidR="00975C60" w:rsidRPr="00975C60" w:rsidRDefault="00975C60" w:rsidP="00975C60">
      <w:pPr>
        <w:spacing w:before="100" w:beforeAutospacing="1" w:after="100" w:afterAutospacing="1" w:line="240" w:lineRule="auto"/>
        <w:rPr>
          <w:rFonts w:ascii="Times New Roman" w:eastAsia="Times New Roman" w:hAnsi="Times New Roman" w:cs="Times New Roman"/>
          <w:kern w:val="0"/>
          <w14:ligatures w14:val="none"/>
        </w:rPr>
      </w:pPr>
      <w:r w:rsidRPr="00975C60">
        <w:rPr>
          <w:rFonts w:ascii="Times New Roman" w:eastAsia="Times New Roman" w:hAnsi="Times New Roman" w:cs="Times New Roman"/>
          <w:kern w:val="0"/>
          <w14:ligatures w14:val="none"/>
        </w:rPr>
        <w:t>Phase 4 should proceed with this world treated as one, on the strength of the two confirmed cross-strand elements — but should not let later construction work quietly restore the assumption that withdrawal, demon-combat, charismatic anti-institutional authority, or a single theology of the body are properties of the whole world, when this document's own testing shows they are not. This is a real but narrow basis for unity, honestly reported rather than rounded toward the fuller picture this project's earlier documents may have implied it would find.</w:t>
      </w:r>
    </w:p>
    <w:p w14:paraId="713DF7C3" w14:textId="4D04FA94" w:rsidR="007F75C4" w:rsidRDefault="009E3EA1">
      <w:r>
        <w:t xml:space="preserve">this section's closing verdict and </w:t>
      </w:r>
      <w:proofErr w:type="spellStart"/>
      <w:r>
        <w:t>Pachomian</w:t>
      </w:r>
      <w:proofErr w:type="spellEnd"/>
      <w:r>
        <w:t xml:space="preserve"> framing are superseded by the Addendum, </w:t>
      </w:r>
      <w:r>
        <w:t>03 Desert Christianity – Addendum – The One World Decision</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5A6"/>
    <w:multiLevelType w:val="multilevel"/>
    <w:tmpl w:val="6BF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70F65"/>
    <w:multiLevelType w:val="multilevel"/>
    <w:tmpl w:val="6CA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16011"/>
    <w:multiLevelType w:val="multilevel"/>
    <w:tmpl w:val="8BE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32E89"/>
    <w:multiLevelType w:val="multilevel"/>
    <w:tmpl w:val="CF2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C35A1"/>
    <w:multiLevelType w:val="multilevel"/>
    <w:tmpl w:val="5B2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2410B"/>
    <w:multiLevelType w:val="multilevel"/>
    <w:tmpl w:val="21C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576B9"/>
    <w:multiLevelType w:val="multilevel"/>
    <w:tmpl w:val="AF6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67657"/>
    <w:multiLevelType w:val="multilevel"/>
    <w:tmpl w:val="5DE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633005">
    <w:abstractNumId w:val="6"/>
  </w:num>
  <w:num w:numId="2" w16cid:durableId="1398167533">
    <w:abstractNumId w:val="5"/>
  </w:num>
  <w:num w:numId="3" w16cid:durableId="754058699">
    <w:abstractNumId w:val="4"/>
  </w:num>
  <w:num w:numId="4" w16cid:durableId="142048961">
    <w:abstractNumId w:val="7"/>
  </w:num>
  <w:num w:numId="5" w16cid:durableId="539585947">
    <w:abstractNumId w:val="0"/>
  </w:num>
  <w:num w:numId="6" w16cid:durableId="1982344468">
    <w:abstractNumId w:val="2"/>
  </w:num>
  <w:num w:numId="7" w16cid:durableId="1885092769">
    <w:abstractNumId w:val="1"/>
  </w:num>
  <w:num w:numId="8" w16cid:durableId="2132506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60"/>
    <w:rsid w:val="006F2C70"/>
    <w:rsid w:val="007F75C4"/>
    <w:rsid w:val="00975C60"/>
    <w:rsid w:val="009E3EA1"/>
    <w:rsid w:val="00DE095B"/>
    <w:rsid w:val="00EA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4E13"/>
  <w15:chartTrackingRefBased/>
  <w15:docId w15:val="{7162B1BA-CB46-4449-A100-B7534C0A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60"/>
    <w:rPr>
      <w:rFonts w:eastAsiaTheme="majorEastAsia" w:cstheme="majorBidi"/>
      <w:color w:val="272727" w:themeColor="text1" w:themeTint="D8"/>
    </w:rPr>
  </w:style>
  <w:style w:type="paragraph" w:styleId="Title">
    <w:name w:val="Title"/>
    <w:basedOn w:val="Normal"/>
    <w:next w:val="Normal"/>
    <w:link w:val="TitleChar"/>
    <w:uiPriority w:val="10"/>
    <w:qFormat/>
    <w:rsid w:val="0097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60"/>
    <w:pPr>
      <w:spacing w:before="160"/>
      <w:jc w:val="center"/>
    </w:pPr>
    <w:rPr>
      <w:i/>
      <w:iCs/>
      <w:color w:val="404040" w:themeColor="text1" w:themeTint="BF"/>
    </w:rPr>
  </w:style>
  <w:style w:type="character" w:customStyle="1" w:styleId="QuoteChar">
    <w:name w:val="Quote Char"/>
    <w:basedOn w:val="DefaultParagraphFont"/>
    <w:link w:val="Quote"/>
    <w:uiPriority w:val="29"/>
    <w:rsid w:val="00975C60"/>
    <w:rPr>
      <w:i/>
      <w:iCs/>
      <w:color w:val="404040" w:themeColor="text1" w:themeTint="BF"/>
    </w:rPr>
  </w:style>
  <w:style w:type="paragraph" w:styleId="ListParagraph">
    <w:name w:val="List Paragraph"/>
    <w:basedOn w:val="Normal"/>
    <w:uiPriority w:val="34"/>
    <w:qFormat/>
    <w:rsid w:val="00975C60"/>
    <w:pPr>
      <w:ind w:left="720"/>
      <w:contextualSpacing/>
    </w:pPr>
  </w:style>
  <w:style w:type="character" w:styleId="IntenseEmphasis">
    <w:name w:val="Intense Emphasis"/>
    <w:basedOn w:val="DefaultParagraphFont"/>
    <w:uiPriority w:val="21"/>
    <w:qFormat/>
    <w:rsid w:val="00975C60"/>
    <w:rPr>
      <w:i/>
      <w:iCs/>
      <w:color w:val="0F4761" w:themeColor="accent1" w:themeShade="BF"/>
    </w:rPr>
  </w:style>
  <w:style w:type="paragraph" w:styleId="IntenseQuote">
    <w:name w:val="Intense Quote"/>
    <w:basedOn w:val="Normal"/>
    <w:next w:val="Normal"/>
    <w:link w:val="IntenseQuoteChar"/>
    <w:uiPriority w:val="30"/>
    <w:qFormat/>
    <w:rsid w:val="0097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C60"/>
    <w:rPr>
      <w:i/>
      <w:iCs/>
      <w:color w:val="0F4761" w:themeColor="accent1" w:themeShade="BF"/>
    </w:rPr>
  </w:style>
  <w:style w:type="character" w:styleId="IntenseReference">
    <w:name w:val="Intense Reference"/>
    <w:basedOn w:val="DefaultParagraphFont"/>
    <w:uiPriority w:val="32"/>
    <w:qFormat/>
    <w:rsid w:val="00975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5323</Words>
  <Characters>33752</Characters>
  <Application>Microsoft Office Word</Application>
  <DocSecurity>0</DocSecurity>
  <Lines>544</Lines>
  <Paragraphs>160</Paragraphs>
  <ScaleCrop>false</ScaleCrop>
  <Company/>
  <LinksUpToDate>false</LinksUpToDate>
  <CharactersWithSpaces>38915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2026-06-19T18:57:00Z</dcterms:created>
  <dcterms:modified xsi:type="dcterms:W3CDTF">2026-06-20T01:29:00Z</dcterms:modified>
</cp:coreProperties>
</file>