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0637" w14:textId="77777777" w:rsidR="00EA7737" w:rsidRPr="00EA7737" w:rsidRDefault="00EA7737" w:rsidP="00EA77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7737">
        <w:rPr>
          <w:rFonts w:ascii="Times New Roman" w:eastAsia="Times New Roman" w:hAnsi="Times New Roman" w:cs="Times New Roman"/>
          <w:b/>
          <w:bCs/>
          <w:kern w:val="0"/>
          <w:sz w:val="36"/>
          <w:szCs w:val="36"/>
          <w14:ligatures w14:val="none"/>
        </w:rPr>
        <w:t>Document 04: Ecological Reconstruction — Desert Christianity</w:t>
      </w:r>
    </w:p>
    <w:p w14:paraId="7BC53136"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i/>
          <w:iCs/>
          <w:kern w:val="0"/>
          <w14:ligatures w14:val="none"/>
        </w:rPr>
        <w:t>Per Construction Framework v1.6, Part IV.</w:t>
      </w:r>
    </w:p>
    <w:p w14:paraId="56FDDE86"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149EDE">
          <v:rect id="_x0000_i1025" style="width:0;height:1.5pt" o:hralign="center" o:hrstd="t" o:hr="t" fillcolor="#a0a0a0" stroked="f"/>
        </w:pict>
      </w:r>
    </w:p>
    <w:p w14:paraId="644EA8E6"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1. Purpose and Framing</w:t>
      </w:r>
    </w:p>
    <w:p w14:paraId="38B260D0"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This document reconstructs what it was like to actually inhabit Desert Christianity. It does so under a constraint the prior documents established and that must be carried forward rather than smoothed away: this world does not have a rich, uniform gravity structure that would license a single, generic reconstruction of "the desert monk's" daily life, formation, or worldview. What this world's strands share, on the evidence, is narrower: formation through a structured relationship with someone further along the path, and ascetic bodily practice as the medium through which that formation actually happens. Everything else — the meaning attached to withdrawal, the shape authority takes, the theological account of why the body matters, the very texture of community life — diverges by strand in ways that are evidentially real, not merely stylistic.</w:t>
      </w:r>
    </w:p>
    <w:p w14:paraId="2E38DC90"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This document is therefore organized to make that divergence visible rather than to write around it. Where a single throughline can honestly be drawn across the anchoritic, semi-anchoritic,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and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strands, it is drawn. Where it cannot, separate reconstructions are offered side by side, and the reader should come away from this document understanding that an anchorite at Kellia and a monk under Shenoute's federation inhabited recognizably different worlds that happened to share a region, an era, a basic commitment to mentored bodily formation, and a body of inherited vocabulary — not one world wearing different costumes.</w:t>
      </w:r>
    </w:p>
    <w:p w14:paraId="56724159"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FAC0E">
          <v:rect id="_x0000_i1026" style="width:0;height:1.5pt" o:hralign="center" o:hrstd="t" o:hr="t" fillcolor="#a0a0a0" stroked="f"/>
        </w:pict>
      </w:r>
    </w:p>
    <w:p w14:paraId="7841E6A5"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2. Social Ecology, by Strand</w:t>
      </w:r>
    </w:p>
    <w:p w14:paraId="133A36B0"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The anchoritic hermit (Antony's model)</w:t>
      </w:r>
    </w:p>
    <w:p w14:paraId="3B50C366"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A man — the evidence for women in this specific configuration is thin — who has typically withdrawn first to the edge of settled village life, then progressively further out, often under the guidance of an older ascetic before living alone. Social contact is minimal by design: visitors come to him, rather than he maintaining ordinary social ties; provisions are minimal and often self-produced or supplied by occasional visitors and disciples. His social position is built almost entirely on reputation for holiness validated by direct, often dramatic, encounter — visions, demonic combat, healing, prophetic insight — rather than by any office or credential. He may, over time, acquire disciples who settle near him, at which point he becomes, almost without seeking it, an abba whose authority is purely the recognition others extend to him.</w:t>
      </w:r>
    </w:p>
    <w:p w14:paraId="2464E225"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The semi-anchoritic cluster resident (</w:t>
      </w:r>
      <w:proofErr w:type="spellStart"/>
      <w:r w:rsidRPr="00EA7737">
        <w:rPr>
          <w:rFonts w:ascii="Times New Roman" w:eastAsia="Times New Roman" w:hAnsi="Times New Roman" w:cs="Times New Roman"/>
          <w:b/>
          <w:bCs/>
          <w:kern w:val="0"/>
          <w14:ligatures w14:val="none"/>
        </w:rPr>
        <w:t>Nitria</w:t>
      </w:r>
      <w:proofErr w:type="spellEnd"/>
      <w:r w:rsidRPr="00EA7737">
        <w:rPr>
          <w:rFonts w:ascii="Times New Roman" w:eastAsia="Times New Roman" w:hAnsi="Times New Roman" w:cs="Times New Roman"/>
          <w:b/>
          <w:bCs/>
          <w:kern w:val="0"/>
          <w14:ligatures w14:val="none"/>
        </w:rPr>
        <w:t xml:space="preserve">, Kellia, </w:t>
      </w:r>
      <w:proofErr w:type="spellStart"/>
      <w:r w:rsidRPr="00EA7737">
        <w:rPr>
          <w:rFonts w:ascii="Times New Roman" w:eastAsia="Times New Roman" w:hAnsi="Times New Roman" w:cs="Times New Roman"/>
          <w:b/>
          <w:bCs/>
          <w:kern w:val="0"/>
          <w14:ligatures w14:val="none"/>
        </w:rPr>
        <w:t>Scetis</w:t>
      </w:r>
      <w:proofErr w:type="spellEnd"/>
      <w:r w:rsidRPr="00EA7737">
        <w:rPr>
          <w:rFonts w:ascii="Times New Roman" w:eastAsia="Times New Roman" w:hAnsi="Times New Roman" w:cs="Times New Roman"/>
          <w:b/>
          <w:bCs/>
          <w:kern w:val="0"/>
          <w14:ligatures w14:val="none"/>
        </w:rPr>
        <w:t>)</w:t>
      </w:r>
    </w:p>
    <w:p w14:paraId="4D4460DC"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lastRenderedPageBreak/>
        <w:t>A genuinely different social position from the solitary hermit, even though later tradition often blurs the two. At Kellia, cells were spaced so that neighbors could not easily see or hear one another, yet residents gathered communally for a shared meal and liturgy on Saturdays and Sundays, some traveling three or four miles to do so. A monk's absence from this gathering was itself a social signal: it meant illness or death, and prompted someone to go check. Population at Kellia grew from perhaps a few hundred in the late fourth century to the thousands by the fifth and sixth centuries, before any of this was a remote or marginal phenomenon — it was, at its height, a substantial settled population with an internal economy of provision and porous, regular contact with surrounding society despite its founding ideal of withdrawal.</w:t>
      </w:r>
    </w:p>
    <w:p w14:paraId="5344B355"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 xml:space="preserve">The </w:t>
      </w:r>
      <w:proofErr w:type="spellStart"/>
      <w:r w:rsidRPr="00EA7737">
        <w:rPr>
          <w:rFonts w:ascii="Times New Roman" w:eastAsia="Times New Roman" w:hAnsi="Times New Roman" w:cs="Times New Roman"/>
          <w:b/>
          <w:bCs/>
          <w:kern w:val="0"/>
          <w14:ligatures w14:val="none"/>
        </w:rPr>
        <w:t>Pachomian</w:t>
      </w:r>
      <w:proofErr w:type="spellEnd"/>
      <w:r w:rsidRPr="00EA7737">
        <w:rPr>
          <w:rFonts w:ascii="Times New Roman" w:eastAsia="Times New Roman" w:hAnsi="Times New Roman" w:cs="Times New Roman"/>
          <w:b/>
          <w:bCs/>
          <w:kern w:val="0"/>
          <w14:ligatures w14:val="none"/>
        </w:rPr>
        <w:t xml:space="preserve"> cenobite under a housemaster</w:t>
      </w:r>
    </w:p>
    <w:p w14:paraId="0DA0B4CD"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A markedly more institutionally embedded social position from the outset. A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monk enters a federation organized into "houses" under a housemaster, himself answerable to the community's overall superior, with annual assemblies at the central monastery coordinating resources and resolving disputes across the federation. Entry itself involved a formal commitment of obedience to the community and its rule —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system, like Shenoute's after it, required more than simple residence; it asked for a binding undertaking, even if the precise form of that undertaking differed between the two federations. Daily life ran on a shared schedule of prayer, labor organized for the community's mutual support and even external trade, and communal meals, with personal possessions minimal and held in common. Social position within the community was structured and graduated — new entrant, settled brother, housemaster, superior — rather than purely reputation-based, even though reputation for holiness still mattered within that structure. This social form is not a later development out of the anchoritic ideal;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federation's organizational logic is present from its 320s founding, meaning a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cenobite's social world looks the way it does not because cenobitic life "matured" out of withdrawal, but because Pachomius built something structurally different from the start.</w:t>
      </w:r>
    </w:p>
    <w:p w14:paraId="6944C5AE"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 xml:space="preserve">Women in the </w:t>
      </w:r>
      <w:proofErr w:type="spellStart"/>
      <w:r w:rsidRPr="00EA7737">
        <w:rPr>
          <w:rFonts w:ascii="Times New Roman" w:eastAsia="Times New Roman" w:hAnsi="Times New Roman" w:cs="Times New Roman"/>
          <w:b/>
          <w:bCs/>
          <w:kern w:val="0"/>
          <w14:ligatures w14:val="none"/>
        </w:rPr>
        <w:t>Pachomian</w:t>
      </w:r>
      <w:proofErr w:type="spellEnd"/>
      <w:r w:rsidRPr="00EA7737">
        <w:rPr>
          <w:rFonts w:ascii="Times New Roman" w:eastAsia="Times New Roman" w:hAnsi="Times New Roman" w:cs="Times New Roman"/>
          <w:b/>
          <w:bCs/>
          <w:kern w:val="0"/>
          <w14:ligatures w14:val="none"/>
        </w:rPr>
        <w:t xml:space="preserve"> federation, and the parallel case of Melania</w:t>
      </w:r>
    </w:p>
    <w:p w14:paraId="0E60A0AC"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federation included women's houses from early in its history, administratively linked to but physically separate from the men's communities, with their own internal governance under a female superior — a structural fact this document's social reconstruction should hold alongside the men's federation rather than treat as a footnote to it. Outside the cenobitic federations entirely, Palladius's sustained attention to Melania the Elder and Melania the Younger documents a different social position again: wealthy, socially prominent women whose ascetic practice and patronage operated with considerable independent standing, including the funding and founding of religious communities — a social position with little structural resemblance to either the anchoritic hermit's or the cenobitic sister's, and a reminder that this world's social ecology for women, like its social ecology generally, does not reduce to one pattern.</w:t>
      </w:r>
    </w:p>
    <w:p w14:paraId="2C008EA6"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 xml:space="preserve">The </w:t>
      </w:r>
      <w:proofErr w:type="spellStart"/>
      <w:r w:rsidRPr="00EA7737">
        <w:rPr>
          <w:rFonts w:ascii="Times New Roman" w:eastAsia="Times New Roman" w:hAnsi="Times New Roman" w:cs="Times New Roman"/>
          <w:b/>
          <w:bCs/>
          <w:kern w:val="0"/>
          <w14:ligatures w14:val="none"/>
        </w:rPr>
        <w:t>Shenoutean</w:t>
      </w:r>
      <w:proofErr w:type="spellEnd"/>
      <w:r w:rsidRPr="00EA7737">
        <w:rPr>
          <w:rFonts w:ascii="Times New Roman" w:eastAsia="Times New Roman" w:hAnsi="Times New Roman" w:cs="Times New Roman"/>
          <w:b/>
          <w:bCs/>
          <w:kern w:val="0"/>
          <w14:ligatures w14:val="none"/>
        </w:rPr>
        <w:t xml:space="preserve"> federation member, men's and women's communities together</w:t>
      </w:r>
    </w:p>
    <w:p w14:paraId="2C6D3792"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lastRenderedPageBreak/>
        <w:t>The most institutionally dense social position this world's evidence describes, and one that cannot be reconstructed accurately by describing the men's community alone. A member of Shenoute's White Monastery federation — by report several thousand monks and nuns across men's and women's houses at the community's height — lived inside an enclosed complex with internal "house" subdivisions, each under a housemaster or housemistress, all ultimately answerable to a single, personally formidable superior whose authority was reinforced by direct alliance with the Alexandrian church.</w:t>
      </w:r>
    </w:p>
    <w:p w14:paraId="74F99787"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The women's community, physically separate from the men's, had governed itself in matters of corporal punishment and food allowance before Shenoute's assumption of leadership; Rebecca Krawiec's study of his surviving letters to the women documents a real, </w:t>
      </w:r>
      <w:proofErr w:type="spellStart"/>
      <w:r w:rsidRPr="00EA7737">
        <w:rPr>
          <w:rFonts w:ascii="Times New Roman" w:eastAsia="Times New Roman" w:hAnsi="Times New Roman" w:cs="Times New Roman"/>
          <w:kern w:val="0"/>
          <w14:ligatures w14:val="none"/>
        </w:rPr>
        <w:t>reconstructable</w:t>
      </w:r>
      <w:proofErr w:type="spellEnd"/>
      <w:r w:rsidRPr="00EA7737">
        <w:rPr>
          <w:rFonts w:ascii="Times New Roman" w:eastAsia="Times New Roman" w:hAnsi="Times New Roman" w:cs="Times New Roman"/>
          <w:kern w:val="0"/>
          <w14:ligatures w14:val="none"/>
        </w:rPr>
        <w:t xml:space="preserve"> shift away from that prior self-governance toward Shenoute's own imposed control over both — the women were no longer deciding for themselves what punishment or what food allowance was appropriate, but were told by Shenoute what the severity of punishment and the measure of food would be. Shenoute's own stated rationale, per his letters, was that the women's sins, if left unpunished by their own authority, would "pollute him" as the head of the whole community — the corporate-body logic this document reconstructs elsewhere in his teaching extending concretely into a claim of disciplinary jurisdiction across a community he did not physically inhabit day to day. The women's community did not accept this extension passively: Krawiec's reconstruction from the letters documents real resistance and negotiation, not simple compliance, even as the structural shift toward centralized male control is the documented outcome.</w:t>
      </w:r>
    </w:p>
    <w:p w14:paraId="26371ECA"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Discipline within the federation more broadly was strict and, per Shenoute's own letters, controversial even among his own followers: one of the nine identifiable crises Krawiec's study of his correspondence names is remembered as the "Death of a Male Monk," reflecting a real and apparently disputed episode of corporal punishment whose severity provoked internal controversy over the practice's legitimacy — a documented crisis over the practice itself, rather than a single settled anecdote. (A further, more vivid tradition, that Shenoute personally killed a disobedient monk, appears in Besa's later hagiographic </w:t>
      </w:r>
      <w:r w:rsidRPr="00EA7737">
        <w:rPr>
          <w:rFonts w:ascii="Times New Roman" w:eastAsia="Times New Roman" w:hAnsi="Times New Roman" w:cs="Times New Roman"/>
          <w:i/>
          <w:iCs/>
          <w:kern w:val="0"/>
          <w14:ligatures w14:val="none"/>
        </w:rPr>
        <w:t>Life of Shenoute</w:t>
      </w:r>
      <w:r w:rsidRPr="00EA7737">
        <w:rPr>
          <w:rFonts w:ascii="Times New Roman" w:eastAsia="Times New Roman" w:hAnsi="Times New Roman" w:cs="Times New Roman"/>
          <w:kern w:val="0"/>
          <w14:ligatures w14:val="none"/>
        </w:rPr>
        <w:t xml:space="preserve"> and should be treated, if used at all, as Tier 3 hagiographic material reflecting the community's own retrospective memory of his severity, not as a flatly remembered historical fact.) A member of this federation's social world, male or female, lived under genuinely centralized, contested, and sometimes resisted disciplinary authority — a social self-understanding organized around corporate identity and centralized discipline to a degree the anchoritic hermit's social world, built on individual reputation and minimal structure, simply does not have an equivalent for.</w:t>
      </w:r>
    </w:p>
    <w:p w14:paraId="2BA4F1E4"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183CE0">
          <v:rect id="_x0000_i1027" style="width:0;height:1.5pt" o:hralign="center" o:hrstd="t" o:hr="t" fillcolor="#a0a0a0" stroked="f"/>
        </w:pict>
      </w:r>
    </w:p>
    <w:p w14:paraId="71E08EBE"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3. Formation Ecology, Built on the Two Confirmed Gravities</w:t>
      </w:r>
    </w:p>
    <w:p w14:paraId="4ED103D6"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Mentored relationship, reconstructed concretely across strands</w:t>
      </w:r>
    </w:p>
    <w:p w14:paraId="438D097A"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In the anchoritic and semi-anchoritic strands, formation took the shape later crystallized, imperfectly and retrospectively, in the </w:t>
      </w:r>
      <w:proofErr w:type="spellStart"/>
      <w:r w:rsidRPr="00EA7737">
        <w:rPr>
          <w:rFonts w:ascii="Times New Roman" w:eastAsia="Times New Roman" w:hAnsi="Times New Roman" w:cs="Times New Roman"/>
          <w:kern w:val="0"/>
          <w14:ligatures w14:val="none"/>
        </w:rPr>
        <w:t>Apophthegmata's</w:t>
      </w:r>
      <w:proofErr w:type="spellEnd"/>
      <w:r w:rsidRPr="00EA7737">
        <w:rPr>
          <w:rFonts w:ascii="Times New Roman" w:eastAsia="Times New Roman" w:hAnsi="Times New Roman" w:cs="Times New Roman"/>
          <w:kern w:val="0"/>
          <w14:ligatures w14:val="none"/>
        </w:rPr>
        <w:t xml:space="preserve"> "give me a word" exchange: a disciple sought out a recognized abba or amma, often after some testing of the disciple's seriousness, and received not systematic instruction but situational, often cryptic, practically-oriented counsel </w:t>
      </w:r>
      <w:r w:rsidRPr="00EA7737">
        <w:rPr>
          <w:rFonts w:ascii="Times New Roman" w:eastAsia="Times New Roman" w:hAnsi="Times New Roman" w:cs="Times New Roman"/>
          <w:kern w:val="0"/>
          <w14:ligatures w14:val="none"/>
        </w:rPr>
        <w:lastRenderedPageBreak/>
        <w:t>calibrated to that disciple's specific struggle. Co-residence between master and disciple in this strand is independently attested within the proposed window through the textual and documentary record — disciples are repeatedly described living alongside, fetching for, and being tested by their abba in the sayings tradition itself, and the documentary letters seeking spiritual direction confirm sustained, ongoing relationships rather than single consultations — even before any specific architectural evidence is brought to bear.</w:t>
      </w:r>
    </w:p>
    <w:p w14:paraId="14B153E8"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In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strand, the same underlying mechanism operates through the housemaster's formally assigned responsibility for the brothers under him, embedded in a rule rather than left to informal recognition — formation through relationship persists, but its occasion is structural assignment rather than a disciple's free choice of teacher.</w:t>
      </w:r>
    </w:p>
    <w:p w14:paraId="71ECA2CD"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In the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strand, the mechanism persists once more, now nested inside a federation-wide hierarchy: Shenoute's own formation under his predecessor </w:t>
      </w:r>
      <w:proofErr w:type="spellStart"/>
      <w:r w:rsidRPr="00EA7737">
        <w:rPr>
          <w:rFonts w:ascii="Times New Roman" w:eastAsia="Times New Roman" w:hAnsi="Times New Roman" w:cs="Times New Roman"/>
          <w:kern w:val="0"/>
          <w14:ligatures w14:val="none"/>
        </w:rPr>
        <w:t>Pcol</w:t>
      </w:r>
      <w:proofErr w:type="spellEnd"/>
      <w:r w:rsidRPr="00EA7737">
        <w:rPr>
          <w:rFonts w:ascii="Times New Roman" w:eastAsia="Times New Roman" w:hAnsi="Times New Roman" w:cs="Times New Roman"/>
          <w:kern w:val="0"/>
          <w14:ligatures w14:val="none"/>
        </w:rPr>
        <w:t>, and his own subsequent governance of housemasters and housemistresses beneath him, instantiate the same basic relational structure — but, as the Krawiec material above shows concretely, the content and stakes of that relationship, particularly for the women's community, were also a site of real contest over autonomy, not simply benign mentorship.</w:t>
      </w:r>
    </w:p>
    <w:p w14:paraId="1E2E832B"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Bodily practice, reconstructed as a behavioral pattern, not a unified theology</w:t>
      </w:r>
    </w:p>
    <w:p w14:paraId="796AC349"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Fasting, vigil, manual labor, and bodily discipline are attested as the actual texture of formation in every strand, and this document reconstructs them as such: an anchorite's single daily meal after sunset, sometimes withheld for two or four days; the semi-anchorite's combination of solitary labor with the shared Saturday-Sunday communal rhythm;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cenobite's labor integrated into the community's shared economy under a fixed schedule; the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monk's or nun's labor and bodily discipline enforced under disciplinary structures whose severity and legitimacy were, as shown above, themselves objects of internal dispute.</w:t>
      </w:r>
    </w:p>
    <w:p w14:paraId="0FD2D058"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What this document does not do, consistent with Document 03's findings, is reconstruct a single theological account of </w:t>
      </w:r>
      <w:r w:rsidRPr="00EA7737">
        <w:rPr>
          <w:rFonts w:ascii="Times New Roman" w:eastAsia="Times New Roman" w:hAnsi="Times New Roman" w:cs="Times New Roman"/>
          <w:i/>
          <w:iCs/>
          <w:kern w:val="0"/>
          <w14:ligatures w14:val="none"/>
        </w:rPr>
        <w:t>why</w:t>
      </w:r>
      <w:r w:rsidRPr="00EA7737">
        <w:rPr>
          <w:rFonts w:ascii="Times New Roman" w:eastAsia="Times New Roman" w:hAnsi="Times New Roman" w:cs="Times New Roman"/>
          <w:kern w:val="0"/>
          <w14:ligatures w14:val="none"/>
        </w:rPr>
        <w:t xml:space="preserve"> this practice mattered as though it were uniform. In the anchoritic and </w:t>
      </w:r>
      <w:proofErr w:type="spellStart"/>
      <w:r w:rsidRPr="00EA7737">
        <w:rPr>
          <w:rFonts w:ascii="Times New Roman" w:eastAsia="Times New Roman" w:hAnsi="Times New Roman" w:cs="Times New Roman"/>
          <w:kern w:val="0"/>
          <w14:ligatures w14:val="none"/>
        </w:rPr>
        <w:t>Evagrian</w:t>
      </w:r>
      <w:proofErr w:type="spellEnd"/>
      <w:r w:rsidRPr="00EA7737">
        <w:rPr>
          <w:rFonts w:ascii="Times New Roman" w:eastAsia="Times New Roman" w:hAnsi="Times New Roman" w:cs="Times New Roman"/>
          <w:kern w:val="0"/>
          <w14:ligatures w14:val="none"/>
        </w:rPr>
        <w:t xml:space="preserve">-influenced strand, bodily discipline is formation for and evidence of victory in an individually-located combat against demonic temptation and the eight </w:t>
      </w:r>
      <w:proofErr w:type="spellStart"/>
      <w:r w:rsidRPr="00EA7737">
        <w:rPr>
          <w:rFonts w:ascii="Times New Roman" w:eastAsia="Times New Roman" w:hAnsi="Times New Roman" w:cs="Times New Roman"/>
          <w:kern w:val="0"/>
          <w14:ligatures w14:val="none"/>
        </w:rPr>
        <w:t>logismoi</w:t>
      </w:r>
      <w:proofErr w:type="spellEnd"/>
      <w:r w:rsidRPr="00EA7737">
        <w:rPr>
          <w:rFonts w:ascii="Times New Roman" w:eastAsia="Times New Roman" w:hAnsi="Times New Roman" w:cs="Times New Roman"/>
          <w:kern w:val="0"/>
          <w14:ligatures w14:val="none"/>
        </w:rPr>
        <w:t xml:space="preserve"> specifically — </w:t>
      </w:r>
      <w:proofErr w:type="spellStart"/>
      <w:r w:rsidRPr="00EA7737">
        <w:rPr>
          <w:rFonts w:ascii="Times New Roman" w:eastAsia="Times New Roman" w:hAnsi="Times New Roman" w:cs="Times New Roman"/>
          <w:kern w:val="0"/>
          <w14:ligatures w14:val="none"/>
        </w:rPr>
        <w:t>Evagrius's</w:t>
      </w:r>
      <w:proofErr w:type="spellEnd"/>
      <w:r w:rsidRPr="00EA7737">
        <w:rPr>
          <w:rFonts w:ascii="Times New Roman" w:eastAsia="Times New Roman" w:hAnsi="Times New Roman" w:cs="Times New Roman"/>
          <w:kern w:val="0"/>
          <w14:ligatures w14:val="none"/>
        </w:rPr>
        <w:t xml:space="preserve"> own systematization, not inherited doctrine present from the world's beginning. In the earliest documented layer of Shenoute's own teaching, bodily discipline matters because an individual's impurity contaminates the </w:t>
      </w:r>
      <w:r w:rsidRPr="00EA7737">
        <w:rPr>
          <w:rFonts w:ascii="Times New Roman" w:eastAsia="Times New Roman" w:hAnsi="Times New Roman" w:cs="Times New Roman"/>
          <w:b/>
          <w:bCs/>
          <w:kern w:val="0"/>
          <w14:ligatures w14:val="none"/>
        </w:rPr>
        <w:t>corporate body</w:t>
      </w:r>
      <w:r w:rsidRPr="00EA7737">
        <w:rPr>
          <w:rFonts w:ascii="Times New Roman" w:eastAsia="Times New Roman" w:hAnsi="Times New Roman" w:cs="Times New Roman"/>
          <w:kern w:val="0"/>
          <w14:ligatures w14:val="none"/>
        </w:rPr>
        <w:t xml:space="preserve"> of the community — a different unit of spiritual consequence, reconstructed here as such rather than assimilated to the anchoritic frame, and the very logic that licensed his disciplinary reach into the physically separate women's community in the first place. Later in his career, amid the Christological controversies surrounding and following Ephesus in 431, Shenoute's teaching on the body shifts register again, toward an explicitly incarnational and resurrection-centered defense of the body's sanctity — a theological elaboration prompted by an external controversy, reconstructed here as a later layer of his thought, not a continuous thread running back to his earliest years leading the community.</w:t>
      </w:r>
    </w:p>
    <w:p w14:paraId="258F6728"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A reconstruction that flattened these into one shared "desert spirituality of the body" would misrepresent what the evidence actually shows. This document instead reconstructs three </w:t>
      </w:r>
      <w:r w:rsidRPr="00EA7737">
        <w:rPr>
          <w:rFonts w:ascii="Times New Roman" w:eastAsia="Times New Roman" w:hAnsi="Times New Roman" w:cs="Times New Roman"/>
          <w:kern w:val="0"/>
          <w14:ligatures w14:val="none"/>
        </w:rPr>
        <w:lastRenderedPageBreak/>
        <w:t>coexisting, differently-motivated practices of bodily discipline, related by family resemblance and a shared behavioral vocabulary, not by one underlying doctrine.</w:t>
      </w:r>
    </w:p>
    <w:p w14:paraId="0975434D"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E42228">
          <v:rect id="_x0000_i1028" style="width:0;height:1.5pt" o:hralign="center" o:hrstd="t" o:hr="t" fillcolor="#a0a0a0" stroked="f"/>
        </w:pict>
      </w:r>
    </w:p>
    <w:p w14:paraId="72A3854F"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4. Temporal Ecology</w:t>
      </w:r>
    </w:p>
    <w:p w14:paraId="063E2B94"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 xml:space="preserve">Living through the </w:t>
      </w:r>
      <w:proofErr w:type="spellStart"/>
      <w:r w:rsidRPr="00EA7737">
        <w:rPr>
          <w:rFonts w:ascii="Times New Roman" w:eastAsia="Times New Roman" w:hAnsi="Times New Roman" w:cs="Times New Roman"/>
          <w:b/>
          <w:bCs/>
          <w:kern w:val="0"/>
          <w14:ligatures w14:val="none"/>
        </w:rPr>
        <w:t>Scetis</w:t>
      </w:r>
      <w:proofErr w:type="spellEnd"/>
      <w:r w:rsidRPr="00EA7737">
        <w:rPr>
          <w:rFonts w:ascii="Times New Roman" w:eastAsia="Times New Roman" w:hAnsi="Times New Roman" w:cs="Times New Roman"/>
          <w:b/>
          <w:bCs/>
          <w:kern w:val="0"/>
          <w14:ligatures w14:val="none"/>
        </w:rPr>
        <w:t xml:space="preserve"> raids</w:t>
      </w:r>
    </w:p>
    <w:p w14:paraId="1A1A7441"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The anchoritic and semi-anchoritic communities of </w:t>
      </w:r>
      <w:proofErr w:type="spellStart"/>
      <w:r w:rsidRPr="00EA7737">
        <w:rPr>
          <w:rFonts w:ascii="Times New Roman" w:eastAsia="Times New Roman" w:hAnsi="Times New Roman" w:cs="Times New Roman"/>
          <w:kern w:val="0"/>
          <w14:ligatures w14:val="none"/>
        </w:rPr>
        <w:t>Nitria</w:t>
      </w:r>
      <w:proofErr w:type="spellEnd"/>
      <w:r w:rsidRPr="00EA7737">
        <w:rPr>
          <w:rFonts w:ascii="Times New Roman" w:eastAsia="Times New Roman" w:hAnsi="Times New Roman" w:cs="Times New Roman"/>
          <w:kern w:val="0"/>
          <w14:ligatures w14:val="none"/>
        </w:rPr>
        <w:t xml:space="preserve">, Kellia, and especially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experienced this world's proposed temporal window not as a steady continuity but as a sequence of violent, dateable interruptions. In 407, Berber raiders devastated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word of it reached as far as Augustine in the Latin West, who counted it among the era's great disasters. Three years later, when news arrived of Rome's sack in 410, a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survivor, Abba Arsenius, is remembered, in the sayings tradition itself, linking the two losses directly — the world had lost Rome, and the monks had lost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This lament should be held as Tier 2 collected-traditional material, carrying the sayings tradition's own characteristic uncertainty about exact attribution and wording, not as a flatly transcribed historical utterance. The community was reconstituted, raided again in 434, and again in 444, when forty-nine monks and two laymen were reported massacred. Each raid scattered named teachers and disciples — co-resident formation relationships physically broken, sometimes permanently, by violence rather than by any internal development. Surviving monks relocated, plausibly toward Palestine, carrying their sayings-tradition with them; the compiling of those sayings into what became the </w:t>
      </w:r>
      <w:proofErr w:type="spellStart"/>
      <w:r w:rsidRPr="00EA7737">
        <w:rPr>
          <w:rFonts w:ascii="Times New Roman" w:eastAsia="Times New Roman" w:hAnsi="Times New Roman" w:cs="Times New Roman"/>
          <w:kern w:val="0"/>
          <w14:ligatures w14:val="none"/>
        </w:rPr>
        <w:t>Apophthegmata</w:t>
      </w:r>
      <w:proofErr w:type="spellEnd"/>
      <w:r w:rsidRPr="00EA7737">
        <w:rPr>
          <w:rFonts w:ascii="Times New Roman" w:eastAsia="Times New Roman" w:hAnsi="Times New Roman" w:cs="Times New Roman"/>
          <w:kern w:val="0"/>
          <w14:ligatures w14:val="none"/>
        </w:rPr>
        <w:t xml:space="preserve"> appears, on the evidence, to be partly an act of mourning and consolidation by displaced survivors rather than the leisurely literary project of a stable, continuous community. The elegiac, "the elders used to say" quality of so much of that material is not incidental coloring; it is the lived voice of people who had experienced their formation-world as something that could be, and repeatedly was, taken from them by violence.</w:t>
      </w:r>
    </w:p>
    <w:p w14:paraId="03EAB0E4" w14:textId="77777777" w:rsidR="00EA7737" w:rsidRPr="00EA7737" w:rsidRDefault="00EA7737" w:rsidP="00EA77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A7737">
        <w:rPr>
          <w:rFonts w:ascii="Times New Roman" w:eastAsia="Times New Roman" w:hAnsi="Times New Roman" w:cs="Times New Roman"/>
          <w:b/>
          <w:bCs/>
          <w:kern w:val="0"/>
          <w14:ligatures w14:val="none"/>
        </w:rPr>
        <w:t xml:space="preserve">The </w:t>
      </w:r>
      <w:proofErr w:type="spellStart"/>
      <w:r w:rsidRPr="00EA7737">
        <w:rPr>
          <w:rFonts w:ascii="Times New Roman" w:eastAsia="Times New Roman" w:hAnsi="Times New Roman" w:cs="Times New Roman"/>
          <w:b/>
          <w:bCs/>
          <w:kern w:val="0"/>
          <w14:ligatures w14:val="none"/>
        </w:rPr>
        <w:t>Pachomian</w:t>
      </w:r>
      <w:proofErr w:type="spellEnd"/>
      <w:r w:rsidRPr="00EA7737">
        <w:rPr>
          <w:rFonts w:ascii="Times New Roman" w:eastAsia="Times New Roman" w:hAnsi="Times New Roman" w:cs="Times New Roman"/>
          <w:b/>
          <w:bCs/>
          <w:kern w:val="0"/>
          <w14:ligatures w14:val="none"/>
        </w:rPr>
        <w:t xml:space="preserve"> and </w:t>
      </w:r>
      <w:proofErr w:type="spellStart"/>
      <w:r w:rsidRPr="00EA7737">
        <w:rPr>
          <w:rFonts w:ascii="Times New Roman" w:eastAsia="Times New Roman" w:hAnsi="Times New Roman" w:cs="Times New Roman"/>
          <w:b/>
          <w:bCs/>
          <w:kern w:val="0"/>
          <w14:ligatures w14:val="none"/>
        </w:rPr>
        <w:t>Shenoutean</w:t>
      </w:r>
      <w:proofErr w:type="spellEnd"/>
      <w:r w:rsidRPr="00EA7737">
        <w:rPr>
          <w:rFonts w:ascii="Times New Roman" w:eastAsia="Times New Roman" w:hAnsi="Times New Roman" w:cs="Times New Roman"/>
          <w:b/>
          <w:bCs/>
          <w:kern w:val="0"/>
          <w14:ligatures w14:val="none"/>
        </w:rPr>
        <w:t xml:space="preserve"> federations' different temporal rhythm</w:t>
      </w:r>
    </w:p>
    <w:p w14:paraId="5D90D50C"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and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institutional strands inhabited a markedly different temporal texture across the same window — not because they were spared hardship (Shenoute's federation absorbed refugees, weathered famine and the social strain of poor relief, and was itself entangled in regional tension around the </w:t>
      </w:r>
      <w:proofErr w:type="spellStart"/>
      <w:r w:rsidRPr="00EA7737">
        <w:rPr>
          <w:rFonts w:ascii="Times New Roman" w:eastAsia="Times New Roman" w:hAnsi="Times New Roman" w:cs="Times New Roman"/>
          <w:kern w:val="0"/>
          <w14:ligatures w14:val="none"/>
        </w:rPr>
        <w:t>Gesios</w:t>
      </w:r>
      <w:proofErr w:type="spellEnd"/>
      <w:r w:rsidRPr="00EA7737">
        <w:rPr>
          <w:rFonts w:ascii="Times New Roman" w:eastAsia="Times New Roman" w:hAnsi="Times New Roman" w:cs="Times New Roman"/>
          <w:kern w:val="0"/>
          <w14:ligatures w14:val="none"/>
        </w:rPr>
        <w:t xml:space="preserve"> conflict, while the women's community lived through the documented internal crises over autonomy and discipline described above) but because their organizational form was built for institutional continuity from the outset, with annual assemblies, written rules, and formal succession providing structural continuity that the anchoritic strand's looser, reputation-based, geographically exposed communities did not have. A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or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monk's or nun's sense of historical time was shaped far more by the federation's own internal succession, governance rhythm, and internal disputes than by externally-inflicted catastrophe of the kind that repeatedly punctuated life at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w:t>
      </w:r>
    </w:p>
    <w:p w14:paraId="184A0C5F"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This document holds these two temporal textures side by side rather than synthesizing them into one shared "desert chronology." They are not two paces of one shared developmental story; they are two different lived relationships to time, occurring in the same broad period, for reasons that </w:t>
      </w:r>
      <w:r w:rsidRPr="00EA7737">
        <w:rPr>
          <w:rFonts w:ascii="Times New Roman" w:eastAsia="Times New Roman" w:hAnsi="Times New Roman" w:cs="Times New Roman"/>
          <w:kern w:val="0"/>
          <w14:ligatures w14:val="none"/>
        </w:rPr>
        <w:lastRenderedPageBreak/>
        <w:t>are themselves part of why this world's strands diverged as much as Document 03 found they did.</w:t>
      </w:r>
    </w:p>
    <w:p w14:paraId="6BC95846"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FF4EFE">
          <v:rect id="_x0000_i1029" style="width:0;height:1.5pt" o:hralign="center" o:hrstd="t" o:hr="t" fillcolor="#a0a0a0" stroked="f"/>
        </w:pict>
      </w:r>
    </w:p>
    <w:p w14:paraId="264C6560"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5. Spatial Ecology</w:t>
      </w:r>
    </w:p>
    <w:p w14:paraId="5BD9D5BC"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A7737">
        <w:rPr>
          <w:rFonts w:ascii="Times New Roman" w:eastAsia="Times New Roman" w:hAnsi="Times New Roman" w:cs="Times New Roman"/>
          <w:b/>
          <w:bCs/>
          <w:kern w:val="0"/>
          <w14:ligatures w14:val="none"/>
        </w:rPr>
        <w:t>Nitria</w:t>
      </w:r>
      <w:proofErr w:type="spellEnd"/>
      <w:r w:rsidRPr="00EA7737">
        <w:rPr>
          <w:rFonts w:ascii="Times New Roman" w:eastAsia="Times New Roman" w:hAnsi="Times New Roman" w:cs="Times New Roman"/>
          <w:b/>
          <w:bCs/>
          <w:kern w:val="0"/>
          <w14:ligatures w14:val="none"/>
        </w:rPr>
        <w:t xml:space="preserve">, Kellia, and </w:t>
      </w:r>
      <w:proofErr w:type="spellStart"/>
      <w:r w:rsidRPr="00EA7737">
        <w:rPr>
          <w:rFonts w:ascii="Times New Roman" w:eastAsia="Times New Roman" w:hAnsi="Times New Roman" w:cs="Times New Roman"/>
          <w:b/>
          <w:bCs/>
          <w:kern w:val="0"/>
          <w14:ligatures w14:val="none"/>
        </w:rPr>
        <w:t>Scetis</w:t>
      </w:r>
      <w:proofErr w:type="spellEnd"/>
      <w:r w:rsidRPr="00EA7737">
        <w:rPr>
          <w:rFonts w:ascii="Times New Roman" w:eastAsia="Times New Roman" w:hAnsi="Times New Roman" w:cs="Times New Roman"/>
          <w:kern w:val="0"/>
          <w14:ligatures w14:val="none"/>
        </w:rPr>
        <w:t xml:space="preserve"> occupied the western desert fringe of Lower Egypt, within reach of Alexandria and therefore within reach of both pilgrims and raiders alike. But the contrast this document draws here should not overstate how absolute the withdrawal actually was even at its most paradigmatic site.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and its neighboring communities were, on the evidence already established elsewhere in this document, porous: regular communal gatherings, an internal economy of provision (woven goods, bakeries serving hundreds), traffic with visiting pilgrims and scholars from as far as Palestine and Italy, and proximity to Alexandria itself for trade and news. Per Goehring's documentary findings, "withdrawal" in this strand functioned substantially as a literary and spiritual ideal layered onto a lived reality that remained meaningfully connected to settled society, not as a description of actual physical isolation from it. The raids themselves are part of this evidence: a genuinely isolated settlement would not have been a worthwhile target, and the repeated attention from raiders attests to a community with real, known resources and a known location, not a vanished one.</w:t>
      </w:r>
    </w:p>
    <w:p w14:paraId="4EE98089"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b/>
          <w:bCs/>
          <w:kern w:val="0"/>
          <w14:ligatures w14:val="none"/>
        </w:rPr>
        <w:t xml:space="preserve">The </w:t>
      </w:r>
      <w:proofErr w:type="spellStart"/>
      <w:r w:rsidRPr="00EA7737">
        <w:rPr>
          <w:rFonts w:ascii="Times New Roman" w:eastAsia="Times New Roman" w:hAnsi="Times New Roman" w:cs="Times New Roman"/>
          <w:b/>
          <w:bCs/>
          <w:kern w:val="0"/>
          <w14:ligatures w14:val="none"/>
        </w:rPr>
        <w:t>Pachomian</w:t>
      </w:r>
      <w:proofErr w:type="spellEnd"/>
      <w:r w:rsidRPr="00EA7737">
        <w:rPr>
          <w:rFonts w:ascii="Times New Roman" w:eastAsia="Times New Roman" w:hAnsi="Times New Roman" w:cs="Times New Roman"/>
          <w:b/>
          <w:bCs/>
          <w:kern w:val="0"/>
          <w14:ligatures w14:val="none"/>
        </w:rPr>
        <w:t xml:space="preserve"> Thebaid sites</w:t>
      </w:r>
      <w:r w:rsidRPr="00EA7737">
        <w:rPr>
          <w:rFonts w:ascii="Times New Roman" w:eastAsia="Times New Roman" w:hAnsi="Times New Roman" w:cs="Times New Roman"/>
          <w:kern w:val="0"/>
          <w14:ligatures w14:val="none"/>
        </w:rPr>
        <w:t>, far to the south in Upper Egypt, occupied a comparably integrated relationship to settled society from their founding: walled, river-adjacent communities whose economic life connected them to Nile trade and regional markets.</w:t>
      </w:r>
    </w:p>
    <w:p w14:paraId="6EF4EF8B"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b/>
          <w:bCs/>
          <w:kern w:val="0"/>
          <w14:ligatures w14:val="none"/>
        </w:rPr>
        <w:t>Shenoute's White Monastery federation</w:t>
      </w:r>
      <w:r w:rsidRPr="00EA7737">
        <w:rPr>
          <w:rFonts w:ascii="Times New Roman" w:eastAsia="Times New Roman" w:hAnsi="Times New Roman" w:cs="Times New Roman"/>
          <w:kern w:val="0"/>
          <w14:ligatures w14:val="none"/>
        </w:rPr>
        <w:t xml:space="preserve">, near Sohag, also in Upper Egypt, represents not a different kind of relationship to settled society in degree but a different orientation toward it in kind: an enclosed complex directly facing the city of Panopolis across the Nile, with the federation's leader making frequent journeys to confront pagans and heretics, attending an ecumenical council, and conducting a sustained, geographically specific feud with a named local landowner. Where </w:t>
      </w:r>
      <w:proofErr w:type="spellStart"/>
      <w:r w:rsidRPr="00EA7737">
        <w:rPr>
          <w:rFonts w:ascii="Times New Roman" w:eastAsia="Times New Roman" w:hAnsi="Times New Roman" w:cs="Times New Roman"/>
          <w:kern w:val="0"/>
          <w14:ligatures w14:val="none"/>
        </w:rPr>
        <w:t>Scetis's</w:t>
      </w:r>
      <w:proofErr w:type="spellEnd"/>
      <w:r w:rsidRPr="00EA7737">
        <w:rPr>
          <w:rFonts w:ascii="Times New Roman" w:eastAsia="Times New Roman" w:hAnsi="Times New Roman" w:cs="Times New Roman"/>
          <w:kern w:val="0"/>
          <w14:ligatures w14:val="none"/>
        </w:rPr>
        <w:t xml:space="preserve"> porousness was incidental to a withdrawal ideal it did not fully realize, Shenoute's federation's engagement with surrounding society was not an incidental compromise of an opposite ideal — it was the ideal, pursued deliberately and publicly.</w:t>
      </w:r>
    </w:p>
    <w:p w14:paraId="4596974A"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The spatial reconstruction, read this way, makes visible something more precise than a clean contrast between an isolated strand and an integrated one: every strand in this world's evidence was, to varying and traceable degrees, entangled with the settled society it claimed some distance from, but the </w:t>
      </w:r>
      <w:r w:rsidRPr="00EA7737">
        <w:rPr>
          <w:rFonts w:ascii="Times New Roman" w:eastAsia="Times New Roman" w:hAnsi="Times New Roman" w:cs="Times New Roman"/>
          <w:i/>
          <w:iCs/>
          <w:kern w:val="0"/>
          <w14:ligatures w14:val="none"/>
        </w:rPr>
        <w:t>meaning</w:t>
      </w:r>
      <w:r w:rsidRPr="00EA7737">
        <w:rPr>
          <w:rFonts w:ascii="Times New Roman" w:eastAsia="Times New Roman" w:hAnsi="Times New Roman" w:cs="Times New Roman"/>
          <w:kern w:val="0"/>
          <w14:ligatures w14:val="none"/>
        </w:rPr>
        <w:t xml:space="preserve"> each strand assigned to that entanglement — an unrealized ideal at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a structural given at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sites, a deliberate program at Shenoute's federation — differed enough to be part of the causal story behind why the strands' formation logics diverged.</w:t>
      </w:r>
    </w:p>
    <w:p w14:paraId="3D36CC06"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8646C8">
          <v:rect id="_x0000_i1030" style="width:0;height:1.5pt" o:hralign="center" o:hrstd="t" o:hr="t" fillcolor="#a0a0a0" stroked="f"/>
        </w:pict>
      </w:r>
    </w:p>
    <w:p w14:paraId="7A3DC95C"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6. Authority Ecology</w:t>
      </w:r>
    </w:p>
    <w:p w14:paraId="2F62BDB1"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lastRenderedPageBreak/>
        <w:t xml:space="preserve">Lived authority in this world did not work the same way twice. In the anchoritic and semi-anchoritic strand, an abba or amma's authority over a disciple was wholly a matter of recognized spiritual attainment, conferred by nothing but the disciple's and the community's own judgment, revocable in the sense that an unworthy claimant to authority could simply fail to attract or retain disciples. This authority structure was capable of placing an </w:t>
      </w:r>
      <w:proofErr w:type="spellStart"/>
      <w:r w:rsidRPr="00EA7737">
        <w:rPr>
          <w:rFonts w:ascii="Times New Roman" w:eastAsia="Times New Roman" w:hAnsi="Times New Roman" w:cs="Times New Roman"/>
          <w:kern w:val="0"/>
          <w14:ligatures w14:val="none"/>
        </w:rPr>
        <w:t>unofficed</w:t>
      </w:r>
      <w:proofErr w:type="spellEnd"/>
      <w:r w:rsidRPr="00EA7737">
        <w:rPr>
          <w:rFonts w:ascii="Times New Roman" w:eastAsia="Times New Roman" w:hAnsi="Times New Roman" w:cs="Times New Roman"/>
          <w:kern w:val="0"/>
          <w14:ligatures w14:val="none"/>
        </w:rPr>
        <w:t xml:space="preserve"> elder's word above that of a more institutionally credentialed visitor, and the </w:t>
      </w:r>
      <w:proofErr w:type="spellStart"/>
      <w:r w:rsidRPr="00EA7737">
        <w:rPr>
          <w:rFonts w:ascii="Times New Roman" w:eastAsia="Times New Roman" w:hAnsi="Times New Roman" w:cs="Times New Roman"/>
          <w:kern w:val="0"/>
          <w14:ligatures w14:val="none"/>
        </w:rPr>
        <w:t>Apophthegmata</w:t>
      </w:r>
      <w:proofErr w:type="spellEnd"/>
      <w:r w:rsidRPr="00EA7737">
        <w:rPr>
          <w:rFonts w:ascii="Times New Roman" w:eastAsia="Times New Roman" w:hAnsi="Times New Roman" w:cs="Times New Roman"/>
          <w:kern w:val="0"/>
          <w14:ligatures w14:val="none"/>
        </w:rPr>
        <w:t xml:space="preserve"> preserves this as a recurring, valued pattern.</w:t>
      </w:r>
    </w:p>
    <w:p w14:paraId="5198A346" w14:textId="4ACF9A87" w:rsidR="003D4B6B" w:rsidRDefault="00EA7737" w:rsidP="003D4B6B">
      <w:r w:rsidRPr="00EA7737">
        <w:rPr>
          <w:rFonts w:ascii="Times New Roman" w:eastAsia="Times New Roman" w:hAnsi="Times New Roman" w:cs="Times New Roman"/>
          <w:kern w:val="0"/>
          <w14:ligatures w14:val="none"/>
        </w:rPr>
        <w:t xml:space="preserve">In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federation, authority is formally vested in office — housemaster, then overall superior, entered through a binding commitment at admission — even though the office-holder's legitimacy still depended substantially on perceived spiritual seriousness, creating a hybrid lived experience: office mattered, but office without credible holiness was understood to be hollow.</w:t>
      </w:r>
      <w:r w:rsidR="003D4B6B" w:rsidRPr="003D4B6B">
        <w:t xml:space="preserve"> </w:t>
      </w:r>
      <w:r w:rsidR="003D4B6B">
        <w:t xml:space="preserve">this section's closing verdict and </w:t>
      </w:r>
      <w:proofErr w:type="spellStart"/>
      <w:r w:rsidR="003D4B6B">
        <w:t>Pachomian</w:t>
      </w:r>
      <w:proofErr w:type="spellEnd"/>
      <w:r w:rsidR="003D4B6B">
        <w:t xml:space="preserve"> framing are superseded by the Addendum, 03 Desert Christianity – Addendum – The One World Decision</w:t>
      </w:r>
    </w:p>
    <w:p w14:paraId="7A13FF19" w14:textId="67BCA33F"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p>
    <w:p w14:paraId="6C2E4D14"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In Shenoute's federation, authority is most fully institutionalized: archimandrite over an entire multi-house, multi-gender federation, his standing reinforced by direct alliance with the patriarchate of Alexandria and validated at an ecumenical council — and, as the Krawiec material above documents concretely, an authority Shenoute himself actively extended into a domain (the women's community's internal disciplinary self-governance) that had previously operated independently of him, against at least some documented resistance from the women themselves. This is not an abstract authority-structure contrast; it is a lived, contested exercise of power whose subjects pushed back, however unevenly the surviving record lets us hear them.</w:t>
      </w:r>
    </w:p>
    <w:p w14:paraId="474FE0CA"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This document names directly, as a live and unresolved feature of this world's own authority ecology rather than a settled boundary, the question Document 03 raised and did not close: the same logic that places Syrian asceticism's demonstrative, institutionally engaged, public-confrontation pattern outside this world's formation logic also describes Shenoute's lived authority, conducted through public confrontation backed by office rather than through humility demonstrated in withdrawal. Whether a monk or nun living under Shenoute's authority and a hermit living under Antony's example should be understood as inhabiting the same formation world's authority structure, differently institutionalized, or two different authority structures that happen to share inherited vocabulary and a regional history, remains open. This document reconstructs both as lived realities without resolving which framing is ultimately correct.</w:t>
      </w:r>
    </w:p>
    <w:p w14:paraId="5E6F8E35"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63EB2">
          <v:rect id="_x0000_i1031" style="width:0;height:1.5pt" o:hralign="center" o:hrstd="t" o:hr="t" fillcolor="#a0a0a0" stroked="f"/>
        </w:pict>
      </w:r>
    </w:p>
    <w:p w14:paraId="78AF6583"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7. Tensions and Differentiated Participation</w:t>
      </w:r>
    </w:p>
    <w:p w14:paraId="7BD63FC2"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This world's strands were not simply different flavors of one shared experience, and this document reconstructs the encounter between them as a genuine point of friction rather than smoothing it into mutual recognition — including friction </w:t>
      </w:r>
      <w:r w:rsidRPr="00EA7737">
        <w:rPr>
          <w:rFonts w:ascii="Times New Roman" w:eastAsia="Times New Roman" w:hAnsi="Times New Roman" w:cs="Times New Roman"/>
          <w:i/>
          <w:iCs/>
          <w:kern w:val="0"/>
          <w14:ligatures w14:val="none"/>
        </w:rPr>
        <w:t>within</w:t>
      </w:r>
      <w:r w:rsidRPr="00EA7737">
        <w:rPr>
          <w:rFonts w:ascii="Times New Roman" w:eastAsia="Times New Roman" w:hAnsi="Times New Roman" w:cs="Times New Roman"/>
          <w:kern w:val="0"/>
          <w14:ligatures w14:val="none"/>
        </w:rPr>
        <w:t xml:space="preserve"> a single strand, not only between strands.</w:t>
      </w:r>
    </w:p>
    <w:p w14:paraId="6558E857"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lastRenderedPageBreak/>
        <w:t xml:space="preserve">An anchorite formed in the </w:t>
      </w:r>
      <w:proofErr w:type="spellStart"/>
      <w:r w:rsidRPr="00EA7737">
        <w:rPr>
          <w:rFonts w:ascii="Times New Roman" w:eastAsia="Times New Roman" w:hAnsi="Times New Roman" w:cs="Times New Roman"/>
          <w:kern w:val="0"/>
          <w14:ligatures w14:val="none"/>
        </w:rPr>
        <w:t>Scetis</w:t>
      </w:r>
      <w:proofErr w:type="spellEnd"/>
      <w:r w:rsidRPr="00EA7737">
        <w:rPr>
          <w:rFonts w:ascii="Times New Roman" w:eastAsia="Times New Roman" w:hAnsi="Times New Roman" w:cs="Times New Roman"/>
          <w:kern w:val="0"/>
          <w14:ligatures w14:val="none"/>
        </w:rPr>
        <w:t xml:space="preserve"> tradition, encountering Shenoute's federation, would have met something substantially unfamiliar: a vast, walled, disciplined institution where personal holiness was demonstrated through obedience and corporate purity rather than through solitary combat with one's own demons; where moral failure was framed as contamination of a collective body rather than as a personal battle whose outcome was primarily one's own; where the community's most visible activity was public confrontation with pagans, heretics, and a hostile local landowner rather than withdrawal from public notice. The </w:t>
      </w:r>
      <w:proofErr w:type="spellStart"/>
      <w:r w:rsidRPr="00EA7737">
        <w:rPr>
          <w:rFonts w:ascii="Times New Roman" w:eastAsia="Times New Roman" w:hAnsi="Times New Roman" w:cs="Times New Roman"/>
          <w:kern w:val="0"/>
          <w14:ligatures w14:val="none"/>
        </w:rPr>
        <w:t>Apophthegmata's</w:t>
      </w:r>
      <w:proofErr w:type="spellEnd"/>
      <w:r w:rsidRPr="00EA7737">
        <w:rPr>
          <w:rFonts w:ascii="Times New Roman" w:eastAsia="Times New Roman" w:hAnsi="Times New Roman" w:cs="Times New Roman"/>
          <w:kern w:val="0"/>
          <w14:ligatures w14:val="none"/>
        </w:rPr>
        <w:t xml:space="preserve"> own corpus, notably, contains no Shenoute material and shows no clear sign of engagement with his federation at all — not merely an absence of evidence, but, per the specialist literature on Shenoute's own teaching style, a documented absence of his concerns and idiom from a genre that otherwise drew material broadly across Egyptian monastic memory.</w:t>
      </w:r>
    </w:p>
    <w:p w14:paraId="1ED63CFB"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Conversely, a monk formed within Shenoute's federation, encountering an anchorite's solitary cell and the loose, informal, reputation-based authority structure surrounding it, might reasonably have found it under-disciplined, under-governed, and theologically thin on the corporate stakes of individual conduct that organized his own formation entirely.</w:t>
      </w:r>
    </w:p>
    <w:p w14:paraId="1BEE27D4"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But this document does not reconstruct Shenoute's federation itself as internally unified against this contrast. The tension documented in Sections 2, 3, and 6 above — the women's community's prior self-governance over corporal punishment and food, displaced by Shenoute's imposed control and met with documented resistance — is a real fracture </w:t>
      </w:r>
      <w:r w:rsidRPr="00EA7737">
        <w:rPr>
          <w:rFonts w:ascii="Times New Roman" w:eastAsia="Times New Roman" w:hAnsi="Times New Roman" w:cs="Times New Roman"/>
          <w:i/>
          <w:iCs/>
          <w:kern w:val="0"/>
          <w14:ligatures w14:val="none"/>
        </w:rPr>
        <w:t>within</w:t>
      </w:r>
      <w:r w:rsidRPr="00EA7737">
        <w:rPr>
          <w:rFonts w:ascii="Times New Roman" w:eastAsia="Times New Roman" w:hAnsi="Times New Roman" w:cs="Times New Roman"/>
          <w:kern w:val="0"/>
          <w14:ligatures w14:val="none"/>
        </w:rPr>
        <w:t xml:space="preserve"> the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strand, not only between it and the anchoritic strand. A woman in Shenoute's federation negotiating, resisting, or accommodating his extension of disciplinary authority into her own community's prior autonomy was not having the same experience as a male monk under Shenoute's direct daily authority, even though both inhabited the same federation and the same broad corporate-body theology. This document reconstructs that internal differentiation as a genuine feature of lived participation in this strand, not a complication to set aside in favor of a cleaner strand-level account.</w:t>
      </w:r>
    </w:p>
    <w:p w14:paraId="1A7A9DCD"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This is not to say the strands were unintelligible to each other in every respect — both anchoritic and </w:t>
      </w:r>
      <w:proofErr w:type="spellStart"/>
      <w:r w:rsidRPr="00EA7737">
        <w:rPr>
          <w:rFonts w:ascii="Times New Roman" w:eastAsia="Times New Roman" w:hAnsi="Times New Roman" w:cs="Times New Roman"/>
          <w:kern w:val="0"/>
          <w14:ligatures w14:val="none"/>
        </w:rPr>
        <w:t>Shenoutean</w:t>
      </w:r>
      <w:proofErr w:type="spellEnd"/>
      <w:r w:rsidRPr="00EA7737">
        <w:rPr>
          <w:rFonts w:ascii="Times New Roman" w:eastAsia="Times New Roman" w:hAnsi="Times New Roman" w:cs="Times New Roman"/>
          <w:kern w:val="0"/>
          <w14:ligatures w14:val="none"/>
        </w:rPr>
        <w:t xml:space="preserve"> practitioners would have recognized fasting, vigil, and labor as familiar bodily practice, and both operated through some form of mentored relationship between more and less advanced practitioners, which is precisely why this document does not classify them as wholly separate worlds. But recognition at the level of practice and relational structure should not be mistaken for shared understanding at the level of meaning, authority, or theological stakes, and should not be mistaken either for uniform experience within a single strand. This document reconstructs the relationship between and within strands as one of partial, practice-level mutual intelligibility resting on top of substantial, real difference and real internal contest — a tension this world's own evidence does not resolve, and which this document does not resolve on its behalf.</w:t>
      </w:r>
    </w:p>
    <w:p w14:paraId="6D047446" w14:textId="77777777" w:rsidR="00EA7737" w:rsidRPr="00EA7737" w:rsidRDefault="00000000" w:rsidP="00EA77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B01CE9">
          <v:rect id="_x0000_i1032" style="width:0;height:1.5pt" o:hralign="center" o:hrstd="t" o:hr="t" fillcolor="#a0a0a0" stroked="f"/>
        </w:pict>
      </w:r>
    </w:p>
    <w:p w14:paraId="5EED811D" w14:textId="77777777" w:rsidR="00EA7737" w:rsidRPr="00EA7737" w:rsidRDefault="00EA7737" w:rsidP="00EA77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7737">
        <w:rPr>
          <w:rFonts w:ascii="Times New Roman" w:eastAsia="Times New Roman" w:hAnsi="Times New Roman" w:cs="Times New Roman"/>
          <w:b/>
          <w:bCs/>
          <w:kern w:val="0"/>
          <w:sz w:val="27"/>
          <w:szCs w:val="27"/>
          <w14:ligatures w14:val="none"/>
        </w:rPr>
        <w:t>8. Ecological Integration and Synthesis</w:t>
      </w:r>
    </w:p>
    <w:p w14:paraId="587F0DB9"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lastRenderedPageBreak/>
        <w:t>This world's integration rests on a narrower basis than a fuller formation world's would, and this document's closing synthesis states that plainly rather than rounding it up into a more comfortable, unified picture.</w:t>
      </w:r>
    </w:p>
    <w:p w14:paraId="1D3E6A65"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 xml:space="preserve">What holds Desert Christianity together as one </w:t>
      </w:r>
      <w:proofErr w:type="spellStart"/>
      <w:r w:rsidRPr="00EA7737">
        <w:rPr>
          <w:rFonts w:ascii="Times New Roman" w:eastAsia="Times New Roman" w:hAnsi="Times New Roman" w:cs="Times New Roman"/>
          <w:kern w:val="0"/>
          <w14:ligatures w14:val="none"/>
        </w:rPr>
        <w:t>reconstructable</w:t>
      </w:r>
      <w:proofErr w:type="spellEnd"/>
      <w:r w:rsidRPr="00EA7737">
        <w:rPr>
          <w:rFonts w:ascii="Times New Roman" w:eastAsia="Times New Roman" w:hAnsi="Times New Roman" w:cs="Times New Roman"/>
          <w:kern w:val="0"/>
          <w14:ligatures w14:val="none"/>
        </w:rPr>
        <w:t xml:space="preserve"> ecology, on the evidence actually assembled across Documents 01 through 04, is: a shared, if locally varied, practice of bodily discipline as the medium of spiritual formation, and a shared structural commitment to formation through relationship with someone further along the path — instantiated as an informal abba/amma bond in the anchoritic strand, a housemaster's formal charge in the </w:t>
      </w:r>
      <w:proofErr w:type="spellStart"/>
      <w:r w:rsidRPr="00EA7737">
        <w:rPr>
          <w:rFonts w:ascii="Times New Roman" w:eastAsia="Times New Roman" w:hAnsi="Times New Roman" w:cs="Times New Roman"/>
          <w:kern w:val="0"/>
          <w14:ligatures w14:val="none"/>
        </w:rPr>
        <w:t>Pachomian</w:t>
      </w:r>
      <w:proofErr w:type="spellEnd"/>
      <w:r w:rsidRPr="00EA7737">
        <w:rPr>
          <w:rFonts w:ascii="Times New Roman" w:eastAsia="Times New Roman" w:hAnsi="Times New Roman" w:cs="Times New Roman"/>
          <w:kern w:val="0"/>
          <w14:ligatures w14:val="none"/>
        </w:rPr>
        <w:t xml:space="preserve"> federation, and a federation-wide governance hierarchy under Shenoute, independently attested in the textual and documentary record of every strand within the proposed window, without needing to rely on later archaeological material that postdates it.</w:t>
      </w:r>
    </w:p>
    <w:p w14:paraId="7E8465A7"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Everything else this document has reconstructed — the meaning of withdrawal, the content and shape of spiritual struggle, the locus of moral stakes, the basis and contestation of authority, the relationship to surrounding settled society, the very temporal experience of living through the proposed 270–451 window, and the differentiated experience of men and women even within a single strand — diverges for reasons this document has traced to real, different founding conditions, real, different geography, and real, different and sometimes violently contingent histories, not to one ecology expressing itself in superficially different costumes.</w:t>
      </w:r>
    </w:p>
    <w:p w14:paraId="383CA404" w14:textId="77777777" w:rsidR="00EA7737" w:rsidRPr="00EA7737" w:rsidRDefault="00EA7737" w:rsidP="00EA7737">
      <w:pPr>
        <w:spacing w:before="100" w:beforeAutospacing="1" w:after="100" w:afterAutospacing="1" w:line="240" w:lineRule="auto"/>
        <w:rPr>
          <w:rFonts w:ascii="Times New Roman" w:eastAsia="Times New Roman" w:hAnsi="Times New Roman" w:cs="Times New Roman"/>
          <w:kern w:val="0"/>
          <w14:ligatures w14:val="none"/>
        </w:rPr>
      </w:pPr>
      <w:r w:rsidRPr="00EA7737">
        <w:rPr>
          <w:rFonts w:ascii="Times New Roman" w:eastAsia="Times New Roman" w:hAnsi="Times New Roman" w:cs="Times New Roman"/>
          <w:kern w:val="0"/>
          <w14:ligatures w14:val="none"/>
        </w:rPr>
        <w:t>This is offered as this world's actual ecological shape, not as an unfinished reconstruction awaiting a unifying discovery that further work will eventually supply. Phase 4's later work should treat the fracture documented here as a stable, evidenced feature of Desert Christianity to build with, not a problem this document failed to solve.</w:t>
      </w:r>
    </w:p>
    <w:p w14:paraId="08A86DAB"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737"/>
    <w:rsid w:val="003D4B6B"/>
    <w:rsid w:val="006F2C70"/>
    <w:rsid w:val="007F75C4"/>
    <w:rsid w:val="00946BA7"/>
    <w:rsid w:val="00DE095B"/>
    <w:rsid w:val="00EA7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1A75"/>
  <w15:chartTrackingRefBased/>
  <w15:docId w15:val="{3ACEC48A-0F64-44A9-A5D0-9DE2CE042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737"/>
    <w:rPr>
      <w:rFonts w:eastAsiaTheme="majorEastAsia" w:cstheme="majorBidi"/>
      <w:color w:val="272727" w:themeColor="text1" w:themeTint="D8"/>
    </w:rPr>
  </w:style>
  <w:style w:type="paragraph" w:styleId="Title">
    <w:name w:val="Title"/>
    <w:basedOn w:val="Normal"/>
    <w:next w:val="Normal"/>
    <w:link w:val="TitleChar"/>
    <w:uiPriority w:val="10"/>
    <w:qFormat/>
    <w:rsid w:val="00EA7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737"/>
    <w:pPr>
      <w:spacing w:before="160"/>
      <w:jc w:val="center"/>
    </w:pPr>
    <w:rPr>
      <w:i/>
      <w:iCs/>
      <w:color w:val="404040" w:themeColor="text1" w:themeTint="BF"/>
    </w:rPr>
  </w:style>
  <w:style w:type="character" w:customStyle="1" w:styleId="QuoteChar">
    <w:name w:val="Quote Char"/>
    <w:basedOn w:val="DefaultParagraphFont"/>
    <w:link w:val="Quote"/>
    <w:uiPriority w:val="29"/>
    <w:rsid w:val="00EA7737"/>
    <w:rPr>
      <w:i/>
      <w:iCs/>
      <w:color w:val="404040" w:themeColor="text1" w:themeTint="BF"/>
    </w:rPr>
  </w:style>
  <w:style w:type="paragraph" w:styleId="ListParagraph">
    <w:name w:val="List Paragraph"/>
    <w:basedOn w:val="Normal"/>
    <w:uiPriority w:val="34"/>
    <w:qFormat/>
    <w:rsid w:val="00EA7737"/>
    <w:pPr>
      <w:ind w:left="720"/>
      <w:contextualSpacing/>
    </w:pPr>
  </w:style>
  <w:style w:type="character" w:styleId="IntenseEmphasis">
    <w:name w:val="Intense Emphasis"/>
    <w:basedOn w:val="DefaultParagraphFont"/>
    <w:uiPriority w:val="21"/>
    <w:qFormat/>
    <w:rsid w:val="00EA7737"/>
    <w:rPr>
      <w:i/>
      <w:iCs/>
      <w:color w:val="0F4761" w:themeColor="accent1" w:themeShade="BF"/>
    </w:rPr>
  </w:style>
  <w:style w:type="paragraph" w:styleId="IntenseQuote">
    <w:name w:val="Intense Quote"/>
    <w:basedOn w:val="Normal"/>
    <w:next w:val="Normal"/>
    <w:link w:val="IntenseQuoteChar"/>
    <w:uiPriority w:val="30"/>
    <w:qFormat/>
    <w:rsid w:val="00EA7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737"/>
    <w:rPr>
      <w:i/>
      <w:iCs/>
      <w:color w:val="0F4761" w:themeColor="accent1" w:themeShade="BF"/>
    </w:rPr>
  </w:style>
  <w:style w:type="character" w:styleId="IntenseReference">
    <w:name w:val="Intense Reference"/>
    <w:basedOn w:val="DefaultParagraphFont"/>
    <w:uiPriority w:val="32"/>
    <w:qFormat/>
    <w:rsid w:val="00EA7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3998</Words>
  <Characters>23675</Characters>
  <Application>Microsoft Office Word</Application>
  <DocSecurity>0</DocSecurity>
  <Lines>328</Lines>
  <Paragraphs>63</Paragraphs>
  <ScaleCrop>false</ScaleCrop>
  <Company/>
  <LinksUpToDate>false</LinksUpToDate>
  <CharactersWithSpaces>27610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2026-06-19T23:56:00Z</dcterms:created>
  <dcterms:modified xsi:type="dcterms:W3CDTF">2026-06-20T01:31:00Z</dcterms:modified>
</cp:coreProperties>
</file>