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3F6" w14:textId="77777777" w:rsidR="00DE07F6" w:rsidRPr="00DE07F6" w:rsidRDefault="00DE07F6" w:rsidP="00DE07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Church in Conversation</w:t>
      </w:r>
    </w:p>
    <w:p w14:paraId="766BC5A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Vision, Mission, Convictions, and Foundational Commitments</w:t>
      </w:r>
    </w:p>
    <w:p w14:paraId="1F8AB073" w14:textId="77777777" w:rsidR="00DE07F6" w:rsidRPr="00DE07F6" w:rsidRDefault="00DE07F6" w:rsidP="00DE07F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Governing Document — v1.3</w:t>
      </w:r>
    </w:p>
    <w:p w14:paraId="269FED5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7BCA7">
          <v:rect id="_x0000_i1025" style="width:0;height:1.5pt" o:hralign="center" o:hrstd="t" o:hr="t" fillcolor="#a0a0a0" stroked="f"/>
        </w:pict>
      </w:r>
    </w:p>
    <w:p w14:paraId="6060F9F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Is</w:t>
      </w:r>
    </w:p>
    <w:p>
      <w:r>
        <w:rPr>
          <w:i/>
          <w:iCs/>
        </w:rPr>
        <w:t xml:space="preserve">v1.1 — Original governing vision document. Five Convictions, Mission, Story, Foundational Values, Living Traditions distinction, Article 6 success standard refinement, Why We Are Revising section justifying the V7 revision process.</w:t>
      </w:r>
    </w:p>
    <w:p>
      <w:r>
        <w:rPr>
          <w:i/>
          <w:iCs/>
        </w:rPr>
        <w:t xml:space="preserve">v1.2 — Minor update marking V7 revision completion. Section renamed from “Why We Are Revising” to “Why V7 Was Undertaken.” Tense updated throughout that section to reflect that the revision is complete. Closing paragraph updated to note that the V7 revision was completed in June 2026 with the Alexandria world as the first completed world under V7 governance. No change to Mission, Story, Five Convictions, Foundational Values, Living Traditions section, or any other substantive content. Renamed from Vision__Mission__Convictions__and_Foundational_Commitments_V1_1.docx to CiC_Vision_V1_2.docx.</w:t>
      </w:r>
    </w:p>
    <w:p>
      <w:r>
        <w:rPr>
          <w:i/>
          <w:iCs/>
        </w:rPr>
        <w:t xml:space="preserve">v1.3 — Two corrections following Opus foundational integrity review. (1) Governing Constraint on Revision: updated to reference the Alexandria world build as the single completed exemplar, replacing “the two existing world builds” — this corrects a cross-document inconsistency introduced in v1.2 when the Constitution was updated but the Vision’s parallel language was not propagated. Now aligned with Constitution Article 5 v7.4.2. (2) Story section Pachomian illustration: added “Consider, for example:” framing to clarify that the three named formation ecologies are illustrative examples of particularity, not an exhaustive list of planned worlds. No other content changed. Renamed to CiC_Vision_V1_3.docx.</w:t>
      </w:r>
    </w:p>
    <w:p>
      <w:r>
        <w:t xml:space="preserve"/>
      </w:r>
    </w:p>
    <w:p>
      <w:r>
        <w:rPr>
          <w:rFonts w:ascii="Times New Roman" w:eastAsia="Times New Roman" w:hAnsi="Times New Roman" w:cs="Times New Roman"/>
          <w:kern w:val="0"/>
        </w:rPr>
        <w:t>This is the founding vision statement of Church in Conversation. It precedes every governance document, every methodology framework, every world build, and every deployment decision. When any architectural choice, technical decision, or design question arises, this document is consulted first.</w:t>
      </w:r>
    </w:p>
    <w:p w14:paraId="785545F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not a procedural document. It does not specify how things are built. It specifies what everything is for.</w:t>
      </w:r>
    </w:p>
    <w:p w14:paraId="7A6AE3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document stands alone. It does not assume familiarity with any other document in the project. Everything a builder, reviewer, or new participant needs to understand the project's purpose, convictions, and values is contained here.</w:t>
      </w:r>
    </w:p>
    <w:p w14:paraId="719882AA"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D49CF">
          <v:rect id="_x0000_i1026" style="width:0;height:1.5pt" o:hralign="center" o:hrstd="t" o:hr="t" fillcolor="#a0a0a0" stroked="f"/>
        </w:pict>
      </w:r>
    </w:p>
    <w:p w14:paraId="02D9A295"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Mission</w:t>
      </w:r>
    </w:p>
    <w:p w14:paraId="723ED41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6F5C60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mission is unchanged by revision, maturation, or growth.</w:t>
      </w:r>
    </w:p>
    <w:p w14:paraId="45E5C15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purpose of the project is not historical exploration for its own sake. It is not technology for its own sake. It is not denominational comparison for its own sake.</w:t>
      </w:r>
    </w:p>
    <w:p w14:paraId="1A36AF6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traditions, movements, practices, and witnesses of the Church matter because they bear witness to Christ. The mission is encounter with Jesus through engagement with the life and witness of His Church.</w:t>
      </w:r>
    </w:p>
    <w:p w14:paraId="3EF2B304"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5367B">
          <v:rect id="_x0000_i1027" style="width:0;height:1.5pt" o:hralign="center" o:hrstd="t" o:hr="t" fillcolor="#a0a0a0" stroked="f"/>
        </w:pict>
      </w:r>
    </w:p>
    <w:p w14:paraId="7FCA82A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Story</w:t>
      </w:r>
    </w:p>
    <w:p w14:paraId="1704527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Christian faith did not develop in a single place, culture, language, or tradition.</w:t>
      </w:r>
    </w:p>
    <w:p w14:paraId="1BDB44A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two thousand years, Christians have sought to understand Jesus, interpret His Word, worship faithfully, cultivate life in Christ, and embody faith within their world. These efforts have taken shape in countless traditions, movements, communities, and expressions of the Church. Each bears witness to something. Each reveals wisdom and limitation, faithfulness and failure, hope and wounds, perseverance and struggle. No single movement exhausts the richness of Christ. Together they form a vast testimony to the ongoing work of Jesus among His people.</w:t>
      </w:r>
    </w:p>
    <w:p w14:paraId="45E60D8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enter that testimony.</w:t>
      </w:r>
    </w:p>
    <w:p w14:paraId="25A1600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Through meaningful encounter with faithful witnesses from across the life of the Church, participants are invited into a larger conversation than they may have previously known. The goal is not admiration of the witnesses themselves. The goal is deeper encounter with the One to whom they bear witness.</w:t>
      </w:r>
    </w:p>
    <w:p w14:paraId="3AEE265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particularity of each witness matters. Consider, for example: Desert Christianity's martyrological combat frame, Alexandria's Logos-centered formation, the Pachomian koinonia's communal theology — these are not interchangeable paths to a generic Jesus. Each tradition has known him in ways specific to its own formation, its own struggles, its own encounter with Scripture and the Spirit. The encounter this project enables is not with a flattened, universalized Christianity. It is with Jesus as particular communities have genuinely known him, formed by him, and borne witness to him across two thousand years.</w:t>
      </w:r>
    </w:p>
    <w:p w14:paraId="5D42A99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story is unchanged by revision, maturation, or growth.</w:t>
      </w:r>
    </w:p>
    <w:p w14:paraId="617187C2"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7F3EF">
          <v:rect id="_x0000_i1028" style="width:0;height:1.5pt" o:hralign="center" o:hrstd="t" o:hr="t" fillcolor="#a0a0a0" stroked="f"/>
        </w:pict>
      </w:r>
    </w:p>
    <w:p w14:paraId="5B71FF4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a Successful Encounter Looks Like</w:t>
      </w:r>
    </w:p>
    <w:p w14:paraId="3F5A626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successful encounter is one in which a participant leaves having genuinely met something they had not met before — a way of knowing Jesus, a practice of faith, a question they hadn't known to ask — and carries that meeting forward in whatever direction is their own.</w:t>
      </w:r>
    </w:p>
    <w:p w14:paraId="097D60E3" w14:textId="77777777" w:rsid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measure against which every architectural decision, every representative voice, every deployment choice, and every design trade-off is evaluated. Not whether the system is technically impressive. Not whether the historical reconstruction is exhaustive. Whether a participant met something real and left changed in some way that belongs to them.</w:t>
      </w:r>
    </w:p>
    <w:p w14:paraId="0B86631D" w14:textId="76BB495E" w:rsidR="0018341E"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Note: Constitution Article 6 refines the testable expression of this standard. Whether a participant was changed, and in what direction,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The standard is evaluated against these four observable conditions, not against participant outcome.</w:t>
      </w:r>
    </w:p>
    <w:p w14:paraId="29FA8DAD"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5FD35">
          <v:rect id="_x0000_i1029" style="width:0;height:1.5pt" o:hralign="center" o:hrstd="t" o:hr="t" fillcolor="#a0a0a0" stroked="f"/>
        </w:pict>
      </w:r>
    </w:p>
    <w:p w14:paraId="0C19FBF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The Five Convictions</w:t>
      </w:r>
    </w:p>
    <w:p w14:paraId="5BE31B1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or technical decision may contradict them.</w:t>
      </w:r>
    </w:p>
    <w:p w14:paraId="32928F88"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 We Encounter More of Christ Through the Witnesses of His Church</w:t>
      </w:r>
    </w:p>
    <w:p w14:paraId="3B990FE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the richness of Christ is revealed through the many historical and contemporary movements of His Church.</w:t>
      </w:r>
    </w:p>
    <w:p w14:paraId="7A03CCE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Across centuries and cultures, Christians have sought to understand Jesus, interpret His Word, worship faithfully, cultivate life in Christ, and embody faith in their world.</w:t>
      </w:r>
    </w:p>
    <w:p w14:paraId="7ED9D99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single movement exhausts that richness. Each reveals something the others cannot. Together they form a vast testimony to the ongoing work of Christ among His people.</w:t>
      </w:r>
    </w:p>
    <w:p w14:paraId="067E78B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 Understanding Grows Most Deeply Through Encounter</w:t>
      </w:r>
    </w:p>
    <w:p w14:paraId="3CE9B0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w:t>
      </w:r>
    </w:p>
    <w:p w14:paraId="6C2F101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encounter not only what Christians believed, but how those beliefs shaped worship, community, imagination, formation, virtue, and daily life.</w:t>
      </w:r>
    </w:p>
    <w:p w14:paraId="648927B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Encounter transforms information into understanding, and understanding into possibility.</w:t>
      </w:r>
    </w:p>
    <w:p w14:paraId="7CC627F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 Every Witness Bears Testimony Faithfully</w:t>
      </w:r>
    </w:p>
    <w:p w14:paraId="58F92D2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witness speaks for a particular historical or contemporary movement within Christ's Church.</w:t>
      </w:r>
    </w:p>
    <w:p w14:paraId="6A4681B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witness does not modernize, harmonize, defend, or critique. Instead, the witness allows that movement to speak honestly in its own voice.</w:t>
      </w:r>
    </w:p>
    <w:p w14:paraId="2DEA508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 any true witness, it bears testimony through a particular story that points beyond itself to the One it ultimately serves.</w:t>
      </w:r>
    </w:p>
    <w:p w14:paraId="1120DE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 Authentic Encounter Requires Trustworthy Transparency</w:t>
      </w:r>
    </w:p>
    <w:p w14:paraId="34FB43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deserve access to sources, evidence, tensions, disagreements, uncertainties, and limitations.</w:t>
      </w:r>
    </w:p>
    <w:p w14:paraId="2665B1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Nothing essential is hidden. Nothing difficult is removed. Beauty and complexity, faithfulness and failure, hope and wounds, perseverance and struggle all belong to honest witness.</w:t>
      </w:r>
    </w:p>
    <w:p w14:paraId="266399A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does not require protection through simplification.</w:t>
      </w:r>
    </w:p>
    <w:p w14:paraId="560AB01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5. Technology Should Serve Encounter, Never Replace It</w:t>
      </w:r>
    </w:p>
    <w:p w14:paraId="7312A8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exists to create access, preserve fidelity, and support transparency.</w:t>
      </w:r>
    </w:p>
    <w:p w14:paraId="2DE1407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is not the source of authority, the object of trust, or a substitute for human judgment, community, or spiritual formation.</w:t>
      </w:r>
    </w:p>
    <w:p w14:paraId="357215C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expands what is possible. It is never the point. It is a servant of the encounter, never its purpose.</w:t>
      </w:r>
    </w:p>
    <w:p w14:paraId="74BA4E41"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F8497">
          <v:rect id="_x0000_i1030" style="width:0;height:1.5pt" o:hralign="center" o:hrstd="t" o:hr="t" fillcolor="#a0a0a0" stroked="f"/>
        </w:pict>
      </w:r>
    </w:p>
    <w:p w14:paraId="2A59011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Living Traditions</w:t>
      </w:r>
    </w:p>
    <w:p w14:paraId="338B6B0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the traditions we engage are living traditions with present-day adherents, we hold our historical reconstruction with additional care.</w:t>
      </w:r>
    </w:p>
    <w:p w14:paraId="0694E02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distinguish clearly between the historical formation world we reconstruct — bounded in time, limited by evidence, accountable to scholarship — and the tradition's present-day self-understanding, which belongs to living communities and is not ours to define or represent.</w:t>
      </w:r>
    </w:p>
    <w:p w14:paraId="1868FDE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do not treat our reconstruction of a historical world as a verdict on the living tradition that descends from it. We do not allow a Representative's historical voice to be confused with the voice of a contemporary tradition or its present-day adherents.</w:t>
      </w:r>
    </w:p>
    <w:p w14:paraId="0EE0914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the historical world and the living tradition deserve this care. Neither is diminished by the distinction.</w:t>
      </w:r>
    </w:p>
    <w:p w14:paraId="58324A40"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E6062">
          <v:rect id="_x0000_i1031" style="width:0;height:1.5pt" o:hralign="center" o:hrstd="t" o:hr="t" fillcolor="#a0a0a0" stroked="f"/>
        </w:pict>
      </w:r>
    </w:p>
    <w:p w14:paraId="1C5763F3"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Why V7 Was Undertaken</w:t>
      </w:r>
    </w:p>
    <w:p w14:paraId="5FA22DE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Alexandria has taken shape, as representatives have begun to emerge, as runtime experiences have been explored, and as we have started preparing for real participants, new insights have surfaced that were difficult to see at the beginning.</w:t>
      </w:r>
    </w:p>
    <w:p w14:paraId="6BC8D65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now have a much clearer understanding of what it takes to build a Formation World — what creates meaningful encounter, what information needs to be preserved, what relationships need to be visible, what future deployment requires, and where our current documents can be strengthened, integrated, clarified, and better organized.</w:t>
      </w:r>
    </w:p>
    <w:p w14:paraId="12D350A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V7 revision was a maturation process, not a redesign process.</w:t>
      </w:r>
    </w:p>
    <w:p w14:paraId="4FCAAF9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not questioning the mission. We are not revisiting the Story. We are not replacing the Five Convictions. We are not abandoning the architecture.</w:t>
      </w:r>
    </w:p>
    <w:p w14:paraId="2DBE731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Instead we are asking:</w:t>
      </w:r>
    </w:p>
    <w:p w14:paraId="7E5322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express what we have learned through the actual process of building?</w:t>
      </w:r>
    </w:p>
    <w:p w14:paraId="5651633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account for both the internal life of a movement and the external forces that shaped it — recognizing that every formation world exists inside a larger world, and that the pressures, crises, controversies, and conditions surrounding a movement are not background context but constitutive of the formation itself?</w:t>
      </w:r>
    </w:p>
    <w:p w14:paraId="0B573DE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connect world construction, representative formation, encounter design, communication, governance, and deployment into one coherent, disciplined system?</w:t>
      </w:r>
    </w:p>
    <w:p w14:paraId="2CEF488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more faithfully represent the complexity, tensions, and historical situatedness of the worlds we are constructing?</w:t>
      </w:r>
    </w:p>
    <w:p w14:paraId="72BE029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organize the project in ways that are easier to build, steward, maintain, scale, and eventually share with others?</w:t>
      </w:r>
    </w:p>
    <w:p w14:paraId="7E76206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project has taught us a great deal. The V7 revision listened to those lessons and allowed the architecture to mature accordingly. The V7 revision was completed in June 2026. The Alexandria world build was the first world completed under V7 governance. Everything that follows in the CiC document set is the product of that maturation.</w:t>
      </w:r>
    </w:p>
    <w:p w14:paraId="14C56563"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46D09">
          <v:rect id="_x0000_i1032" style="width:0;height:1.5pt" o:hralign="center" o:hrstd="t" o:hr="t" fillcolor="#a0a0a0" stroked="f"/>
        </w:pict>
      </w:r>
    </w:p>
    <w:p w14:paraId="73CF3E5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Foundational Values</w:t>
      </w:r>
    </w:p>
    <w:p w14:paraId="70974BF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 establish what this project believes. These values establish how it behaves. They govern every participant experience, every build decision, and every deployment choice. Where technical, design, or efficiency considerations conflict with these values, the values govern.</w:t>
      </w:r>
    </w:p>
    <w:p w14:paraId="774B5F0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Participant Agency</w:t>
      </w:r>
      <w:r>
        <w:rPr>
          <w:rFonts w:ascii="Times New Roman" w:eastAsia="Times New Roman" w:hAnsi="Times New Roman" w:cs="Times New Roman"/>
          <w:kern w:val="0"/>
          <w14:ligatures w14:val="none"/>
        </w:rPr>
        <w:br/>
        <w:t>Participants remain free to explore, question, challenge, disagree, wrestle, and draw their own conclusions. The system creates conditions for discovery, not pressure toward predetermined outcomes. Formation happens in freedom, not direction. The encounter opens something — what the participant does with that opening belongs entirely to them.</w:t>
      </w:r>
    </w:p>
    <w:p w14:paraId="218AB22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Historical Responsibility</w:t>
      </w:r>
      <w:r>
        <w:rPr>
          <w:rFonts w:ascii="Times New Roman" w:eastAsia="Times New Roman" w:hAnsi="Times New Roman" w:cs="Times New Roman"/>
          <w:kern w:val="0"/>
          <w14:ligatures w14:val="none"/>
        </w:rPr>
        <w:br/>
        <w:t>Worlds, representatives, encounters, and supporting systems reflect the complexity, diversity, tensions, relationships, and realities of the communities they represent. This means holding fractures as fractures, tensions as tensions, and unresolved questions as unresolved. It means representing marginalized voices — women, ordinary believers, the poor, the resistant — alongside the voices the sources naturally amplify. It means acknowledging where evidence is thin, where reconstruction is inferential, and where honest uncertainty is the most responsible position.</w:t>
      </w:r>
    </w:p>
    <w:p w14:paraId="60E1EED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Intellectual Humility</w:t>
      </w:r>
      <w:r>
        <w:rPr>
          <w:rFonts w:ascii="Times New Roman" w:eastAsia="Times New Roman" w:hAnsi="Times New Roman" w:cs="Times New Roman"/>
          <w:kern w:val="0"/>
          <w14:ligatures w14:val="none"/>
        </w:rPr>
        <w:br/>
        <w:t>No movement, representative, document, or system possesses the whole story. Every world build carries confident claims where evidence supports them, calibrated uncertainty where it doesn't, and honest acknowledgment of what remains unknown. Representatives model this posture — knowing what they know, acknowledging what they don't, and refusing to claim more than their formation and their evidence warrant. Humility is not a disclaimer. It is a formation posture that the entire system embodies.</w:t>
      </w:r>
    </w:p>
    <w:p w14:paraId="56958CE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Encounter Over Persuasion</w:t>
      </w:r>
      <w:r>
        <w:rPr>
          <w:rFonts w:ascii="Times New Roman" w:eastAsia="Times New Roman" w:hAnsi="Times New Roman" w:cs="Times New Roman"/>
          <w:kern w:val="0"/>
          <w14:ligatures w14:val="none"/>
        </w:rPr>
        <w:br/>
        <w:t>The goal is not agreement. The goal is not conversion to a particular tradition. The goal is not validation of any position a participant already holds. A Representative who argues for his tradition has stopped witnessing and started recruiting. This distinction — between witness and persuasion, between encounter and direction — is a boundary the system maintains explicitly at every level of design and deployment.</w:t>
      </w:r>
    </w:p>
    <w:p w14:paraId="424BFE2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Stewardship Over Optimization</w:t>
      </w:r>
      <w:r>
        <w:rPr>
          <w:rFonts w:ascii="Times New Roman" w:eastAsia="Times New Roman" w:hAnsi="Times New Roman" w:cs="Times New Roman"/>
          <w:kern w:val="0"/>
          <w14:ligatures w14:val="none"/>
        </w:rPr>
        <w:br/>
        <w:t>Decisions are evaluated not only according to efficiency, scalability, or technical elegance, but according to their impact on fidelity, trustworthiness, participant dignity, agency, and encounter integrity. A cheaper deployment that produces a hollow Representative fails this standard. A faster build process that skips the scholarly rigor that makes a world trustworthy fails this standard. The measure of any decision is whether it serves the mission faithfully, not whether it serves the system efficiently.</w:t>
      </w:r>
    </w:p>
    <w:p w14:paraId="7861A50F"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7DF83">
          <v:rect id="_x0000_i1033" style="width:0;height:1.5pt" o:hralign="center" o:hrstd="t" o:hr="t" fillcolor="#a0a0a0" stroked="f"/>
        </w:pict>
      </w:r>
    </w:p>
    <w:p w14:paraId="55062590"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 Governing Constraint on Revision</w:t>
      </w:r>
    </w:p>
    <w:p w14:paraId="67DBDB8E" w14:textId="15235C82" w:rsidR="00DE07F6"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Nothing in any version of this architecture reduces the scholarly rigor, confidence calibration, or Author Gravity discipline demonstrated in the Alexandria world build — the first world completed under V7 governance — and required of all subsequent world builds. These disciplines are the fixed floor. Formation-depth is not a fixed floor — it must track available evidence. A world with genuinely thin sources will legitimately achieve less depth than a world with rich attestation, and presenting it at lower depth and confidence is exactly what the confidence-calibration discipline requires. What may never be reduced is the rigor with which available evidence is handled, not the depth that evidence permits.</w:t>
      </w:r>
      <w:r>
        <w:rPr>
          <w:rFonts w:ascii="Times New Roman" w:eastAsia="Times New Roman" w:hAnsi="Times New Roman" w:cs="Times New Roman"/>
          <w:kern w:val="0"/>
          <w14:ligatures w14:val="none"/>
        </w:rPr>
        <w:t xml:space="preserve"> The revision makes the system more efficient and more complete. It does not make it shallower. Where efficiency and rigor conflict, rigor governs.</w:t>
      </w:r>
    </w:p>
    <w:p w14:paraId="7882B30B"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69E58">
          <v:rect id="_x0000_i1034" style="width:0;height:1.5pt" o:hralign="center" o:hrstd="t" o:hr="t" fillcolor="#a0a0a0" stroked="f"/>
        </w:pict>
      </w:r>
    </w:p>
    <w:p w14:paraId="491BB2B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Authorizes</w:t>
      </w:r>
    </w:p>
    <w:p w14:paraId="46A505B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vision statement authorizes the revision process that follows. Every document produced in that process — governance documents, methodology frameworks, templates, world builds, deployment architectures — is accountable to this vision.</w:t>
      </w:r>
    </w:p>
    <w:p w14:paraId="43D8ACB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This document does not specify how anything is built. The Constitution, Construction Framework, and Blueprint do that. This document specifies what everything is for.</w:t>
      </w:r>
    </w:p>
    <w:p w14:paraId="6A660E7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any person, team, process, or system loses sight of what everything is for, they return here.</w:t>
      </w:r>
    </w:p>
    <w:p w14:paraId="6846CBD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59C9D">
          <v:rect id="_x0000_i1035" style="width:0;height:1.5pt" o:hralign="center" o:hrstd="t" o:hr="t" fillcolor="#a0a0a0" stroked="f"/>
        </w:pict>
      </w:r>
    </w:p>
    <w:p w14:paraId="7F06EFA9"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Remains Unchanged</w:t>
      </w:r>
    </w:p>
    <w:p w14:paraId="4825309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mission.</w:t>
      </w:r>
    </w:p>
    <w:p w14:paraId="55C4DC0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story.</w:t>
      </w:r>
    </w:p>
    <w:p w14:paraId="7C3AD37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w:t>
      </w:r>
    </w:p>
    <w:p w14:paraId="77CF2F8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commitment to encounter with Jesus through the witness of His Church.</w:t>
      </w:r>
    </w:p>
    <w:p w14:paraId="626044C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not subject to revision. The architecture matures in their service.</w:t>
      </w:r>
    </w:p>
    <w:p w14:paraId="223AAF2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61C9D">
          <v:rect id="_x0000_i1036" style="width:0;height:1.5pt" o:hralign="center" o:hrstd="t" o:hr="t" fillcolor="#a0a0a0" stroked="f"/>
        </w:pict>
      </w:r>
    </w:p>
    <w:p w14:paraId="405E3B7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Church in Conversation — Vision Document v1.3 — V7 revision complete June 2026</w:t>
      </w:r>
      <w:r>
        <w:rPr>
          <w:rFonts w:ascii="Times New Roman" w:eastAsia="Times New Roman" w:hAnsi="Times New Roman" w:cs="Times New Roman"/>
          <w:kern w:val="0"/>
          <w14:ligatures w14:val="none"/>
        </w:rPr>
        <w:br/>
      </w:r>
      <w:r>
        <w:rPr>
          <w:rFonts w:ascii="Times New Roman" w:eastAsia="Times New Roman" w:hAnsi="Times New Roman" w:cs="Times New Roman"/>
          <w:i/>
          <w:iCs/>
          <w:kern w:val="0"/>
          <w14:ligatures w14:val="none"/>
        </w:rPr>
        <w:t>Format: Word (.docx) for governance record; Markdown (.md) for project reference</w:t>
      </w:r>
    </w:p>
    <w:p w14:paraId="50BF2C2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F6"/>
    <w:rsid w:val="0018341E"/>
    <w:rsid w:val="006A5947"/>
    <w:rsid w:val="007F75C4"/>
    <w:rsid w:val="00DE07F6"/>
    <w:rsid w:val="00DE095B"/>
    <w:rsid w:val="00F3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C128"/>
  <w15:chartTrackingRefBased/>
  <w15:docId w15:val="{8914B285-177F-4761-B23D-0A76404C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F6"/>
    <w:rPr>
      <w:rFonts w:eastAsiaTheme="majorEastAsia" w:cstheme="majorBidi"/>
      <w:color w:val="272727" w:themeColor="text1" w:themeTint="D8"/>
    </w:rPr>
  </w:style>
  <w:style w:type="paragraph" w:styleId="Title">
    <w:name w:val="Title"/>
    <w:basedOn w:val="Normal"/>
    <w:next w:val="Normal"/>
    <w:link w:val="TitleChar"/>
    <w:uiPriority w:val="10"/>
    <w:qFormat/>
    <w:rsid w:val="00DE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F6"/>
    <w:pPr>
      <w:spacing w:before="160"/>
      <w:jc w:val="center"/>
    </w:pPr>
    <w:rPr>
      <w:i/>
      <w:iCs/>
      <w:color w:val="404040" w:themeColor="text1" w:themeTint="BF"/>
    </w:rPr>
  </w:style>
  <w:style w:type="character" w:customStyle="1" w:styleId="QuoteChar">
    <w:name w:val="Quote Char"/>
    <w:basedOn w:val="DefaultParagraphFont"/>
    <w:link w:val="Quote"/>
    <w:uiPriority w:val="29"/>
    <w:rsid w:val="00DE07F6"/>
    <w:rPr>
      <w:i/>
      <w:iCs/>
      <w:color w:val="404040" w:themeColor="text1" w:themeTint="BF"/>
    </w:rPr>
  </w:style>
  <w:style w:type="paragraph" w:styleId="ListParagraph">
    <w:name w:val="List Paragraph"/>
    <w:basedOn w:val="Normal"/>
    <w:uiPriority w:val="34"/>
    <w:qFormat/>
    <w:rsid w:val="00DE07F6"/>
    <w:pPr>
      <w:ind w:left="720"/>
      <w:contextualSpacing/>
    </w:pPr>
  </w:style>
  <w:style w:type="character" w:styleId="IntenseEmphasis">
    <w:name w:val="Intense Emphasis"/>
    <w:basedOn w:val="DefaultParagraphFont"/>
    <w:uiPriority w:val="21"/>
    <w:qFormat/>
    <w:rsid w:val="00DE07F6"/>
    <w:rPr>
      <w:i/>
      <w:iCs/>
      <w:color w:val="0F4761" w:themeColor="accent1" w:themeShade="BF"/>
    </w:rPr>
  </w:style>
  <w:style w:type="paragraph" w:styleId="IntenseQuote">
    <w:name w:val="Intense Quote"/>
    <w:basedOn w:val="Normal"/>
    <w:next w:val="Normal"/>
    <w:link w:val="IntenseQuoteChar"/>
    <w:uiPriority w:val="30"/>
    <w:qFormat/>
    <w:rsid w:val="00DE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F6"/>
    <w:rPr>
      <w:i/>
      <w:iCs/>
      <w:color w:val="0F4761" w:themeColor="accent1" w:themeShade="BF"/>
    </w:rPr>
  </w:style>
  <w:style w:type="character" w:styleId="IntenseReference">
    <w:name w:val="Intense Reference"/>
    <w:basedOn w:val="DefaultParagraphFont"/>
    <w:uiPriority w:val="32"/>
    <w:qFormat/>
    <w:rsid w:val="00DE0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2013</Words>
  <Characters>11821</Characters>
  <Application>Microsoft Office Word</Application>
  <DocSecurity>0</DocSecurity>
  <Lines>211</Lines>
  <Paragraphs>102</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2026-06-20T17:19:00Z</dcterms:created>
  <dcterms:modified xsi:type="dcterms:W3CDTF">2026-06-21T16:11:00Z</dcterms:modified>
</cp:coreProperties>
</file>