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pacing w:val="80"/>
          <w:sz w:val="28"/>
          <w:szCs w:val="28"/>
        </w:rPr>
        <w:t xml:space="preserve">CHURCH IN CONVERSATION</w:t>
      </w:r>
    </w:p>
    <w:p>
      <w:pPr>
        <w:pBdr>
          <w:bottom w:val="single" w:color="2E75B6" w:sz="8" w:space="6"/>
        </w:pBdr>
        <w:spacing w:after="40"/>
        <w:jc w:val="center"/>
      </w:pPr>
      <w:r>
        <w:rPr>
          <w:rFonts w:ascii="Arial" w:cs="Arial" w:eastAsia="Arial" w:hAnsi="Arial"/>
          <w:i/>
          <w:iCs/>
          <w:color w:val="2E75B6"/>
          <w:sz w:val="22"/>
          <w:szCs w:val="22"/>
        </w:rPr>
        <w:t xml:space="preserve">Technology Engagement Brief</w:t>
      </w:r>
    </w:p>
    <w:p>
      <w:pPr>
        <w:spacing w:after="200"/>
      </w:pPr>
      <w:r>
        <w:t xml:space="preserve"/>
      </w:r>
    </w:p>
    <w:p>
      <w:pPr>
        <w:spacing w:after="40"/>
      </w:pPr>
      <w:r>
        <w:rPr>
          <w:rFonts w:ascii="Arial" w:cs="Arial" w:eastAsia="Arial" w:hAnsi="Arial"/>
          <w:b/>
          <w:bCs/>
          <w:color w:val="1F4E79"/>
          <w:sz w:val="20"/>
          <w:szCs w:val="20"/>
        </w:rPr>
        <w:t xml:space="preserve">Document:         </w:t>
      </w:r>
      <w:r>
        <w:rPr>
          <w:rFonts w:ascii="Arial" w:cs="Arial" w:eastAsia="Arial" w:hAnsi="Arial"/>
          <w:sz w:val="20"/>
          <w:szCs w:val="20"/>
        </w:rPr>
        <w:t xml:space="preserve">Technology Engagement Brief v1.0</w:t>
      </w:r>
    </w:p>
    <w:p>
      <w:pPr>
        <w:spacing w:after="40"/>
      </w:pPr>
      <w:r>
        <w:rPr>
          <w:rFonts w:ascii="Arial" w:cs="Arial" w:eastAsia="Arial" w:hAnsi="Arial"/>
          <w:b/>
          <w:bCs/>
          <w:color w:val="1F4E79"/>
          <w:sz w:val="20"/>
          <w:szCs w:val="20"/>
        </w:rPr>
        <w:t xml:space="preserve">Lead Advisor:    </w:t>
      </w:r>
      <w:r>
        <w:rPr>
          <w:rFonts w:ascii="Arial" w:cs="Arial" w:eastAsia="Arial" w:hAnsi="Arial"/>
          <w:sz w:val="20"/>
          <w:szCs w:val="20"/>
        </w:rPr>
        <w:t xml:space="preserve">Opus (architecture review, system design, technical judgment)</w:t>
      </w:r>
    </w:p>
    <w:p>
      <w:pPr>
        <w:spacing w:after="40"/>
      </w:pPr>
      <w:r>
        <w:rPr>
          <w:rFonts w:ascii="Arial" w:cs="Arial" w:eastAsia="Arial" w:hAnsi="Arial"/>
          <w:b/>
          <w:bCs/>
          <w:color w:val="1F4E79"/>
          <w:sz w:val="20"/>
          <w:szCs w:val="20"/>
        </w:rPr>
        <w:t xml:space="preserve">Implementation: </w:t>
      </w:r>
      <w:r>
        <w:rPr>
          <w:rFonts w:ascii="Arial" w:cs="Arial" w:eastAsia="Arial" w:hAnsi="Arial"/>
          <w:sz w:val="20"/>
          <w:szCs w:val="20"/>
        </w:rPr>
        <w:t xml:space="preserve">Claude Code (directed by Opus — file review, configuration, code execution)</w:t>
      </w:r>
    </w:p>
    <w:p>
      <w:pPr>
        <w:spacing w:after="40"/>
      </w:pPr>
      <w:r>
        <w:rPr>
          <w:rFonts w:ascii="Arial" w:cs="Arial" w:eastAsia="Arial" w:hAnsi="Arial"/>
          <w:b/>
          <w:bCs/>
          <w:color w:val="1F4E79"/>
          <w:sz w:val="20"/>
          <w:szCs w:val="20"/>
        </w:rPr>
        <w:t xml:space="preserve">Human Input:    </w:t>
      </w:r>
      <w:r>
        <w:rPr>
          <w:rFonts w:ascii="Arial" w:cs="Arial" w:eastAsia="Arial" w:hAnsi="Arial"/>
          <w:sz w:val="20"/>
          <w:szCs w:val="20"/>
        </w:rPr>
        <w:t xml:space="preserve">Project lead — sole builder through prototype phase; specialist engineer engaged at two specific moments</w:t>
      </w:r>
    </w:p>
    <w:p>
      <w:pPr>
        <w:spacing w:after="40"/>
      </w:pPr>
      <w:r>
        <w:rPr>
          <w:rFonts w:ascii="Arial" w:cs="Arial" w:eastAsia="Arial" w:hAnsi="Arial"/>
          <w:b/>
          <w:bCs/>
          <w:color w:val="1F4E79"/>
          <w:sz w:val="20"/>
          <w:szCs w:val="20"/>
        </w:rPr>
        <w:t xml:space="preserve">Reports To:       </w:t>
      </w:r>
      <w:r>
        <w:rPr>
          <w:rFonts w:ascii="Arial" w:cs="Arial" w:eastAsia="Arial" w:hAnsi="Arial"/>
          <w:sz w:val="20"/>
          <w:szCs w:val="20"/>
        </w:rPr>
        <w:t xml:space="preserve">Project Lead — all technical findings returned here before action is taken</w:t>
      </w:r>
    </w:p>
    <w:p>
      <w:pPr>
        <w:pBdr>
          <w:bottom w:val="single" w:color="CCCCCC" w:sz="4" w:space="6"/>
        </w:pBdr>
        <w:spacing w:after="320"/>
      </w:pPr>
      <w:r>
        <w:t xml:space="preserve"/>
      </w:r>
    </w:p>
    <w:p>
      <w:pPr>
        <w:spacing w:after="200"/>
      </w:pPr>
      <w:r>
        <w:rPr>
          <w:rFonts w:ascii="Georgia" w:cs="Georgia" w:eastAsia="Georgia" w:hAnsi="Georgia"/>
          <w:i/>
          <w:iCs/>
          <w:color w:val="444444"/>
          <w:sz w:val="22"/>
          <w:szCs w:val="22"/>
        </w:rPr>
        <w:t xml:space="preserve">This document describes how technical assessment and implementation review work in the Church in Conversation V7 build. The project lead is the sole builder through the prototype phase. There is no ongoing technical advisor. Instead there is a structured technical assessment process — led by Opus, executed by Claude Code, and augmented by a specialist engineer at two specific bounded moments. This brief tells each part of the system what it is responsible for, when it operates, and what a useful technical output looks like.</w:t>
      </w:r>
    </w:p>
    <w:p>
      <w:pPr>
        <w:pStyle w:val="Heading1"/>
      </w:pPr>
      <w:r>
        <w:t xml:space="preserve">1.  What the Project Needs from Technology</w:t>
      </w:r>
    </w:p>
    <w:p>
      <w:pPr>
        <w:spacing w:after="80"/>
      </w:pPr>
      <w:r>
        <w:rPr>
          <w:rFonts w:ascii="Arial" w:cs="Arial" w:eastAsia="Arial" w:hAnsi="Arial"/>
          <w:b/>
          <w:bCs/>
          <w:color w:val="2E75B6"/>
          <w:sz w:val="22"/>
          <w:szCs w:val="22"/>
        </w:rPr>
        <w:t xml:space="preserve">The Five Questions Technology Must Answer</w:t>
      </w:r>
    </w:p>
    <w:p>
      <w:pPr>
        <w:spacing w:after="120"/>
      </w:pPr>
      <w:r>
        <w:rPr>
          <w:rFonts w:ascii="Georgia" w:cs="Georgia" w:eastAsia="Georgia" w:hAnsi="Georgia"/>
          <w:sz w:val="22"/>
          <w:szCs w:val="22"/>
        </w:rPr>
        <w:t xml:space="preserve">These five questions govern every technical decision in this project. They are not aspirations. They are constraints. Every platform choice, every architecture decision, every implementation detail is measured against them.</w:t>
      </w:r>
    </w:p>
    <w:p>
      <w:pPr>
        <w:spacing w:after="140"/>
      </w:pPr>
      <w:r>
        <w:rPr>
          <w:rFonts w:ascii="Georgia" w:cs="Georgia" w:eastAsia="Georgia" w:hAnsi="Georgia"/>
          <w:b/>
          <w:bCs/>
          <w:sz w:val="22"/>
          <w:szCs w:val="22"/>
        </w:rPr>
        <w:t xml:space="preserve">Is this accessible to everyone the mission is trying to reach?  </w:t>
      </w:r>
      <w:r>
        <w:rPr>
          <w:rFonts w:ascii="Georgia" w:cs="Georgia" w:eastAsia="Georgia" w:hAnsi="Georgia"/>
          <w:sz w:val="22"/>
          <w:szCs w:val="22"/>
        </w:rPr>
        <w:t xml:space="preserve">The mission is to bring historical Christian formation worlds to everyone — not only to those with premium devices, paid subscriptions, fast internet, or technical sophistication. Every technical decision is a decision about who can and cannot access the encounter. When a technical choice reduces accessibility it requires explicit justification against the mission.</w:t>
      </w:r>
    </w:p>
    <w:p>
      <w:pPr>
        <w:spacing w:after="140"/>
      </w:pPr>
      <w:r>
        <w:rPr>
          <w:rFonts w:ascii="Georgia" w:cs="Georgia" w:eastAsia="Georgia" w:hAnsi="Georgia"/>
          <w:b/>
          <w:bCs/>
          <w:sz w:val="22"/>
          <w:szCs w:val="22"/>
        </w:rPr>
        <w:t xml:space="preserve">Is this trustworthy enough for the academic and the pastor?  </w:t>
      </w:r>
      <w:r>
        <w:rPr>
          <w:rFonts w:ascii="Georgia" w:cs="Georgia" w:eastAsia="Georgia" w:hAnsi="Georgia"/>
          <w:sz w:val="22"/>
          <w:szCs w:val="22"/>
        </w:rPr>
        <w:t xml:space="preserve">The pastor who recommends this to their congregation and the scholar who probes it hard both need to be able to trust the system technically as well as theologically. Trust requires reliability, consistency, transparency, and honesty about what the system can and cannot deliver. The technical assessment asks whether the implementation is producing these things or creating gaps between what the project promises and what it provides.</w:t>
      </w:r>
    </w:p>
    <w:p>
      <w:pPr>
        <w:spacing w:after="140"/>
      </w:pPr>
      <w:r>
        <w:rPr>
          <w:rFonts w:ascii="Georgia" w:cs="Georgia" w:eastAsia="Georgia" w:hAnsi="Georgia"/>
          <w:b/>
          <w:bCs/>
          <w:sz w:val="22"/>
          <w:szCs w:val="22"/>
        </w:rPr>
        <w:t xml:space="preserve">Is this sustainable for a sole builder?  </w:t>
      </w:r>
      <w:r>
        <w:rPr>
          <w:rFonts w:ascii="Georgia" w:cs="Georgia" w:eastAsia="Georgia" w:hAnsi="Georgia"/>
          <w:sz w:val="22"/>
          <w:szCs w:val="22"/>
        </w:rPr>
        <w:t xml:space="preserve">One person is building and maintaining this system through the prototype phase. Every feature added, every platform integrated, every dependency introduced is a maintenance obligation that falls on that one person. The technical assessment holds this question explicitly and names the true cost of every technical decision so it is made consciously rather than by accumulation.</w:t>
      </w:r>
    </w:p>
    <w:p>
      <w:pPr>
        <w:spacing w:after="140"/>
      </w:pPr>
      <w:r>
        <w:rPr>
          <w:rFonts w:ascii="Georgia" w:cs="Georgia" w:eastAsia="Georgia" w:hAnsi="Georgia"/>
          <w:b/>
          <w:bCs/>
          <w:sz w:val="22"/>
          <w:szCs w:val="22"/>
        </w:rPr>
        <w:t xml:space="preserve">Is this right-sized for the problem?  </w:t>
      </w:r>
      <w:r>
        <w:rPr>
          <w:rFonts w:ascii="Georgia" w:cs="Georgia" w:eastAsia="Georgia" w:hAnsi="Georgia"/>
          <w:sz w:val="22"/>
          <w:szCs w:val="22"/>
        </w:rPr>
        <w:t xml:space="preserve">The system can fail in two directions: too simple (fails to produce the authentic, robust formation encounter the mission requires) or too complex (fragile, slow, expensive, unmaintainable, inaccessible). Right-sizing is one of the hardest technical judgments. The assessment names clearly when the system is drifting toward either failure mode.</w:t>
      </w:r>
    </w:p>
    <w:p>
      <w:pPr>
        <w:spacing w:after="200"/>
      </w:pPr>
      <w:r>
        <w:rPr>
          <w:rFonts w:ascii="Georgia" w:cs="Georgia" w:eastAsia="Georgia" w:hAnsi="Georgia"/>
          <w:b/>
          <w:bCs/>
          <w:sz w:val="22"/>
          <w:szCs w:val="22"/>
        </w:rPr>
        <w:t xml:space="preserve">Is the complexity serving the mission or accumulating for its own sake?  </w:t>
      </w:r>
      <w:r>
        <w:rPr>
          <w:rFonts w:ascii="Georgia" w:cs="Georgia" w:eastAsia="Georgia" w:hAnsi="Georgia"/>
          <w:sz w:val="22"/>
          <w:szCs w:val="22"/>
        </w:rPr>
        <w:t xml:space="preserve">Technical systems accumulate complexity naturally. The assessment distinguishes complexity that is necessary — the permanent-context-plus-retrieval hybrid is complex because the mission requires synthesis-heavy formation conversation — from complexity that is incidental, a workaround that became a feature, a platform choice that locked in unnecessary constraints.</w:t>
      </w:r>
    </w:p>
    <w:p>
      <w:pPr>
        <w:pStyle w:val="Heading1"/>
      </w:pPr>
      <w:r>
        <w:t xml:space="preserve">2.  How the Technical Assessment Works</w:t>
      </w:r>
    </w:p>
    <w:p>
      <w:pPr>
        <w:spacing w:after="80"/>
      </w:pPr>
      <w:r>
        <w:rPr>
          <w:rFonts w:ascii="Arial" w:cs="Arial" w:eastAsia="Arial" w:hAnsi="Arial"/>
          <w:b/>
          <w:bCs/>
          <w:color w:val="2E75B6"/>
          <w:sz w:val="22"/>
          <w:szCs w:val="22"/>
        </w:rPr>
        <w:t xml:space="preserve">Opus Leads. Claude Code Executes.</w:t>
      </w:r>
    </w:p>
    <w:p>
      <w:pPr>
        <w:spacing w:after="160"/>
      </w:pPr>
      <w:r>
        <w:rPr>
          <w:rFonts w:ascii="Georgia" w:cs="Georgia" w:eastAsia="Georgia" w:hAnsi="Georgia"/>
          <w:sz w:val="22"/>
          <w:szCs w:val="22"/>
        </w:rPr>
        <w:t xml:space="preserve">The technical assessment runs on the same two-thread model as the formation build: one thread holds judgment, one thread executes the labor that judgment directs. Opus holds the technical judgment — architecture fitness, system design, the five mission questions, whether the implementation delivers what the formation methodology requires. Claude Code does the technical labor Opus cannot do from a conversation interface — reading actual files, checking token budget calculations against platform limits, reviewing chunk formatting, auditing retrieval configuration, executing code.</w:t>
      </w:r>
    </w:p>
    <w:p>
      <w:pPr>
        <w:spacing w:after="100"/>
      </w:pPr>
      <w:r>
        <w:rPr>
          <w:rFonts w:ascii="Georgia" w:cs="Georgia" w:eastAsia="Georgia" w:hAnsi="Georgia"/>
          <w:b/>
          <w:bCs/>
          <w:sz w:val="22"/>
          <w:szCs w:val="22"/>
        </w:rPr>
        <w:t xml:space="preserve">What Opus does in a technology review:</w:t>
      </w:r>
    </w:p>
    <w:p>
      <w:pPr>
        <w:spacing w:after="80"/>
      </w:pPr>
      <w:r>
        <w:rPr>
          <w:rFonts w:ascii="Georgia" w:cs="Georgia" w:eastAsia="Georgia" w:hAnsi="Georgia"/>
          <w:color w:val="444444"/>
          <w:sz w:val="22"/>
          <w:szCs w:val="22"/>
        </w:rPr>
        <w:t xml:space="preserve">Reads the formation methodology documents and the deployment architecture specifications together and asks whether they cohere. Assesses whether the platform choice serves the five mission questions. Reviews system design decisions for sustainability and right-sizing. Identifies where the architecture as designed will produce gaps in the live system. Directs Claude Code to check specific implementation details. Produces written findings with specific locations and consequences. Arrives cold at each assessment moment — without prior coaching thread context.</w:t>
      </w:r>
    </w:p>
    <w:p>
      <w:pPr>
        <w:spacing w:after="100"/>
      </w:pPr>
      <w:r>
        <w:rPr>
          <w:rFonts w:ascii="Georgia" w:cs="Georgia" w:eastAsia="Georgia" w:hAnsi="Georgia"/>
          <w:b/>
          <w:bCs/>
          <w:sz w:val="22"/>
          <w:szCs w:val="22"/>
        </w:rPr>
        <w:t xml:space="preserve">What Claude Code does when directed by Opus:</w:t>
      </w:r>
    </w:p>
    <w:p>
      <w:pPr>
        <w:spacing w:after="160"/>
      </w:pPr>
      <w:r>
        <w:rPr>
          <w:rFonts w:ascii="Georgia" w:cs="Georgia" w:eastAsia="Georgia" w:hAnsi="Georgia"/>
          <w:color w:val="444444"/>
          <w:sz w:val="22"/>
          <w:szCs w:val="22"/>
        </w:rPr>
        <w:t xml:space="preserve">Reads actual deployment files and checks them against the specification. Calculates token budgets against platform limits and identifies truncation risks. Reviews chunk file formatting for retrieval compatibility. Audits retrieval condition logic for specificity and reliability. Checks platform configuration against the architecture specification. Reviews conversation logs for drift, retrieval failures, and detection gaps. Executes code to verify behavior. Reports findings back to Opus for judgment, not directly to the project lead.</w:t>
      </w:r>
    </w:p>
    <w:p>
      <w:pPr>
        <w:spacing w:after="200"/>
      </w:pPr>
      <w:r>
        <w:rPr>
          <w:rFonts w:ascii="Georgia" w:cs="Georgia" w:eastAsia="Georgia" w:hAnsi="Georgia"/>
          <w:sz w:val="22"/>
          <w:szCs w:val="22"/>
        </w:rPr>
        <w:t xml:space="preserve">The project lead receives all technical findings from Opus — not from Claude Code directly. Claude Code is the implementation instrument. Opus is the assessor. This preserves the same chain of judgment that governs the formation build: the tool that does the work is not the tool that judges whether the work is good enough.</w:t>
      </w:r>
    </w:p>
    <w:p>
      <w:pPr>
        <w:pStyle w:val="Heading1"/>
      </w:pPr>
      <w:r>
        <w:t xml:space="preserve">3.  The Four Assessment Moments</w:t>
      </w:r>
    </w:p>
    <w:p>
      <w:pPr>
        <w:spacing w:after="80"/>
      </w:pPr>
      <w:r>
        <w:rPr>
          <w:rFonts w:ascii="Arial" w:cs="Arial" w:eastAsia="Arial" w:hAnsi="Arial"/>
          <w:b/>
          <w:bCs/>
          <w:color w:val="2E75B6"/>
          <w:sz w:val="22"/>
          <w:szCs w:val="22"/>
        </w:rPr>
        <w:t xml:space="preserve">When Technical Assessment Operates</w:t>
      </w:r>
    </w:p>
    <w:p>
      <w:pPr>
        <w:spacing w:after="80"/>
      </w:pPr>
      <w:r>
        <w:rPr>
          <w:rFonts w:ascii="Georgia" w:cs="Georgia" w:eastAsia="Georgia" w:hAnsi="Georgia"/>
          <w:b/>
          <w:bCs/>
          <w:color w:val="2E75B6"/>
          <w:sz w:val="22"/>
          <w:szCs w:val="22"/>
        </w:rPr>
        <w:t xml:space="preserve">Moment One — Platform Decision</w:t>
      </w:r>
    </w:p>
    <w:p>
      <w:pPr>
        <w:spacing w:after="40"/>
      </w:pPr>
      <w:r>
        <w:rPr>
          <w:rFonts w:ascii="Georgia" w:cs="Georgia" w:eastAsia="Georgia" w:hAnsi="Georgia"/>
          <w:i/>
          <w:iCs/>
          <w:sz w:val="22"/>
          <w:szCs w:val="22"/>
        </w:rPr>
        <w:t xml:space="preserve">Trigger: before committing to any deployment platform.</w:t>
      </w:r>
    </w:p>
    <w:p>
      <w:pPr>
        <w:spacing w:after="160"/>
      </w:pPr>
      <w:r>
        <w:rPr>
          <w:rFonts w:ascii="Georgia" w:cs="Georgia" w:eastAsia="Georgia" w:hAnsi="Georgia"/>
          <w:sz w:val="22"/>
          <w:szCs w:val="22"/>
        </w:rPr>
        <w:t xml:space="preserve">Opus reviews the platform options against the five mission questions and the specific technical requirements of the V7 architecture: permanent context support, retrieval capability, token budget management, accessibility, cost at scale, and maintenance burden for a sole builder. Claude Code checks the technical specifications of each candidate platform against the deployment package structure. Opus produces a written recommendation with reasoning — not just which platform but why, what the tradeoffs are, and what the sole-builder maintenance burden will be. This is the highest-stakes technical decision in the project because platform choices are expensive to reverse.</w:t>
      </w:r>
    </w:p>
    <w:p>
      <w:pPr>
        <w:spacing w:after="80"/>
      </w:pPr>
      <w:r>
        <w:rPr>
          <w:rFonts w:ascii="Georgia" w:cs="Georgia" w:eastAsia="Georgia" w:hAnsi="Georgia"/>
          <w:b/>
          <w:bCs/>
          <w:color w:val="2E75B6"/>
          <w:sz w:val="22"/>
          <w:szCs w:val="22"/>
        </w:rPr>
        <w:t xml:space="preserve">Moment Two — After Each World’s Deployment Package Is Complete</w:t>
      </w:r>
    </w:p>
    <w:p>
      <w:pPr>
        <w:spacing w:after="40"/>
      </w:pPr>
      <w:r>
        <w:rPr>
          <w:rFonts w:ascii="Georgia" w:cs="Georgia" w:eastAsia="Georgia" w:hAnsi="Georgia"/>
          <w:i/>
          <w:iCs/>
          <w:sz w:val="22"/>
          <w:szCs w:val="22"/>
        </w:rPr>
        <w:t xml:space="preserve">Trigger: before the world enters prototype testing.</w:t>
      </w:r>
    </w:p>
    <w:p>
      <w:pPr>
        <w:spacing w:after="160"/>
      </w:pPr>
      <w:r>
        <w:rPr>
          <w:rFonts w:ascii="Georgia" w:cs="Georgia" w:eastAsia="Georgia" w:hAnsi="Georgia"/>
          <w:sz w:val="22"/>
          <w:szCs w:val="22"/>
        </w:rPr>
        <w:t xml:space="preserve">Opus reviews whether the deployment package correctly implements what the formation methodology requires. Claude Code reads the actual deployment files: checks that the World Capsule Core and Permanent Prompt combined are within the platform’s permanent context ceiling, verifies chunk file formatting for retrieval compatibility, reviews retrieval condition logic for specificity, checks file naming conventions against the specification. Opus produces a technical readiness assessment: ready to test, or specific issues to resolve first with locations and consequences named precisely.</w:t>
      </w:r>
    </w:p>
    <w:p>
      <w:pPr>
        <w:spacing w:after="80"/>
      </w:pPr>
      <w:r>
        <w:rPr>
          <w:rFonts w:ascii="Georgia" w:cs="Georgia" w:eastAsia="Georgia" w:hAnsi="Georgia"/>
          <w:b/>
          <w:bCs/>
          <w:color w:val="2E75B6"/>
          <w:sz w:val="22"/>
          <w:szCs w:val="22"/>
        </w:rPr>
        <w:t xml:space="preserve">Moment Three — After Prototype Testing Produces Conversation Data</w:t>
      </w:r>
    </w:p>
    <w:p>
      <w:pPr>
        <w:spacing w:after="40"/>
      </w:pPr>
      <w:r>
        <w:rPr>
          <w:rFonts w:ascii="Georgia" w:cs="Georgia" w:eastAsia="Georgia" w:hAnsi="Georgia"/>
          <w:i/>
          <w:iCs/>
          <w:sz w:val="22"/>
          <w:szCs w:val="22"/>
        </w:rPr>
        <w:t xml:space="preserve">Trigger: after the testing cohort has engaged the prototype and conversation logs are available.</w:t>
      </w:r>
    </w:p>
    <w:p>
      <w:pPr>
        <w:spacing w:after="160"/>
      </w:pPr>
      <w:r>
        <w:rPr>
          <w:rFonts w:ascii="Georgia" w:cs="Georgia" w:eastAsia="Georgia" w:hAnsi="Georgia"/>
          <w:sz w:val="22"/>
          <w:szCs w:val="22"/>
        </w:rPr>
        <w:t xml:space="preserve">This is where design intent meets empirical reality. Claude Code reviews actual conversation logs for: Representative drift across long conversations, retrieval failures (chunks that should have been retrieved and were not), token truncation events, invisible register detection gaps, and response latency patterns. Opus assesses the findings against the formation methodology: is the system producing the encounter the formation documents describe, or are there systemic gaps between design and actual behavior? Produces specific findings — not general impressions — with locations and consequences named.</w:t>
      </w:r>
    </w:p>
    <w:p>
      <w:pPr>
        <w:spacing w:after="80"/>
      </w:pPr>
      <w:r>
        <w:rPr>
          <w:rFonts w:ascii="Georgia" w:cs="Georgia" w:eastAsia="Georgia" w:hAnsi="Georgia"/>
          <w:b/>
          <w:bCs/>
          <w:color w:val="2E75B6"/>
          <w:sz w:val="22"/>
          <w:szCs w:val="22"/>
        </w:rPr>
        <w:t xml:space="preserve">Moment Four — Before Any Scaling Decision</w:t>
      </w:r>
    </w:p>
    <w:p>
      <w:pPr>
        <w:spacing w:after="40"/>
      </w:pPr>
      <w:r>
        <w:rPr>
          <w:rFonts w:ascii="Georgia" w:cs="Georgia" w:eastAsia="Georgia" w:hAnsi="Georgia"/>
          <w:i/>
          <w:iCs/>
          <w:sz w:val="22"/>
          <w:szCs w:val="22"/>
        </w:rPr>
        <w:t xml:space="preserve">Trigger: before adding a new world, opening to a broader audience, or adding a new platform integration.</w:t>
      </w:r>
    </w:p>
    <w:p>
      <w:pPr>
        <w:spacing w:after="200"/>
      </w:pPr>
      <w:r>
        <w:rPr>
          <w:rFonts w:ascii="Georgia" w:cs="Georgia" w:eastAsia="Georgia" w:hAnsi="Georgia"/>
          <w:sz w:val="22"/>
          <w:szCs w:val="22"/>
        </w:rPr>
        <w:t xml:space="preserve">Opus holds the sustainability and right-sizing questions: are there implementation patterns that work for one world but will produce conflicts or performance degradation with five? Is complexity accumulating in ways that will eventually make the system unmaintainable by a sole builder? Claude Code reviews the current implementation for patterns that will not scale cleanly. Opus produces a scaling readiness assessment: proceed as designed, or specific architectural decisions to make before scaling begins.</w:t>
      </w:r>
    </w:p>
    <w:p>
      <w:pPr>
        <w:pStyle w:val="Heading1"/>
      </w:pPr>
      <w:r>
        <w:t xml:space="preserve">4.  When a Specialist Engineer Is Needed</w:t>
      </w:r>
    </w:p>
    <w:p>
      <w:pPr>
        <w:spacing w:after="80"/>
      </w:pPr>
      <w:r>
        <w:rPr>
          <w:rFonts w:ascii="Arial" w:cs="Arial" w:eastAsia="Arial" w:hAnsi="Arial"/>
          <w:b/>
          <w:bCs/>
          <w:color w:val="2E75B6"/>
          <w:sz w:val="22"/>
          <w:szCs w:val="22"/>
        </w:rPr>
        <w:t xml:space="preserve">Two Bounded Engagements at Specific Moments</w:t>
      </w:r>
    </w:p>
    <w:p>
      <w:pPr>
        <w:spacing w:after="160"/>
      </w:pPr>
      <w:r>
        <w:rPr>
          <w:rFonts w:ascii="Georgia" w:cs="Georgia" w:eastAsia="Georgia" w:hAnsi="Georgia"/>
          <w:sz w:val="22"/>
          <w:szCs w:val="22"/>
        </w:rPr>
        <w:t xml:space="preserve">Opus and Claude Code handle the ongoing technical assessment. Two moments in the project require a human engineer — not for ongoing advisory but for bounded professional engagements with specific deliverables.</w:t>
      </w:r>
    </w:p>
    <w:p>
      <w:pPr>
        <w:spacing w:after="100"/>
      </w:pPr>
      <w:r>
        <w:rPr>
          <w:rFonts w:ascii="Georgia" w:cs="Georgia" w:eastAsia="Georgia" w:hAnsi="Georgia"/>
          <w:b/>
          <w:bCs/>
          <w:color w:val="2E75B6"/>
          <w:sz w:val="22"/>
          <w:szCs w:val="22"/>
        </w:rPr>
        <w:t xml:space="preserve">Specialist Engagement One — Initial Deployment Setup</w:t>
      </w:r>
    </w:p>
    <w:p>
      <w:pPr>
        <w:spacing w:after="40"/>
      </w:pPr>
      <w:r>
        <w:rPr>
          <w:rFonts w:ascii="Georgia" w:cs="Georgia" w:eastAsia="Georgia" w:hAnsi="Georgia"/>
          <w:i/>
          <w:iCs/>
          <w:sz w:val="22"/>
          <w:szCs w:val="22"/>
        </w:rPr>
        <w:t xml:space="preserve">Timing: when the platform decision is made and the system is ready to move from documents to a running deployment.</w:t>
      </w:r>
    </w:p>
    <w:p>
      <w:pPr>
        <w:spacing w:after="40"/>
      </w:pPr>
      <w:r>
        <w:rPr>
          <w:rFonts w:ascii="Georgia" w:cs="Georgia" w:eastAsia="Georgia" w:hAnsi="Georgia"/>
          <w:sz w:val="22"/>
          <w:szCs w:val="22"/>
        </w:rPr>
        <w:t xml:space="preserve">Scope: configure the initial deployment correctly on the chosen platform, verify that the permanent context, retrieval, and session architecture is working as designed, and hand the project lead a running system they can maintain.</w:t>
      </w:r>
    </w:p>
    <w:p>
      <w:pPr>
        <w:spacing w:after="160"/>
      </w:pPr>
      <w:r>
        <w:rPr>
          <w:rFonts w:ascii="Georgia" w:cs="Georgia" w:eastAsia="Georgia" w:hAnsi="Georgia"/>
          <w:sz w:val="22"/>
          <w:szCs w:val="22"/>
        </w:rPr>
        <w:t xml:space="preserve">Deliverable: a working deployment the project lead can operate, extend, and maintain without ongoing engineering support. Documentation of the configuration decisions made and why.</w:t>
      </w:r>
    </w:p>
    <w:p>
      <w:pPr>
        <w:spacing w:after="100"/>
      </w:pPr>
      <w:r>
        <w:rPr>
          <w:rFonts w:ascii="Georgia" w:cs="Georgia" w:eastAsia="Georgia" w:hAnsi="Georgia"/>
          <w:b/>
          <w:bCs/>
          <w:color w:val="2E75B6"/>
          <w:sz w:val="22"/>
          <w:szCs w:val="22"/>
        </w:rPr>
        <w:t xml:space="preserve">Specialist Engagement Two — Pre-Public Availability Audit</w:t>
      </w:r>
    </w:p>
    <w:p>
      <w:pPr>
        <w:spacing w:after="40"/>
      </w:pPr>
      <w:r>
        <w:rPr>
          <w:rFonts w:ascii="Georgia" w:cs="Georgia" w:eastAsia="Georgia" w:hAnsi="Georgia"/>
          <w:i/>
          <w:iCs/>
          <w:sz w:val="22"/>
          <w:szCs w:val="22"/>
        </w:rPr>
        <w:t xml:space="preserve">Timing: before opening beyond the prototype cohort to a broader public audience.</w:t>
      </w:r>
    </w:p>
    <w:p>
      <w:pPr>
        <w:spacing w:after="40"/>
      </w:pPr>
      <w:r>
        <w:rPr>
          <w:rFonts w:ascii="Georgia" w:cs="Georgia" w:eastAsia="Georgia" w:hAnsi="Georgia"/>
          <w:sz w:val="22"/>
          <w:szCs w:val="22"/>
        </w:rPr>
        <w:t xml:space="preserve">Scope: independent security review, accessibility audit, and performance testing of the live system. The engineer arrives without prior involvement in the build — that coldness is the value.</w:t>
      </w:r>
    </w:p>
    <w:p>
      <w:pPr>
        <w:spacing w:after="200"/>
      </w:pPr>
      <w:r>
        <w:rPr>
          <w:rFonts w:ascii="Georgia" w:cs="Georgia" w:eastAsia="Georgia" w:hAnsi="Georgia"/>
          <w:sz w:val="22"/>
          <w:szCs w:val="22"/>
        </w:rPr>
        <w:t xml:space="preserve">Deliverable: a written audit report with specific findings, severity ratings, and remediation guidance. The project lead acts on the findings before public availability proceeds.</w:t>
      </w:r>
    </w:p>
    <w:p>
      <w:pPr>
        <w:pStyle w:val="Heading1"/>
      </w:pPr>
      <w:r>
        <w:t xml:space="preserve">5.  How to Open a Technology Review Thread</w:t>
      </w:r>
    </w:p>
    <w:p>
      <w:pPr>
        <w:spacing w:after="80"/>
      </w:pPr>
      <w:r>
        <w:rPr>
          <w:rFonts w:ascii="Arial" w:cs="Arial" w:eastAsia="Arial" w:hAnsi="Arial"/>
          <w:b/>
          <w:bCs/>
          <w:color w:val="2E75B6"/>
          <w:sz w:val="22"/>
          <w:szCs w:val="22"/>
        </w:rPr>
        <w:t xml:space="preserve">The Opening Brief for Opus Technology Review</w:t>
      </w:r>
    </w:p>
    <w:p>
      <w:pPr>
        <w:spacing w:after="160"/>
      </w:pPr>
      <w:r>
        <w:rPr>
          <w:rFonts w:ascii="Georgia" w:cs="Georgia" w:eastAsia="Georgia" w:hAnsi="Georgia"/>
          <w:sz w:val="22"/>
          <w:szCs w:val="22"/>
        </w:rPr>
        <w:t xml:space="preserve">Every Opus technology review thread opens with a brief that establishes three things: what the review is assessing, what documents and files are attached, and what specific questions the review must answer. The brief does not carry prior coaching thread context. Opus arrives cold.</w:t>
      </w:r>
    </w:p>
    <w:p>
      <w:pPr>
        <w:spacing w:after="100"/>
      </w:pPr>
      <w:r>
        <w:rPr>
          <w:rFonts w:ascii="Georgia" w:cs="Georgia" w:eastAsia="Georgia" w:hAnsi="Georgia"/>
          <w:b/>
          <w:bCs/>
          <w:sz w:val="22"/>
          <w:szCs w:val="22"/>
        </w:rPr>
        <w:t xml:space="preserve">Opening brief template:</w:t>
      </w:r>
    </w:p>
    <w:p>
      <w:pPr>
        <w:spacing w:after="60"/>
      </w:pPr>
      <w:r>
        <w:rPr>
          <w:rFonts w:ascii="Georgia" w:cs="Georgia" w:eastAsia="Georgia" w:hAnsi="Georgia"/>
          <w:i/>
          <w:iCs/>
          <w:color w:val="444444"/>
          <w:sz w:val="22"/>
          <w:szCs w:val="22"/>
        </w:rPr>
        <w:t xml:space="preserve">“You are conducting a technology review for Church in Conversation V7 — Assessment Moment [One / Two / Three / Four]. You are Opus in the technology lead role. You will direct Claude Code to perform specific implementation checks. All findings come back to you for judgment before returning to the project lead.</w:t>
      </w:r>
    </w:p>
    <w:p>
      <w:pPr>
        <w:spacing w:after="60"/>
      </w:pPr>
      <w:r>
        <w:rPr>
          <w:rFonts w:ascii="Georgia" w:cs="Georgia" w:eastAsia="Georgia" w:hAnsi="Georgia"/>
          <w:i/>
          <w:iCs/>
          <w:color w:val="444444"/>
          <w:sz w:val="22"/>
          <w:szCs w:val="22"/>
        </w:rPr>
        <w:t xml:space="preserve">The five questions your assessment must answer: Is this accessible to everyone the mission is trying to reach? Is this trustworthy enough for the academic and the pastor? Is this sustainable for a sole builder? Is this right-sized for the problem? Is the complexity serving the mission or accumulating for its own sake?</w:t>
      </w:r>
    </w:p>
    <w:p>
      <w:pPr>
        <w:spacing w:after="160"/>
      </w:pPr>
      <w:r>
        <w:rPr>
          <w:rFonts w:ascii="Georgia" w:cs="Georgia" w:eastAsia="Georgia" w:hAnsi="Georgia"/>
          <w:i/>
          <w:iCs/>
          <w:color w:val="444444"/>
          <w:sz w:val="22"/>
          <w:szCs w:val="22"/>
        </w:rPr>
        <w:t xml:space="preserve">Attached: [list of formation methodology documents and deployment files relevant to this assessment moment]. Specific questions for this assessment moment: [questions from Section 3 above for the relevant moment]. Direct Claude Code to check: [specific implementation items for this moment]. Return all findings with specific locations and consequences. Distinguish blocking findings from non-blocking findings.”</w:t>
      </w:r>
    </w:p>
    <w:p>
      <w:pPr>
        <w:spacing w:after="160"/>
      </w:pPr>
      <w:r>
        <w:rPr>
          <w:rFonts w:ascii="Georgia" w:cs="Georgia" w:eastAsia="Georgia" w:hAnsi="Georgia"/>
          <w:sz w:val="22"/>
          <w:szCs w:val="22"/>
        </w:rPr>
        <w:t xml:space="preserve">Claude Code is opened in a separate terminal session. Opus directs it with specific commands: read this file, check this calculation, run this configuration test, review these conversation logs for these specific patterns. Claude Code returns findings to Opus. Opus judges whether the findings are blocking or non-blocking, what they mean for the mission, and what the project lead should do. The project lead receives Opus’s assessment, not Claude Code’s raw output.</w:t>
      </w:r>
    </w:p>
    <w:p>
      <w:pPr>
        <w:pStyle w:val="Heading1"/>
      </w:pPr>
      <w:r>
        <w:t xml:space="preserve">6.  What a Useful Technical Assessment Looks Like</w:t>
      </w:r>
    </w:p>
    <w:p>
      <w:pPr>
        <w:spacing w:after="80"/>
      </w:pPr>
      <w:r>
        <w:rPr>
          <w:rFonts w:ascii="Arial" w:cs="Arial" w:eastAsia="Arial" w:hAnsi="Arial"/>
          <w:b/>
          <w:bCs/>
          <w:color w:val="2E75B6"/>
          <w:sz w:val="22"/>
          <w:szCs w:val="22"/>
        </w:rPr>
        <w:t xml:space="preserve">The Standard</w:t>
      </w:r>
    </w:p>
    <w:p>
      <w:pPr>
        <w:spacing w:after="160"/>
      </w:pPr>
      <w:r>
        <w:rPr>
          <w:rFonts w:ascii="Georgia" w:cs="Georgia" w:eastAsia="Georgia" w:hAnsi="Georgia"/>
          <w:sz w:val="22"/>
          <w:szCs w:val="22"/>
        </w:rPr>
        <w:t xml:space="preserve">A useful technical assessment changes what the project lead understands about the system. Not confirms what they already suspected — changes it. It surfaces something that was invisible without someone checking the actual implementation against the actual specification. It names a gap between design and delivery. It identifies a right-sizing problem before it becomes a production failure. It catches the token truncation that happens only in long conversations before a real participant experiences it.</w:t>
      </w:r>
    </w:p>
    <w:p>
      <w:pPr>
        <w:spacing w:after="160"/>
      </w:pPr>
      <w:r>
        <w:rPr>
          <w:rFonts w:ascii="Georgia" w:cs="Georgia" w:eastAsia="Georgia" w:hAnsi="Georgia"/>
          <w:sz w:val="22"/>
          <w:szCs w:val="22"/>
        </w:rPr>
        <w:t xml:space="preserve">Every finding includes three elements: the specific location (which file, which section, which configuration parameter), the nature of the problem (what is wrong and why), and the consequence if it is not addressed (what fails and how that failure affects the participant or the mission). A finding without all three elements has not been named well enough to act on.</w:t>
      </w:r>
    </w:p>
    <w:p>
      <w:pPr>
        <w:spacing w:after="160"/>
      </w:pPr>
      <w:r>
        <w:rPr>
          <w:rFonts w:ascii="Georgia" w:cs="Georgia" w:eastAsia="Georgia" w:hAnsi="Georgia"/>
          <w:sz w:val="22"/>
          <w:szCs w:val="22"/>
        </w:rPr>
        <w:t xml:space="preserve">A useful technical assessment is also honest when the system is working correctly. When the deployment package is correctly configured, the token budgets are within limits, the retrieval conditions are specific and reliable, and the Representative is holding formation across long conversations — the assessment says so, specifically. A clean technical review is as valuable as one with ten findings. The project lead needs to know whether the system is ready to advance, not just what is wrong with it.</w:t>
      </w:r>
    </w:p>
    <w:p>
      <w:pPr>
        <w:spacing w:after="200"/>
      </w:pPr>
      <w:r>
        <w:rPr>
          <w:rFonts w:ascii="Georgia" w:cs="Georgia" w:eastAsia="Georgia" w:hAnsi="Georgia"/>
          <w:sz w:val="22"/>
          <w:szCs w:val="22"/>
        </w:rPr>
        <w:t xml:space="preserve">The most important thing a technical assessment can produce is this: the project lead finishes reading it knowing exactly what to do next, why it matters, and what happens if it is not done before the system advances. If any of those three things is missing, the assessment has not yet served its purpose.</w:t>
      </w:r>
    </w:p>
    <w:p>
      <w:pPr>
        <w:pBdr>
          <w:top w:val="single" w:color="CCCCCC" w:sz="4" w:space="8"/>
          <w:bottom w:val="single" w:color="CCCCCC" w:sz="4" w:space="8"/>
        </w:pBdr>
        <w:spacing w:after="240" w:before="240"/>
        <w:jc w:val="center"/>
      </w:pPr>
      <w:r>
        <w:rPr>
          <w:rFonts w:ascii="Georgia" w:cs="Georgia" w:eastAsia="Georgia" w:hAnsi="Georgia"/>
          <w:b/>
          <w:bCs/>
          <w:i/>
          <w:iCs/>
          <w:color w:val="1F4E79"/>
          <w:sz w:val="24"/>
          <w:szCs w:val="24"/>
        </w:rPr>
        <w:t xml:space="preserve">Is the technology serving the mission — or has it become the mission?</w:t>
      </w:r>
    </w:p>
    <w:p>
      <w:pPr>
        <w:spacing w:after="60" w:before="200"/>
      </w:pPr>
      <w:r>
        <w:rPr>
          <w:rFonts w:ascii="Georgia" w:cs="Georgia" w:eastAsia="Georgia" w:hAnsi="Georgia"/>
          <w:i/>
          <w:iCs/>
          <w:color w:val="666666"/>
          <w:sz w:val="18"/>
          <w:szCs w:val="18"/>
        </w:rPr>
        <w:t xml:space="preserve">This brief was produced at the completion of the V7 governance and build document construction cycle, before the platform decision and initial deployment. It encodes how technical assessment works in a sole-builder project where Opus holds technical judgment, Claude Code executes implementation review, and a specialist engineer is engaged at two specific bounded moments.</w:t>
      </w:r>
    </w:p>
    <w:p>
      <w:pPr>
        <w:pBdr>
          <w:top w:val="single" w:color="CCCCCC" w:sz="4" w:space="6"/>
        </w:pBdr>
        <w:spacing w:before="120"/>
      </w:pPr>
      <w:r>
        <w:rPr>
          <w:rFonts w:ascii="Arial" w:cs="Arial" w:eastAsia="Arial" w:hAnsi="Arial"/>
          <w:color w:val="999999"/>
          <w:sz w:val="16"/>
          <w:szCs w:val="16"/>
        </w:rPr>
        <w:t xml:space="preserve">Church in Conversation V7  ·  Technology Engagement Brief v1.0  ·  </w:t>
      </w:r>
      <w:r>
        <w:rPr>
          <w:rFonts w:ascii="Arial" w:cs="Arial" w:eastAsia="Arial" w:hAnsi="Arial"/>
          <w:i/>
          <w:iCs/>
          <w:color w:val="999999"/>
          <w:sz w:val="16"/>
          <w:szCs w:val="16"/>
        </w:rPr>
        <w:t xml:space="preserve">Accessible. Trustworthy. Sustainable. Right-sized.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2026-06-22T15:13:21.241Z</dcterms:created>
  <dcterms:modified xsi:type="dcterms:W3CDTF">2026-06-22T15:13:21.252Z</dcterms:modified>
</cp:coreProperties>
</file>

<file path=docProps/custom.xml><?xml version="1.0" encoding="utf-8"?>
<Properties xmlns="http://schemas.openxmlformats.org/officeDocument/2006/custom-properties" xmlns:vt="http://schemas.openxmlformats.org/officeDocument/2006/docPropsVTypes"/>
</file>