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pacing w:val="80"/>
          <w:sz w:val="30"/>
          <w:szCs w:val="30"/>
        </w:rPr>
        <w:t xml:space="preserve">CHURCH IN CONVERSATION</w:t>
      </w:r>
    </w:p>
    <w:p>
      <w:pPr>
        <w:spacing w:after="60"/>
        <w:jc w:val="center"/>
      </w:pPr>
      <w:r>
        <w:rPr>
          <w:rFonts w:ascii="Arial" w:cs="Arial" w:eastAsia="Arial" w:hAnsi="Arial"/>
          <w:b/>
          <w:bCs/>
          <w:color w:val="2E75B6"/>
          <w:sz w:val="24"/>
          <w:szCs w:val="24"/>
        </w:rPr>
        <w:t xml:space="preserve">Project Learning Notes</w:t>
      </w:r>
    </w:p>
    <w:p>
      <w:pPr>
        <w:pBdr>
          <w:bottom w:val="single" w:color="2E75B6" w:sz="8" w:space="6"/>
        </w:pBdr>
        <w:spacing w:after="40"/>
        <w:jc w:val="center"/>
      </w:pPr>
      <w:r>
        <w:rPr>
          <w:rFonts w:ascii="Arial" w:cs="Arial" w:eastAsia="Arial" w:hAnsi="Arial"/>
          <w:i/>
          <w:iCs/>
          <w:color w:val="595959"/>
          <w:sz w:val="18"/>
          <w:szCs w:val="18"/>
        </w:rPr>
        <w:t xml:space="preserve">Captured from V7 Build Session and Reviews  ·  June 2026</w:t>
      </w:r>
    </w:p>
    <w:p>
      <w:pPr>
        <w:spacing w:after="240"/>
      </w:pPr>
      <w:r>
        <w:t xml:space="preserve"/>
      </w:r>
    </w:p>
    <w:p>
      <w:pPr>
        <w:spacing w:after="200"/>
      </w:pPr>
      <w:r>
        <w:rPr>
          <w:rFonts w:ascii="Georgia" w:cs="Georgia" w:eastAsia="Georgia" w:hAnsi="Georgia"/>
          <w:i/>
          <w:iCs/>
          <w:color w:val="595959"/>
          <w:sz w:val="20"/>
          <w:szCs w:val="20"/>
        </w:rPr>
        <w:t xml:space="preserve">These notes capture key insights, judgments, and open items from the V7 governance and encounter architecture build cycle completed in June 2026. They are written for the project lead — to inform future build decisions, onboard future collaborators, and hold the project's hard-won understanding across sessions. They are not governance documents and do not carry constitutional authority. They are the project thinking about itself.</w:t>
      </w:r>
    </w:p>
    <w:p>
      <w:pPr>
        <w:pStyle w:val="Heading1"/>
      </w:pPr>
      <w:r>
        <w:t xml:space="preserve">What the Project Is</w:t>
      </w:r>
    </w:p>
    <w:p>
      <w:pPr>
        <w:pStyle w:val="Heading2"/>
      </w:pPr>
      <w:r>
        <w:t xml:space="preserve">The Internal Description</w:t>
      </w:r>
    </w:p>
    <w:p>
      <w:pPr>
        <w:spacing w:after="140"/>
      </w:pPr>
      <w:r>
        <w:rPr>
          <w:rFonts w:ascii="Georgia" w:cs="Georgia" w:eastAsia="Georgia" w:hAnsi="Georgia"/>
          <w:sz w:val="22"/>
          <w:szCs w:val="22"/>
        </w:rPr>
        <w:t xml:space="preserve">The system's actual product is </w:t>
      </w:r>
      <w:r>
        <w:rPr>
          <w:rFonts w:ascii="Georgia" w:cs="Georgia" w:eastAsia="Georgia" w:hAnsi="Georgia"/>
          <w:b/>
          <w:bCs/>
          <w:sz w:val="22"/>
          <w:szCs w:val="22"/>
        </w:rPr>
        <w:t xml:space="preserve">theological resistance</w:t>
      </w:r>
      <w:r>
        <w:rPr>
          <w:rFonts w:ascii="Georgia" w:cs="Georgia" w:eastAsia="Georgia" w:hAnsi="Georgia"/>
          <w:sz w:val="22"/>
          <w:szCs w:val="22"/>
        </w:rPr>
        <w:t xml:space="preserve"> — a formation that pushes back from a direction the participant cannot generate. Everything else is infrastructure for delivering one voice that won't move when you lean on it.</w:t>
      </w:r>
    </w:p>
    <w:p>
      <w:pPr>
        <w:spacing w:after="140"/>
      </w:pPr>
      <w:r>
        <w:rPr>
          <w:rFonts w:ascii="Georgia" w:cs="Georgia" w:eastAsia="Georgia" w:hAnsi="Georgia"/>
          <w:sz w:val="22"/>
          <w:szCs w:val="22"/>
        </w:rPr>
        <w:t xml:space="preserve">This description arrived not from reading the governance documents but from writing the scenarios — from making Theon actually speak. The moment Theon refused to let a pastor translate "the Word was toward the Father" into "Jesus has always loved us" — calling out the modern move to relocate the relationship from inside God to between God and the self — the system's value concentrated itself in that moment. Theological resistance is the right name for what is being built.</w:t>
      </w:r>
    </w:p>
    <w:p>
      <w:pPr>
        <w:pStyle w:val="Heading2"/>
      </w:pPr>
      <w:r>
        <w:t xml:space="preserve">The Honest Promise</w:t>
      </w:r>
    </w:p>
    <w:p>
      <w:pPr>
        <w:spacing w:after="140"/>
      </w:pPr>
      <w:r>
        <w:rPr>
          <w:rFonts w:ascii="Georgia" w:cs="Georgia" w:eastAsia="Georgia" w:hAnsi="Georgia"/>
          <w:i/>
          <w:iCs/>
          <w:sz w:val="22"/>
          <w:szCs w:val="22"/>
        </w:rPr>
        <w:t xml:space="preserve">The promise stated honestly: </w:t>
      </w:r>
      <w:r>
        <w:rPr>
          <w:rFonts w:ascii="Georgia" w:cs="Georgia" w:eastAsia="Georgia" w:hAnsi="Georgia"/>
          <w:sz w:val="22"/>
          <w:szCs w:val="22"/>
        </w:rPr>
        <w:t xml:space="preserve">You will meet a faithful reconstruction of how Christians in this world knew Jesus, and it may open something real in you, and the One it points toward is real even though the pointer is made.</w:t>
      </w:r>
    </w:p>
    <w:p>
      <w:pPr>
        <w:spacing w:after="140"/>
      </w:pPr>
      <w:r>
        <w:rPr>
          <w:rFonts w:ascii="Georgia" w:cs="Georgia" w:eastAsia="Georgia" w:hAnsi="Georgia"/>
          <w:sz w:val="22"/>
          <w:szCs w:val="22"/>
        </w:rPr>
        <w:t xml:space="preserve">The promise stated dishonestly: any version that lets the felt intimacy of a Representative talking back stand in for a living witness. A reconstructed formation can produce the shape of testimony. But a witness testifies to something it has met, and there is no one here who has met Christ. The deployment discipline that holds the honest promise is refusing to let warmth quietly upgrade the claim from reconstruction to witness.</w:t>
      </w:r>
    </w:p>
    <w:p>
      <w:pPr>
        <w:pStyle w:val="Heading2"/>
      </w:pPr>
      <w:r>
        <w:t xml:space="preserve">A Doorway, Not a Home</w:t>
      </w:r>
    </w:p>
    <w:p>
      <w:pPr>
        <w:spacing w:after="140"/>
      </w:pPr>
      <w:r>
        <w:rPr>
          <w:rFonts w:ascii="Georgia" w:cs="Georgia" w:eastAsia="Georgia" w:hAnsi="Georgia"/>
          <w:sz w:val="22"/>
          <w:szCs w:val="22"/>
        </w:rPr>
        <w:t xml:space="preserve">The system can give the tradition's mind and something of its heart. It cannot baptize, absolve, feed, or stay. It cannot notice you stopped coming. If it becomes where someone goes instead of a congregation rather than toward one, it will have betrayed its own best insight. This should be encoded as a positive design commitment before public launch — not a limitation to apologize for, but an honest account of what this is for.</w:t>
      </w:r>
    </w:p>
    <w:p>
      <w:pPr>
        <w:pStyle w:val="Heading1"/>
      </w:pPr>
      <w:r>
        <w:t xml:space="preserve">The Population It Serves</w:t>
      </w:r>
    </w:p>
    <w:p>
      <w:pPr>
        <w:spacing w:after="140"/>
      </w:pPr>
      <w:r>
        <w:rPr>
          <w:rFonts w:ascii="Georgia" w:cs="Georgia" w:eastAsia="Georgia" w:hAnsi="Georgia"/>
          <w:sz w:val="22"/>
          <w:szCs w:val="22"/>
        </w:rPr>
        <w:t xml:space="preserve">The specific population this serves that nothing else currently serves: people carrying the wound of having been raised in a Christianity that could only survive by foreclosing its own questions. Nothing in the church's current repertoire reaches them, because every obvious move — apologetics, a gentler version of the same certainty, invitations to return — re-enacts the foreclosure.</w:t>
      </w:r>
    </w:p>
    <w:p>
      <w:pPr>
        <w:spacing w:after="140"/>
      </w:pPr>
      <w:r>
        <w:rPr>
          <w:rFonts w:ascii="Georgia" w:cs="Georgia" w:eastAsia="Georgia" w:hAnsi="Georgia"/>
          <w:sz w:val="22"/>
          <w:szCs w:val="22"/>
        </w:rPr>
        <w:t xml:space="preserve">This system can show them — by witnessed demonstration, not argument — that Christianity was a five-hundred-year argument among people who loved each other, that precision and image and silence were all faithful, that the foreclosure was the deviation and not the tradition. A book describes the diversity. This lets you witness it. That is the missional core.</w:t>
      </w:r>
    </w:p>
    <w:p>
      <w:pPr>
        <w:spacing w:after="140"/>
      </w:pPr>
      <w:r>
        <w:rPr>
          <w:rFonts w:ascii="Georgia" w:cs="Georgia" w:eastAsia="Georgia" w:hAnsi="Georgia"/>
          <w:sz w:val="22"/>
          <w:szCs w:val="22"/>
        </w:rPr>
        <w:t xml:space="preserve">Its deepest structural limit: it reaches the person who can sit alone with a screen and a hard question and be moved by a voice — a literate, reflective, interiority-comfortable population. It does not reach the person whose formation has to happen in a body, in a room, at a table with bread on it, in company of people who will still be there next week. The unmet need it leaves even when it works perfectly is belonging.</w:t>
      </w:r>
    </w:p>
    <w:p>
      <w:pPr>
        <w:pStyle w:val="Heading1"/>
      </w:pPr>
      <w:r>
        <w:t xml:space="preserve">Where It Stands in the Landscape</w:t>
      </w:r>
    </w:p>
    <w:p>
      <w:pPr>
        <w:spacing w:after="80"/>
      </w:pPr>
      <w:r>
        <w:rPr>
          <w:rFonts w:ascii="Georgia" w:cs="Georgia" w:eastAsia="Georgia" w:hAnsi="Georgia"/>
          <w:sz w:val="22"/>
          <w:szCs w:val="22"/>
        </w:rPr>
        <w:t xml:space="preserve">Two buckets describe most of the ministry AI field:</w:t>
      </w:r>
    </w:p>
    <w:p>
      <w:pPr>
        <w:spacing w:after="120"/>
      </w:pPr>
      <w:r>
        <w:rPr>
          <w:rFonts w:ascii="Georgia" w:cs="Georgia" w:eastAsia="Georgia" w:hAnsi="Georgia"/>
          <w:b/>
          <w:bCs/>
          <w:sz w:val="22"/>
          <w:szCs w:val="22"/>
        </w:rPr>
        <w:t xml:space="preserve">Retrieval-and-answer tools: </w:t>
      </w:r>
      <w:r>
        <w:rPr>
          <w:rFonts w:ascii="Georgia" w:cs="Georgia" w:eastAsia="Georgia" w:hAnsi="Georgia"/>
          <w:sz w:val="22"/>
          <w:szCs w:val="22"/>
        </w:rPr>
        <w:t xml:space="preserve">chatbots trained on theological corpora, AI Bible study assistants. Information systems wearing a conversational interface. A smoothed everywhere-and-nowhere voice that is nobody's.</w:t>
      </w:r>
    </w:p>
    <w:p>
      <w:pPr>
        <w:spacing w:after="140"/>
      </w:pPr>
      <w:r>
        <w:rPr>
          <w:rFonts w:ascii="Georgia" w:cs="Georgia" w:eastAsia="Georgia" w:hAnsi="Georgia"/>
          <w:b/>
          <w:bCs/>
          <w:sz w:val="22"/>
          <w:szCs w:val="22"/>
        </w:rPr>
        <w:t xml:space="preserve">AI-pastor tools: </w:t>
      </w:r>
      <w:r>
        <w:rPr>
          <w:rFonts w:ascii="Georgia" w:cs="Georgia" w:eastAsia="Georgia" w:hAnsi="Georgia"/>
          <w:sz w:val="22"/>
          <w:szCs w:val="22"/>
        </w:rPr>
        <w:t xml:space="preserve">spiritual companions, prayer bots, formation assistants. Warm, available, affirming. Optimizing — whether they admit it or not — for the user to feel better and come back.</w:t>
      </w:r>
    </w:p>
    <w:p>
      <w:pPr>
        <w:spacing w:after="140"/>
      </w:pPr>
      <w:r>
        <w:rPr>
          <w:rFonts w:ascii="Georgia" w:cs="Georgia" w:eastAsia="Georgia" w:hAnsi="Georgia"/>
          <w:sz w:val="22"/>
          <w:szCs w:val="22"/>
        </w:rPr>
        <w:t xml:space="preserve">Church in Conversation is categorically different from both. Different from retrieval tools because it refuses the neutral synthetic voice and builds particular voices that will not step outside their formation and show their seams instead of hiding them. Different from AI-pastor tools because it is built at the constitutional level not to optimize for comfort or return.</w:t>
      </w:r>
    </w:p>
    <w:p>
      <w:pPr>
        <w:spacing w:after="140"/>
      </w:pPr>
      <w:r>
        <w:rPr>
          <w:rFonts w:ascii="Georgia" w:cs="Georgia" w:eastAsia="Georgia" w:hAnsi="Georgia"/>
          <w:i/>
          <w:iCs/>
          <w:sz w:val="22"/>
          <w:szCs w:val="22"/>
        </w:rPr>
        <w:t xml:space="preserve">A thoughtful pastor or seminary professor who has seen everything else in this space would recognize that whoever built this understands the difference between formation and manipulation — which almost no one in this space does. Not trusted yet. Right not to be trusted yet. But serious in a field that mostly is not.</w:t>
      </w:r>
    </w:p>
    <w:p>
      <w:pPr>
        <w:pStyle w:val="Heading1"/>
      </w:pPr>
      <w:r>
        <w:t xml:space="preserve">The Build Quality Test</w:t>
      </w:r>
    </w:p>
    <w:p>
      <w:pPr>
        <w:spacing w:after="140"/>
      </w:pPr>
      <w:r>
        <w:rPr>
          <w:rFonts w:ascii="Georgia" w:cs="Georgia" w:eastAsia="Georgia" w:hAnsi="Georgia"/>
          <w:sz w:val="22"/>
          <w:szCs w:val="22"/>
        </w:rPr>
        <w:t xml:space="preserve">The Desert father's line to Maren in Scenario Two of the participant experience review:</w:t>
      </w:r>
    </w:p>
    <w:p>
      <w:pPr>
        <w:pBdr>
          <w:left w:val="single" w:color="2E75B6" w:sz="6" w:space="12"/>
        </w:pBdr>
        <w:spacing w:after="140"/>
      </w:pPr>
      <w:r>
        <w:rPr>
          <w:rFonts w:ascii="Georgia" w:cs="Georgia" w:eastAsia="Georgia" w:hAnsi="Georgia"/>
          <w:i/>
          <w:iCs/>
          <w:color w:val="1F4E79"/>
          <w:sz w:val="22"/>
          <w:szCs w:val="22"/>
        </w:rPr>
        <w:t xml:space="preserve">"Back to what? You are not a sheep that wandered off a path. You are a soul in front of God, where you have always been. There is nowhere to get you back to. There is only further in."</w:t>
      </w:r>
    </w:p>
    <w:p>
      <w:pPr>
        <w:spacing w:after="140"/>
      </w:pPr>
      <w:r>
        <w:rPr>
          <w:rFonts w:ascii="Georgia" w:cs="Georgia" w:eastAsia="Georgia" w:hAnsi="Georgia"/>
          <w:sz w:val="22"/>
          <w:szCs w:val="22"/>
        </w:rPr>
        <w:t xml:space="preserve">This line was not planned. It arrived because the formation logic demanded it — because the Desert father's formation, built from the Apophthegmata Patrum and the anchoritic tradition, has no framework for "getting someone back" to anything. There is only further in. If a built Representative cannot produce this quality of response — specific, directional, offering something the participant's own tradition could not have offered — the build has not succeeded. Compliance with the templates is not the test. This quality of voice is the test.</w:t>
      </w:r>
    </w:p>
    <w:p>
      <w:pPr>
        <w:pStyle w:val="Heading1"/>
      </w:pPr>
      <w:r>
        <w:t xml:space="preserve">Key Findings from the Participant Experience Review</w:t>
      </w:r>
    </w:p>
    <w:p>
      <w:pPr>
        <w:pStyle w:val="Heading2"/>
      </w:pPr>
      <w:r>
        <w:t xml:space="preserve">Scenario One — Pastor, Alexandria, Single World</w:t>
      </w:r>
    </w:p>
    <w:p>
      <w:pPr>
        <w:spacing w:after="140"/>
      </w:pPr>
      <w:r>
        <w:rPr>
          <w:rFonts w:ascii="Georgia" w:cs="Georgia" w:eastAsia="Georgia" w:hAnsi="Georgia"/>
          <w:sz w:val="22"/>
          <w:szCs w:val="22"/>
        </w:rPr>
        <w:t xml:space="preserve">Every strength of the encounter was a strength of the writing of Theon, not a guarantee of the architecture. If the actual built Theon is inhabited-but-shallow — passing the no-analytical-markers check while lacking the uphill formation logic — the encounter collapses into a warm patristics tutorial, and the pastor would not notice the difference until he was in the pulpit with nothing underneath him.</w:t>
      </w:r>
    </w:p>
    <w:p>
      <w:pPr>
        <w:pStyle w:val="Heading2"/>
      </w:pPr>
      <w:r>
        <w:t xml:space="preserve">Scenario Two — Deconstructing Christian, Three Worlds</w:t>
      </w:r>
    </w:p>
    <w:p>
      <w:pPr>
        <w:spacing w:after="140"/>
      </w:pPr>
      <w:r>
        <w:rPr>
          <w:rFonts w:ascii="Georgia" w:cs="Georgia" w:eastAsia="Georgia" w:hAnsi="Georgia"/>
          <w:sz w:val="22"/>
          <w:szCs w:val="22"/>
        </w:rPr>
        <w:t xml:space="preserve">The most consequential act in the system is the Facilitator's diagnostic leap from stated need to wound-shape. The entire quality of the encounter rests on reading the wound as "foreclosed difference" not "intellectual doubt." A reasonable misread — calling Alexandria and Latin for an intellectual deconstructor — would have handed her a more sophisticated version of the rigor-and-certainty machine she was fleeing, and it would have felt like a good encounter while quietly failing her.</w:t>
      </w:r>
    </w:p>
    <w:p>
      <w:pPr>
        <w:spacing w:after="140"/>
      </w:pPr>
      <w:r>
        <w:rPr>
          <w:rFonts w:ascii="Georgia" w:cs="Georgia" w:eastAsia="Georgia" w:hAnsi="Georgia"/>
          <w:sz w:val="22"/>
          <w:szCs w:val="22"/>
        </w:rPr>
        <w:t xml:space="preserve">Mode-dominance finding: a table can harm through its dominant register even when no single voice is failing and every drift signal is quiet. The Cappadocian voice staying within airtime limits but pulling the table toward certainty-mode would have re-wounded Maren through its MODE while its content was healing. This finding produced the fifth multi-world drift signal, now in Facilitator-Governance v3.2.</w:t>
      </w:r>
    </w:p>
    <w:p>
      <w:pPr>
        <w:pStyle w:val="Heading2"/>
      </w:pPr>
      <w:r>
        <w:t xml:space="preserve">Scenario Three — Academic, Five Worlds</w:t>
      </w:r>
    </w:p>
    <w:p>
      <w:pPr>
        <w:spacing w:after="140"/>
      </w:pPr>
      <w:r>
        <w:rPr>
          <w:rFonts w:ascii="Georgia" w:cs="Georgia" w:eastAsia="Georgia" w:hAnsi="Georgia"/>
          <w:sz w:val="22"/>
          <w:szCs w:val="22"/>
        </w:rPr>
        <w:t xml:space="preserve">At five worlds, invisible governance partially breaks — the Facilitator must surface visibly for coherence management. This is acceptable and unavoidable at the maximum table. Best-fit dominance (the world most suited to the question is structurally advantaged) is the hardest governance problem at the five-world ceiling because it looks like good curation, not drift.</w:t>
      </w:r>
    </w:p>
    <w:p>
      <w:pPr>
        <w:spacing w:after="140"/>
      </w:pPr>
      <w:r>
        <w:rPr>
          <w:rFonts w:ascii="Georgia" w:cs="Georgia" w:eastAsia="Georgia" w:hAnsi="Georgia"/>
          <w:sz w:val="22"/>
          <w:szCs w:val="22"/>
        </w:rPr>
        <w:t xml:space="preserve">The apparatus moment — the Ambrose/Theodosius claim — showed Mode Two working correctly: distinguishing Widely Accepted substance (the rupture, the withholding of communion) from Contested elaboration (the theatrical penance scene), with the Representative using the distinction rather than hiding behind it. This is the model for how the transparency apparatus should work.</w:t>
      </w:r>
    </w:p>
    <w:p>
      <w:pPr>
        <w:pStyle w:val="Heading1"/>
      </w:pPr>
      <w:r>
        <w:t xml:space="preserve">The Two Named Gaps from the Review</w:t>
      </w:r>
    </w:p>
    <w:p>
      <w:pPr>
        <w:pStyle w:val="Heading2"/>
      </w:pPr>
      <w:r>
        <w:t xml:space="preserve">Mode-Dominance Drift (now in FG v3.2)</w:t>
      </w:r>
    </w:p>
    <w:p>
      <w:pPr>
        <w:spacing w:after="140"/>
      </w:pPr>
      <w:r>
        <w:rPr>
          <w:rFonts w:ascii="Georgia" w:cs="Georgia" w:eastAsia="Georgia" w:hAnsi="Georgia"/>
          <w:sz w:val="22"/>
          <w:szCs w:val="22"/>
        </w:rPr>
        <w:t xml:space="preserve">A table can harm through its dominant register even when no single voice is failing. The four prior drift signals all track the voice — what a Representative says, how much space it takes, how its vocabulary shifts. Mode-dominance is different: it tracks the table's collective register and whether that register is re-injuring the participant regardless of content. Added to Facilitator-Governance v3.2 as the fifth multi-world drift signal.</w:t>
      </w:r>
    </w:p>
    <w:p>
      <w:pPr>
        <w:pStyle w:val="Heading2"/>
      </w:pPr>
      <w:r>
        <w:t xml:space="preserve">The Facilitator Calibration Library (named gap, not yet built)</w:t>
      </w:r>
    </w:p>
    <w:p>
      <w:pPr>
        <w:spacing w:after="140"/>
      </w:pPr>
      <w:r>
        <w:rPr>
          <w:rFonts w:ascii="Georgia" w:cs="Georgia" w:eastAsia="Georgia" w:hAnsi="Georgia"/>
          <w:sz w:val="22"/>
          <w:szCs w:val="22"/>
        </w:rPr>
        <w:t xml:space="preserve">The equal and opposite gap to the fierce-without-recruiting calibration library. The fierce-without-recruiting library is the named gap for the Representative at its most dangerous moment. The Facilitator Calibration Library is the named gap for the Facilitator at its most consequential act — the diagnostic leap from what the participant says to what the participant needs, and from a set of available worlds to the right configuration.</w:t>
      </w:r>
    </w:p>
    <w:p>
      <w:pPr>
        <w:spacing w:after="140"/>
      </w:pPr>
      <w:r>
        <w:rPr>
          <w:rFonts w:ascii="Georgia" w:cs="Georgia" w:eastAsia="Georgia" w:hAnsi="Georgia"/>
          <w:sz w:val="22"/>
          <w:szCs w:val="22"/>
        </w:rPr>
        <w:t xml:space="preserve">The three scenarios from the participant experience review (June 2026) are the founding content of this library. They should be preserved as worked examples of curatorial and diagnostic reasoning — not filed as review documents. The library is a Phase 2 deliverable, required before Phase 1 public launch.</w:t>
      </w:r>
    </w:p>
    <w:p>
      <w:pPr>
        <w:pStyle w:val="Heading1"/>
      </w:pPr>
      <w:r>
        <w:t xml:space="preserve">What the Prototype Is Actually For</w:t>
      </w:r>
    </w:p>
    <w:p>
      <w:pPr>
        <w:pBdr>
          <w:left w:val="single" w:color="2E75B6" w:sz="6" w:space="12"/>
        </w:pBdr>
        <w:spacing w:after="140"/>
      </w:pPr>
      <w:r>
        <w:rPr>
          <w:rFonts w:ascii="Georgia" w:cs="Georgia" w:eastAsia="Georgia" w:hAnsi="Georgia"/>
          <w:i/>
          <w:iCs/>
          <w:color w:val="1F4E79"/>
          <w:sz w:val="22"/>
          <w:szCs w:val="22"/>
        </w:rPr>
        <w:t xml:space="preserve">"The uncertainty I am left with is not whether it could matter but whether it can stay honest at scale, under the pressure to be moving, once the people on the other side are real and the temptation to optimize for their tears is sitting right there. The design knows that is the danger. Whether the project can hold the line is the thing I cannot assess from documents. It is the thing the prototype is actually for."</w:t>
      </w:r>
    </w:p>
    <w:p>
      <w:pPr>
        <w:spacing w:after="80"/>
      </w:pPr>
      <w:r>
        <w:rPr>
          <w:rFonts w:ascii="Georgia" w:cs="Georgia" w:eastAsia="Georgia" w:hAnsi="Georgia"/>
          <w:i/>
          <w:iCs/>
          <w:color w:val="595959"/>
          <w:sz w:val="19"/>
          <w:szCs w:val="19"/>
        </w:rPr>
        <w:t xml:space="preserve">— Opus, participant experience review, June 2026</w:t>
      </w:r>
    </w:p>
    <w:p>
      <w:pPr>
        <w:spacing w:after="240"/>
      </w:pPr>
      <w:r>
        <w:t xml:space="preserve"/>
      </w:r>
    </w:p>
    <w:p>
      <w:pPr>
        <w:pStyle w:val="Heading1"/>
      </w:pPr>
      <w:r>
        <w:t xml:space="preserve">Open Items</w:t>
      </w:r>
    </w:p>
    <w:p>
      <w:pPr>
        <w:pStyle w:val="Heading2"/>
      </w:pPr>
      <w:r>
        <w:t xml:space="preserve">Small Document Actions (can batch)</w:t>
      </w:r>
    </w:p>
    <w:p>
      <w:pPr>
        <w:spacing w:after="100"/>
      </w:pPr>
      <w:r>
        <w:rPr>
          <w:rFonts w:ascii="Georgia" w:cs="Georgia" w:eastAsia="Georgia" w:hAnsi="Georgia"/>
          <w:sz w:val="22"/>
          <w:szCs w:val="22"/>
        </w:rPr>
        <w:t xml:space="preserve">1. Table Design Document v2.1 → v2.2: fix "one to four" to "one to five" throughout.</w:t>
      </w:r>
    </w:p>
    <w:p>
      <w:pPr>
        <w:spacing w:after="100"/>
      </w:pPr>
      <w:r>
        <w:rPr>
          <w:rFonts w:ascii="Georgia" w:cs="Georgia" w:eastAsia="Georgia" w:hAnsi="Georgia"/>
          <w:sz w:val="22"/>
          <w:szCs w:val="22"/>
        </w:rPr>
        <w:t xml:space="preserve">2. Blueprint v7: add World Facilitation Brief as eighth deployment output; change completion gate from seven to eight.</w:t>
      </w:r>
    </w:p>
    <w:p>
      <w:pPr>
        <w:spacing w:after="100"/>
      </w:pPr>
      <w:r>
        <w:rPr>
          <w:rFonts w:ascii="Georgia" w:cs="Georgia" w:eastAsia="Georgia" w:hAnsi="Georgia"/>
          <w:sz w:val="22"/>
          <w:szCs w:val="22"/>
        </w:rPr>
        <w:t xml:space="preserve">3. Architecture Map v2.0: update Layers 3, 6, and 7 to current documents.</w:t>
      </w:r>
    </w:p>
    <w:p>
      <w:pPr>
        <w:spacing w:after="100"/>
      </w:pPr>
      <w:r>
        <w:rPr>
          <w:rFonts w:ascii="Georgia" w:cs="Georgia" w:eastAsia="Georgia" w:hAnsi="Georgia"/>
          <w:sz w:val="22"/>
          <w:szCs w:val="22"/>
        </w:rPr>
        <w:t xml:space="preserve">4. Representative Construction Framework v2.0: add multi-world readiness note.</w:t>
      </w:r>
    </w:p>
    <w:p>
      <w:pPr>
        <w:spacing w:after="140"/>
      </w:pPr>
      <w:r>
        <w:rPr>
          <w:rFonts w:ascii="Georgia" w:cs="Georgia" w:eastAsia="Georgia" w:hAnsi="Georgia"/>
          <w:sz w:val="22"/>
          <w:szCs w:val="22"/>
        </w:rPr>
        <w:t xml:space="preserve">5. Phased Build Path v2.0: add Facilitator Calibration Library as Phase 2 deliverable.</w:t>
      </w:r>
    </w:p>
    <w:p>
      <w:pPr>
        <w:pStyle w:val="Heading2"/>
      </w:pPr>
      <w:r>
        <w:t xml:space="preserve">Named Gaps (real, acknowledged, governed)</w:t>
      </w:r>
    </w:p>
    <w:p>
      <w:pPr>
        <w:spacing w:after="100"/>
      </w:pPr>
      <w:r>
        <w:rPr>
          <w:rFonts w:ascii="Georgia" w:cs="Georgia" w:eastAsia="Georgia" w:hAnsi="Georgia"/>
          <w:sz w:val="22"/>
          <w:szCs w:val="22"/>
        </w:rPr>
        <w:t xml:space="preserve">Facilitator Calibration Library — not built; prototype operates under live supervision.</w:t>
      </w:r>
    </w:p>
    <w:p>
      <w:pPr>
        <w:spacing w:after="100"/>
      </w:pPr>
      <w:r>
        <w:rPr>
          <w:rFonts w:ascii="Georgia" w:cs="Georgia" w:eastAsia="Georgia" w:hAnsi="Georgia"/>
          <w:sz w:val="22"/>
          <w:szCs w:val="22"/>
        </w:rPr>
        <w:t xml:space="preserve">Fierce-without-recruiting calibration library (Layer 9) — not built; same.</w:t>
      </w:r>
    </w:p>
    <w:p>
      <w:pPr>
        <w:spacing w:after="100"/>
      </w:pPr>
      <w:r>
        <w:rPr>
          <w:rFonts w:ascii="Georgia" w:cs="Georgia" w:eastAsia="Georgia" w:hAnsi="Georgia"/>
          <w:sz w:val="22"/>
          <w:szCs w:val="22"/>
        </w:rPr>
        <w:t xml:space="preserve">Token budgets and per-turn retrieval budget — platform-dependent, unspecified pending platform decision.</w:t>
      </w:r>
    </w:p>
    <w:p>
      <w:pPr>
        <w:spacing w:after="140"/>
      </w:pPr>
      <w:r>
        <w:rPr>
          <w:rFonts w:ascii="Georgia" w:cs="Georgia" w:eastAsia="Georgia" w:hAnsi="Georgia"/>
          <w:sz w:val="22"/>
          <w:szCs w:val="22"/>
        </w:rPr>
        <w:t xml:space="preserve">External scholarly review (Article 31) — required before freeze, not yet conducted.</w:t>
      </w:r>
    </w:p>
    <w:p>
      <w:pPr>
        <w:pStyle w:val="Heading1"/>
      </w:pPr>
      <w:r>
        <w:t xml:space="preserve">Internal Landmarks</w:t>
      </w:r>
    </w:p>
    <w:p>
      <w:pPr>
        <w:spacing w:after="60"/>
      </w:pPr>
      <w:r>
        <w:rPr>
          <w:rFonts w:ascii="Arial" w:cs="Arial" w:eastAsia="Arial" w:hAnsi="Arial"/>
          <w:b/>
          <w:bCs/>
          <w:color w:val="2E75B6"/>
          <w:sz w:val="20"/>
          <w:szCs w:val="20"/>
        </w:rPr>
        <w:t xml:space="preserve">The mission in one sentence:</w:t>
      </w:r>
    </w:p>
    <w:p>
      <w:pPr>
        <w:spacing w:after="140"/>
      </w:pPr>
      <w:r>
        <w:rPr>
          <w:rFonts w:ascii="Georgia" w:cs="Georgia" w:eastAsia="Georgia" w:hAnsi="Georgia"/>
          <w:i/>
          <w:iCs/>
          <w:sz w:val="22"/>
          <w:szCs w:val="22"/>
        </w:rPr>
        <w:t xml:space="preserve">Not a conversation with a church — a conversation between churches, across time, in the presence of a participant who has come with real questions.</w:t>
      </w:r>
    </w:p>
    <w:p>
      <w:pPr>
        <w:spacing w:after="60"/>
      </w:pPr>
      <w:r>
        <w:rPr>
          <w:rFonts w:ascii="Arial" w:cs="Arial" w:eastAsia="Arial" w:hAnsi="Arial"/>
          <w:b/>
          <w:bCs/>
          <w:color w:val="2E75B6"/>
          <w:sz w:val="20"/>
          <w:szCs w:val="20"/>
        </w:rPr>
        <w:t xml:space="preserve">The governing principle:</w:t>
      </w:r>
    </w:p>
    <w:p>
      <w:pPr>
        <w:spacing w:after="140"/>
      </w:pPr>
      <w:r>
        <w:rPr>
          <w:rFonts w:ascii="Georgia" w:cs="Georgia" w:eastAsia="Georgia" w:hAnsi="Georgia"/>
          <w:i/>
          <w:iCs/>
          <w:sz w:val="22"/>
          <w:szCs w:val="22"/>
        </w:rPr>
        <w:t xml:space="preserve">Where efficiency and rigor conflict, rigor governs.</w:t>
      </w:r>
    </w:p>
    <w:p>
      <w:pPr>
        <w:spacing w:after="60"/>
      </w:pPr>
      <w:r>
        <w:rPr>
          <w:rFonts w:ascii="Arial" w:cs="Arial" w:eastAsia="Arial" w:hAnsi="Arial"/>
          <w:b/>
          <w:bCs/>
          <w:color w:val="2E75B6"/>
          <w:sz w:val="20"/>
          <w:szCs w:val="20"/>
        </w:rPr>
        <w:t xml:space="preserve">The formation depth test:</w:t>
      </w:r>
    </w:p>
    <w:p>
      <w:pPr>
        <w:spacing w:after="140"/>
      </w:pPr>
      <w:r>
        <w:rPr>
          <w:rFonts w:ascii="Georgia" w:cs="Georgia" w:eastAsia="Georgia" w:hAnsi="Georgia"/>
          <w:i/>
          <w:iCs/>
          <w:sz w:val="22"/>
          <w:szCs w:val="22"/>
        </w:rPr>
        <w:t xml:space="preserve">Would a participant engaging this Representative encounter something they could not have encountered anywhere else?</w:t>
      </w:r>
    </w:p>
    <w:p>
      <w:pPr>
        <w:spacing w:after="60"/>
      </w:pPr>
      <w:r>
        <w:rPr>
          <w:rFonts w:ascii="Arial" w:cs="Arial" w:eastAsia="Arial" w:hAnsi="Arial"/>
          <w:b/>
          <w:bCs/>
          <w:color w:val="2E75B6"/>
          <w:sz w:val="20"/>
          <w:szCs w:val="20"/>
        </w:rPr>
        <w:t xml:space="preserve">The measure of the Facilitator:</w:t>
      </w:r>
    </w:p>
    <w:p>
      <w:pPr>
        <w:spacing w:after="140"/>
      </w:pPr>
      <w:r>
        <w:rPr>
          <w:rFonts w:ascii="Georgia" w:cs="Georgia" w:eastAsia="Georgia" w:hAnsi="Georgia"/>
          <w:i/>
          <w:iCs/>
          <w:sz w:val="22"/>
          <w:szCs w:val="22"/>
        </w:rPr>
        <w:t xml:space="preserve">Your success is your disappearance.</w:t>
      </w:r>
    </w:p>
    <w:p>
      <w:pPr>
        <w:spacing w:after="60"/>
      </w:pPr>
      <w:r>
        <w:rPr>
          <w:rFonts w:ascii="Arial" w:cs="Arial" w:eastAsia="Arial" w:hAnsi="Arial"/>
          <w:b/>
          <w:bCs/>
          <w:color w:val="2E75B6"/>
          <w:sz w:val="20"/>
          <w:szCs w:val="20"/>
        </w:rPr>
        <w:t xml:space="preserve">The measure of the project:</w:t>
      </w:r>
    </w:p>
    <w:p>
      <w:pPr>
        <w:spacing w:after="200"/>
      </w:pPr>
      <w:r>
        <w:rPr>
          <w:rFonts w:ascii="Georgia" w:cs="Georgia" w:eastAsia="Georgia" w:hAnsi="Georgia"/>
          <w:i/>
          <w:iCs/>
          <w:sz w:val="22"/>
          <w:szCs w:val="22"/>
        </w:rPr>
        <w:t xml:space="preserve">A doorway, not a home. It sends people toward something. If it becomes the thing itself, it has failed.</w:t>
      </w:r>
    </w:p>
    <w:p>
      <w:pPr>
        <w:pBdr>
          <w:top w:val="single" w:color="CCCCCC" w:sz="4" w:space="6"/>
        </w:pBdr>
        <w:spacing w:before="120"/>
      </w:pPr>
      <w:r>
        <w:rPr>
          <w:rFonts w:ascii="Arial" w:cs="Arial" w:eastAsia="Arial" w:hAnsi="Arial"/>
          <w:color w:val="999999"/>
          <w:sz w:val="16"/>
          <w:szCs w:val="16"/>
        </w:rPr>
        <w:t xml:space="preserve">Church in Conversation  ·  Project Learning Notes  ·  June 2026  ·  </w:t>
      </w:r>
      <w:r>
        <w:rPr>
          <w:rFonts w:ascii="Arial" w:cs="Arial" w:eastAsia="Arial" w:hAnsi="Arial"/>
          <w:i/>
          <w:iCs/>
          <w:color w:val="999999"/>
          <w:sz w:val="16"/>
          <w:szCs w:val="16"/>
        </w:rPr>
        <w:t xml:space="preserve">Not a governance document. The project thinking about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pPr>
    <w:rPr>
      <w:rFonts w:ascii="Arial" w:cs="Arial" w:eastAsia="Arial" w:hAnsi="Arial"/>
      <w:b/>
      <w:bCs/>
      <w:color w:val="1F4E79"/>
      <w:sz w:val="26"/>
      <w:szCs w:val="26"/>
    </w:rPr>
  </w:style>
  <w:style w:type="paragraph" w:styleId="Heading2">
    <w:name w:val="Heading 2"/>
    <w:basedOn w:val="Normal"/>
    <w:next w:val="Normal"/>
    <w:qFormat/>
    <w:pPr>
      <w:spacing w:after="80" w:before="240"/>
    </w:pPr>
    <w:rPr>
      <w:rFonts w:ascii="Arial" w:cs="Arial" w:eastAsia="Arial" w:hAnsi="Arial"/>
      <w:b/>
      <w:bCs/>
      <w:color w:val="2E75B6"/>
      <w:sz w:val="22"/>
      <w:szCs w:val="22"/>
    </w:rPr>
  </w:style>
  <w:style w:type="paragraph" w:styleId="Heading3">
    <w:name w:val="Heading 3"/>
    <w:basedOn w:val="Normal"/>
    <w:next w:val="Normal"/>
    <w:qFormat/>
    <w:pPr>
      <w:spacing w:after="60" w:before="180"/>
    </w:pPr>
    <w:rPr>
      <w:rFonts w:ascii="Arial" w:cs="Arial" w:eastAsia="Arial" w:hAnsi="Arial"/>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2026-06-23T01:36:12.042Z</dcterms:created>
  <dcterms:modified xsi:type="dcterms:W3CDTF">2026-06-23T01:36:12.053Z</dcterms:modified>
</cp:coreProperties>
</file>

<file path=docProps/custom.xml><?xml version="1.0" encoding="utf-8"?>
<Properties xmlns="http://schemas.openxmlformats.org/officeDocument/2006/custom-properties" xmlns:vt="http://schemas.openxmlformats.org/officeDocument/2006/docPropsVTypes"/>
</file>