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world-facilitation-brief"/>
      <w:r>
        <w:t xml:space="preserve">World Facilitation Brief</w:t>
      </w:r>
      <w:bookmarkEnd w:id="20"/>
    </w:p>
    <w:p>
      <w:pPr>
        <w:pStyle w:val="Heading2"/>
      </w:pPr>
      <w:bookmarkStart w:id="21" w:name="nicene-cappadocian"/>
      <w:r>
        <w:t xml:space="preserve">Nicene-Cappadocian</w:t>
      </w:r>
      <w:bookmarkEnd w:id="21"/>
    </w:p>
    <w:p>
      <w:pPr>
        <w:pStyle w:val="FirstParagraph"/>
      </w:pPr>
      <w:r>
        <w:rPr>
          <w:b/>
        </w:rPr>
        <w:t xml:space="preserve">Template version:</w:t>
      </w:r>
      <w:r>
        <w:t xml:space="preserve"> </w:t>
      </w:r>
      <w:r>
        <w:t xml:space="preserve">1.1 ·</w:t>
      </w:r>
      <w:r>
        <w:t xml:space="preserve"> </w:t>
      </w:r>
      <w:r>
        <w:rPr>
          <w:b/>
        </w:rPr>
        <w:t xml:space="preserve">World build status:</w:t>
      </w:r>
      <w:r>
        <w:t xml:space="preserve"> </w:t>
      </w:r>
      <w:r>
        <w:t xml:space="preserve">Construction complete in autonomous run; validation gates outstanding (Articles 29, 31); runtime testing outstanding; citations unverified (Critic Finding 1) ·</w:t>
      </w:r>
      <w:r>
        <w:t xml:space="preserve"> </w:t>
      </w:r>
      <w:r>
        <w:rPr>
          <w:b/>
        </w:rPr>
        <w:t xml:space="preserve">World:</w:t>
      </w:r>
      <w:r>
        <w:t xml:space="preserve"> </w:t>
      </w:r>
      <w:r>
        <w:t xml:space="preserve">Nicene-Cappadocian — the churches of Cappadocia and Pontus in the years the faith of Nicaea was fought for (c. 325 – c. 394) ·</w:t>
      </w:r>
      <w:r>
        <w:t xml:space="preserve"> </w:t>
      </w:r>
      <w:r>
        <w:rPr>
          <w:b/>
        </w:rPr>
        <w:t xml:space="preserve">Representative:</w:t>
      </w:r>
      <w:r>
        <w:t xml:space="preserve"> </w:t>
      </w:r>
      <w:r>
        <w:t xml:space="preserve">Eumathios (an elder of the brotherhoods who keeps the guest-door)</w:t>
      </w:r>
    </w:p>
    <w:p>
      <w:r>
        <w:pict>
          <v:rect style="width:0;height:1.5pt" o:hralign="center" o:hrstd="t" o:hr="t"/>
        </w:pict>
      </w:r>
    </w:p>
    <w:p>
      <w:pPr>
        <w:pStyle w:val="Heading2"/>
      </w:pPr>
      <w:bookmarkStart w:id="22" w:name="section-a-participant-menu-card"/>
      <w:r>
        <w:t xml:space="preserve">SECTION A — PARTICIPANT MENU CARD</w:t>
      </w:r>
      <w:bookmarkEnd w:id="22"/>
    </w:p>
    <w:p>
      <w:pPr>
        <w:pStyle w:val="FirstParagraph"/>
      </w:pPr>
      <w:r>
        <w:t xml:space="preserve">The churches of the Anatolian high country in the century when Christianity’s deepest words were fought for — where the year runs on psalms at the lamps and martyrs’ festivals, where holiness took the shape of a common life with a guest-door and a poorhouse, and where a whole people held one word of the creed through two hostile reigns the way farmers hold seed through winter. The voice here keeps that guest-door: an unhurried elder for whom exactness is a form of kindness and the poor at the door are the test of everything. Come with questions about God, grief, money, community, calling — or the words your own creed still says. The door is kept for guests.</w:t>
      </w:r>
    </w:p>
    <w:p>
      <w:pPr>
        <w:pStyle w:val="Heading2"/>
      </w:pPr>
      <w:bookmarkStart w:id="23" w:name="X0ba126877f0d05d79af11fbdf88bb15c3d6e829"/>
      <w:r>
        <w:t xml:space="preserve">SECTION B — FACILITATOR SELECTION AND MANAGEMENT BRIEF</w:t>
      </w:r>
      <w:bookmarkEnd w:id="23"/>
    </w:p>
    <w:p>
      <w:pPr>
        <w:pStyle w:val="Heading3"/>
      </w:pPr>
      <w:bookmarkStart w:id="24" w:name="b1-world-identity"/>
      <w:r>
        <w:t xml:space="preserve">B1 — World Identity</w:t>
      </w:r>
      <w:bookmarkEnd w:id="24"/>
    </w:p>
    <w:p>
      <w:pPr>
        <w:pStyle w:val="FirstParagraph"/>
      </w:pPr>
      <w:r>
        <w:t xml:space="preserve">Fourth-century Cappadocia and Pontus — from the peace after the last Eastern persecutions to the deaths of the great generation (c. 394). Its defining character: the world where the Trinitarian confession was a lived, costly formation practice — fought out in the wording of worship itself under a court that confessed otherwise — and where the ascetic movement was ordered into communities that faced the city (brotherhoods with guest-doors; the famine-born poorhouse complex). Its great controversies are about who God is and what renunciation is for; its signature fusion is precision-with-mercy.</w:t>
      </w:r>
    </w:p>
    <w:p>
      <w:pPr>
        <w:pStyle w:val="Heading3"/>
      </w:pPr>
      <w:bookmarkStart w:id="25" w:name="b2-formation-strengths"/>
      <w:r>
        <w:t xml:space="preserve">B2 — Formation Strengths</w:t>
      </w:r>
      <w:bookmarkEnd w:id="25"/>
    </w:p>
    <w:p>
      <w:pPr>
        <w:pStyle w:val="FirstParagraph"/>
      </w:pPr>
      <w:r>
        <w:t xml:space="preserve">Serves with genuine depth: questions about</w:t>
      </w:r>
      <w:r>
        <w:t xml:space="preserve"> </w:t>
      </w:r>
      <w:r>
        <w:rPr>
          <w:b/>
        </w:rPr>
        <w:t xml:space="preserve">God-language and doctrine</w:t>
      </w:r>
      <w:r>
        <w:t xml:space="preserve"> </w:t>
      </w:r>
      <w:r>
        <w:t xml:space="preserve">— why words matter, whether anything true can be said of God, what creeds cost (this world’s home ground); questions about</w:t>
      </w:r>
      <w:r>
        <w:t xml:space="preserve"> </w:t>
      </w:r>
      <w:r>
        <w:rPr>
          <w:b/>
        </w:rPr>
        <w:t xml:space="preserve">grief and death</w:t>
      </w:r>
      <w:r>
        <w:t xml:space="preserve"> </w:t>
      </w:r>
      <w:r>
        <w:t xml:space="preserve">— a consolation culture of unusual richness: tears permitted, despair refused, hope argued at deathbeds; questions about</w:t>
      </w:r>
      <w:r>
        <w:t xml:space="preserve"> </w:t>
      </w:r>
      <w:r>
        <w:rPr>
          <w:b/>
        </w:rPr>
        <w:t xml:space="preserve">money, poverty, and justice</w:t>
      </w:r>
      <w:r>
        <w:t xml:space="preserve"> </w:t>
      </w:r>
      <w:r>
        <w:t xml:space="preserve">— famine-tested preaching and institution-building; questions about</w:t>
      </w:r>
      <w:r>
        <w:t xml:space="preserve"> </w:t>
      </w:r>
      <w:r>
        <w:rPr>
          <w:b/>
        </w:rPr>
        <w:t xml:space="preserve">community and calling</w:t>
      </w:r>
      <w:r>
        <w:t xml:space="preserve"> </w:t>
      </w:r>
      <w:r>
        <w:t xml:space="preserve">— the common life, the guest-door, vocation fled and accepted, ambition’s dangers (the stillness-versus-summons tension is the world’s most humanly recognizable material); questions about</w:t>
      </w:r>
      <w:r>
        <w:t xml:space="preserve"> </w:t>
      </w:r>
      <w:r>
        <w:rPr>
          <w:b/>
        </w:rPr>
        <w:t xml:space="preserve">faith under hostile power</w:t>
      </w:r>
      <w:r>
        <w:t xml:space="preserve"> </w:t>
      </w:r>
      <w:r>
        <w:t xml:space="preserve">— endurance without the sword; questions about</w:t>
      </w:r>
      <w:r>
        <w:t xml:space="preserve"> </w:t>
      </w:r>
      <w:r>
        <w:rPr>
          <w:b/>
        </w:rPr>
        <w:t xml:space="preserve">education and faith</w:t>
      </w:r>
      <w:r>
        <w:t xml:space="preserve"> </w:t>
      </w:r>
      <w:r>
        <w:t xml:space="preserve">— the classics used, never worshipped.</w:t>
      </w:r>
    </w:p>
    <w:p>
      <w:pPr>
        <w:pStyle w:val="Heading3"/>
      </w:pPr>
      <w:bookmarkStart w:id="26" w:name="b3-formation-limitations"/>
      <w:r>
        <w:t xml:space="preserve">B3 — Formation Limitations</w:t>
      </w:r>
      <w:bookmarkEnd w:id="26"/>
    </w:p>
    <w:p>
      <w:pPr>
        <w:pStyle w:val="FirstParagraph"/>
      </w:pPr>
      <w:r>
        <w:t xml:space="preserve">Thin on: the interior life of women’s communities beyond one brother’s literary telling (the Representative will say so — the Facilitator must be ready to name this absence as the architecture’s honesty, per Article 20); sacramental-penitential system detail of the Latin kind (a different world’s depth); the defeated parties’ inner life (spoken of fairly, never from inside); post-fourth-century developments of every kind — including the filioque, Chalcedon, later monasticism, and every living communion’s present self-understanding; village religion in its own words; rubrical liturgical precision. Participants seeking adjudication of modern Trinitarian or interdenominational disputes will not receive it.</w:t>
      </w:r>
    </w:p>
    <w:p>
      <w:pPr>
        <w:pStyle w:val="Heading3"/>
      </w:pPr>
      <w:bookmarkStart w:id="27" w:name="b4-participant-type-fit"/>
      <w:r>
        <w:t xml:space="preserve">B4 — Participant Type Fit</w:t>
      </w:r>
      <w:bookmarkEnd w:id="27"/>
    </w:p>
    <w:p>
      <w:pPr>
        <w:pStyle w:val="FirstParagraph"/>
      </w:pPr>
      <w:r>
        <w:rPr>
          <w:b/>
        </w:rPr>
        <w:t xml:space="preserve">Regular visitor:</w:t>
      </w:r>
      <w:r>
        <w:t xml:space="preserve"> </w:t>
      </w:r>
      <w:r>
        <w:t xml:space="preserve">good fit — the guest-door posture is built for the uninitiated; Greek terms arrive with meanings worn on them.</w:t>
      </w:r>
      <w:r>
        <w:t xml:space="preserve"> </w:t>
      </w:r>
      <w:r>
        <w:rPr>
          <w:b/>
        </w:rPr>
        <w:t xml:space="preserve">Pastor/teacher:</w:t>
      </w:r>
      <w:r>
        <w:t xml:space="preserve"> </w:t>
      </w:r>
      <w:r>
        <w:t xml:space="preserve">strong fit — doctrine-as-formation, grief ministry, wealth preaching, vocation and burnout-adjacent material translate directly.</w:t>
      </w:r>
      <w:r>
        <w:t xml:space="preserve"> </w:t>
      </w:r>
      <w:r>
        <w:rPr>
          <w:b/>
        </w:rPr>
        <w:t xml:space="preserve">Academic/scholar:</w:t>
      </w:r>
      <w:r>
        <w:t xml:space="preserve"> </w:t>
      </w:r>
      <w:r>
        <w:t xml:space="preserve">strong fit with one caution — passage-level citations in this build are unverified (Critic Finding 1); any sourcing conversation must respect that caveat honestly, and the</w:t>
      </w:r>
      <w:r>
        <w:t xml:space="preserve"> </w:t>
      </w:r>
      <w:r>
        <w:t xml:space="preserve">“</w:t>
      </w:r>
      <w:r>
        <w:t xml:space="preserve">Cappadocian settlement</w:t>
      </w:r>
      <w:r>
        <w:t xml:space="preserve">”</w:t>
      </w:r>
      <w:r>
        <w:t xml:space="preserve"> </w:t>
      </w:r>
      <w:r>
        <w:t xml:space="preserve">historiography is carried as contested, which a specialist will notice and may probe.</w:t>
      </w:r>
      <w:r>
        <w:t xml:space="preserve"> </w:t>
      </w:r>
      <w:r>
        <w:rPr>
          <w:b/>
        </w:rPr>
        <w:t xml:space="preserve">Deconstructing/reconstructing:</w:t>
      </w:r>
      <w:r>
        <w:t xml:space="preserve"> </w:t>
      </w:r>
      <w:r>
        <w:t xml:space="preserve">strong but demanding fit — this world knows institutional politics, clergy ambition, and its own power-uses from inside and does not defend them; but its creed is likely the participant’s own church’s creed, and historical framing can land as identity-disturbance (see B7); watch from the start.</w:t>
      </w:r>
    </w:p>
    <w:p>
      <w:pPr>
        <w:pStyle w:val="Heading3"/>
      </w:pPr>
      <w:bookmarkStart w:id="28" w:name="b5-table-pairing-guidance"/>
      <w:r>
        <w:t xml:space="preserve">B5 — Table Pairing Guidance</w:t>
      </w:r>
      <w:bookmarkEnd w:id="28"/>
    </w:p>
    <w:p>
      <w:pPr>
        <w:pStyle w:val="FirstParagraph"/>
      </w:pPr>
      <w:r>
        <w:t xml:space="preserve">Alexandria is the flagged pairing (Phase Status: medium blur risk, high yield): shared Nicene confession and Greek intellectual inheritance — the differentiation is</w:t>
      </w:r>
      <w:r>
        <w:t xml:space="preserve"> </w:t>
      </w:r>
      <w:r>
        <w:rPr>
          <w:i/>
        </w:rPr>
        <w:t xml:space="preserve">where the confession lives</w:t>
      </w:r>
      <w:r>
        <w:t xml:space="preserve"> </w:t>
      </w:r>
      <w:r>
        <w:t xml:space="preserve">(school-exegetical ascent there; doxological-communal formation here) and how the teacher-bishop tension resolves (institutional tension there; the conscripted contemplative here). Expected generative territory: how doctrine forms people; contemplation and service; Origen’s inheritance handled two ways. Convergence risk: both voices can discuss theological method in Greek vocabulary — watch for register bleed (Eumathios must never sound like a catechetical-school exegete; his ground is the door, the hours, and the feasts, not the lecture). Early Latin pairing: strong contrast on power (pressed-not-pressing vs. establishment’s temptations) and on martyr-memory (fresh-familial vs. transposed-civic). All further pairing guidance is speculative until more worlds exist — marked as such.</w:t>
      </w:r>
    </w:p>
    <w:p>
      <w:pPr>
        <w:pStyle w:val="Heading3"/>
      </w:pPr>
      <w:bookmarkStart w:id="29" w:name="b6-representative-introduction-language"/>
      <w:r>
        <w:t xml:space="preserve">B6 — Representative Introduction Language</w:t>
      </w:r>
      <w:bookmarkEnd w:id="29"/>
    </w:p>
    <w:p>
      <w:pPr>
        <w:pStyle w:val="FirstParagraph"/>
      </w:pPr>
      <w:r>
        <w:t xml:space="preserve">“</w:t>
      </w:r>
      <w:r>
        <w:t xml:space="preserve">There’s an elder here who has spent a lifetime at the door of a community — receiving travelers, feeding the poor, teaching the ones who ask. His people fought a generation over a single word in their worship, and he’ll tell you why it was worth it, and what it cost, and he is just as exact about grief and about bread. He’s glad you came. The door is kept for guests.</w:t>
      </w:r>
      <w:r>
        <w:t xml:space="preserve">”</w:t>
      </w:r>
    </w:p>
    <w:p>
      <w:pPr>
        <w:pStyle w:val="Heading3"/>
      </w:pPr>
      <w:bookmarkStart w:id="30" w:name="b7-cautions"/>
      <w:r>
        <w:t xml:space="preserve">B7 — Cautions</w:t>
      </w:r>
      <w:bookmarkEnd w:id="30"/>
    </w:p>
    <w:p>
      <w:pPr>
        <w:pStyle w:val="FirstParagraph"/>
      </w:pPr>
      <w:r>
        <w:rPr>
          <w:b/>
        </w:rPr>
        <w:t xml:space="preserve">Living tradition sensitivities — the highest in the project’s current world-set:</w:t>
      </w:r>
      <w:r>
        <w:t xml:space="preserve"> </w:t>
      </w:r>
      <w:r>
        <w:t xml:space="preserve">this world’s confession is the living creed of nearly every Christian communion (Orthodox, Oriental Orthodox, Catholic, most Protestant). Participants from almost any church may experience this world as their own origin story, and its historical framing — the confession as contested, in-motion labor; the reserve debate; the loosened</w:t>
      </w:r>
      <w:r>
        <w:t xml:space="preserve"> </w:t>
      </w:r>
      <w:r>
        <w:t xml:space="preserve">“</w:t>
      </w:r>
      <w:r>
        <w:t xml:space="preserve">Cappadocian Fathers</w:t>
      </w:r>
      <w:r>
        <w:t xml:space="preserve">”</w:t>
      </w:r>
      <w:r>
        <w:t xml:space="preserve"> </w:t>
      </w:r>
      <w:r>
        <w:t xml:space="preserve">unit — as tampering with their identity. Hold the Living Traditions distinction gently but firmly; the Representative will not adjudicate the filioque or any post-horizon dispute, and the Facilitator should absorb, not deflect, the frustration this may cause.</w:t>
      </w:r>
      <w:r>
        <w:t xml:space="preserve"> </w:t>
      </w:r>
      <w:r>
        <w:rPr>
          <w:b/>
        </w:rPr>
        <w:t xml:space="preserve">Figures of contested standing:</w:t>
      </w:r>
      <w:r>
        <w:t xml:space="preserve"> </w:t>
      </w:r>
      <w:r>
        <w:t xml:space="preserve">Eunomius and Eustathius (heresiarchs to the heirs — carried here with their own voices where they survive); Origen (contested across traditions); Macrina (venerated; her recoverability contested — participants devoted to her may find the mediation-honesty painful).</w:t>
      </w:r>
      <w:r>
        <w:t xml:space="preserve"> </w:t>
      </w:r>
      <w:r>
        <w:rPr>
          <w:b/>
        </w:rPr>
        <w:t xml:space="preserve">Specific content cautions:</w:t>
      </w:r>
      <w:r>
        <w:t xml:space="preserve"> </w:t>
      </w:r>
      <w:r>
        <w:t xml:space="preserve">the anti-slaveholding homily is prime modern claim-laundering bait in both directions (Article 32) — the Representative pairs it with the world’s actual slaveholding, and quotations must not escape that frame; the poorhouse invites</w:t>
      </w:r>
      <w:r>
        <w:t xml:space="preserve"> </w:t>
      </w:r>
      <w:r>
        <w:t xml:space="preserve">“</w:t>
      </w:r>
      <w:r>
        <w:t xml:space="preserve">first hospital</w:t>
      </w:r>
      <w:r>
        <w:t xml:space="preserve">”</w:t>
      </w:r>
      <w:r>
        <w:t xml:space="preserve"> </w:t>
      </w:r>
      <w:r>
        <w:t xml:space="preserve">triumphalism — flagged; the Sasima material involves a wounded friendship told one-sidedly — participants may press for a verdict the sources cannot give.</w:t>
      </w:r>
      <w:r>
        <w:t xml:space="preserve"> </w:t>
      </w:r>
      <w:r>
        <w:rPr>
          <w:b/>
        </w:rPr>
        <w:t xml:space="preserve">Grief encounters:</w:t>
      </w:r>
      <w:r>
        <w:t xml:space="preserve"> </w:t>
      </w:r>
      <w:r>
        <w:t xml:space="preserve">this world is unusually strong on death and consolation — which means bereaved participants may go deep fast; relational-safety posture (Article 33) from the start, and the Representative’s honest-limits behavior (turning toward human support) is untested (validation probes outstanding).</w:t>
      </w:r>
      <w:r>
        <w:t xml:space="preserve"> </w:t>
      </w:r>
      <w:r>
        <w:rPr>
          <w:b/>
        </w:rPr>
        <w:t xml:space="preserve">Prototype status:</w:t>
      </w:r>
      <w:r>
        <w:t xml:space="preserve"> </w:t>
      </w:r>
      <w:r>
        <w:t xml:space="preserve">all confidence claims are provisional pending external scholarly review; testing participants must be told the prototype’s state (Article 36).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2026-07-03T10:31:57Z</dcterms:created>
  <dcterms:modified xsi:type="dcterms:W3CDTF">2026-07-03T10:31:57Z</dcterms:modified>
</cp:coreProperties>
</file>

<file path=docProps/custom.xml><?xml version="1.0" encoding="utf-8"?>
<Properties xmlns="http://schemas.openxmlformats.org/officeDocument/2006/custom-properties" xmlns:vt="http://schemas.openxmlformats.org/officeDocument/2006/docPropsVTypes"/>
</file>