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d144965ab5267d664291e2ad90e7be3d2f870f"/>
      <w:r>
        <w:t xml:space="preserve">Doc_01 — World Identification, Boundaries, and Orientation</w:t>
      </w:r>
      <w:bookmarkEnd w:id="20"/>
    </w:p>
    <w:p>
      <w:pPr>
        <w:pStyle w:val="Heading2"/>
      </w:pPr>
      <w:bookmarkStart w:id="21" w:name="X5d337c906089f4e969b9f943b70a4243c56cd97"/>
      <w:r>
        <w:t xml:space="preserve">Nicene-Cappadocian Formation World — Church in Conversation V7</w:t>
      </w:r>
      <w:bookmarkEnd w:id="21"/>
    </w:p>
    <w:p>
      <w:pPr>
        <w:pStyle w:val="FirstParagraph"/>
      </w:pPr>
      <w:r>
        <w:rPr>
          <w:b/>
        </w:rPr>
        <w:t xml:space="preserve">World (registry name):</w:t>
      </w:r>
      <w:r>
        <w:t xml:space="preserve"> </w:t>
      </w:r>
      <w:r>
        <w:t xml:space="preserve">Nicene-Cappadocian</w:t>
      </w:r>
      <w:r>
        <w:t xml:space="preserve"> </w:t>
      </w:r>
      <w:r>
        <w:rPr>
          <w:b/>
        </w:rPr>
        <w:t xml:space="preserve">World code:</w:t>
      </w:r>
      <w:r>
        <w:t xml:space="preserve"> </w:t>
      </w:r>
      <w:r>
        <w:t xml:space="preserve">cappadocian</w:t>
      </w:r>
      <w:r>
        <w:t xml:space="preserve"> </w:t>
      </w:r>
      <w:r>
        <w:rPr>
          <w:b/>
        </w:rPr>
        <w:t xml:space="preserve">Build track:</w:t>
      </w:r>
      <w:r>
        <w:t xml:space="preserve"> </w:t>
      </w:r>
      <w:r>
        <w:t xml:space="preserve">Fresh Build (single autonomous run, Fable build thread, branch CiC-Fable-Cappadocian)</w:t>
      </w:r>
      <w:r>
        <w:t xml:space="preserve"> </w:t>
      </w:r>
      <w:r>
        <w:rPr>
          <w:b/>
        </w:rPr>
        <w:t xml:space="preserve">Step:</w:t>
      </w:r>
      <w:r>
        <w:t xml:space="preserve"> </w:t>
      </w:r>
      <w:r>
        <w:t xml:space="preserve">1 of 10 (Construction Framework V7.3, Part VII)</w:t>
      </w:r>
      <w:r>
        <w:t xml:space="preserve"> </w:t>
      </w:r>
      <w:r>
        <w:rPr>
          <w:b/>
        </w:rPr>
        <w:t xml:space="preserve">Governed by:</w:t>
      </w:r>
      <w:r>
        <w:t xml:space="preserve"> </w:t>
      </w:r>
      <w:r>
        <w:t xml:space="preserve">Construction Framework Parts I–II; Forces Framework; Constitution Articles 21, 22</w:t>
      </w:r>
      <w:r>
        <w:t xml:space="preserve"> </w:t>
      </w:r>
      <w:r>
        <w:rPr>
          <w:b/>
        </w:rPr>
        <w:t xml:space="preserve">Status:</w:t>
      </w:r>
      <w:r>
        <w:t xml:space="preserve"> </w:t>
      </w:r>
      <w:r>
        <w:t xml:space="preserve">Complete, unreviewed — produced in a single autonomous run; all conclusions await genuine independent Critic review and Article 31 external scholarly review. All citations in this build are from the builder’s internal knowledge and are unverified against editions (systemic caveat, carried in every document of this build).</w:t>
      </w:r>
    </w:p>
    <w:p>
      <w:r>
        <w:pict>
          <v:rect style="width:0;height:1.5pt" o:hralign="center" o:hrstd="t" o:hr="t"/>
        </w:pict>
      </w:r>
    </w:p>
    <w:p>
      <w:pPr>
        <w:pStyle w:val="Heading2"/>
      </w:pPr>
      <w:bookmarkStart w:id="22" w:name="X60fe2639611bb1f9fcb56d26e1aa93e85a10060"/>
      <w:r>
        <w:t xml:space="preserve">1. The Label Test: Does</w:t>
      </w:r>
      <w:r>
        <w:t xml:space="preserve"> </w:t>
      </w:r>
      <w:r>
        <w:t xml:space="preserve">“</w:t>
      </w:r>
      <w:r>
        <w:t xml:space="preserve">Nicene-Cappadocian</w:t>
      </w:r>
      <w:r>
        <w:t xml:space="preserve">”</w:t>
      </w:r>
      <w:r>
        <w:t xml:space="preserve"> </w:t>
      </w:r>
      <w:r>
        <w:t xml:space="preserve">Hold?</w:t>
      </w:r>
      <w:bookmarkEnd w:id="22"/>
    </w:p>
    <w:p>
      <w:pPr>
        <w:pStyle w:val="FirstParagraph"/>
      </w:pPr>
      <w:r>
        <w:rPr>
          <w:b/>
        </w:rPr>
        <w:t xml:space="preserve">Finding: the world coheres, but each half of the label misleads if read alone.</w:t>
      </w:r>
      <w:r>
        <w:rPr>
          <w:b/>
        </w:rPr>
        <w:t xml:space="preserve"> </w:t>
      </w:r>
      <w:r>
        <w:rPr>
          <w:b/>
        </w:rPr>
        <w:t xml:space="preserve">“</w:t>
      </w:r>
      <w:r>
        <w:rPr>
          <w:b/>
        </w:rPr>
        <w:t xml:space="preserve">Nicene</w:t>
      </w:r>
      <w:r>
        <w:rPr>
          <w:b/>
        </w:rPr>
        <w:t xml:space="preserve">”</w:t>
      </w:r>
      <w:r>
        <w:rPr>
          <w:b/>
        </w:rPr>
        <w:t xml:space="preserve"> </w:t>
      </w:r>
      <w:r>
        <w:rPr>
          <w:b/>
        </w:rPr>
        <w:t xml:space="preserve">over-claims;</w:t>
      </w:r>
      <w:r>
        <w:rPr>
          <w:b/>
        </w:rPr>
        <w:t xml:space="preserve"> </w:t>
      </w:r>
      <w:r>
        <w:rPr>
          <w:b/>
        </w:rPr>
        <w:t xml:space="preserve">“</w:t>
      </w:r>
      <w:r>
        <w:rPr>
          <w:b/>
        </w:rPr>
        <w:t xml:space="preserve">Cappadocian</w:t>
      </w:r>
      <w:r>
        <w:rPr>
          <w:b/>
        </w:rPr>
        <w:t xml:space="preserve">”</w:t>
      </w:r>
      <w:r>
        <w:rPr>
          <w:b/>
        </w:rPr>
        <w:t xml:space="preserve"> </w:t>
      </w:r>
      <w:r>
        <w:rPr>
          <w:b/>
        </w:rPr>
        <w:t xml:space="preserve">both over- and under-claims; the compound holds only when bounded. Recommended self-description below.</w:t>
      </w:r>
    </w:p>
    <w:p>
      <w:pPr>
        <w:pStyle w:val="BodyText"/>
      </w:pPr>
      <w:r>
        <w:t xml:space="preserve">Read alone,</w:t>
      </w:r>
      <w:r>
        <w:t xml:space="preserve"> </w:t>
      </w:r>
      <w:r>
        <w:rPr>
          <w:b/>
        </w:rPr>
        <w:t xml:space="preserve">“</w:t>
      </w:r>
      <w:r>
        <w:rPr>
          <w:b/>
        </w:rPr>
        <w:t xml:space="preserve">Nicene</w:t>
      </w:r>
      <w:r>
        <w:rPr>
          <w:b/>
        </w:rPr>
        <w:t xml:space="preserve">”</w:t>
      </w:r>
      <w:r>
        <w:t xml:space="preserve"> </w:t>
      </w:r>
      <w:r>
        <w:t xml:space="preserve">claims the entire pro-Nicene movement of the fourth century — Athanasius and Alexandria, Hilary and the Latin West, the Antiochene parties, Marcellus of Ancyra — most of which belongs to other formation ecologies (Alexandria is already a registered world in this project). Read alone,</w:t>
      </w:r>
      <w:r>
        <w:t xml:space="preserve"> </w:t>
      </w:r>
      <w:r>
        <w:rPr>
          <w:b/>
        </w:rPr>
        <w:t xml:space="preserve">“</w:t>
      </w:r>
      <w:r>
        <w:rPr>
          <w:b/>
        </w:rPr>
        <w:t xml:space="preserve">Cappadocian</w:t>
      </w:r>
      <w:r>
        <w:rPr>
          <w:b/>
        </w:rPr>
        <w:t xml:space="preserve">”</w:t>
      </w:r>
      <w:r>
        <w:t xml:space="preserve"> </w:t>
      </w:r>
      <w:r>
        <w:t xml:space="preserve">over-claims temporally in both directions: Cappadocian Christianity is documented a full century earlier (Firmilian of Caesarea corresponding with Cyprian in the 250s; Gregory Thaumaturgus’ mission in Pontus, c. 240–270 — Documented at work level), and continues long after into the Byzantine church of the rock-cut valleys (whose famous painted churches are centuries later than this world and are</w:t>
      </w:r>
      <w:r>
        <w:t xml:space="preserve"> </w:t>
      </w:r>
      <w:r>
        <w:rPr>
          <w:b/>
        </w:rPr>
        <w:t xml:space="preserve">not</w:t>
      </w:r>
      <w:r>
        <w:t xml:space="preserve"> </w:t>
      </w:r>
      <w:r>
        <w:t xml:space="preserve">evidence for it). It also under-claims geographically: the world’s documented life runs beyond Cappadocia proper into Pontus (the family estates at Annisa on the Iris; Neocaesarea), Armenia Minor (Sebaste; Basil’s interventions in the Armenian churches — Documented via his letters at work level), and, in one decisive episode, Constantinople itself (379–381).</w:t>
      </w:r>
    </w:p>
    <w:p>
      <w:pPr>
        <w:pStyle w:val="BodyText"/>
      </w:pPr>
      <w:r>
        <w:t xml:space="preserve">What the label actually names, and what the evidence supports as one distinct formation ecology, is:</w:t>
      </w:r>
      <w:r>
        <w:t xml:space="preserve"> </w:t>
      </w:r>
      <w:r>
        <w:rPr>
          <w:b/>
        </w:rPr>
        <w:t xml:space="preserve">the Christianity of the Cappadocian-Pontic highlands in the era when the Nicene confession was contested, defended, and finally established — roughly Nicaea to the death of the last of the great generation (c. 325 – c. 394).</w:t>
      </w:r>
      <w:r>
        <w:t xml:space="preserve"> </w:t>
      </w:r>
      <w:r>
        <w:t xml:space="preserve">The evidence for treating this as one distinct world:</w:t>
      </w:r>
    </w:p>
    <w:p>
      <w:pPr>
        <w:numPr>
          <w:ilvl w:val="0"/>
          <w:numId w:val="1001"/>
        </w:numPr>
        <w:pStyle w:val="Compact"/>
      </w:pPr>
      <w:r>
        <w:rPr>
          <w:b/>
        </w:rPr>
        <w:t xml:space="preserve">Recurring formation ecology</w:t>
      </w:r>
      <w:r>
        <w:t xml:space="preserve"> </w:t>
      </w:r>
      <w:r>
        <w:t xml:space="preserve">(Documented at the level of elements; Widely Accepted as a coherent pattern): formation through the Christian gentry household and its elders; the local martyrs’ feasts (panegyreis) as the countryside’s festival calendar; catechesis toward a baptism whose Trinitarian formula is the community’s doctrinal spine; the new ascetic communities (brotherhoods and sisterhoods) ordered toward prayer, work, and the poor; the bishop as teacher, patron in famine, and negotiator before governors; psalmody, including night vigils, as the shared prayer-culture; Greek paideia as the elite formation ladder the church both used and disciplined.</w:t>
      </w:r>
    </w:p>
    <w:p>
      <w:pPr>
        <w:numPr>
          <w:ilvl w:val="0"/>
          <w:numId w:val="1001"/>
        </w:numPr>
        <w:pStyle w:val="Compact"/>
      </w:pPr>
      <w:r>
        <w:rPr>
          <w:b/>
        </w:rPr>
        <w:t xml:space="preserve">Recurring gravitational questions</w:t>
      </w:r>
      <w:r>
        <w:t xml:space="preserve"> </w:t>
      </w:r>
      <w:r>
        <w:t xml:space="preserve">(Documented as questions; their organization tested at Doc_04): how the incomprehensible God can be truly confessed against those who claimed to define him (the Eunomian contest) and those who demoted the Spirit (the Pneumatomachian contest); how the ascetic renunciation sweeping Anatolia should be ordered — against its own excesses (the Gangra censures) and toward the poor; what wealth is for, asked in famine; whether the philosopher’s retreat (hesychia) or the church’s burden is the true Christian life — asked by the very men who had to live both.</w:t>
      </w:r>
    </w:p>
    <w:p>
      <w:pPr>
        <w:numPr>
          <w:ilvl w:val="0"/>
          <w:numId w:val="1001"/>
        </w:numPr>
        <w:pStyle w:val="Compact"/>
      </w:pPr>
      <w:r>
        <w:rPr>
          <w:b/>
        </w:rPr>
        <w:t xml:space="preserve">Distinction from adjacent worlds</w:t>
      </w:r>
      <w:r>
        <w:t xml:space="preserve"> </w:t>
      </w:r>
      <w:r>
        <w:t xml:space="preserve">(Widely Accepted): from</w:t>
      </w:r>
      <w:r>
        <w:t xml:space="preserve"> </w:t>
      </w:r>
      <w:r>
        <w:rPr>
          <w:b/>
        </w:rPr>
        <w:t xml:space="preserve">Alexandria</w:t>
      </w:r>
      <w:r>
        <w:t xml:space="preserve"> </w:t>
      </w:r>
      <w:r>
        <w:t xml:space="preserve">by formation axis — this world’s center is doxological-communal (worship, household, brotherhood, festival), not school-exegetical; its defining controversies are Trinitarian-pneumatological and ascetic-social, not primarily hermeneutical; and it resolves the teacher-bishop tension differently — not a catechetical school in tension with the episcopate, but the ascetic philosopher</w:t>
      </w:r>
      <w:r>
        <w:t xml:space="preserve"> </w:t>
      </w:r>
      <w:r>
        <w:rPr>
          <w:i/>
        </w:rPr>
        <w:t xml:space="preserve">made</w:t>
      </w:r>
      <w:r>
        <w:t xml:space="preserve"> </w:t>
      </w:r>
      <w:r>
        <w:t xml:space="preserve">bishop, a fusion purchased at documented personal cost (tested at Doc_04, not presupposed here). From the</w:t>
      </w:r>
      <w:r>
        <w:t xml:space="preserve"> </w:t>
      </w:r>
      <w:r>
        <w:rPr>
          <w:b/>
        </w:rPr>
        <w:t xml:space="preserve">Desert</w:t>
      </w:r>
      <w:r>
        <w:t xml:space="preserve"> </w:t>
      </w:r>
      <w:r>
        <w:t xml:space="preserve">by the deliberate re-direction of askesis toward community and city — the brotherhood with a guest-door and a poorhouse, not the anchorite’s cell (the world’s own sources argue this point explicitly). From the</w:t>
      </w:r>
      <w:r>
        <w:t xml:space="preserve"> </w:t>
      </w:r>
      <w:r>
        <w:rPr>
          <w:b/>
        </w:rPr>
        <w:t xml:space="preserve">early Latin West</w:t>
      </w:r>
      <w:r>
        <w:t xml:space="preserve"> </w:t>
      </w:r>
      <w:r>
        <w:t xml:space="preserve">by language, by controversy-set (Trinitarian, not Donatist/Pelagian), and by institutional texture (metropolitan-provincial politics under an often-hostile Eastern court, rather than the Latin conciliar-papal machinery).</w:t>
      </w:r>
    </w:p>
    <w:p>
      <w:pPr>
        <w:pStyle w:val="FirstParagraph"/>
      </w:pPr>
      <w:r>
        <w:rPr>
          <w:b/>
        </w:rPr>
        <w:t xml:space="preserve">Boundary decision — beginning: c. 325.</w:t>
      </w:r>
      <w:r>
        <w:t xml:space="preserve"> </w:t>
      </w:r>
      <w:r>
        <w:t xml:space="preserve">Constantine’s victory over Licinius (324) ends the Eastern persecutions — the last martyrs this world keeps, including the Forty of Sebaste (c. 320, under Licinius — Documented as cult; details traditional), die in its immediate memory — and Nicaea (325) frames the confession whose contest defines the era; Cappadocian and Pontic bishops subscribe (Leontius of Caesarea among them — Documented at work level). Confidence:</w:t>
      </w:r>
      <w:r>
        <w:t xml:space="preserve"> </w:t>
      </w:r>
      <w:r>
        <w:rPr>
          <w:b/>
        </w:rPr>
        <w:t xml:space="preserve">Widely Accepted</w:t>
      </w:r>
      <w:r>
        <w:t xml:space="preserve"> </w:t>
      </w:r>
      <w:r>
        <w:t xml:space="preserve">as a genuine ecological break for this region. The third-century inheritance — Gregory Thaumaturgus’ mission, creed, and liturgical memory; the confessor-grandparents of the great families — is carried</w:t>
      </w:r>
      <w:r>
        <w:t xml:space="preserve"> </w:t>
      </w:r>
      <w:r>
        <w:rPr>
          <w:b/>
        </w:rPr>
        <w:t xml:space="preserve">into</w:t>
      </w:r>
      <w:r>
        <w:t xml:space="preserve"> </w:t>
      </w:r>
      <w:r>
        <w:t xml:space="preserve">the world as an initiating internal force (see §4), not annexed as part of it.</w:t>
      </w:r>
    </w:p>
    <w:p>
      <w:pPr>
        <w:pStyle w:val="BodyText"/>
      </w:pPr>
      <w:r>
        <w:rPr>
          <w:b/>
        </w:rPr>
        <w:t xml:space="preserve">Boundary decision — ending: c. 394, soft edge.</w:t>
      </w:r>
      <w:r>
        <w:t xml:space="preserve"> </w:t>
      </w:r>
      <w:r>
        <w:t xml:space="preserve">The world’s distinct form dissolves through a transformation window, 381–394: the Council of Constantinople (381) and the Theodosian settlement make the contested confession the empire’s — the fight that organized the world is won, and its distinct militancy has nothing left to press against; the founding generation dies out (Basil January 379 — or September 378 by a significant minority redating; Gregory of Nazianzus withdraws from Constantinople in 381 and dies c. 390; Gregory of Nyssa is last securely attested c. 394); and what follows in the region is the ordinary provincial life of the imperial Nicene church, carried by successors of a different kind. Confidence:</w:t>
      </w:r>
      <w:r>
        <w:t xml:space="preserve"> </w:t>
      </w:r>
      <w:r>
        <w:rPr>
          <w:b/>
        </w:rPr>
        <w:t xml:space="preserve">Dominant Modern Reconstruction</w:t>
      </w:r>
      <w:r>
        <w:t xml:space="preserve"> </w:t>
      </w:r>
      <w:r>
        <w:t xml:space="preserve">for the coherence of the c. 394 cut — the elements are Documented, the cut is a construction judgment, and it is the softer edge, flagged for external review. (The alternative — extending to c. 400 or to the burning of Eunomius’ books by imperial order, 398 — was considered and declined: those are aftermath, not the world’s own life.)</w:t>
      </w:r>
    </w:p>
    <w:p>
      <w:pPr>
        <w:pStyle w:val="BodyText"/>
      </w:pPr>
      <w:r>
        <w:rPr>
          <w:b/>
        </w:rPr>
        <w:t xml:space="preserve">Geographic scope:</w:t>
      </w:r>
      <w:r>
        <w:t xml:space="preserve"> </w:t>
      </w:r>
      <w:r>
        <w:t xml:space="preserve">Cappadocia proper (Caesarea/Kaisareia the metropolis; Nazianzus; Nyssa; Tyana; the villages and estates of the plateau), Pontus along the Iris valley (Annisa/Annesi, Neocaesarea, Ibora), and Armenia Minor (Sebaste and its region) as genuinely participating; with two documented extension-arcs that belong to the world’s story without redrawing its home ground — the education arc (Caesarea → Constantinople → Athens) and the Constantinople mission (379–381). Confidence: Documented for the centers; the inclusion of Armenia Minor as participant rests on the Sebaste connections (Eustathius; Peter of Sebaste’s later episcopate; the Forty) and is Widely Accepted; formation detail for the plateau villages is thin everywhere (named at Doc_02).</w:t>
      </w:r>
    </w:p>
    <w:p>
      <w:pPr>
        <w:pStyle w:val="BodyText"/>
      </w:pPr>
      <w:r>
        <w:rPr>
          <w:b/>
        </w:rPr>
        <w:t xml:space="preserve">Cultural scope:</w:t>
      </w:r>
      <w:r>
        <w:t xml:space="preserve"> </w:t>
      </w:r>
      <w:r>
        <w:t xml:space="preserve">Greek-speaking in its literature, worship-leadership, and elite formation — but the world is not only its Greek. The countryside spoke its own tongues alongside Greek (the persistence of indigenous Anatolian speech in the region is Widely Accepted as regional linguistic history; direct testimonia for church life in it are sparse — Inferential/Thin for any specific claim); the population the sources show us includes plateau farmers, herdsmen, artisans of Caesarea, the enslaved (Cappadocia was a slave-exporting region — Widely Accepted), miners and the poor of the famine years, and the curial-landowner class from which the world’s writers came. The boundary claim explicitly refuses to equate the world with its three most famous authors (Article 20 duty begins here; the Author Gravity problem of this world is severe and is treated at Doc_02).</w:t>
      </w:r>
    </w:p>
    <w:p>
      <w:pPr>
        <w:pStyle w:val="BodyText"/>
      </w:pPr>
      <w:r>
        <w:rPr>
          <w:b/>
        </w:rPr>
        <w:t xml:space="preserve">Recommended naming:</w:t>
      </w:r>
      <w:r>
        <w:t xml:space="preserve"> </w:t>
      </w:r>
      <w:r>
        <w:t xml:space="preserve">retain the registry identifier</w:t>
      </w:r>
      <w:r>
        <w:t xml:space="preserve"> </w:t>
      </w:r>
      <w:r>
        <w:rPr>
          <w:b/>
        </w:rPr>
        <w:t xml:space="preserve">Nicene-Cappadocian</w:t>
      </w:r>
      <w:r>
        <w:t xml:space="preserve"> </w:t>
      </w:r>
      <w:r>
        <w:t xml:space="preserve">(stable architectural identifier, code</w:t>
      </w:r>
      <w:r>
        <w:t xml:space="preserve"> </w:t>
      </w:r>
      <w:r>
        <w:rPr>
          <w:rStyle w:val="VerbatimChar"/>
        </w:rPr>
        <w:t xml:space="preserve">cappadocian</w:t>
      </w:r>
      <w:r>
        <w:t xml:space="preserve">), with the world’s own working self-description:</w:t>
      </w:r>
      <w:r>
        <w:t xml:space="preserve"> </w:t>
      </w:r>
      <w:r>
        <w:rPr>
          <w:b/>
        </w:rPr>
        <w:t xml:space="preserve">“</w:t>
      </w:r>
      <w:r>
        <w:rPr>
          <w:b/>
        </w:rPr>
        <w:t xml:space="preserve">the churches of Cappadocia and Pontus in the years the faith of Nicaea was fought for — from the peace after the last martyrs to the death of the last of the great household (c. 325 – c. 394).</w:t>
      </w:r>
      <w:r>
        <w:rPr>
          <w:b/>
        </w:rPr>
        <w:t xml:space="preserve">”</w:t>
      </w:r>
      <w:r>
        <w:t xml:space="preserve"> </w:t>
      </w:r>
      <w:r>
        <w:t xml:space="preserve">Plain statement for the record: read without these boundaries,</w:t>
      </w:r>
      <w:r>
        <w:t xml:space="preserve"> </w:t>
      </w:r>
      <w:r>
        <w:t xml:space="preserve">“</w:t>
      </w:r>
      <w:r>
        <w:t xml:space="preserve">Nicene-Cappadocian</w:t>
      </w:r>
      <w:r>
        <w:t xml:space="preserve">”</w:t>
      </w:r>
      <w:r>
        <w:t xml:space="preserve"> </w:t>
      </w:r>
      <w:r>
        <w:t xml:space="preserve">would wrongly claim Athanasius’ Alexandria on one side and Byzantine Cappadocia on the other; both belong to adjacent worlds.</w:t>
      </w:r>
    </w:p>
    <w:p>
      <w:r>
        <w:pict>
          <v:rect style="width:0;height:1.5pt" o:hralign="center" o:hrstd="t" o:hr="t"/>
        </w:pict>
      </w:r>
    </w:p>
    <w:p>
      <w:pPr>
        <w:pStyle w:val="Heading2"/>
      </w:pPr>
      <w:bookmarkStart w:id="23" w:name="X4c6c661ba2d67114ccddcee32bfac45185dd9fb"/>
      <w:r>
        <w:t xml:space="preserve">2. Distinct World Criteria (summary against Construction Framework Part I)</w:t>
      </w:r>
      <w:bookmarkEnd w:id="23"/>
    </w:p>
    <w:p>
      <w:pPr>
        <w:numPr>
          <w:ilvl w:val="0"/>
          <w:numId w:val="1002"/>
        </w:numPr>
        <w:pStyle w:val="Compact"/>
      </w:pPr>
      <w:r>
        <w:rPr>
          <w:b/>
        </w:rPr>
        <w:t xml:space="preserve">Recurring formation ecology:</w:t>
      </w:r>
      <w:r>
        <w:t xml:space="preserve"> </w:t>
      </w:r>
      <w:r>
        <w:t xml:space="preserve">household → catechesis → baptism into the Threefold Name → congregation, psalmody, festival → (for some) the brotherhood or sisterhood → the poor at the door. (Documented elements; Widely Accepted pattern.)</w:t>
      </w:r>
    </w:p>
    <w:p>
      <w:pPr>
        <w:numPr>
          <w:ilvl w:val="0"/>
          <w:numId w:val="1002"/>
        </w:numPr>
        <w:pStyle w:val="Compact"/>
      </w:pPr>
      <w:r>
        <w:rPr>
          <w:b/>
        </w:rPr>
        <w:t xml:space="preserve">Recurring gravities (candidates only at this step):</w:t>
      </w:r>
      <w:r>
        <w:t xml:space="preserve"> </w:t>
      </w:r>
      <w:r>
        <w:t xml:space="preserve">the Trinitarian confession under contest; doxology and worship as doctrine’s home; the ascetic-communal movement and its ordering; love of the poor institutionalized; paideia converted; the martyrs’ festivals; the household as formation lineage; the bishop as public patron; the pull between stillness and office. Formal testing deferred to Doc_04 — nothing here presupposes those outcomes.</w:t>
      </w:r>
    </w:p>
    <w:p>
      <w:pPr>
        <w:numPr>
          <w:ilvl w:val="0"/>
          <w:numId w:val="1002"/>
        </w:numPr>
        <w:pStyle w:val="Compact"/>
      </w:pPr>
      <w:r>
        <w:rPr>
          <w:b/>
        </w:rPr>
        <w:t xml:space="preserve">World continuity and distinction:</w:t>
      </w:r>
      <w:r>
        <w:t xml:space="preserve"> </w:t>
      </w:r>
      <w:r>
        <w:t xml:space="preserve">inherits from the third-century Anatolian mission its founding memory (Thaumaturgus), its martyr cult, its episcopal structure, and its Scriptures; inherits from Alexandria (at one remove, through Origen’s works) an exegetical and theological instrumentarium — shared material whose</w:t>
      </w:r>
      <w:r>
        <w:t xml:space="preserve"> </w:t>
      </w:r>
      <w:r>
        <w:rPr>
          <w:i/>
        </w:rPr>
        <w:t xml:space="preserve">function</w:t>
      </w:r>
      <w:r>
        <w:t xml:space="preserve"> </w:t>
      </w:r>
      <w:r>
        <w:t xml:space="preserve">here is different: Origen is read as a quarry and a discipline (the world’s own anthology-making from him is attested, though the attribution of the Philocalia to Basil and Gregory Nazianzen specifically is now questioned in scholarship — Contested, carried), not as the founder of a school the church must manage. Transmits to Byzantium the Trinitarian settlement’s classic texts, the ordered koinobion (through later codifications), the festal homily, and the model of the monk-bishop. Continuity acknowledged; distinct ecological function demonstrated rather than assumed (Differentiation Testing at Doc_09; the Alexandria blur risk is a named cross-build constraint and is addressed throughout this build).</w:t>
      </w:r>
    </w:p>
    <w:p>
      <w:r>
        <w:pict>
          <v:rect style="width:0;height:1.5pt" o:hralign="center" o:hrstd="t" o:hr="t"/>
        </w:pict>
      </w:r>
    </w:p>
    <w:p>
      <w:pPr>
        <w:pStyle w:val="Heading2"/>
      </w:pPr>
      <w:bookmarkStart w:id="24" w:name="X4342af28222fd33cf81067893e65043a4f30c9c"/>
      <w:r>
        <w:t xml:space="preserve">3. Strand Determination (Constitution Article 21)</w:t>
      </w:r>
      <w:bookmarkEnd w:id="24"/>
    </w:p>
    <w:p>
      <w:pPr>
        <w:pStyle w:val="FirstParagraph"/>
      </w:pPr>
      <w:r>
        <w:rPr>
          <w:b/>
        </w:rPr>
        <w:t xml:space="preserve">Finding: strand-singular, with two named internal fracture/tension lines that are not strands.</w:t>
      </w:r>
    </w:p>
    <w:p>
      <w:pPr>
        <w:pStyle w:val="BodyText"/>
      </w:pPr>
      <w:r>
        <w:t xml:space="preserve">The candidate strand-division most tempting on the surface — an</w:t>
      </w:r>
      <w:r>
        <w:t xml:space="preserve"> </w:t>
      </w:r>
      <w:r>
        <w:rPr>
          <w:b/>
        </w:rPr>
        <w:t xml:space="preserve">episcopal-civic strand</w:t>
      </w:r>
      <w:r>
        <w:t xml:space="preserve"> </w:t>
      </w:r>
      <w:r>
        <w:t xml:space="preserve">versus an</w:t>
      </w:r>
      <w:r>
        <w:t xml:space="preserve"> </w:t>
      </w:r>
      <w:r>
        <w:rPr>
          <w:b/>
        </w:rPr>
        <w:t xml:space="preserve">ascetic-household strand</w:t>
      </w:r>
      <w:r>
        <w:t xml:space="preserve"> </w:t>
      </w:r>
      <w:r>
        <w:t xml:space="preserve">— is declined on the evidence: the same persons and the same families inhabit both. Basil is the ascetic founder</w:t>
      </w:r>
      <w:r>
        <w:t xml:space="preserve"> </w:t>
      </w:r>
      <w:r>
        <w:rPr>
          <w:i/>
        </w:rPr>
        <w:t xml:space="preserve">and</w:t>
      </w:r>
      <w:r>
        <w:t xml:space="preserve"> </w:t>
      </w:r>
      <w:r>
        <w:t xml:space="preserve">the metropolitan; the household at Annisa produces the sisterhood’s leader (Macrina), two bishops (Basil, Gregory of Nyssa), a monk (Naucratius), and a third bishop from among the younger children (Peter of Sebaste); Gregory of Nazianzus is the contemplative who spends his life being conscripted into churches. The interpenetration is not a blur between strands; it is the world’s signature (to be tested as such at Doc_04). A world’s most distinctive feature should not be misclassified as its internal division.</w:t>
      </w:r>
    </w:p>
    <w:p>
      <w:pPr>
        <w:pStyle w:val="BodyText"/>
      </w:pPr>
      <w:r>
        <w:t xml:space="preserve">Two internal lines of fracture/tension are named instead, per the Framework’s distinction:</w:t>
      </w:r>
    </w:p>
    <w:p>
      <w:pPr>
        <w:numPr>
          <w:ilvl w:val="0"/>
          <w:numId w:val="1003"/>
        </w:numPr>
        <w:pStyle w:val="Compact"/>
      </w:pPr>
      <w:r>
        <w:rPr>
          <w:b/>
        </w:rPr>
        <w:t xml:space="preserve">The radical-ascetic line.</w:t>
      </w:r>
      <w:r>
        <w:t xml:space="preserve"> </w:t>
      </w:r>
      <w:r>
        <w:t xml:space="preserve">The ascetic ferment that swept Anatolia under Eustathius of Sebaste’s influence produced households abandoned, slaves encouraged to leave masters, fasts kept against the church’s feasts, and separatist conventicles — censured at the Council of Gangra (c. 340s; date Contested within a decade) — and the ordering of that ferment into disciplined, church-anchored community is one of this world’s principal labors. This is a fracture line</w:t>
      </w:r>
      <w:r>
        <w:t xml:space="preserve"> </w:t>
      </w:r>
      <w:r>
        <w:rPr>
          <w:i/>
        </w:rPr>
        <w:t xml:space="preserve">within</w:t>
      </w:r>
      <w:r>
        <w:t xml:space="preserve"> </w:t>
      </w:r>
      <w:r>
        <w:t xml:space="preserve">one formation world (the radicals and the reformers share the ascetic conviction, the region, and often the same teacher), not a distinct strand ecology. (Documented censures; the movement’s own inner life survives almost solely through its critics — adversarial transmission, flagged for Doc_02.)</w:t>
      </w:r>
    </w:p>
    <w:p>
      <w:pPr>
        <w:numPr>
          <w:ilvl w:val="0"/>
          <w:numId w:val="1003"/>
        </w:numPr>
        <w:pStyle w:val="Compact"/>
      </w:pPr>
      <w:r>
        <w:rPr>
          <w:b/>
        </w:rPr>
        <w:t xml:space="preserve">The pneumatological rupture.</w:t>
      </w:r>
      <w:r>
        <w:t xml:space="preserve"> </w:t>
      </w:r>
      <w:r>
        <w:t xml:space="preserve">Eustathius again: the world’s early ascetic mentor becomes, in the 370s, the named opponent over the Holy Spirit’s full divinity — the Pneumatomachian split runs through friendships, communion, and shared ascetic history, not between two formation patterns. Classified as fracture, not strand. (Documented arc via Basil’s letters; the opponents’ own voice thin — adversarial transmission.)</w:t>
      </w:r>
    </w:p>
    <w:p>
      <w:pPr>
        <w:pStyle w:val="FirstParagraph"/>
      </w:pPr>
      <w:r>
        <w:rPr>
          <w:b/>
        </w:rPr>
        <w:t xml:space="preserve">Cross-strand gravity testing at Doc_04</w:t>
      </w:r>
      <w:r>
        <w:t xml:space="preserve"> </w:t>
      </w:r>
      <w:r>
        <w:t xml:space="preserve">therefore reduces to testing candidates across the world’s documented</w:t>
      </w:r>
      <w:r>
        <w:t xml:space="preserve"> </w:t>
      </w:r>
      <w:r>
        <w:rPr>
          <w:i/>
        </w:rPr>
        <w:t xml:space="preserve">registers</w:t>
      </w:r>
      <w:r>
        <w:t xml:space="preserve"> </w:t>
      </w:r>
      <w:r>
        <w:t xml:space="preserve">(household, brotherhood, congregation, see) and across both fracture lines where evidence permits.</w:t>
      </w:r>
    </w:p>
    <w:p>
      <w:r>
        <w:pict>
          <v:rect style="width:0;height:1.5pt" o:hralign="center" o:hrstd="t" o:hr="t"/>
        </w:pict>
      </w:r>
    </w:p>
    <w:p>
      <w:pPr>
        <w:pStyle w:val="Heading2"/>
      </w:pPr>
      <w:bookmarkStart w:id="25" w:name="X8d14f6824fc2770c623658f04a2c190f1740368"/>
      <w:r>
        <w:t xml:space="preserve">4. Preliminary Forces Identification (Forces Framework Step 1 — orientation only)</w:t>
      </w:r>
      <w:bookmarkEnd w:id="25"/>
    </w:p>
    <w:p>
      <w:pPr>
        <w:pStyle w:val="FirstParagraph"/>
      </w:pPr>
      <w:r>
        <w:rPr>
          <w:b/>
        </w:rPr>
        <w:t xml:space="preserve">What generated this world:</w:t>
      </w:r>
      <w:r>
        <w:t xml:space="preserve"> </w:t>
      </w:r>
      <w:r>
        <w:t xml:space="preserve">the collision of three arrivals in one provincial landscape — the imperial church’s Trinitarian crisis (councils, creeds, exiles, court pressure) arriving from above; the ascetic movement arriving through Anatolia (Eustathius’ circle) into a landed Christian gentry already formed by confessor-memory and the Thaumaturgan mission; and Greek paideia’s full formation ladder (Caesarea, Constantinople, Athens) carrying the gentry’s sons out and back again.</w:t>
      </w:r>
    </w:p>
    <w:p>
      <w:pPr>
        <w:pStyle w:val="BodyText"/>
      </w:pPr>
      <w:r>
        <w:rPr>
          <w:b/>
        </w:rPr>
        <w:t xml:space="preserve">What larger world it was embedded in:</w:t>
      </w:r>
      <w:r>
        <w:t xml:space="preserve"> </w:t>
      </w:r>
      <w:r>
        <w:t xml:space="preserve">the eastern Roman highlands — a harsh-wintered agrarian plateau of great estates and vulnerable smallholders, a slave-exporting economy, the military road to the Armenian frontier, the imperial cursus and its governors, the Greek city with its rhetors and honor-economy, and an imperial court whose religious policy changed with each reign (Constantius, Julian, Valens, Theodosius).</w:t>
      </w:r>
    </w:p>
    <w:p>
      <w:pPr>
        <w:pStyle w:val="BodyText"/>
      </w:pPr>
      <w:r>
        <w:rPr>
          <w:b/>
        </w:rPr>
        <w:t xml:space="preserve">What it was responding to:</w:t>
      </w:r>
      <w:r>
        <w:t xml:space="preserve"> </w:t>
      </w:r>
      <w:r>
        <w:t xml:space="preserve">the demand to say precisely who God is, under pressure from a theology that claimed God’s essence could be captured in a definition (Eunomius) and a policy that enforced vaguer formulas (the Homoian court); the ascetic question (what must be renounced, and for what); famine and the naked need of the poor; Julian’s attempt to repossess Greek learning for the old gods; and its own grief — an era whose formation literature is strikingly full of deaths well or badly borne.</w:t>
      </w:r>
    </w:p>
    <w:p>
      <w:pPr>
        <w:pStyle w:val="BodyText"/>
      </w:pPr>
      <w:r>
        <w:rPr>
          <w:b/>
        </w:rPr>
        <w:t xml:space="preserve">What it was refusing:</w:t>
      </w:r>
      <w:r>
        <w:t xml:space="preserve"> </w:t>
      </w:r>
      <w:r>
        <w:t xml:space="preserve">a God comprehended and captured in definition; a Spirit demoted to creature; an asceticism that tears up household, church, and social bond in renunciation’s name (the Gangra line); wealth hoarded through famine; paideia surrendered — either to Julian’s claim that the classics belong to the gods, or to a Christian anti-intellectualism that would burn the school down; and the reduction of the church to the court’s instrument, under whichever formula the court currently favored.</w:t>
      </w:r>
    </w:p>
    <w:p>
      <w:pPr>
        <w:pStyle w:val="BodyText"/>
      </w:pPr>
      <w:r>
        <w:rPr>
          <w:b/>
        </w:rPr>
        <w:t xml:space="preserve">How this orientation governs Doc_02 scope:</w:t>
      </w:r>
      <w:r>
        <w:t xml:space="preserve"> </w:t>
      </w:r>
      <w:r>
        <w:t xml:space="preserve">seek sources across all the world’s registers, not only the three great corpora — canonical letters (the window on village sin and discipline), festal homilies (the window on crowd religion), monastic rules-in-formation, funeral orations and consolation letters (the grief register), correspondence with officials and pagans (the boundary register); seek the opponents wherever they survive in their own words (Eunomius’ first Apology survives; Eustathius survives almost only in Basil’s letters — the asymmetry is itself evidence); expect meaningful silences from the countryside, the enslaved, the sisterhoods’ own pens, and the defeated parties, and treat those silences as transmission effects to be named, not as absence of life; and watch the family-transmission pattern — much of this world’s record is one household and one friendship network writing, editing, publishing, and memorializing itself (an Author Gravity structure with no exact parallel in the project’s other worlds so far).</w:t>
      </w:r>
    </w:p>
    <w:p>
      <w:r>
        <w:pict>
          <v:rect style="width:0;height:1.5pt" o:hralign="center" o:hrstd="t" o:hr="t"/>
        </w:pict>
      </w:r>
    </w:p>
    <w:p>
      <w:pPr>
        <w:pStyle w:val="Heading2"/>
      </w:pPr>
      <w:bookmarkStart w:id="26" w:name="confidence-summary-for-doc_01"/>
      <w:r>
        <w:t xml:space="preserve">5. Confidence Summary for Doc_01</w:t>
      </w:r>
      <w:bookmarkEnd w:id="26"/>
    </w:p>
    <w:p>
      <w:pPr>
        <w:numPr>
          <w:ilvl w:val="0"/>
          <w:numId w:val="1004"/>
        </w:numPr>
        <w:pStyle w:val="Compact"/>
      </w:pPr>
      <w:r>
        <w:t xml:space="preserve">World coherence as a distinct formation ecology:</w:t>
      </w:r>
      <w:r>
        <w:t xml:space="preserve"> </w:t>
      </w:r>
      <w:r>
        <w:rPr>
          <w:b/>
        </w:rPr>
        <w:t xml:space="preserve">Widely Accepted</w:t>
      </w:r>
      <w:r>
        <w:t xml:space="preserve"> </w:t>
      </w:r>
      <w:r>
        <w:t xml:space="preserve">(construction synthesis of Documented elements).</w:t>
      </w:r>
    </w:p>
    <w:p>
      <w:pPr>
        <w:numPr>
          <w:ilvl w:val="0"/>
          <w:numId w:val="1004"/>
        </w:numPr>
        <w:pStyle w:val="Compact"/>
      </w:pPr>
      <w:r>
        <w:t xml:space="preserve">Beginning boundary c. 325:</w:t>
      </w:r>
      <w:r>
        <w:t xml:space="preserve"> </w:t>
      </w:r>
      <w:r>
        <w:rPr>
          <w:b/>
        </w:rPr>
        <w:t xml:space="preserve">Widely Accepted</w:t>
      </w:r>
      <w:r>
        <w:t xml:space="preserve">.</w:t>
      </w:r>
    </w:p>
    <w:p>
      <w:pPr>
        <w:numPr>
          <w:ilvl w:val="0"/>
          <w:numId w:val="1004"/>
        </w:numPr>
        <w:pStyle w:val="Compact"/>
      </w:pPr>
      <w:r>
        <w:t xml:space="preserve">Ending boundary c. 394:</w:t>
      </w:r>
      <w:r>
        <w:t xml:space="preserve"> </w:t>
      </w:r>
      <w:r>
        <w:rPr>
          <w:b/>
        </w:rPr>
        <w:t xml:space="preserve">Dominant Modern Reconstruction</w:t>
      </w:r>
      <w:r>
        <w:t xml:space="preserve"> </w:t>
      </w:r>
      <w:r>
        <w:t xml:space="preserve">(construction judgment; the softer edge; flagged for external review).</w:t>
      </w:r>
    </w:p>
    <w:p>
      <w:pPr>
        <w:numPr>
          <w:ilvl w:val="0"/>
          <w:numId w:val="1004"/>
        </w:numPr>
        <w:pStyle w:val="Compact"/>
      </w:pPr>
      <w:r>
        <w:t xml:space="preserve">Strand finding (strand-singular; interpenetration as signature; two fracture lines):</w:t>
      </w:r>
      <w:r>
        <w:t xml:space="preserve"> </w:t>
      </w:r>
      <w:r>
        <w:rPr>
          <w:b/>
        </w:rPr>
        <w:t xml:space="preserve">Widely Accepted</w:t>
      </w:r>
      <w:r>
        <w:t xml:space="preserve"> </w:t>
      </w:r>
      <w:r>
        <w:t xml:space="preserve">for the documented interpenetration; the</w:t>
      </w:r>
      <w:r>
        <w:t xml:space="preserve"> </w:t>
      </w:r>
      <w:r>
        <w:rPr>
          <w:i/>
        </w:rPr>
        <w:t xml:space="preserve">classification decision</w:t>
      </w:r>
      <w:r>
        <w:t xml:space="preserve"> </w:t>
      </w:r>
      <w:r>
        <w:t xml:space="preserve">is a construction judgment flagged for external review, since a reviewer could defensibly read the radical-ascetic line as a strand.</w:t>
      </w:r>
    </w:p>
    <w:p>
      <w:pPr>
        <w:numPr>
          <w:ilvl w:val="0"/>
          <w:numId w:val="1004"/>
        </w:numPr>
        <w:pStyle w:val="Compact"/>
      </w:pPr>
      <w:r>
        <w:t xml:space="preserve">Geographic and cultural scope:</w:t>
      </w:r>
      <w:r>
        <w:t xml:space="preserve"> </w:t>
      </w:r>
      <w:r>
        <w:rPr>
          <w:b/>
        </w:rPr>
        <w:t xml:space="preserve">Documented</w:t>
      </w:r>
      <w:r>
        <w:t xml:space="preserve"> </w:t>
      </w:r>
      <w:r>
        <w:t xml:space="preserve">for centers and sees; countryside and non-Greek-speaking church life</w:t>
      </w:r>
      <w:r>
        <w:t xml:space="preserve"> </w:t>
      </w:r>
      <w:r>
        <w:rPr>
          <w:b/>
        </w:rPr>
        <w:t xml:space="preserve">Inferential/Thin</w:t>
      </w:r>
      <w:r>
        <w:t xml:space="preserve"> </w:t>
      </w:r>
      <w:r>
        <w:t xml:space="preserve">in detail.</w:t>
      </w:r>
    </w:p>
    <w:p>
      <w:pPr>
        <w:numPr>
          <w:ilvl w:val="0"/>
          <w:numId w:val="1004"/>
        </w:numPr>
        <w:pStyle w:val="Compact"/>
      </w:pPr>
      <w:r>
        <w:t xml:space="preserve">Preliminary forces: orientation only; no confidence claims beyond the Documented events named.</w:t>
      </w:r>
    </w:p>
    <w:p>
      <w:pPr>
        <w:pStyle w:val="FirstParagraph"/>
      </w:pPr>
      <w:r>
        <w:rPr>
          <w:b/>
        </w:rPr>
        <w:t xml:space="preserve">Open questions deliberately left open for later steps:</w:t>
      </w:r>
      <w:r>
        <w:t xml:space="preserve"> </w:t>
      </w:r>
      <w:r>
        <w:t xml:space="preserve">whether the Trinitarian-doxological candidate is confirmed as the primary organizing gravity or the ascetic-philanthropic candidate organizes more of the ecology (Doc_04 only); whether</w:t>
      </w:r>
      <w:r>
        <w:t xml:space="preserve"> </w:t>
      </w:r>
      <w:r>
        <w:t xml:space="preserve">“</w:t>
      </w:r>
      <w:r>
        <w:t xml:space="preserve">paideia converted</w:t>
      </w:r>
      <w:r>
        <w:t xml:space="preserve">”</w:t>
      </w:r>
      <w:r>
        <w:t xml:space="preserve"> </w:t>
      </w:r>
      <w:r>
        <w:t xml:space="preserve">is a gravity or a condition (Doc_04); how much of the ascetic movement’s inner life is recoverable against the grain of its critics (Doc_02); whether the family-network texture is a gravity in its own right or the world’s transmission mechanism (Doc_04/Doc_08 — the distinction matters and must not be collapsed).</w:t>
      </w:r>
    </w:p>
    <w:p>
      <w:pPr>
        <w:pStyle w:val="BodyText"/>
      </w:pPr>
      <w:r>
        <w:rPr>
          <w:i/>
        </w:rPr>
        <w:t xml:space="preserve">No Representative content appears in this document (Doc_01 constraint honored).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2026-07-03T10:31:55Z</dcterms:created>
  <dcterms:modified xsi:type="dcterms:W3CDTF">2026-07-03T10:31:55Z</dcterms:modified>
</cp:coreProperties>
</file>

<file path=docProps/custom.xml><?xml version="1.0" encoding="utf-8"?>
<Properties xmlns="http://schemas.openxmlformats.org/officeDocument/2006/custom-properties" xmlns:vt="http://schemas.openxmlformats.org/officeDocument/2006/docPropsVTypes"/>
</file>