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6a4d94d8786796fde888ef868517ac3c49d231"/>
      <w:r>
        <w:t xml:space="preserve">World Introduction Brief — Nicene-Cappadocian (Output 8)</w:t>
      </w:r>
      <w:bookmarkEnd w:id="20"/>
    </w:p>
    <w:p>
      <w:pPr>
        <w:pStyle w:val="Heading2"/>
      </w:pPr>
      <w:bookmarkStart w:id="21" w:name="X7620305dab9859a9049407a31d377b7a6acca20"/>
      <w:r>
        <w:t xml:space="preserve">Facilitator opening-moment language, calibrated by participant type</w:t>
      </w:r>
      <w:bookmarkEnd w:id="21"/>
    </w:p>
    <w:p>
      <w:pPr>
        <w:pStyle w:val="FirstParagraph"/>
      </w:pPr>
      <w:r>
        <w:rPr>
          <w:i/>
        </w:rPr>
        <w:t xml:space="preserve">Read by the human Facilitator. Distinct from the Facilitation Brief (Output 6, comprehensive reference): this is only the opening-moment language for bringing Eumathios to the table. Adapt freely; do not read as script.</w:t>
      </w:r>
    </w:p>
    <w:p>
      <w:pPr>
        <w:pStyle w:val="BodyText"/>
      </w:pPr>
      <w:r>
        <w:rPr>
          <w:b/>
        </w:rPr>
        <w:t xml:space="preserve">Regular visitor:</w:t>
      </w:r>
      <w:r>
        <w:t xml:space="preserve"> </w:t>
      </w:r>
      <w:r>
        <w:t xml:space="preserve">“</w:t>
      </w:r>
      <w:r>
        <w:t xml:space="preserve">I’d like you to meet a voice from the mountain churches of fourth-century Anatolia — an elder whose work, his whole life, has been keeping the guest-door of a community: receiving strangers, feeding the poor, teaching anyone who asks. His people fought for a generation over the exact words of their worship, and he thinks precision and kindness are the same virtue. Ask him anything. The door is kept for guests.</w:t>
      </w:r>
      <w:r>
        <w:t xml:space="preserve">”</w:t>
      </w:r>
    </w:p>
    <w:p>
      <w:pPr>
        <w:pStyle w:val="BodyText"/>
      </w:pPr>
      <w:r>
        <w:rPr>
          <w:b/>
        </w:rPr>
        <w:t xml:space="preserve">Pastor or teacher:</w:t>
      </w:r>
      <w:r>
        <w:t xml:space="preserve"> </w:t>
      </w:r>
      <w:r>
        <w:t xml:space="preserve">“</w:t>
      </w:r>
      <w:r>
        <w:t xml:space="preserve">The voice I have in mind for you comes from the church that gave most of us our creed — but from inside the years when that creed was still being fought for, under emperors who confessed otherwise. He’s an elder of the early ascetic communities: formation by psalms and hours, wealth preached about in famine, grief handled better than almost anywhere in church history, and hard-won wisdom about ambition and calling — his world’s greatest leaders all fled ordination first. I suspect you’ll recognize more than you expect.</w:t>
      </w:r>
      <w:r>
        <w:t xml:space="preserve">”</w:t>
      </w:r>
    </w:p>
    <w:p>
      <w:pPr>
        <w:pStyle w:val="BodyText"/>
      </w:pPr>
      <w:r>
        <w:rPr>
          <w:b/>
        </w:rPr>
        <w:t xml:space="preserve">Academic or scholar:</w:t>
      </w:r>
      <w:r>
        <w:t xml:space="preserve"> </w:t>
      </w:r>
      <w:r>
        <w:t xml:space="preserve">“</w:t>
      </w:r>
      <w:r>
        <w:t xml:space="preserve">You’ll be speaking with a constructed voice from the Cappadocian-Pontic churches, c. 325 to c. 394 — positioned deliberately at the brotherhoods’ guest-door rather than inside the famous authorial circle at the world’s center, to avoid ventriloquizing the three great authors. The reconstruction is source-grounded with calibrated confidence throughout, and I want to be straight about its state: no external scholarly review yet, citations unverified, and the</w:t>
      </w:r>
      <w:r>
        <w:t xml:space="preserve"> </w:t>
      </w:r>
      <w:r>
        <w:t xml:space="preserve">‘</w:t>
      </w:r>
      <w:r>
        <w:t xml:space="preserve">Cappadocian settlement</w:t>
      </w:r>
      <w:r>
        <w:t xml:space="preserve">’</w:t>
      </w:r>
      <w:r>
        <w:t xml:space="preserve"> </w:t>
      </w:r>
      <w:r>
        <w:t xml:space="preserve">historiography is carried as contested rather than resolved — probe wherever you like, and what’s thin or disputed will be named as exactly that.</w:t>
      </w:r>
      <w:r>
        <w:t xml:space="preserve">”</w:t>
      </w:r>
    </w:p>
    <w:p>
      <w:pPr>
        <w:pStyle w:val="BodyText"/>
      </w:pPr>
      <w:r>
        <w:rPr>
          <w:b/>
        </w:rPr>
        <w:t xml:space="preserve">Deconstructing or reconstructing Christian:</w:t>
      </w:r>
      <w:r>
        <w:t xml:space="preserve"> </w:t>
      </w:r>
      <w:r>
        <w:t xml:space="preserve">“</w:t>
      </w:r>
      <w:r>
        <w:t xml:space="preserve">The voice here comes from the people who fought for the creed you may have grown up saying — but from before it won, when holding it meant watching bishops you loved sent into exile. He knows religious politics from inside: ambitious clergy, councils his own teachers came home sick of, a church that used power badly when it finally had some — and he doesn’t pretend otherwise. He won’t try to move you anywhere. He’s a witness, not a recruiter — and if anything lands hard, we can pause whenever you want.</w:t>
      </w:r>
      <w:r>
        <w:t xml:space="preserve">”</w:t>
      </w:r>
    </w:p>
    <w:p>
      <w:pPr>
        <w:pStyle w:val="BodyText"/>
      </w:pPr>
      <w:r>
        <w:rPr>
          <w:b/>
        </w:rPr>
        <w:t xml:space="preserve">Universal cautions for the opening moment:</w:t>
      </w:r>
      <w:r>
        <w:t xml:space="preserve"> </w:t>
      </w:r>
      <w:r>
        <w:t xml:space="preserve">never name Basil, the Gregories, or</w:t>
      </w:r>
      <w:r>
        <w:t xml:space="preserve"> </w:t>
      </w:r>
      <w:r>
        <w:t xml:space="preserve">“</w:t>
      </w:r>
      <w:r>
        <w:t xml:space="preserve">the Cappadocian Fathers</w:t>
      </w:r>
      <w:r>
        <w:t xml:space="preserve">”</w:t>
      </w:r>
      <w:r>
        <w:t xml:space="preserve"> </w:t>
      </w:r>
      <w:r>
        <w:t xml:space="preserve">in the introduction itself (let the world’s own encounter introduce its figures); never call the world’s creed</w:t>
      </w:r>
      <w:r>
        <w:t xml:space="preserve"> </w:t>
      </w:r>
      <w:r>
        <w:t xml:space="preserve">“</w:t>
      </w:r>
      <w:r>
        <w:t xml:space="preserve">your creed</w:t>
      </w:r>
      <w:r>
        <w:t xml:space="preserve">”</w:t>
      </w:r>
      <w:r>
        <w:t xml:space="preserve"> </w:t>
      </w:r>
      <w:r>
        <w:t xml:space="preserve">to the participant — let them discover the connection themselves; never promise</w:t>
      </w:r>
      <w:r>
        <w:t xml:space="preserve"> </w:t>
      </w:r>
      <w:r>
        <w:t xml:space="preserve">“</w:t>
      </w:r>
      <w:r>
        <w:t xml:space="preserve">accuracy</w:t>
      </w:r>
      <w:r>
        <w:t xml:space="preserve">”</w:t>
      </w:r>
      <w:r>
        <w:t xml:space="preserve"> </w:t>
      </w:r>
      <w:r>
        <w:t xml:space="preserve">without the prototype caveat where the setting calls for it (Article 36); the introduction must make a guest feel received at a door,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2026-07-03T10:31:57Z</dcterms:created>
  <dcterms:modified xsi:type="dcterms:W3CDTF">2026-07-03T10:31:57Z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