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28"/>
          <w:szCs w:val="28"/>
        </w:rPr>
        <w:t xml:space="preserve">ARTICLES OF INCORPORATION — DRAFT</w:t>
      </w:r>
    </w:p>
    <w:p>
      <w:pPr>
        <w:spacing w:after="30"/>
        <w:jc w:val="center"/>
      </w:pPr>
      <w:r>
        <w:rPr>
          <w:sz w:val="23"/>
          <w:szCs w:val="23"/>
        </w:rPr>
        <w:t xml:space="preserve">Church in Conversation — a Colorado Nonprofit Corporation</w:t>
      </w:r>
    </w:p>
    <w:p>
      <w:pPr>
        <w:spacing w:after="200"/>
        <w:jc w:val="center"/>
      </w:pPr>
      <w:r>
        <w:rPr>
          <w:i/>
          <w:iCs/>
          <w:sz w:val="18"/>
          <w:szCs w:val="18"/>
        </w:rPr>
        <w:t xml:space="preserve">DRAFT V0.1 · July 16, 2026 · Prepared for attorney review — NOT legal advice, NOT for filing as-is. Bracketed items are placeholders. The attorney consult already on the formation roadmap reviews and finalizes this.</w:t>
      </w:r>
    </w:p>
    <w:p>
      <w:pPr>
        <w:pStyle w:val="Heading1"/>
        <w:spacing w:after="100" w:before="240"/>
      </w:pPr>
      <w:r>
        <w:rPr>
          <w:color w:val="1F3864"/>
          <w:sz w:val="25"/>
          <w:szCs w:val="25"/>
        </w:rPr>
        <w:t xml:space="preserve">Article I — Name</w:t>
      </w:r>
    </w:p>
    <w:p>
      <w:pPr>
        <w:spacing w:after="95"/>
      </w:pPr>
      <w:r>
        <w:t xml:space="preserve">The name of the corporation is Church in Conversation. [Attorney: confirm name availability with the Colorado Secretary of State; alternates if taken: “Church in Conversation Ministries,” “The Church in Conversation Project.”]</w:t>
      </w:r>
    </w:p>
    <w:p>
      <w:pPr>
        <w:pStyle w:val="Heading1"/>
        <w:spacing w:after="100" w:before="240"/>
      </w:pPr>
      <w:r>
        <w:rPr>
          <w:color w:val="1F3864"/>
          <w:sz w:val="25"/>
          <w:szCs w:val="25"/>
        </w:rPr>
        <w:t xml:space="preserve">Article II — Duration and Type</w:t>
      </w:r>
    </w:p>
    <w:p>
      <w:pPr>
        <w:spacing w:after="95"/>
      </w:pPr>
      <w:r>
        <w:t xml:space="preserve">The corporation is a nonprofit corporation organized under the Colorado Revised Nonprofit Corporation Act, C.R.S. § 7-121-101 et seq., with perpetual duration. The corporation shall have no members; governance is vested in the Board of Directors.</w:t>
      </w:r>
    </w:p>
    <w:p>
      <w:pPr>
        <w:pStyle w:val="Heading1"/>
        <w:spacing w:after="100" w:before="240"/>
      </w:pPr>
      <w:r>
        <w:rPr>
          <w:color w:val="1F3864"/>
          <w:sz w:val="25"/>
          <w:szCs w:val="25"/>
        </w:rPr>
        <w:t xml:space="preserve">Article III — Purpose</w:t>
      </w:r>
    </w:p>
    <w:p>
      <w:pPr>
        <w:spacing w:after="95"/>
      </w:pPr>
      <w:r>
        <w:t xml:space="preserve">The corporation is organized exclusively for charitable, religious, and educational purposes within the meaning of Section 501(c)(3) of the Internal Revenue Code, or the corresponding section of any future federal tax code. Its specific purpose is </w:t>
      </w:r>
      <w:r>
        <w:rPr>
          <w:b/>
          <w:bCs/>
        </w:rPr>
        <w:t xml:space="preserve">to help people experience Jesus in new ways through engagement with the living traditions and practices of His Church throughout history and today</w:t>
      </w:r>
      <w:r>
        <w:t xml:space="preserve"> — including, without limitation: reconstructing historical Christian communities from their primary sources with scholarly rigor and published methodology; making those reconstructions available to the public through honest, transparent, conversational encounter; supporting religious and historical education in churches, schools, seminaries, and homes; and pursuing related research, publication, and educational activity.</w:t>
      </w:r>
    </w:p>
    <w:p>
      <w:pPr>
        <w:pStyle w:val="Heading1"/>
        <w:spacing w:after="100" w:before="240"/>
      </w:pPr>
      <w:r>
        <w:rPr>
          <w:color w:val="1F3864"/>
          <w:sz w:val="25"/>
          <w:szCs w:val="25"/>
        </w:rPr>
        <w:t xml:space="preserve">Article IV — Foundational Commitments (Mission Lock)</w:t>
      </w:r>
    </w:p>
    <w:p>
      <w:pPr>
        <w:spacing w:after="95"/>
      </w:pPr>
      <w:r>
        <w:t xml:space="preserve">The following commitments are constitutive of the corporation’s charitable purpose, and every exercise of corporate power is subject to them. [Attorney: goal is maximum durable bindingness — placed here rather than only in bylaws precisely so amendment is hardest.]</w:t>
      </w:r>
    </w:p>
    <w:p>
      <w:pPr>
        <w:pStyle w:val="ListParagraph"/>
        <w:numPr>
          <w:ilvl w:val="0"/>
          <w:numId w:val="2"/>
        </w:numPr>
        <w:spacing w:after="55"/>
      </w:pPr>
      <w:r>
        <w:rPr>
          <w:b/>
          <w:bCs/>
        </w:rPr>
        <w:t xml:space="preserve">Access. </w:t>
      </w:r>
      <w:r>
        <w:t xml:space="preserve">The corporation’s core encounter offering shall always be available free of charge to individual seekers. Fees, licenses, and tiers may fund that access; they shall never replace it.</w:t>
      </w:r>
    </w:p>
    <w:p>
      <w:pPr>
        <w:pStyle w:val="ListParagraph"/>
        <w:numPr>
          <w:ilvl w:val="0"/>
          <w:numId w:val="2"/>
        </w:numPr>
        <w:spacing w:after="55"/>
      </w:pPr>
      <w:r>
        <w:rPr>
          <w:b/>
          <w:bCs/>
        </w:rPr>
        <w:t xml:space="preserve">Witness, not recruitment. </w:t>
      </w:r>
      <w:r>
        <w:t xml:space="preserve">The corporation’s programs shall not be designed to persuade participants toward any tradition, position, or outcome. The corporation shall not measure, target, or report religious conversion as an outcome of its work.</w:t>
      </w:r>
    </w:p>
    <w:p>
      <w:pPr>
        <w:pStyle w:val="ListParagraph"/>
        <w:numPr>
          <w:ilvl w:val="0"/>
          <w:numId w:val="2"/>
        </w:numPr>
        <w:spacing w:after="55"/>
      </w:pPr>
      <w:r>
        <w:rPr>
          <w:b/>
          <w:bCs/>
        </w:rPr>
        <w:t xml:space="preserve">Transparency never gated. </w:t>
      </w:r>
      <w:r>
        <w:t xml:space="preserve">The evidentiary transparency of the corporation’s reconstructions (sources, confidence, limitations) shall be available to every participant at every access tier, without exception.</w:t>
      </w:r>
    </w:p>
    <w:p>
      <w:pPr>
        <w:pStyle w:val="ListParagraph"/>
        <w:numPr>
          <w:ilvl w:val="0"/>
          <w:numId w:val="2"/>
        </w:numPr>
        <w:spacing w:after="55"/>
      </w:pPr>
      <w:r>
        <w:rPr>
          <w:b/>
          <w:bCs/>
        </w:rPr>
        <w:t xml:space="preserve">No engagement optimization. </w:t>
      </w:r>
      <w:r>
        <w:t xml:space="preserve">No program, product, or system of the corporation shall be designed or configured to maximize participant engagement duration, return frequency, or emotional dependency as an objective.</w:t>
      </w:r>
    </w:p>
    <w:p>
      <w:pPr>
        <w:pStyle w:val="ListParagraph"/>
        <w:numPr>
          <w:ilvl w:val="0"/>
          <w:numId w:val="2"/>
        </w:numPr>
        <w:spacing w:after="55"/>
      </w:pPr>
      <w:r>
        <w:rPr>
          <w:b/>
          <w:bCs/>
        </w:rPr>
        <w:t xml:space="preserve">Independent accountability. </w:t>
      </w:r>
      <w:r>
        <w:t xml:space="preserve">The corporation’s historical reconstructions shall be subject to independent external scholarly review, honestly disclosed, and never represented as validated on internal review alone.</w:t>
      </w:r>
    </w:p>
    <w:p>
      <w:pPr>
        <w:pStyle w:val="ListParagraph"/>
        <w:numPr>
          <w:ilvl w:val="0"/>
          <w:numId w:val="2"/>
        </w:numPr>
        <w:spacing w:after="55"/>
      </w:pPr>
      <w:r>
        <w:rPr>
          <w:b/>
          <w:bCs/>
        </w:rPr>
        <w:t xml:space="preserve">Money buys access, never voice. </w:t>
      </w:r>
      <w:r>
        <w:t xml:space="preserve">No gift, grant, or sponsorship shall determine, alter, or soften the content or testimony of the corporation’s reconstructions. The Board shall maintain a gift-acceptance policy implementing this commitment.</w:t>
      </w:r>
    </w:p>
    <w:p>
      <w:pPr>
        <w:spacing w:after="95"/>
      </w:pPr>
      <w:r>
        <w:rPr>
          <w:b/>
          <w:bCs/>
        </w:rPr>
        <w:t xml:space="preserve">Amendment protection: </w:t>
      </w:r>
      <w:r>
        <w:t xml:space="preserve">This Article IV and Article VIII may be amended only by the affirmative vote of at least four-fifths (4/5) of all directors then in office, including a majority of the independent directors. [Attorney: confirm enforceability and best mechanism under C.R.S.]</w:t>
      </w:r>
    </w:p>
    <w:p>
      <w:pPr>
        <w:pStyle w:val="Heading1"/>
        <w:spacing w:after="100" w:before="240"/>
      </w:pPr>
      <w:r>
        <w:rPr>
          <w:color w:val="1F3864"/>
          <w:sz w:val="25"/>
          <w:szCs w:val="25"/>
        </w:rPr>
        <w:t xml:space="preserve">Article V — Limitations (IRS Required Language)</w:t>
      </w:r>
    </w:p>
    <w:p>
      <w:pPr>
        <w:pStyle w:val="ListParagraph"/>
        <w:numPr>
          <w:ilvl w:val="0"/>
          <w:numId w:val="2"/>
        </w:numPr>
        <w:spacing w:after="55"/>
      </w:pPr>
      <w:r>
        <w:t xml:space="preserve">No part of the net earnings of the corporation shall inure to the benefit of, or be distributable to, its directors, officers, or other private persons, except that the corporation is authorized to pay reasonable compensation for services rendered and to make payments and distributions in furtherance of its purposes.</w:t>
      </w:r>
    </w:p>
    <w:p>
      <w:pPr>
        <w:pStyle w:val="ListParagraph"/>
        <w:numPr>
          <w:ilvl w:val="0"/>
          <w:numId w:val="2"/>
        </w:numPr>
        <w:spacing w:after="55"/>
      </w:pPr>
      <w:r>
        <w:t xml:space="preserve">No substantial part of the corporation’s activities shall consist of carrying on propaganda or otherwise attempting to influence legislation, and the corporation shall not participate or intervene in any political campaign on behalf of or in opposition to any candidate for public office.</w:t>
      </w:r>
    </w:p>
    <w:p>
      <w:pPr>
        <w:pStyle w:val="ListParagraph"/>
        <w:numPr>
          <w:ilvl w:val="0"/>
          <w:numId w:val="2"/>
        </w:numPr>
        <w:spacing w:after="55"/>
      </w:pPr>
      <w:r>
        <w:t xml:space="preserve">Notwithstanding any other provision, the corporation shall not carry on any activities not permitted (a) by a corporation exempt under Section 501(c)(3), or (b) by a corporation to which contributions are deductible under Section 170(c)(2).</w:t>
      </w:r>
    </w:p>
    <w:p>
      <w:pPr>
        <w:pStyle w:val="Heading1"/>
        <w:spacing w:after="100" w:before="240"/>
      </w:pPr>
      <w:r>
        <w:rPr>
          <w:color w:val="1F3864"/>
          <w:sz w:val="25"/>
          <w:szCs w:val="25"/>
        </w:rPr>
        <w:t xml:space="preserve">Article VI — Directors</w:t>
      </w:r>
    </w:p>
    <w:p>
      <w:pPr>
        <w:spacing w:after="95"/>
      </w:pPr>
      <w:r>
        <w:t xml:space="preserve">The number, terms, election, and qualifications of directors shall be as set forth in the bylaws, provided that the Board shall consist of no fewer than five (5) directors, a majority of whom shall at all times be independent — neither related by family (within the meaning applied by the IRS for Form 990 reporting) to, nor in a compensated or business relationship with, the founder or any officer. Initial directors: [names and addresses — to be completed as board recruitment concludes].</w:t>
      </w:r>
    </w:p>
    <w:p>
      <w:pPr>
        <w:pStyle w:val="Heading1"/>
        <w:spacing w:after="100" w:before="240"/>
      </w:pPr>
      <w:r>
        <w:rPr>
          <w:color w:val="1F3864"/>
          <w:sz w:val="25"/>
          <w:szCs w:val="25"/>
        </w:rPr>
        <w:t xml:space="preserve">Article VII — Registered Agent and Principal Office</w:t>
      </w:r>
    </w:p>
    <w:p>
      <w:pPr>
        <w:spacing w:after="95"/>
      </w:pPr>
      <w:r>
        <w:t xml:space="preserve">[Registered agent name and Colorado street address.] [Principal office address.]</w:t>
      </w:r>
    </w:p>
    <w:p>
      <w:pPr>
        <w:pStyle w:val="Heading1"/>
        <w:spacing w:after="100" w:before="240"/>
      </w:pPr>
      <w:r>
        <w:rPr>
          <w:color w:val="1F3864"/>
          <w:sz w:val="25"/>
          <w:szCs w:val="25"/>
        </w:rPr>
        <w:t xml:space="preserve">Article VIII — Dissolution</w:t>
      </w:r>
    </w:p>
    <w:p>
      <w:pPr>
        <w:spacing w:after="95"/>
      </w:pPr>
      <w:r>
        <w:t xml:space="preserve">Upon dissolution, after payment of liabilities, all remaining assets shall be distributed to one or more organizations exempt under Section 501(c)(3) whose purposes are consistent with Article III and, to the extent practicable, with the Foundational Commitments of Article IV — or to the federal, state, or local government for a public purpose. No assets shall be distributed to any director, officer, or private person.</w:t>
      </w:r>
    </w:p>
    <w:p>
      <w:pPr>
        <w:pStyle w:val="Heading1"/>
        <w:spacing w:after="100" w:before="240"/>
      </w:pPr>
      <w:r>
        <w:rPr>
          <w:color w:val="1F3864"/>
          <w:sz w:val="25"/>
          <w:szCs w:val="25"/>
        </w:rPr>
        <w:t xml:space="preserve">Article IX — Incorporator</w:t>
      </w:r>
    </w:p>
    <w:p>
      <w:pPr>
        <w:spacing w:after="95"/>
      </w:pPr>
      <w:r>
        <w:t xml:space="preserve">Mark Chadwick, [address]. [Attorney: confirm whether Mark files as incorporator or the attorney does.]</w:t>
      </w:r>
    </w:p>
    <w:p>
      <w:pPr>
        <w:spacing w:after="95"/>
      </w:pPr>
      <w:r>
        <w:rPr>
          <w:i/>
          <w:iCs/>
        </w:rPr>
        <w:t xml:space="preserve">Prepared from the project’s governing documents: Vision V1.1, Constitution V2.2 (Articles 5, 6, 24, 30, 31, 33, 34), and the Organizational Covenant V0.1 (2026-07-16). The covenant’s full text accompanies this draft as charter input.</w:t>
      </w:r>
    </w:p>
    <w:sectPr>
      <w:pgSz w:w="12240" w:h="15840" w:orient="portrait"/>
      <w:pgMar w:top="900" w:right="1180" w:bottom="9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2026-07-16T18:15:43.730Z</dcterms:created>
  <dcterms:modified xsi:type="dcterms:W3CDTF">2026-07-16T18:15:43.731Z</dcterms:modified>
</cp:coreProperties>
</file>

<file path=docProps/custom.xml><?xml version="1.0" encoding="utf-8"?>
<Properties xmlns="http://schemas.openxmlformats.org/officeDocument/2006/custom-properties" xmlns:vt="http://schemas.openxmlformats.org/officeDocument/2006/docPropsVTypes"/>
</file>