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40"/>
          <w:szCs w:val="40"/>
        </w:rPr>
        <w:t xml:space="preserve">CHURCH IN CONVERSATION</w:t>
      </w:r>
    </w:p>
    <w:p>
      <w:pPr>
        <w:spacing w:after="60"/>
        <w:jc w:val="center"/>
      </w:pPr>
      <w:r>
        <w:rPr>
          <w:sz w:val="30"/>
          <w:szCs w:val="30"/>
        </w:rPr>
        <w:t xml:space="preserve">Growth Plan — Business &amp; Ministry Scoping</w:t>
      </w:r>
    </w:p>
    <w:p>
      <w:pPr>
        <w:spacing w:after="300"/>
        <w:jc w:val="center"/>
      </w:pPr>
      <w:r>
        <w:rPr>
          <w:i/>
          <w:iCs/>
          <w:sz w:val="20"/>
          <w:szCs w:val="20"/>
        </w:rPr>
        <w:t xml:space="preserve">DRAFT V0.1 · July 16, 2026 · Internal planning document · Ministry/Funding</w:t>
      </w:r>
    </w:p>
    <w:p>
      <w:pPr>
        <w:pStyle w:val="Heading1"/>
        <w:spacing w:after="140" w:before="320"/>
      </w:pPr>
      <w:r>
        <w:rPr>
          <w:color w:val="1F3864"/>
        </w:rPr>
        <w:t xml:space="preserve">How to Read This Document</w:t>
      </w:r>
    </w:p>
    <w:p>
      <w:pPr>
        <w:spacing w:after="120"/>
      </w:pPr>
      <w:r>
        <w:t xml:space="preserve">This is the </w:t>
      </w:r>
      <w:r>
        <w:rPr>
          <w:b/>
          <w:bCs/>
        </w:rPr>
        <w:t xml:space="preserve">internal growth map</w:t>
      </w:r>
      <w:r>
        <w:t xml:space="preserve"> — the document that answers, in one place, “how does this grow from a ten-tester prototype into a ministry at scale without bending what it is?” It sits deliberately </w:t>
      </w:r>
      <w:r>
        <w:rPr>
          <w:b/>
          <w:bCs/>
        </w:rPr>
        <w:t xml:space="preserve">underneath</w:t>
      </w:r>
      <w:r>
        <w:t xml:space="preserve"> the Ministry Proposal Packet, never beside it: the packet remains the single outward-facing document (per the one-master-packet decision, 2026-07-15), and numbers or milestones from this plan flow into packet revisions rather than being shown to partners separately. Nothing here re-derives what other documents already own: unit economics and budgets live in the Phase 1 Budget workbook and the packet; the funding rings and named targets live in the funding decision log (2026-07-15); tier pricing and the cross-subsidy architecture were fixed 2026-07-13. This plan integrates them into a growth arc and adds what did not exist yet: the product ladder, the scale scenarios as ministry stages, the partnership architecture, and the guardrails that keep growth accountable to the Convictions.</w:t>
      </w:r>
    </w:p>
    <w:p>
      <w:pPr>
        <w:spacing w:after="120"/>
      </w:pPr>
      <w:r>
        <w:t xml:space="preserve">Two governing documents outrank everything here: the Vision (V1.1) and the Constitution (V2.2). Where anything in this plan conflicts with them, this plan is wrong. </w:t>
      </w:r>
      <w:r>
        <w:rPr>
          <w:i/>
          <w:iCs/>
        </w:rPr>
        <w:t xml:space="preserve">Where efficiency and rigor conflict, rigor governs.</w:t>
      </w:r>
    </w:p>
    <w:p>
      <w:pPr>
        <w:pStyle w:val="Heading1"/>
        <w:spacing w:after="140" w:before="320"/>
      </w:pPr>
      <w:r>
        <w:rPr>
          <w:color w:val="1F3864"/>
        </w:rPr>
        <w:t xml:space="preserve">1. Where We Are (July 2026)</w:t>
      </w:r>
    </w:p>
    <w:p>
      <w:pPr>
        <w:pStyle w:val="ListParagraph"/>
        <w:numPr>
          <w:ilvl w:val="0"/>
          <w:numId w:val="2"/>
        </w:numPr>
        <w:spacing w:after="80"/>
      </w:pPr>
      <w:r>
        <w:rPr>
          <w:b/>
          <w:bCs/>
        </w:rPr>
        <w:t xml:space="preserve">Product: </w:t>
      </w:r>
      <w:r>
        <w:t xml:space="preserve">Five worlds live and conversing well (Chloe, Theon, Mar Yausep, Papnoute, Albina); four more ready for development — nine total for Phase 1. Three-tier hover/click transparency working in proof-testing. Prototype 1 launches this week: 10–12 invited testers, each able to forward to one interested friend (15–25 expected participants), pre/post surveys, per-tester session caps, on Bedrock inside AWS credits (~$0 cash inference). P1 already carries two modes: individual interviews with one Representative, and multi-world Table conversations seating up to 3 of the 4 live worlds.</w:t>
      </w:r>
    </w:p>
    <w:p>
      <w:pPr>
        <w:pStyle w:val="ListParagraph"/>
        <w:numPr>
          <w:ilvl w:val="0"/>
          <w:numId w:val="2"/>
        </w:numPr>
        <w:spacing w:after="80"/>
      </w:pPr>
      <w:r>
        <w:rPr>
          <w:b/>
          <w:bCs/>
        </w:rPr>
        <w:t xml:space="preserve">Structure: </w:t>
      </w:r>
      <w:r>
        <w:t xml:space="preserve">DECIDED — earned-revenue nonprofit; entity registered by ~Q1 2027 (Praxis 2028 eligibility; next Lilly wave via/alongside an institutional partner). Board design floor: 5 seats, 3 clean independents.</w:t>
      </w:r>
    </w:p>
    <w:p>
      <w:pPr>
        <w:pStyle w:val="ListParagraph"/>
        <w:numPr>
          <w:ilvl w:val="0"/>
          <w:numId w:val="2"/>
        </w:numPr>
        <w:spacing w:after="80"/>
      </w:pPr>
      <w:r>
        <w:rPr>
          <w:b/>
          <w:bCs/>
        </w:rPr>
        <w:t xml:space="preserve">Money: </w:t>
      </w:r>
      <w:r>
        <w:t xml:space="preserve">$750 founder-funded to date. Ring 1 (warm network, $7.5K to Prototype 2) is the only open lane until P1 evidence exists. Cross-subsidy model fixed: free tier for lay users · supporter ~$8/mo · academic $750–1,500/yr · church $1,000–2,500/yr; transparency never gated at any tier.</w:t>
      </w:r>
    </w:p>
    <w:p>
      <w:pPr>
        <w:pStyle w:val="ListParagraph"/>
        <w:numPr>
          <w:ilvl w:val="0"/>
          <w:numId w:val="2"/>
        </w:numPr>
        <w:spacing w:after="80"/>
      </w:pPr>
      <w:r>
        <w:rPr>
          <w:b/>
          <w:bCs/>
        </w:rPr>
        <w:t xml:space="preserve">Validation: </w:t>
      </w:r>
      <w:r>
        <w:t xml:space="preserve">Article 31 external scholarly review not yet performed; a real lead exists (former TEDS Church History professor). Holistic-review model priced ($2,000–3,500/reviewer; $1,000–1,500 relational).</w:t>
      </w:r>
    </w:p>
    <w:p>
      <w:pPr>
        <w:pStyle w:val="ListParagraph"/>
        <w:numPr>
          <w:ilvl w:val="0"/>
          <w:numId w:val="2"/>
        </w:numPr>
        <w:spacing w:after="80"/>
      </w:pPr>
      <w:r>
        <w:rPr>
          <w:b/>
          <w:bCs/>
        </w:rPr>
        <w:t xml:space="preserve">Market position (Marketplace scan, 2026-07-16): </w:t>
      </w:r>
      <w:r>
        <w:t xml:space="preserve">two genuinely unoccupied positions — reconstructing historical Christian </w:t>
      </w:r>
      <w:r>
        <w:rPr>
          <w:i/>
          <w:iCs/>
        </w:rPr>
        <w:t xml:space="preserve">communities</w:t>
      </w:r>
      <w:r>
        <w:t xml:space="preserve"> (not named individuals), and participant-visible confidence calibration mid-conversation. No competitor found with a constitution forbidding persuasion and engagement-optimization. The realistic scale model is BibleProject (nonprofit, donor-funded, free, a decade to millions), not the venture-funded devotional apps.</w:t>
      </w:r>
    </w:p>
    <w:p>
      <w:pPr>
        <w:pStyle w:val="Heading1"/>
        <w:spacing w:after="140" w:before="320"/>
      </w:pPr>
      <w:r>
        <w:rPr>
          <w:color w:val="1F3864"/>
        </w:rPr>
        <w:t xml:space="preserve">2. The Growth Thesis</w:t>
      </w:r>
    </w:p>
    <w:p>
      <w:pPr>
        <w:spacing w:after="120"/>
      </w:pPr>
      <w:r>
        <w:t xml:space="preserve">The marketplace evidence is consistent: </w:t>
      </w:r>
      <w:r>
        <w:rPr>
          <w:b/>
          <w:bCs/>
        </w:rPr>
        <w:t xml:space="preserve">comfort scales effortlessly; encounter does not.</w:t>
      </w:r>
      <w:r>
        <w:t xml:space="preserve"> Devotional apps that ask nothing of the user raise $100M and reach tens of millions. Products built on genuine encounter grow a different way — through </w:t>
      </w:r>
      <w:r>
        <w:rPr>
          <w:b/>
          <w:bCs/>
        </w:rPr>
        <w:t xml:space="preserve">structure</w:t>
      </w:r>
      <w:r>
        <w:t xml:space="preserve"> (guided experiences, not blank prompts), </w:t>
      </w:r>
      <w:r>
        <w:rPr>
          <w:b/>
          <w:bCs/>
        </w:rPr>
        <w:t xml:space="preserve">institutions</w:t>
      </w:r>
      <w:r>
        <w:t xml:space="preserve"> (classrooms, congregations, and seminaries that adopt programs), and </w:t>
      </w:r>
      <w:r>
        <w:rPr>
          <w:b/>
          <w:bCs/>
        </w:rPr>
        <w:t xml:space="preserve">story</w:t>
      </w:r>
      <w:r>
        <w:t xml:space="preserve"> (testimony that moves donors and partners). Every durable analogue — BibleProject, Dimensions in Testimony, Colonial Williamsburg — scaled through those three, and none through engagement mechanics.</w:t>
      </w:r>
    </w:p>
    <w:p>
      <w:pPr>
        <w:spacing w:after="120"/>
      </w:pPr>
      <w:r>
        <w:t xml:space="preserve">This is not a limitation to work around. The Constitution already forbids the shortcuts (Article 34), so the only road available is also the right one. The growth plan therefore has three engines, and every stage below runs on all three:</w:t>
      </w:r>
    </w:p>
    <w:p>
      <w:pPr>
        <w:pStyle w:val="ListParagraph"/>
        <w:numPr>
          <w:ilvl w:val="0"/>
          <w:numId w:val="2"/>
        </w:numPr>
        <w:spacing w:after="80"/>
      </w:pPr>
      <w:r>
        <w:rPr>
          <w:b/>
          <w:bCs/>
        </w:rPr>
        <w:t xml:space="preserve">Structure engine: </w:t>
      </w:r>
      <w:r>
        <w:t xml:space="preserve">the product ladder (§3) — each rung converts open-ended chat into a formed experience more institutions can adopt.</w:t>
      </w:r>
    </w:p>
    <w:p>
      <w:pPr>
        <w:pStyle w:val="ListParagraph"/>
        <w:numPr>
          <w:ilvl w:val="0"/>
          <w:numId w:val="2"/>
        </w:numPr>
        <w:spacing w:after="80"/>
      </w:pPr>
      <w:r>
        <w:rPr>
          <w:b/>
          <w:bCs/>
        </w:rPr>
        <w:t xml:space="preserve">Institution engine: </w:t>
      </w:r>
      <w:r>
        <w:t xml:space="preserve">the partnership architecture (§5) — anchor seminary first, then network effects.</w:t>
      </w:r>
    </w:p>
    <w:p>
      <w:pPr>
        <w:pStyle w:val="ListParagraph"/>
        <w:numPr>
          <w:ilvl w:val="0"/>
          <w:numId w:val="2"/>
        </w:numPr>
        <w:spacing w:after="80"/>
      </w:pPr>
      <w:r>
        <w:rPr>
          <w:b/>
          <w:bCs/>
        </w:rPr>
        <w:t xml:space="preserve">Story engine: </w:t>
      </w:r>
      <w:r>
        <w:t xml:space="preserve">the story-capture protocol (already in the Telling the Story plan) — qualitative testimony as the currency of donor-funded scale. “We measure qualitatively to tell the story of what God is doing, and quantitatively to learn how to be better stewards.”</w:t>
      </w:r>
    </w:p>
    <w:p>
      <w:pPr>
        <w:spacing w:after="120"/>
      </w:pPr>
      <w:r>
        <w:rPr>
          <w:b/>
          <w:bCs/>
        </w:rPr>
        <w:t xml:space="preserve">Speed posture (Mark’s directive, 2026-07-16): </w:t>
      </w:r>
      <w:r>
        <w:t xml:space="preserve">the market generates new things every day, and the marketplace scan’s two unoccupied positions are leads, not moats — the composite-period-persona idea already exists in pilot form elsewhere. Default pace is therefore </w:t>
      </w:r>
      <w:r>
        <w:rPr>
          <w:b/>
          <w:bCs/>
        </w:rPr>
        <w:t xml:space="preserve">fast</w:t>
      </w:r>
      <w:r>
        <w:t xml:space="preserve">: build, launch, tell the story, and compound momentum so the category is established before others attempt it. Exactly one brake: the gates. Speed applies to everything except the review-gated pipeline, external scholarly accountability, and the covenant’s disciplines — those are what make the speed trustworthy rather than reckless. In practice: with no payroll and the founder’s time available now, work pulls left wherever a gate doesn’t hold it.</w:t>
      </w:r>
    </w:p>
    <w:p>
      <w:pPr>
        <w:pStyle w:val="Heading1"/>
        <w:spacing w:after="140" w:before="320"/>
      </w:pPr>
      <w:r>
        <w:rPr>
          <w:color w:val="1F3864"/>
        </w:rPr>
        <w:t xml:space="preserve">3. The Product Ladder</w:t>
      </w:r>
    </w:p>
    <w:p>
      <w:pPr>
        <w:spacing w:after="120"/>
      </w:pPr>
      <w:r>
        <w:t xml:space="preserve">Each rung is a distinct participant experience built on the same worlds and the same governance. Rungs are sequenced by leverage, not by build order alone; the front-end thread owns design and sequencing decisions — this plan names the ladder so growth, funding, and partnerships can be scoped against it.</w:t>
      </w:r>
    </w:p>
    <w:p>
      <w:pPr>
        <w:pStyle w:val="Heading2"/>
        <w:spacing w:after="110" w:before="260"/>
      </w:pPr>
      <w:r>
        <w:rPr>
          <w:color w:val="1F3864"/>
        </w:rPr>
        <w:t xml:space="preserve">Rung 0 — Conversations at the Table (live now; Prototype 1)</w:t>
      </w:r>
    </w:p>
    <w:p>
      <w:pPr>
        <w:spacing w:after="120"/>
      </w:pPr>
      <w:r>
        <w:t xml:space="preserve">Two modes, both already in P1: individual interviews with a single Representative, and multi-world Table conversations seating up to three Representatives from the four live worlds. The three-level transparency apparatus runs under both. This is the foundation and the trust proof — and it means the signature comparative experience (Rung 2) is being tested from day one, not deferred. P1’s job is evidence: do testers return unprompted, and can they say what the encounter did?</w:t>
      </w:r>
    </w:p>
    <w:p>
      <w:pPr>
        <w:pStyle w:val="Heading2"/>
        <w:spacing w:after="110" w:before="260"/>
      </w:pPr>
      <w:r>
        <w:rPr>
          <w:color w:val="1F3864"/>
        </w:rPr>
        <w:t xml:space="preserve">Rung 0.5 — Guided Starters: the question curriculum (near-term; answers the observed barrier)</w:t>
      </w:r>
    </w:p>
    <w:p>
      <w:pPr>
        <w:spacing w:after="120"/>
      </w:pPr>
      <w:r>
        <w:t xml:space="preserve">The biggest barrier real users have hit so far, in Mark’s words: </w:t>
      </w:r>
      <w:r>
        <w:rPr>
          <w:i/>
          <w:iCs/>
        </w:rPr>
        <w:t xml:space="preserve">“I have no idea what to ask it.”</w:t>
      </w:r>
      <w:r>
        <w:t xml:space="preserve"> Before full tours exist, every world gets a set of </w:t>
      </w:r>
      <w:r>
        <w:rPr>
          <w:b/>
          <w:bCs/>
        </w:rPr>
        <w:t xml:space="preserve">starter topics with opening questions and follow-up questions</w:t>
      </w:r>
      <w:r>
        <w:t xml:space="preserve"> — effectively a light curriculum, tiered from newcomer (“ask her what it cost her family”) to deeper study (formation, worship, tensions, sources). The content is derivable from what the worlds already carry: the gravities, the lexicon, the story inventory, the participatory-posture and conversational-dynamics sections of each World Profile. Curated questions guide </w:t>
      </w:r>
      <w:r>
        <w:rPr>
          <w:b/>
          <w:bCs/>
        </w:rPr>
        <w:t xml:space="preserve">entry</w:t>
      </w:r>
      <w:r>
        <w:t xml:space="preserve">, never conclusions — they open doors; they do not walk the participant through them (Encounter Over Persuasion applies to curricula too). This is the cheapest, fastest fix to the field’s number-one failure mode and the natural on-ramp to Rung 1. Handoff: front-end thread for presentation; question content drafted from the build documents.</w:t>
      </w:r>
    </w:p>
    <w:p>
      <w:pPr>
        <w:pStyle w:val="Heading2"/>
        <w:spacing w:after="110" w:before="260"/>
      </w:pPr>
      <w:r>
        <w:rPr>
          <w:color w:val="1F3864"/>
        </w:rPr>
        <w:t xml:space="preserve">Rung 1 — Guided World Tours (Mark’s concept; the biggest single product lever)</w:t>
      </w:r>
    </w:p>
    <w:p>
      <w:pPr>
        <w:spacing w:after="120"/>
      </w:pPr>
      <w:r>
        <w:t xml:space="preserve">Walk a world with its Representative rather than only sitting across from it: see the art, hear the sayings, meet the people — and ask questions as you go. Everything shown comes from the world’s own sources: the Source Ecology’s material-culture and daily-life sources (Doc_02), the Story Repository with its tier labels (Doc_09), the Deployment Lexicon’s terms and sayings. </w:t>
      </w:r>
      <w:r>
        <w:rPr>
          <w:b/>
          <w:bCs/>
        </w:rPr>
        <w:t xml:space="preserve">Nothing invented; everything tier-marked; the tour is the transparency apparatus made walkable.</w:t>
      </w:r>
    </w:p>
    <w:p>
      <w:pPr>
        <w:spacing w:after="120"/>
      </w:pPr>
      <w:r>
        <w:t xml:space="preserve">Why this rung matters most: the marketplace scan found that the “blank prompt” problem (what do I ask a desert monk?) killed or stalled most persona products. A tour gives the encounter narrative shape without directing its meaning — structure without persuasion. It is also the natural demo (“come walk the world” beats “say something to it”) and the natural classroom unit.</w:t>
      </w:r>
    </w:p>
    <w:p>
      <w:pPr>
        <w:pStyle w:val="ListParagraph"/>
        <w:numPr>
          <w:ilvl w:val="0"/>
          <w:numId w:val="2"/>
        </w:numPr>
        <w:spacing w:after="80"/>
      </w:pPr>
      <w:r>
        <w:rPr>
          <w:b/>
          <w:bCs/>
        </w:rPr>
        <w:t xml:space="preserve">Governance note to carry into design: </w:t>
      </w:r>
      <w:r>
        <w:t xml:space="preserve">visual material must be actual period art and artifacts (or plainly labeled later depictions/reconstructions with their provenance visible) — never AI-generated scenes presented as the world. Conviction 4 applies to images exactly as it applies to words. This question goes to the front-end and build threads before any tour ships.</w:t>
      </w:r>
    </w:p>
    <w:p>
      <w:pPr>
        <w:pStyle w:val="ListParagraph"/>
        <w:numPr>
          <w:ilvl w:val="0"/>
          <w:numId w:val="2"/>
        </w:numPr>
        <w:spacing w:after="80"/>
      </w:pPr>
      <w:r>
        <w:rPr>
          <w:b/>
          <w:bCs/>
        </w:rPr>
        <w:t xml:space="preserve">Handoff: </w:t>
      </w:r>
      <w:r>
        <w:t xml:space="preserve">full concept to the front-end thread for design scoping; L3D one-Representative table process is the seed structure.</w:t>
      </w:r>
    </w:p>
    <w:p>
      <w:pPr>
        <w:pStyle w:val="Heading2"/>
        <w:spacing w:after="110" w:before="260"/>
      </w:pPr>
      <w:r>
        <w:rPr>
          <w:color w:val="1F3864"/>
        </w:rPr>
        <w:t xml:space="preserve">Rung 2 — The Multi-Representative Table (signature experience — already live in prototype)</w:t>
      </w:r>
    </w:p>
    <w:p>
      <w:pPr>
        <w:spacing w:after="120"/>
      </w:pPr>
      <w:r>
        <w:t xml:space="preserve">Two or three witnesses, centuries apart, asked the same question — genuinely different answers, held without harmonizing (Article 11). The L3D table processes exist, and P1 already seats up to three worlds together. Nothing found anywhere in the market can copy this; it is Conviction 1 embodied. The remaining work is validation and polish, not invention — it should headline demos and public storytelling as soon as P1 evidence supports it.</w:t>
      </w:r>
    </w:p>
    <w:p>
      <w:pPr>
        <w:pStyle w:val="Heading2"/>
        <w:spacing w:after="110" w:before="260"/>
      </w:pPr>
      <w:r>
        <w:rPr>
          <w:color w:val="1F3864"/>
        </w:rPr>
        <w:t xml:space="preserve">Rung 3 — Group &amp; Classroom Mode (what institutions actually buy)</w:t>
      </w:r>
    </w:p>
    <w:p>
      <w:pPr>
        <w:spacing w:after="120"/>
      </w:pPr>
      <w:r>
        <w:t xml:space="preserve">A facilitator guide plus a “seat the class at the Table” mode: small groups, adult education, seminary seminars. Programs, not apps, are what congregations adopt and renew — and group mode improves package economics (cost per participant falls). This rung is the product form of the academic and church tiers; institutional licensing has thin value without it.</w:t>
      </w:r>
    </w:p>
    <w:p>
      <w:pPr>
        <w:pStyle w:val="Heading2"/>
        <w:spacing w:after="110" w:before="260"/>
      </w:pPr>
      <w:r>
        <w:rPr>
          <w:color w:val="1F3864"/>
        </w:rPr>
        <w:t xml:space="preserve">Rung 4 — Journeys &amp; Seasons (legitimate return, without habit loops)</w:t>
      </w:r>
    </w:p>
    <w:p>
      <w:pPr>
        <w:spacing w:after="120"/>
      </w:pPr>
      <w:r>
        <w:t xml:space="preserve">Multi-session arcs tied to practices people already have: Lent with the desert world, Advent journeys, a sermon-series companion, curriculum alignment for Christian schools and homeschool co-ops. Catalog cadence — new worlds, new journeys, seasonal encounters — is the constitutionally clean form of retention. Doorway-not-home is an asset here: a product designed to hand people back to their community is the only kind a pastor can wholeheartedly recommend.</w:t>
      </w:r>
    </w:p>
    <w:p>
      <w:pPr>
        <w:pStyle w:val="Heading2"/>
        <w:spacing w:after="110" w:before="260"/>
      </w:pPr>
      <w:r>
        <w:rPr>
          <w:color w:val="1F3864"/>
        </w:rPr>
        <w:t xml:space="preserve">Rung 5 — Phase 2 Content Expansion: the Reformation Era</w:t>
      </w:r>
    </w:p>
    <w:p>
      <w:pPr>
        <w:spacing w:after="120"/>
      </w:pPr>
      <w:r>
        <w:t xml:space="preserve">Five Reformation worlds have been the Phase 2 sketch since the original funding strategy. The marketplace lens confirms the instinct: the Reformation is the most legible era to the Protestant donor, church, and seminary base — the era partners already teach, preach, and fund. Two build realities to carry in early:</w:t>
      </w:r>
    </w:p>
    <w:p>
      <w:pPr>
        <w:pStyle w:val="ListParagraph"/>
        <w:numPr>
          <w:ilvl w:val="0"/>
          <w:numId w:val="2"/>
        </w:numPr>
        <w:spacing w:after="80"/>
      </w:pPr>
      <w:r>
        <w:t xml:space="preserve">Living-tradition care intensifies: every Reformation world has present-day descendant communities (Lutheran, Reformed, Anabaptist, Anglican, Catholic) on all sides of contested memory. Article 29 Living Tradition Status confirmation will be load-bearing, not a formality.</w:t>
      </w:r>
    </w:p>
    <w:p>
      <w:pPr>
        <w:pStyle w:val="ListParagraph"/>
        <w:numPr>
          <w:ilvl w:val="0"/>
          <w:numId w:val="2"/>
        </w:numPr>
        <w:spacing w:after="80"/>
      </w:pPr>
      <w:r>
        <w:t xml:space="preserve">Reformation worlds are also the natural seminary-partnership content: the anchor partner (§5) should help select and review the first Phase 2 world — partnership deepens when partners help build, not just endorse.</w:t>
      </w:r>
    </w:p>
    <w:p>
      <w:pPr>
        <w:pStyle w:val="Heading1"/>
        <w:spacing w:after="140" w:before="320"/>
      </w:pPr>
      <w:r>
        <w:rPr>
          <w:color w:val="1F3864"/>
        </w:rPr>
        <w:t xml:space="preserve">4. Scale Scenarios — Three Ministry Stages</w:t>
      </w:r>
    </w:p>
    <w:p>
      <w:pPr>
        <w:spacing w:after="120"/>
      </w:pPr>
      <w:r>
        <w:t xml:space="preserve">Numbers below are the existing budget scenarios (Phase 1 Budget workbook; packet V0.1; 3-year trends, 2026-07-15) arranged as ministry stages. They are planning figures, labeled per the project’s own confidence discipline — P1/P2 actuals replace them at each gate. Mature per-user cost is a band ($8–25/user/yr by service mix), falling toward $3–4.50 at full efficiency-ladder deployment — </w:t>
      </w:r>
      <w:r>
        <w:rPr>
          <w:i/>
          <w:iCs/>
        </w:rPr>
        <w:t xml:space="preserve">the access-for-all model gets structurally cheaper as it grows.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2530"/>
        <w:gridCol w:w="2530"/>
        <w:gridCol w:w="2500"/>
      </w:tblGrid>
      <w:tr>
        <w:tc>
          <w:tcPr>
            <w:tcW w:type="dxa" w:w="2160"/>
            <w:shd w:fill="F2F2F2" w:val="clear"/>
            <w:tcMar>
              <w:top w:type="dxa" w:w="60"/>
              <w:left w:type="dxa" w:w="100"/>
              <w:bottom w:type="dxa" w:w="60"/>
              <w:right w:type="dxa" w:w="100"/>
            </w:tcMar>
          </w:tcPr>
          <w:p>
            <w:pPr>
              <w:spacing w:after="40"/>
            </w:pPr>
            <w:r>
              <w:rPr>
                <w:b/>
                <w:bCs/>
                <w:sz w:val="20"/>
                <w:szCs w:val="20"/>
              </w:rPr>
              <w:t xml:space="preserve"/>
            </w:r>
          </w:p>
        </w:tc>
        <w:tc>
          <w:tcPr>
            <w:tcW w:type="dxa" w:w="2530"/>
            <w:shd w:fill="F2F2F2" w:val="clear"/>
            <w:tcMar>
              <w:top w:type="dxa" w:w="60"/>
              <w:left w:type="dxa" w:w="100"/>
              <w:bottom w:type="dxa" w:w="60"/>
              <w:right w:type="dxa" w:w="100"/>
            </w:tcMar>
          </w:tcPr>
          <w:p>
            <w:pPr>
              <w:spacing w:after="40"/>
            </w:pPr>
            <w:r>
              <w:rPr>
                <w:b/>
                <w:bCs/>
                <w:sz w:val="20"/>
                <w:szCs w:val="20"/>
              </w:rPr>
              <w:t xml:space="preserve">Stage A — Faithful Foundation (now → ~mid-2027)</w:t>
            </w:r>
          </w:p>
        </w:tc>
        <w:tc>
          <w:tcPr>
            <w:tcW w:type="dxa" w:w="2530"/>
            <w:shd w:fill="F2F2F2" w:val="clear"/>
            <w:tcMar>
              <w:top w:type="dxa" w:w="60"/>
              <w:left w:type="dxa" w:w="100"/>
              <w:bottom w:type="dxa" w:w="60"/>
              <w:right w:type="dxa" w:w="100"/>
            </w:tcMar>
          </w:tcPr>
          <w:p>
            <w:pPr>
              <w:spacing w:after="40"/>
            </w:pPr>
            <w:r>
              <w:rPr>
                <w:b/>
                <w:bCs/>
                <w:sz w:val="20"/>
                <w:szCs w:val="20"/>
              </w:rPr>
              <w:t xml:space="preserve">Stage B — Institutional Ministry (~2027–2028)</w:t>
            </w:r>
          </w:p>
        </w:tc>
        <w:tc>
          <w:tcPr>
            <w:tcW w:type="dxa" w:w="2500"/>
            <w:shd w:fill="F2F2F2" w:val="clear"/>
            <w:tcMar>
              <w:top w:type="dxa" w:w="60"/>
              <w:left w:type="dxa" w:w="100"/>
              <w:bottom w:type="dxa" w:w="60"/>
              <w:right w:type="dxa" w:w="100"/>
            </w:tcMar>
          </w:tcPr>
          <w:p>
            <w:pPr>
              <w:spacing w:after="40"/>
            </w:pPr>
            <w:r>
              <w:rPr>
                <w:b/>
                <w:bCs/>
                <w:sz w:val="20"/>
                <w:szCs w:val="20"/>
              </w:rPr>
              <w:t xml:space="preserve">Stage C — Movement Scale (~2028–2030+)</w:t>
            </w:r>
          </w:p>
        </w:tc>
      </w:tr>
      <w:tr>
        <w:tc>
          <w:tcPr>
            <w:tcW w:type="dxa" w:w="2160"/>
            <w:shd w:fill="F2F2F2" w:val="clear"/>
            <w:tcMar>
              <w:top w:type="dxa" w:w="60"/>
              <w:left w:type="dxa" w:w="100"/>
              <w:bottom w:type="dxa" w:w="60"/>
              <w:right w:type="dxa" w:w="100"/>
            </w:tcMar>
          </w:tcPr>
          <w:p>
            <w:pPr>
              <w:spacing w:after="40"/>
            </w:pPr>
            <w:r>
              <w:rPr>
                <w:b/>
                <w:bCs/>
                <w:sz w:val="20"/>
                <w:szCs w:val="20"/>
              </w:rPr>
              <w:t xml:space="preserve">Participants</w:t>
            </w:r>
          </w:p>
        </w:tc>
        <w:tc>
          <w:tcPr>
            <w:tcW w:type="dxa" w:w="2530"/>
            <w:tcMar>
              <w:top w:type="dxa" w:w="60"/>
              <w:left w:type="dxa" w:w="100"/>
              <w:bottom w:type="dxa" w:w="60"/>
              <w:right w:type="dxa" w:w="100"/>
            </w:tcMar>
          </w:tcPr>
          <w:p>
            <w:pPr>
              <w:spacing w:after="40"/>
            </w:pPr>
            <w:r>
              <w:rPr>
                <w:sz w:val="20"/>
                <w:szCs w:val="20"/>
              </w:rPr>
              <w:t xml:space="preserve">10 testers → 250–1,500 users</w:t>
            </w:r>
          </w:p>
        </w:tc>
        <w:tc>
          <w:tcPr>
            <w:tcW w:type="dxa" w:w="2530"/>
            <w:tcMar>
              <w:top w:type="dxa" w:w="60"/>
              <w:left w:type="dxa" w:w="100"/>
              <w:bottom w:type="dxa" w:w="60"/>
              <w:right w:type="dxa" w:w="100"/>
            </w:tcMar>
          </w:tcPr>
          <w:p>
            <w:pPr>
              <w:spacing w:after="40"/>
            </w:pPr>
            <w:r>
              <w:rPr>
                <w:sz w:val="20"/>
                <w:szCs w:val="20"/>
              </w:rPr>
              <w:t xml:space="preserve">1,500 → 8,000 users</w:t>
            </w:r>
          </w:p>
        </w:tc>
        <w:tc>
          <w:tcPr>
            <w:tcW w:type="dxa" w:w="2500"/>
            <w:tcMar>
              <w:top w:type="dxa" w:w="60"/>
              <w:left w:type="dxa" w:w="100"/>
              <w:bottom w:type="dxa" w:w="60"/>
              <w:right w:type="dxa" w:w="100"/>
            </w:tcMar>
          </w:tcPr>
          <w:p>
            <w:pPr>
              <w:spacing w:after="40"/>
            </w:pPr>
            <w:r>
              <w:rPr>
                <w:sz w:val="20"/>
                <w:szCs w:val="20"/>
              </w:rPr>
              <w:t xml:space="preserve">10,000 → 50,000 users</w:t>
            </w:r>
          </w:p>
        </w:tc>
      </w:tr>
      <w:tr>
        <w:tc>
          <w:tcPr>
            <w:tcW w:type="dxa" w:w="2160"/>
            <w:shd w:fill="F2F2F2" w:val="clear"/>
            <w:tcMar>
              <w:top w:type="dxa" w:w="60"/>
              <w:left w:type="dxa" w:w="100"/>
              <w:bottom w:type="dxa" w:w="60"/>
              <w:right w:type="dxa" w:w="100"/>
            </w:tcMar>
          </w:tcPr>
          <w:p>
            <w:pPr>
              <w:spacing w:after="40"/>
            </w:pPr>
            <w:r>
              <w:rPr>
                <w:b/>
                <w:bCs/>
                <w:sz w:val="20"/>
                <w:szCs w:val="20"/>
              </w:rPr>
              <w:t xml:space="preserve">Annual cost</w:t>
            </w:r>
          </w:p>
        </w:tc>
        <w:tc>
          <w:tcPr>
            <w:tcW w:type="dxa" w:w="2530"/>
            <w:tcMar>
              <w:top w:type="dxa" w:w="60"/>
              <w:left w:type="dxa" w:w="100"/>
              <w:bottom w:type="dxa" w:w="60"/>
              <w:right w:type="dxa" w:w="100"/>
            </w:tcMar>
          </w:tcPr>
          <w:p>
            <w:pPr>
              <w:spacing w:after="40"/>
            </w:pPr>
            <w:r>
              <w:rPr>
                <w:sz w:val="20"/>
                <w:szCs w:val="20"/>
              </w:rPr>
              <w:t xml:space="preserve">$18K–$55K (Phase 1 Year 1 scenarios)</w:t>
            </w:r>
          </w:p>
        </w:tc>
        <w:tc>
          <w:tcPr>
            <w:tcW w:type="dxa" w:w="2530"/>
            <w:tcMar>
              <w:top w:type="dxa" w:w="60"/>
              <w:left w:type="dxa" w:w="100"/>
              <w:bottom w:type="dxa" w:w="60"/>
              <w:right w:type="dxa" w:w="100"/>
            </w:tcMar>
          </w:tcPr>
          <w:p>
            <w:pPr>
              <w:spacing w:after="40"/>
            </w:pPr>
            <w:r>
              <w:rPr>
                <w:sz w:val="20"/>
                <w:szCs w:val="20"/>
              </w:rPr>
              <w:t xml:space="preserve">~$28K–$105K (3-yr min/mid trend)</w:t>
            </w:r>
          </w:p>
        </w:tc>
        <w:tc>
          <w:tcPr>
            <w:tcW w:type="dxa" w:w="2500"/>
            <w:tcMar>
              <w:top w:type="dxa" w:w="60"/>
              <w:left w:type="dxa" w:w="100"/>
              <w:bottom w:type="dxa" w:w="60"/>
              <w:right w:type="dxa" w:w="100"/>
            </w:tcMar>
          </w:tcPr>
          <w:p>
            <w:pPr>
              <w:spacing w:after="40"/>
            </w:pPr>
            <w:r>
              <w:rPr>
                <w:sz w:val="20"/>
                <w:szCs w:val="20"/>
              </w:rPr>
              <w:t xml:space="preserve">~$160K–$630K (max trend; efficiency ladder pulls hard against this)</w:t>
            </w:r>
          </w:p>
        </w:tc>
      </w:tr>
      <w:tr>
        <w:tc>
          <w:tcPr>
            <w:tcW w:type="dxa" w:w="2160"/>
            <w:shd w:fill="F2F2F2" w:val="clear"/>
            <w:tcMar>
              <w:top w:type="dxa" w:w="60"/>
              <w:left w:type="dxa" w:w="100"/>
              <w:bottom w:type="dxa" w:w="60"/>
              <w:right w:type="dxa" w:w="100"/>
            </w:tcMar>
          </w:tcPr>
          <w:p>
            <w:pPr>
              <w:spacing w:after="40"/>
            </w:pPr>
            <w:r>
              <w:rPr>
                <w:b/>
                <w:bCs/>
                <w:sz w:val="20"/>
                <w:szCs w:val="20"/>
              </w:rPr>
              <w:t xml:space="preserve">Funding mix</w:t>
            </w:r>
          </w:p>
        </w:tc>
        <w:tc>
          <w:tcPr>
            <w:tcW w:type="dxa" w:w="2530"/>
            <w:tcMar>
              <w:top w:type="dxa" w:w="60"/>
              <w:left w:type="dxa" w:w="100"/>
              <w:bottom w:type="dxa" w:w="60"/>
              <w:right w:type="dxa" w:w="100"/>
            </w:tcMar>
          </w:tcPr>
          <w:p>
            <w:pPr>
              <w:spacing w:after="40"/>
            </w:pPr>
            <w:r>
              <w:rPr>
                <w:sz w:val="20"/>
                <w:szCs w:val="20"/>
              </w:rPr>
              <w:t xml:space="preserve">Ring 1–2: warm network, church-designated fund, world sponsorships ($3,500/world), first church partners</w:t>
            </w:r>
          </w:p>
        </w:tc>
        <w:tc>
          <w:tcPr>
            <w:tcW w:type="dxa" w:w="2530"/>
            <w:tcMar>
              <w:top w:type="dxa" w:w="60"/>
              <w:left w:type="dxa" w:w="100"/>
              <w:bottom w:type="dxa" w:w="60"/>
              <w:right w:type="dxa" w:w="100"/>
            </w:tcMar>
          </w:tcPr>
          <w:p>
            <w:pPr>
              <w:spacing w:after="40"/>
            </w:pPr>
            <w:r>
              <w:rPr>
                <w:sz w:val="20"/>
                <w:szCs w:val="20"/>
              </w:rPr>
              <w:t xml:space="preserve">Institutional tiers activate (Track B on top of partners); Praxis $50K (Apr 2027 application); anchor seminary; NCF/DAF gifts</w:t>
            </w:r>
          </w:p>
        </w:tc>
        <w:tc>
          <w:tcPr>
            <w:tcW w:type="dxa" w:w="2500"/>
            <w:tcMar>
              <w:top w:type="dxa" w:w="60"/>
              <w:left w:type="dxa" w:w="100"/>
              <w:bottom w:type="dxa" w:w="60"/>
              <w:right w:type="dxa" w:w="100"/>
            </w:tcMar>
          </w:tcPr>
          <w:p>
            <w:pPr>
              <w:spacing w:after="40"/>
            </w:pPr>
            <w:r>
              <w:rPr>
                <w:sz w:val="20"/>
                <w:szCs w:val="20"/>
              </w:rPr>
              <w:t xml:space="preserve">Programmatic grants via partner (next Lilly wave, up to $2.5M/5yr scale); denominational licensing; broad supporter base post-CCSA</w:t>
            </w:r>
          </w:p>
        </w:tc>
      </w:tr>
      <w:tr>
        <w:tc>
          <w:tcPr>
            <w:tcW w:type="dxa" w:w="2160"/>
            <w:shd w:fill="F2F2F2" w:val="clear"/>
            <w:tcMar>
              <w:top w:type="dxa" w:w="60"/>
              <w:left w:type="dxa" w:w="100"/>
              <w:bottom w:type="dxa" w:w="60"/>
              <w:right w:type="dxa" w:w="100"/>
            </w:tcMar>
          </w:tcPr>
          <w:p>
            <w:pPr>
              <w:spacing w:after="40"/>
            </w:pPr>
            <w:r>
              <w:rPr>
                <w:b/>
                <w:bCs/>
                <w:sz w:val="20"/>
                <w:szCs w:val="20"/>
              </w:rPr>
              <w:t xml:space="preserve">Product rungs</w:t>
            </w:r>
          </w:p>
        </w:tc>
        <w:tc>
          <w:tcPr>
            <w:tcW w:type="dxa" w:w="2530"/>
            <w:tcMar>
              <w:top w:type="dxa" w:w="60"/>
              <w:left w:type="dxa" w:w="100"/>
              <w:bottom w:type="dxa" w:w="60"/>
              <w:right w:type="dxa" w:w="100"/>
            </w:tcMar>
          </w:tcPr>
          <w:p>
            <w:pPr>
              <w:spacing w:after="40"/>
            </w:pPr>
            <w:r>
              <w:rPr>
                <w:sz w:val="20"/>
                <w:szCs w:val="20"/>
              </w:rPr>
              <w:t xml:space="preserve">Rung 0 proven; Rung 1 (tours) designed and prototyped</w:t>
            </w:r>
          </w:p>
        </w:tc>
        <w:tc>
          <w:tcPr>
            <w:tcW w:type="dxa" w:w="2530"/>
            <w:tcMar>
              <w:top w:type="dxa" w:w="60"/>
              <w:left w:type="dxa" w:w="100"/>
              <w:bottom w:type="dxa" w:w="60"/>
              <w:right w:type="dxa" w:w="100"/>
            </w:tcMar>
          </w:tcPr>
          <w:p>
            <w:pPr>
              <w:spacing w:after="40"/>
            </w:pPr>
            <w:r>
              <w:rPr>
                <w:sz w:val="20"/>
                <w:szCs w:val="20"/>
              </w:rPr>
              <w:t xml:space="preserve">Rungs 1–3 live: tours, two-Representative table, group/classroom mode</w:t>
            </w:r>
          </w:p>
        </w:tc>
        <w:tc>
          <w:tcPr>
            <w:tcW w:type="dxa" w:w="2500"/>
            <w:tcMar>
              <w:top w:type="dxa" w:w="60"/>
              <w:left w:type="dxa" w:w="100"/>
              <w:bottom w:type="dxa" w:w="60"/>
              <w:right w:type="dxa" w:w="100"/>
            </w:tcMar>
          </w:tcPr>
          <w:p>
            <w:pPr>
              <w:spacing w:after="40"/>
            </w:pPr>
            <w:r>
              <w:rPr>
                <w:sz w:val="20"/>
                <w:szCs w:val="20"/>
              </w:rPr>
              <w:t xml:space="preserve">Rung 4 journeys at catalog cadence; Rung 5 Reformation worlds shipping</w:t>
            </w:r>
          </w:p>
        </w:tc>
      </w:tr>
      <w:tr>
        <w:tc>
          <w:tcPr>
            <w:tcW w:type="dxa" w:w="2160"/>
            <w:shd w:fill="F2F2F2" w:val="clear"/>
            <w:tcMar>
              <w:top w:type="dxa" w:w="60"/>
              <w:left w:type="dxa" w:w="100"/>
              <w:bottom w:type="dxa" w:w="60"/>
              <w:right w:type="dxa" w:w="100"/>
            </w:tcMar>
          </w:tcPr>
          <w:p>
            <w:pPr>
              <w:spacing w:after="40"/>
            </w:pPr>
            <w:r>
              <w:rPr>
                <w:b/>
                <w:bCs/>
                <w:sz w:val="20"/>
                <w:szCs w:val="20"/>
              </w:rPr>
              <w:t xml:space="preserve">Worlds</w:t>
            </w:r>
          </w:p>
        </w:tc>
        <w:tc>
          <w:tcPr>
            <w:tcW w:type="dxa" w:w="2530"/>
            <w:tcMar>
              <w:top w:type="dxa" w:w="60"/>
              <w:left w:type="dxa" w:w="100"/>
              <w:bottom w:type="dxa" w:w="60"/>
              <w:right w:type="dxa" w:w="100"/>
            </w:tcMar>
          </w:tcPr>
          <w:p>
            <w:pPr>
              <w:spacing w:after="40"/>
            </w:pPr>
            <w:r>
              <w:rPr>
                <w:sz w:val="20"/>
                <w:szCs w:val="20"/>
              </w:rPr>
              <w:t xml:space="preserve">4 live + validation round 1 (holistic, 1–2 reviewers)</w:t>
            </w:r>
          </w:p>
        </w:tc>
        <w:tc>
          <w:tcPr>
            <w:tcW w:type="dxa" w:w="2530"/>
            <w:tcMar>
              <w:top w:type="dxa" w:w="60"/>
              <w:left w:type="dxa" w:w="100"/>
              <w:bottom w:type="dxa" w:w="60"/>
              <w:right w:type="dxa" w:w="100"/>
            </w:tcMar>
          </w:tcPr>
          <w:p>
            <w:pPr>
              <w:spacing w:after="40"/>
            </w:pPr>
            <w:r>
              <w:rPr>
                <w:sz w:val="20"/>
                <w:szCs w:val="20"/>
              </w:rPr>
              <w:t xml:space="preserve">5–9 ancient worlds validated; first Reformation world in build with partner</w:t>
            </w:r>
          </w:p>
        </w:tc>
        <w:tc>
          <w:tcPr>
            <w:tcW w:type="dxa" w:w="2500"/>
            <w:tcMar>
              <w:top w:type="dxa" w:w="60"/>
              <w:left w:type="dxa" w:w="100"/>
              <w:bottom w:type="dxa" w:w="60"/>
              <w:right w:type="dxa" w:w="100"/>
            </w:tcMar>
          </w:tcPr>
          <w:p>
            <w:pPr>
              <w:spacing w:after="40"/>
            </w:pPr>
            <w:r>
              <w:rPr>
                <w:sz w:val="20"/>
                <w:szCs w:val="20"/>
              </w:rPr>
              <w:t xml:space="preserve">9 ancient + 5 Reformation; per-world formal review grant-funded</w:t>
            </w:r>
          </w:p>
        </w:tc>
      </w:tr>
      <w:tr>
        <w:tc>
          <w:tcPr>
            <w:tcW w:type="dxa" w:w="2160"/>
            <w:shd w:fill="F2F2F2" w:val="clear"/>
            <w:tcMar>
              <w:top w:type="dxa" w:w="60"/>
              <w:left w:type="dxa" w:w="100"/>
              <w:bottom w:type="dxa" w:w="60"/>
              <w:right w:type="dxa" w:w="100"/>
            </w:tcMar>
          </w:tcPr>
          <w:p>
            <w:pPr>
              <w:spacing w:after="40"/>
            </w:pPr>
            <w:r>
              <w:rPr>
                <w:b/>
                <w:bCs/>
                <w:sz w:val="20"/>
                <w:szCs w:val="20"/>
              </w:rPr>
              <w:t xml:space="preserve">Organization</w:t>
            </w:r>
          </w:p>
        </w:tc>
        <w:tc>
          <w:tcPr>
            <w:tcW w:type="dxa" w:w="2530"/>
            <w:tcMar>
              <w:top w:type="dxa" w:w="60"/>
              <w:left w:type="dxa" w:w="100"/>
              <w:bottom w:type="dxa" w:w="60"/>
              <w:right w:type="dxa" w:w="100"/>
            </w:tcMar>
          </w:tcPr>
          <w:p>
            <w:pPr>
              <w:spacing w:after="40"/>
            </w:pPr>
            <w:r>
              <w:rPr>
                <w:sz w:val="20"/>
                <w:szCs w:val="20"/>
              </w:rPr>
              <w:t xml:space="preserve">Sole builder + Jonathan (bounded engagements); entity filed Q1 2027; founding board seated</w:t>
            </w:r>
          </w:p>
        </w:tc>
        <w:tc>
          <w:tcPr>
            <w:tcW w:type="dxa" w:w="2530"/>
            <w:tcMar>
              <w:top w:type="dxa" w:w="60"/>
              <w:left w:type="dxa" w:w="100"/>
              <w:bottom w:type="dxa" w:w="60"/>
              <w:right w:type="dxa" w:w="100"/>
            </w:tcMar>
          </w:tcPr>
          <w:p>
            <w:pPr>
              <w:spacing w:after="40"/>
            </w:pPr>
            <w:r>
              <w:rPr>
                <w:sz w:val="20"/>
                <w:szCs w:val="20"/>
              </w:rPr>
              <w:t xml:space="preserve">First part-time staff/contractor; scholars’ advisory council; second builder in training under the codified pipeline</w:t>
            </w:r>
          </w:p>
        </w:tc>
        <w:tc>
          <w:tcPr>
            <w:tcW w:type="dxa" w:w="2500"/>
            <w:tcMar>
              <w:top w:type="dxa" w:w="60"/>
              <w:left w:type="dxa" w:w="100"/>
              <w:bottom w:type="dxa" w:w="60"/>
              <w:right w:type="dxa" w:w="100"/>
            </w:tcMar>
          </w:tcPr>
          <w:p>
            <w:pPr>
              <w:spacing w:after="40"/>
            </w:pPr>
            <w:r>
              <w:rPr>
                <w:sz w:val="20"/>
                <w:szCs w:val="20"/>
              </w:rPr>
              <w:t xml:space="preserve">2–5 staff; standing review panel; builder team running the review-gated pipeline Mark now governs rather than performs</w:t>
            </w:r>
          </w:p>
        </w:tc>
      </w:tr>
    </w:tbl>
    <w:p>
      <w:pPr>
        <w:spacing w:after="120"/>
      </w:pPr>
      <w:r>
        <w:t xml:space="preserve"/>
      </w:r>
    </w:p>
    <w:p>
      <w:pPr>
        <w:spacing w:after="120"/>
      </w:pPr>
      <w:r>
        <w:rPr>
          <w:b/>
          <w:bCs/>
        </w:rPr>
        <w:t xml:space="preserve">The straightforward gate between stages: </w:t>
      </w:r>
      <w:r>
        <w:t xml:space="preserve">Stage A→B turns on evidence (P1/P2 results + validation round 1 + one paying institutional pilot). Stage B→C turns on people (a teachable pipeline and a real board) more than on money — programmatic funders buy institutions, not solo founders. Stage C is a directional ambition, not a committed deliverable, consistent with Article 36.</w:t>
      </w:r>
    </w:p>
    <w:p>
      <w:pPr>
        <w:pStyle w:val="Heading1"/>
        <w:spacing w:after="140" w:before="320"/>
      </w:pPr>
      <w:r>
        <w:rPr>
          <w:color w:val="1F3864"/>
        </w:rPr>
        <w:t xml:space="preserve">5. Partnership Architecture — Seminary First, Council Second</w:t>
      </w:r>
    </w:p>
    <w:p>
      <w:pPr>
        <w:spacing w:after="120"/>
      </w:pPr>
      <w:r>
        <w:rPr>
          <w:b/>
          <w:bCs/>
        </w:rPr>
        <w:t xml:space="preserve">Recommendation: one anchor seminary before any council.</w:t>
      </w:r>
      <w:r>
        <w:t xml:space="preserve"> A multi-seminary council convened first is committee-land — slow to assemble, diffuse accountability, no single champion, and nothing yet for its members to react to. The proven pattern is anchor-then-network:</w:t>
      </w:r>
    </w:p>
    <w:p>
      <w:pPr>
        <w:pStyle w:val="ListParagraph"/>
        <w:numPr>
          <w:ilvl w:val="0"/>
          <w:numId w:val="2"/>
        </w:numPr>
        <w:spacing w:after="80"/>
      </w:pPr>
      <w:r>
        <w:rPr>
          <w:b/>
          <w:bCs/>
        </w:rPr>
        <w:t xml:space="preserve">Step 1 — the person, plus the map (now–fall 2026): </w:t>
      </w:r>
      <w:r>
        <w:t xml:space="preserve">the former TEDS Church History professor is the live lead for the Article 31 holistic review. One relationship, three doors: the review itself, academic credibility for the packet, and a warm path into his institution. In parallel — per Mark’s direction (2026-07-16) — a </w:t>
      </w:r>
      <w:r>
        <w:rPr>
          <w:b/>
          <w:bCs/>
        </w:rPr>
        <w:t xml:space="preserve">systematic seminary-alignment analysis</w:t>
      </w:r>
      <w:r>
        <w:t xml:space="preserve"> maps which institutions best fit CiC’s commitments and its historical-world focus (early-church scholarship strength, posture toward multi-tradition witness, openness to AI, partnership precedents) — not merely denominational agenda or lens. The anchor is then chosen from a mapped field, not only from the warmest relationship; the TEDS lead proceeds either way. Next concrete deliverable when Mark says go: the one-page reviewer brief (open since 2026-07-08).</w:t>
      </w:r>
    </w:p>
    <w:p>
      <w:pPr>
        <w:pStyle w:val="ListParagraph"/>
        <w:numPr>
          <w:ilvl w:val="0"/>
          <w:numId w:val="2"/>
        </w:numPr>
        <w:spacing w:after="80"/>
      </w:pPr>
      <w:r>
        <w:rPr>
          <w:b/>
          <w:bCs/>
        </w:rPr>
        <w:t xml:space="preserve">Step 2 — the anchor institution (→ mid-2027): </w:t>
      </w:r>
      <w:r>
        <w:t xml:space="preserve">one seminary running one classroom pilot on the academic tier ($750–1,500/yr), ideally the reviewer’s own. The ask is small and concrete: one course, one semester, group mode. A paying pilot validates the business model and produces the Lilly-eligible institutional partner in the same move.</w:t>
      </w:r>
    </w:p>
    <w:p>
      <w:pPr>
        <w:pStyle w:val="ListParagraph"/>
        <w:numPr>
          <w:ilvl w:val="0"/>
          <w:numId w:val="2"/>
        </w:numPr>
        <w:spacing w:after="80"/>
      </w:pPr>
      <w:r>
        <w:rPr>
          <w:b/>
          <w:bCs/>
        </w:rPr>
        <w:t xml:space="preserve">Step 3 — the council, correctly shaped (2027+): </w:t>
      </w:r>
      <w:r>
        <w:t xml:space="preserve">a </w:t>
      </w:r>
      <w:r>
        <w:rPr>
          <w:b/>
          <w:bCs/>
        </w:rPr>
        <w:t xml:space="preserve">Scholars’ Advisory Council</w:t>
      </w:r>
      <w:r>
        <w:t xml:space="preserve"> — individual scholars across several institutions, not an institutional consortium. Cheap to convene, gives multi-institution legitimacy, and grows into the standing Article 31 review panel as worlds multiply. Mark’s “council representing several seminaries” instinct is right at this layer: people first, institutions attached to them.</w:t>
      </w:r>
    </w:p>
    <w:p>
      <w:pPr>
        <w:pStyle w:val="ListParagraph"/>
        <w:numPr>
          <w:ilvl w:val="0"/>
          <w:numId w:val="2"/>
        </w:numPr>
        <w:spacing w:after="80"/>
      </w:pPr>
      <w:r>
        <w:rPr>
          <w:b/>
          <w:bCs/>
        </w:rPr>
        <w:t xml:space="preserve">Step 4 — the formal consortium (only if needed): </w:t>
      </w:r>
      <w:r>
        <w:t xml:space="preserve">a true multi-seminary institutional structure becomes worth its cost only when a Lilly-scale programmatic grant requires an institutional applicant network. Let the grant define it; do not pre-build it.</w:t>
      </w:r>
    </w:p>
    <w:p>
      <w:pPr>
        <w:spacing w:after="120"/>
      </w:pPr>
      <w:r>
        <w:rPr>
          <w:b/>
          <w:bCs/>
        </w:rPr>
        <w:t xml:space="preserve">Held in parallel: </w:t>
      </w:r>
      <w:r>
        <w:t xml:space="preserve">church-partner ring proceeds per the funding map; the Tom Beck → Gloo channel stays demonstration-first, post-P1, per the 2026-07-15 sequencing.</w:t>
      </w:r>
    </w:p>
    <w:p>
      <w:pPr>
        <w:pStyle w:val="Heading1"/>
        <w:spacing w:after="140" w:before="320"/>
      </w:pPr>
      <w:r>
        <w:rPr>
          <w:color w:val="1F3864"/>
        </w:rPr>
        <w:t xml:space="preserve">6. Guardrails — What Growth May Never Bend</w:t>
      </w:r>
    </w:p>
    <w:p>
      <w:pPr>
        <w:spacing w:after="120"/>
      </w:pPr>
      <w:r>
        <w:rPr>
          <w:b/>
          <w:bCs/>
        </w:rPr>
        <w:t xml:space="preserve">The governing guardrail, in Mark’s own words (2026-07-16): </w:t>
      </w:r>
      <w:r>
        <w:t xml:space="preserve">the fear is not that the product would drift, but that the pressure for growth would put pressure on the convictions and the heart — </w:t>
      </w:r>
      <w:r>
        <w:rPr>
          <w:i/>
          <w:iCs/>
        </w:rPr>
        <w:t xml:space="preserve">“that we as a ministry live our convictions, not just design for our convictions.”</w:t>
      </w:r>
      <w:r>
        <w:t xml:space="preserve"> Every guardrail below is therefore read as an organizational behavior, not only a product rule: it binds how this ministry raises money, chooses partners, reports to donors, and paces itself — not just what the software does. The Constitution governs the encounter; this section is the seed of its organizational counterpart, and the nonprofit charter (formation thread) is where it gets structural teeth.</w:t>
      </w:r>
    </w:p>
    <w:p>
      <w:pPr>
        <w:spacing w:after="120"/>
      </w:pPr>
      <w:r>
        <w:t xml:space="preserve">Fixed points, restated as growth rules — each already practiced somewhere in this project’s record, now named as one discipline:</w:t>
      </w:r>
    </w:p>
    <w:p>
      <w:pPr>
        <w:pStyle w:val="ListParagraph"/>
        <w:numPr>
          <w:ilvl w:val="0"/>
          <w:numId w:val="2"/>
        </w:numPr>
        <w:spacing w:after="80"/>
      </w:pPr>
      <w:r>
        <w:rPr>
          <w:b/>
          <w:bCs/>
        </w:rPr>
        <w:t xml:space="preserve">Rigor floor: </w:t>
      </w:r>
      <w:r>
        <w:t xml:space="preserve">no stage, grant, or partner timeline compresses the review-gated pipeline or ships an unvalidated world. Where efficiency and rigor conflict, rigor governs (Art. 5).</w:t>
      </w:r>
    </w:p>
    <w:p>
      <w:pPr>
        <w:pStyle w:val="ListParagraph"/>
        <w:numPr>
          <w:ilvl w:val="0"/>
          <w:numId w:val="2"/>
        </w:numPr>
        <w:spacing w:after="80"/>
      </w:pPr>
      <w:r>
        <w:rPr>
          <w:b/>
          <w:bCs/>
        </w:rPr>
        <w:t xml:space="preserve">Measurement policy: </w:t>
      </w:r>
      <w:r>
        <w:t xml:space="preserve">learning metrics measured freely; engagement numbers tracked but never targets; recruitment/conversion never measured at all. No growth report to any funder uses engagement as a success claim.</w:t>
      </w:r>
    </w:p>
    <w:p>
      <w:pPr>
        <w:pStyle w:val="ListParagraph"/>
        <w:numPr>
          <w:ilvl w:val="0"/>
          <w:numId w:val="2"/>
        </w:numPr>
        <w:spacing w:after="80"/>
      </w:pPr>
      <w:r>
        <w:rPr>
          <w:b/>
          <w:bCs/>
        </w:rPr>
        <w:t xml:space="preserve">Transparency never gated: </w:t>
      </w:r>
      <w:r>
        <w:t xml:space="preserve">at any tier, at any scale. Depth and voice may be gated; transparency may not.</w:t>
      </w:r>
    </w:p>
    <w:p>
      <w:pPr>
        <w:pStyle w:val="ListParagraph"/>
        <w:numPr>
          <w:ilvl w:val="0"/>
          <w:numId w:val="2"/>
        </w:numPr>
        <w:spacing w:after="80"/>
      </w:pPr>
      <w:r>
        <w:rPr>
          <w:b/>
          <w:bCs/>
        </w:rPr>
        <w:t xml:space="preserve">Doorway, not a home: </w:t>
      </w:r>
      <w:r>
        <w:t xml:space="preserve">journeys and seasons create legitimate return; streaks, re-engagement nudges, and dependency mechanics stay forbidden regardless of what any growth curve suggests (Art. 34).</w:t>
      </w:r>
    </w:p>
    <w:p>
      <w:pPr>
        <w:pStyle w:val="ListParagraph"/>
        <w:numPr>
          <w:ilvl w:val="0"/>
          <w:numId w:val="2"/>
        </w:numPr>
        <w:spacing w:after="80"/>
      </w:pPr>
      <w:r>
        <w:rPr>
          <w:b/>
          <w:bCs/>
        </w:rPr>
        <w:t xml:space="preserve">Witness, not recruitment: </w:t>
      </w:r>
      <w:r>
        <w:t xml:space="preserve">positioning and partner materials describe; they do not proselytize or promise formation outcomes. The Encounter-Success Standard (Art. 6) is conditions, not conversions.</w:t>
      </w:r>
    </w:p>
    <w:p>
      <w:pPr>
        <w:pStyle w:val="ListParagraph"/>
        <w:numPr>
          <w:ilvl w:val="0"/>
          <w:numId w:val="2"/>
        </w:numPr>
        <w:spacing w:after="80"/>
      </w:pPr>
      <w:r>
        <w:rPr>
          <w:b/>
          <w:bCs/>
        </w:rPr>
        <w:t xml:space="preserve">Funding-lane discipline: </w:t>
      </w:r>
      <w:r>
        <w:t xml:space="preserve">no venture capital (engagement-pressure collision, recorded 2026-07-13); no funding terms touching participant data; the packet remains the one outward document.</w:t>
      </w:r>
    </w:p>
    <w:p>
      <w:pPr>
        <w:pStyle w:val="ListParagraph"/>
        <w:numPr>
          <w:ilvl w:val="0"/>
          <w:numId w:val="2"/>
        </w:numPr>
        <w:spacing w:after="80"/>
      </w:pPr>
      <w:r>
        <w:rPr>
          <w:b/>
          <w:bCs/>
        </w:rPr>
        <w:t xml:space="preserve">Lived, not just designed: </w:t>
      </w:r>
      <w:r>
        <w:t xml:space="preserve">the convictions govern organizational conduct with the same force they govern the product. Already practiced and now named as one discipline: one complete picture shown to every funder (no audience-tailored partial stories); failures reported to partners alongside successes; testers told plainly what is unfinished; refusing to build the metrics that would bend us; board seats reserved for people who love what the thing IS. Proposed next step: a one-page organizational covenant — the Convictions applied to money, partners, measurement, pace, and people — drafted as charter input for the formation thread, so “living our convictions” survives the founder’s presence and the board’s turnover.</w:t>
      </w:r>
    </w:p>
    <w:p>
      <w:pPr>
        <w:pStyle w:val="Heading1"/>
        <w:spacing w:after="140" w:before="320"/>
      </w:pPr>
      <w:r>
        <w:rPr>
          <w:color w:val="1F3864"/>
        </w:rPr>
        <w:t xml:space="preserve">7. Unknowns, Named Plainly (and where each gets answered)</w:t>
      </w:r>
    </w:p>
    <w:p>
      <w:pPr>
        <w:pStyle w:val="ListParagraph"/>
        <w:numPr>
          <w:ilvl w:val="0"/>
          <w:numId w:val="2"/>
        </w:numPr>
        <w:spacing w:after="80"/>
      </w:pPr>
      <w:r>
        <w:rPr>
          <w:b/>
          <w:bCs/>
        </w:rPr>
        <w:t xml:space="preserve">Does encounter retain? </w:t>
      </w:r>
      <w:r>
        <w:t xml:space="preserve">Unprompted return and articulable impact are P1/P2’s core questions — not satisfaction scores. (Prototype-testing thread.)</w:t>
      </w:r>
    </w:p>
    <w:p>
      <w:pPr>
        <w:pStyle w:val="ListParagraph"/>
        <w:numPr>
          <w:ilvl w:val="0"/>
          <w:numId w:val="2"/>
        </w:numPr>
        <w:spacing w:after="80"/>
      </w:pPr>
      <w:r>
        <w:rPr>
          <w:b/>
          <w:bCs/>
        </w:rPr>
        <w:t xml:space="preserve">Do participants use the transparency apparatus, and does visible uncertainty deepen or strain trust? </w:t>
      </w:r>
      <w:r>
        <w:t xml:space="preserve">Watch in P1; if friction, the answer is presentation, never less transparency. (Front-end thread.)</w:t>
      </w:r>
    </w:p>
    <w:p>
      <w:pPr>
        <w:pStyle w:val="ListParagraph"/>
        <w:numPr>
          <w:ilvl w:val="0"/>
          <w:numId w:val="2"/>
        </w:numPr>
        <w:spacing w:after="80"/>
      </w:pPr>
      <w:r>
        <w:rPr>
          <w:b/>
          <w:bCs/>
        </w:rPr>
        <w:t xml:space="preserve">Will institutions pay, or only donate? </w:t>
      </w:r>
      <w:r>
        <w:t xml:space="preserve">The paid-pilot fork-decider (2026-07-13) answers this at Stage A→B; the plan works either way, but the mix shifts.</w:t>
      </w:r>
    </w:p>
    <w:p>
      <w:pPr>
        <w:pStyle w:val="ListParagraph"/>
        <w:numPr>
          <w:ilvl w:val="0"/>
          <w:numId w:val="2"/>
        </w:numPr>
        <w:spacing w:after="80"/>
      </w:pPr>
      <w:r>
        <w:rPr>
          <w:b/>
          <w:bCs/>
        </w:rPr>
        <w:t xml:space="preserve">Can the pipeline become teachable without diluting it? </w:t>
      </w:r>
      <w:r>
        <w:t xml:space="preserve">Stage B’s second-builder experiment is the test; codification work is already in Mark’s development plan (Phase C / Ongoing).</w:t>
      </w:r>
    </w:p>
    <w:p>
      <w:pPr>
        <w:pStyle w:val="ListParagraph"/>
        <w:numPr>
          <w:ilvl w:val="0"/>
          <w:numId w:val="2"/>
        </w:numPr>
        <w:spacing w:after="80"/>
      </w:pPr>
      <w:r>
        <w:rPr>
          <w:b/>
          <w:bCs/>
        </w:rPr>
        <w:t xml:space="preserve">Platform-model softening: </w:t>
      </w:r>
      <w:r>
        <w:t xml:space="preserve">do underlying model guardrails mute a world’s fierceness or hard material? Validation-suite probes flagged 2026-07-16 (Marketplace handoff H1).</w:t>
      </w:r>
    </w:p>
    <w:p>
      <w:pPr>
        <w:pStyle w:val="ListParagraph"/>
        <w:numPr>
          <w:ilvl w:val="0"/>
          <w:numId w:val="2"/>
        </w:numPr>
        <w:spacing w:after="80"/>
      </w:pPr>
      <w:r>
        <w:rPr>
          <w:b/>
          <w:bCs/>
        </w:rPr>
        <w:t xml:space="preserve">Mark’s capacity: </w:t>
      </w:r>
      <w:r>
        <w:t xml:space="preserve">Equivice carries near-term income by design; the Focus-Protection Protocol governs the split. The growth plan assumes CiC gets the protected build block, not Mark’s margins.</w:t>
      </w:r>
    </w:p>
    <w:p>
      <w:pPr>
        <w:pStyle w:val="Heading1"/>
        <w:spacing w:after="140" w:before="320"/>
      </w:pPr>
      <w:r>
        <w:rPr>
          <w:color w:val="1F3864"/>
        </w:rPr>
        <w:t xml:space="preserve">8. Eighteen-Month Milestone Line (Jul 2026 → Dec 2027)</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7520"/>
      </w:tblGrid>
      <w:tr>
        <w:tc>
          <w:tcPr>
            <w:tcW w:type="dxa" w:w="2200"/>
            <w:shd w:fill="F2F2F2" w:val="clear"/>
            <w:tcMar>
              <w:top w:type="dxa" w:w="60"/>
              <w:left w:type="dxa" w:w="100"/>
              <w:bottom w:type="dxa" w:w="60"/>
              <w:right w:type="dxa" w:w="100"/>
            </w:tcMar>
          </w:tcPr>
          <w:p>
            <w:pPr>
              <w:spacing w:after="40"/>
            </w:pPr>
            <w:r>
              <w:rPr>
                <w:b/>
                <w:bCs/>
                <w:sz w:val="20"/>
                <w:szCs w:val="20"/>
              </w:rPr>
              <w:t xml:space="preserve">When</w:t>
            </w:r>
          </w:p>
        </w:tc>
        <w:tc>
          <w:tcPr>
            <w:tcW w:type="dxa" w:w="7520"/>
            <w:shd w:fill="F2F2F2" w:val="clear"/>
            <w:tcMar>
              <w:top w:type="dxa" w:w="60"/>
              <w:left w:type="dxa" w:w="100"/>
              <w:bottom w:type="dxa" w:w="60"/>
              <w:right w:type="dxa" w:w="100"/>
            </w:tcMar>
          </w:tcPr>
          <w:p>
            <w:pPr>
              <w:spacing w:after="40"/>
            </w:pPr>
            <w:r>
              <w:rPr>
                <w:b/>
                <w:bCs/>
                <w:sz w:val="20"/>
                <w:szCs w:val="20"/>
              </w:rPr>
              <w:t xml:space="preserve">Milestone</w:t>
            </w:r>
          </w:p>
        </w:tc>
      </w:tr>
      <w:tr>
        <w:tc>
          <w:tcPr>
            <w:tcW w:type="dxa" w:w="2200"/>
            <w:shd w:fill="F2F2F2" w:val="clear"/>
            <w:tcMar>
              <w:top w:type="dxa" w:w="60"/>
              <w:left w:type="dxa" w:w="100"/>
              <w:bottom w:type="dxa" w:w="60"/>
              <w:right w:type="dxa" w:w="100"/>
            </w:tcMar>
          </w:tcPr>
          <w:p>
            <w:pPr>
              <w:spacing w:after="40"/>
            </w:pPr>
            <w:r>
              <w:rPr>
                <w:b/>
                <w:bCs/>
                <w:sz w:val="20"/>
                <w:szCs w:val="20"/>
              </w:rPr>
              <w:t xml:space="preserve">Jul 2026 (now)</w:t>
            </w:r>
          </w:p>
        </w:tc>
        <w:tc>
          <w:tcPr>
            <w:tcW w:type="dxa" w:w="7520"/>
            <w:tcMar>
              <w:top w:type="dxa" w:w="60"/>
              <w:left w:type="dxa" w:w="100"/>
              <w:bottom w:type="dxa" w:w="60"/>
              <w:right w:type="dxa" w:w="100"/>
            </w:tcMar>
          </w:tcPr>
          <w:p>
            <w:pPr>
              <w:spacing w:after="40"/>
            </w:pPr>
            <w:r>
              <w:rPr>
                <w:sz w:val="20"/>
                <w:szCs w:val="20"/>
              </w:rPr>
              <w:t xml:space="preserve">Prototype 1 runs (10–12 invited testers; 15–25 participants with friend-referrals; interview mode + up-to-3-world Tables); story-capture protocol live in post-surveys; church-designated-fund conversation (this week’s single live funding item); seminary-alignment analysis in research.</w:t>
            </w:r>
          </w:p>
        </w:tc>
      </w:tr>
      <w:tr>
        <w:tc>
          <w:tcPr>
            <w:tcW w:type="dxa" w:w="2200"/>
            <w:shd w:fill="F2F2F2" w:val="clear"/>
            <w:tcMar>
              <w:top w:type="dxa" w:w="60"/>
              <w:left w:type="dxa" w:w="100"/>
              <w:bottom w:type="dxa" w:w="60"/>
              <w:right w:type="dxa" w:w="100"/>
            </w:tcMar>
          </w:tcPr>
          <w:p>
            <w:pPr>
              <w:spacing w:after="40"/>
            </w:pPr>
            <w:r>
              <w:rPr>
                <w:b/>
                <w:bCs/>
                <w:sz w:val="20"/>
                <w:szCs w:val="20"/>
              </w:rPr>
              <w:t xml:space="preserve">Aug 2026</w:t>
            </w:r>
          </w:p>
        </w:tc>
        <w:tc>
          <w:tcPr>
            <w:tcW w:type="dxa" w:w="7520"/>
            <w:tcMar>
              <w:top w:type="dxa" w:w="60"/>
              <w:left w:type="dxa" w:w="100"/>
              <w:bottom w:type="dxa" w:w="60"/>
              <w:right w:type="dxa" w:w="100"/>
            </w:tcMar>
          </w:tcPr>
          <w:p>
            <w:pPr>
              <w:spacing w:after="40"/>
            </w:pPr>
            <w:r>
              <w:rPr>
                <w:sz w:val="20"/>
                <w:szCs w:val="20"/>
              </w:rPr>
              <w:t xml:space="preserve">P1 actuals → packet V0.2 (stories, screenshots, measured unit economics); Letter to Friends refreshed to 4-world reality; Ring 1 ask opens ($7.5K gate); guided-starter question sets (Rung 0.5) drafted per world; tours (Rung 1) concept handed to front-end thread.</w:t>
            </w:r>
          </w:p>
        </w:tc>
      </w:tr>
      <w:tr>
        <w:tc>
          <w:tcPr>
            <w:tcW w:type="dxa" w:w="2200"/>
            <w:shd w:fill="F2F2F2" w:val="clear"/>
            <w:tcMar>
              <w:top w:type="dxa" w:w="60"/>
              <w:left w:type="dxa" w:w="100"/>
              <w:bottom w:type="dxa" w:w="60"/>
              <w:right w:type="dxa" w:w="100"/>
            </w:tcMar>
          </w:tcPr>
          <w:p>
            <w:pPr>
              <w:spacing w:after="40"/>
            </w:pPr>
            <w:r>
              <w:rPr>
                <w:b/>
                <w:bCs/>
                <w:sz w:val="20"/>
                <w:szCs w:val="20"/>
              </w:rPr>
              <w:t xml:space="preserve">Fall 2026</w:t>
            </w:r>
          </w:p>
        </w:tc>
        <w:tc>
          <w:tcPr>
            <w:tcW w:type="dxa" w:w="7520"/>
            <w:tcMar>
              <w:top w:type="dxa" w:w="60"/>
              <w:left w:type="dxa" w:w="100"/>
              <w:bottom w:type="dxa" w:w="60"/>
              <w:right w:type="dxa" w:w="100"/>
            </w:tcMar>
          </w:tcPr>
          <w:p>
            <w:pPr>
              <w:spacing w:after="40"/>
            </w:pPr>
            <w:r>
              <w:rPr>
                <w:sz w:val="20"/>
                <w:szCs w:val="20"/>
              </w:rPr>
              <w:t xml:space="preserve">Prototype 2 (~100 participants, 5–6 worlds); Article 31 reviewer brief → TEDS-professor outreach; validation round 1 begins; Tom Beck demonstration-first note (post-P1 evidence).</w:t>
            </w:r>
          </w:p>
        </w:tc>
      </w:tr>
      <w:tr>
        <w:tc>
          <w:tcPr>
            <w:tcW w:type="dxa" w:w="2200"/>
            <w:shd w:fill="F2F2F2" w:val="clear"/>
            <w:tcMar>
              <w:top w:type="dxa" w:w="60"/>
              <w:left w:type="dxa" w:w="100"/>
              <w:bottom w:type="dxa" w:w="60"/>
              <w:right w:type="dxa" w:w="100"/>
            </w:tcMar>
          </w:tcPr>
          <w:p>
            <w:pPr>
              <w:spacing w:after="40"/>
            </w:pPr>
            <w:r>
              <w:rPr>
                <w:b/>
                <w:bCs/>
                <w:sz w:val="20"/>
                <w:szCs w:val="20"/>
              </w:rPr>
              <w:t xml:space="preserve">Q1 2027</w:t>
            </w:r>
          </w:p>
        </w:tc>
        <w:tc>
          <w:tcPr>
            <w:tcW w:type="dxa" w:w="7520"/>
            <w:tcMar>
              <w:top w:type="dxa" w:w="60"/>
              <w:left w:type="dxa" w:w="100"/>
              <w:bottom w:type="dxa" w:w="60"/>
              <w:right w:type="dxa" w:w="100"/>
            </w:tcMar>
          </w:tcPr>
          <w:p>
            <w:pPr>
              <w:spacing w:after="40"/>
            </w:pPr>
            <w:r>
              <w:rPr>
                <w:sz w:val="20"/>
                <w:szCs w:val="20"/>
              </w:rPr>
              <w:t xml:space="preserve">Nonprofit entity filed; founding board seated (5-seat floor); CCSA registration (Jan–Feb); public About page + landing live.</w:t>
            </w:r>
          </w:p>
        </w:tc>
      </w:tr>
      <w:tr>
        <w:tc>
          <w:tcPr>
            <w:tcW w:type="dxa" w:w="2200"/>
            <w:shd w:fill="F2F2F2" w:val="clear"/>
            <w:tcMar>
              <w:top w:type="dxa" w:w="60"/>
              <w:left w:type="dxa" w:w="100"/>
              <w:bottom w:type="dxa" w:w="60"/>
              <w:right w:type="dxa" w:w="100"/>
            </w:tcMar>
          </w:tcPr>
          <w:p>
            <w:pPr>
              <w:spacing w:after="40"/>
            </w:pPr>
            <w:r>
              <w:rPr>
                <w:b/>
                <w:bCs/>
                <w:sz w:val="20"/>
                <w:szCs w:val="20"/>
              </w:rPr>
              <w:t xml:space="preserve">Apr 2027</w:t>
            </w:r>
          </w:p>
        </w:tc>
        <w:tc>
          <w:tcPr>
            <w:tcW w:type="dxa" w:w="7520"/>
            <w:tcMar>
              <w:top w:type="dxa" w:w="60"/>
              <w:left w:type="dxa" w:w="100"/>
              <w:bottom w:type="dxa" w:w="60"/>
              <w:right w:type="dxa" w:w="100"/>
            </w:tcMar>
          </w:tcPr>
          <w:p>
            <w:pPr>
              <w:spacing w:after="40"/>
            </w:pPr>
            <w:r>
              <w:rPr>
                <w:sz w:val="20"/>
                <w:szCs w:val="20"/>
              </w:rPr>
              <w:t xml:space="preserve">Praxis 2028 nonprofit-track application (with pilot data, validation, testimonials); anchor-seminary classroom pilot conversation formalized.</w:t>
            </w:r>
          </w:p>
        </w:tc>
      </w:tr>
      <w:tr>
        <w:tc>
          <w:tcPr>
            <w:tcW w:type="dxa" w:w="2200"/>
            <w:shd w:fill="F2F2F2" w:val="clear"/>
            <w:tcMar>
              <w:top w:type="dxa" w:w="60"/>
              <w:left w:type="dxa" w:w="100"/>
              <w:bottom w:type="dxa" w:w="60"/>
              <w:right w:type="dxa" w:w="100"/>
            </w:tcMar>
          </w:tcPr>
          <w:p>
            <w:pPr>
              <w:spacing w:after="40"/>
            </w:pPr>
            <w:r>
              <w:rPr>
                <w:b/>
                <w:bCs/>
                <w:sz w:val="20"/>
                <w:szCs w:val="20"/>
              </w:rPr>
              <w:t xml:space="preserve">Mid–late 2027</w:t>
            </w:r>
          </w:p>
        </w:tc>
        <w:tc>
          <w:tcPr>
            <w:tcW w:type="dxa" w:w="7520"/>
            <w:tcMar>
              <w:top w:type="dxa" w:w="60"/>
              <w:left w:type="dxa" w:w="100"/>
              <w:bottom w:type="dxa" w:w="60"/>
              <w:right w:type="dxa" w:w="100"/>
            </w:tcMar>
          </w:tcPr>
          <w:p>
            <w:pPr>
              <w:spacing w:after="40"/>
            </w:pPr>
            <w:r>
              <w:rPr>
                <w:sz w:val="20"/>
                <w:szCs w:val="20"/>
              </w:rPr>
              <w:t xml:space="preserve">Phase 1 launch per roadmap: institutional tiers activate; group/classroom mode beta; first paying pilots (3–5 churches/seminaries — the fork-decider); scholars’ advisory council forming.</w:t>
            </w:r>
          </w:p>
        </w:tc>
      </w:tr>
      <w:tr>
        <w:tc>
          <w:tcPr>
            <w:tcW w:type="dxa" w:w="2200"/>
            <w:shd w:fill="F2F2F2" w:val="clear"/>
            <w:tcMar>
              <w:top w:type="dxa" w:w="60"/>
              <w:left w:type="dxa" w:w="100"/>
              <w:bottom w:type="dxa" w:w="60"/>
              <w:right w:type="dxa" w:w="100"/>
            </w:tcMar>
          </w:tcPr>
          <w:p>
            <w:pPr>
              <w:spacing w:after="40"/>
            </w:pPr>
            <w:r>
              <w:rPr>
                <w:b/>
                <w:bCs/>
                <w:sz w:val="20"/>
                <w:szCs w:val="20"/>
              </w:rPr>
              <w:t xml:space="preserve">Dec 2027</w:t>
            </w:r>
          </w:p>
        </w:tc>
        <w:tc>
          <w:tcPr>
            <w:tcW w:type="dxa" w:w="7520"/>
            <w:tcMar>
              <w:top w:type="dxa" w:w="60"/>
              <w:left w:type="dxa" w:w="100"/>
              <w:bottom w:type="dxa" w:w="60"/>
              <w:right w:type="dxa" w:w="100"/>
            </w:tcMar>
          </w:tcPr>
          <w:p>
            <w:pPr>
              <w:spacing w:after="40"/>
            </w:pPr>
            <w:r>
              <w:rPr>
                <w:sz w:val="20"/>
                <w:szCs w:val="20"/>
              </w:rPr>
              <w:t xml:space="preserve">Stage A→B gate review: evidence in hand (P2 + validation + paying pilot) → first Reformation world selection with anchor partner; second-builder codification begins; next-Lilly-wave positioning with partner.</w:t>
            </w:r>
          </w:p>
        </w:tc>
      </w:tr>
    </w:tbl>
    <w:p>
      <w:pPr>
        <w:spacing w:after="120"/>
      </w:pPr>
      <w:r>
        <w:t xml:space="preserve"/>
      </w:r>
    </w:p>
    <w:p>
      <w:pPr>
        <w:spacing w:after="120"/>
      </w:pPr>
      <w:r>
        <w:rPr>
          <w:i/>
          <w:iCs/>
        </w:rPr>
        <w:t xml:space="preserve">Draft V0.1 — for Mark’s markup. Numbers inherit their confidence labels from the source workbooks and packet; nothing here is a commitment until Mark adopts it. Related records: funding decision log (master), marketplace decision log (scan + positioning), Telling the Story plan (public voice), Proposal Packet (the one outward document).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2026-07-16T13:48:11.885Z</dcterms:created>
  <dcterms:modified xsi:type="dcterms:W3CDTF">2026-07-16T13:48:11.886Z</dcterms:modified>
</cp:coreProperties>
</file>

<file path=docProps/custom.xml><?xml version="1.0" encoding="utf-8"?>
<Properties xmlns="http://schemas.openxmlformats.org/officeDocument/2006/custom-properties" xmlns:vt="http://schemas.openxmlformats.org/officeDocument/2006/docPropsVTypes"/>
</file>