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CHURCH IN CONVERSATION</w:t>
      </w:r>
    </w:p>
    <w:p>
      <w:pPr>
        <w:spacing w:after="200"/>
        <w:jc w:val="center"/>
      </w:pPr>
      <w:r>
        <w:rPr>
          <w:sz w:val="24"/>
          <w:szCs w:val="24"/>
        </w:rPr>
        <w:t xml:space="preserve">Invitation to Serve as External Scholarly Reviewer — Brief</w:t>
      </w:r>
    </w:p>
    <w:p>
      <w:pPr>
        <w:spacing w:after="100"/>
      </w:pPr>
      <w:r>
        <w:rPr>
          <w:i/>
          <w:iCs/>
        </w:rPr>
        <w:t xml:space="preserve">[Personal opening in Mark’s own words — how you know each other, why you thought of them specifically. Two or three sentences, yours, not mine. Everything below is the substance they’ll want in writing.]</w:t>
      </w:r>
    </w:p>
    <w:p>
      <w:pPr>
        <w:pStyle w:val="Heading1"/>
        <w:spacing w:after="100" w:before="240"/>
      </w:pPr>
      <w:r>
        <w:rPr>
          <w:color w:val="1F3864"/>
          <w:sz w:val="26"/>
          <w:szCs w:val="26"/>
        </w:rPr>
        <w:t xml:space="preserve">What the project is, in four sentences</w:t>
      </w:r>
    </w:p>
    <w:p>
      <w:pPr>
        <w:spacing w:after="100"/>
      </w:pPr>
      <w:r>
        <w:t xml:space="preserve">Church in Conversation reconstructs historical Christian communities — currently a post-apostolic house church, Alexandrian Christianity, Desert Christianity, and Syriac Christianity of Edessa-Nisibis, with five more ancient worlds in build — as “formation worlds” a participant can genuinely converse with, through an AI voice constrained to speak only from that world’s documented life. Every world is built through a review-gated methodology: source ecology with reliability assessment of every primary source, a fixed confidence vocabulary (Documented → Widely Accepted → Dominant Modern Reconstruction → Contested → Inferential/Thin) carried into the participant-facing runtime, story-tier classification with a strict no-invention rule, and adversarial testing before anyone meets a voice. The project is governed by a written constitution that forbids the voice from persuading, modernizing, defending, or critiquing — it bears witness to how a community knew Christ; it does not recruit. I am not a patristics scholar, and the architecture is built on exactly that admission: it requires accountability to someone who is.</w:t>
      </w:r>
    </w:p>
    <w:p>
      <w:pPr>
        <w:pStyle w:val="Heading1"/>
        <w:spacing w:after="100" w:before="240"/>
      </w:pPr>
      <w:r>
        <w:rPr>
          <w:color w:val="1F3864"/>
          <w:sz w:val="26"/>
          <w:szCs w:val="26"/>
        </w:rPr>
        <w:t xml:space="preserve">What I am asking</w:t>
      </w:r>
    </w:p>
    <w:p>
      <w:pPr>
        <w:spacing w:after="100"/>
      </w:pPr>
      <w:r>
        <w:rPr>
          <w:b/>
          <w:bCs/>
        </w:rPr>
        <w:t xml:space="preserve">A holistic external review — a correction-ask, not an endorsement-ask.</w:t>
      </w:r>
      <w:r>
        <w:t xml:space="preserve"> The project’s constitution (Article 31) requires that no formation world be considered validated on internal review alone. I am asking you to examine the work and tell me where it is wrong: where the methodology would mislead, where a reconstruction overreaches its evidence, where confidence labels are miscalibrated, where the field would wince. You are not being asked to endorse the project, lend your name to its marketing, or approve of AI in ministry. Your findings are yours; disagreement is a deliverable, not a problem.</w:t>
      </w:r>
    </w:p>
    <w:p>
      <w:pPr>
        <w:pStyle w:val="Heading1"/>
        <w:spacing w:after="100" w:before="240"/>
      </w:pPr>
      <w:r>
        <w:rPr>
          <w:color w:val="1F3864"/>
          <w:sz w:val="26"/>
          <w:szCs w:val="26"/>
        </w:rPr>
        <w:t xml:space="preserve">Scope and time</w:t>
      </w:r>
    </w:p>
    <w:p>
      <w:pPr>
        <w:pStyle w:val="ListParagraph"/>
        <w:numPr>
          <w:ilvl w:val="0"/>
          <w:numId w:val="2"/>
        </w:numPr>
        <w:spacing w:after="60"/>
      </w:pPr>
      <w:r>
        <w:rPr>
          <w:b/>
          <w:bCs/>
        </w:rPr>
        <w:t xml:space="preserve">Materials: </w:t>
      </w:r>
      <w:r>
        <w:t xml:space="preserve">the construction methodology (Blueprint and Construction Framework), the governing Constitution, and a sampled read of the built worlds at your choice of depth — including full source ecologies, confidence maps, and the live conversational voices themselves.</w:t>
      </w:r>
    </w:p>
    <w:p>
      <w:pPr>
        <w:pStyle w:val="ListParagraph"/>
        <w:numPr>
          <w:ilvl w:val="0"/>
          <w:numId w:val="2"/>
        </w:numPr>
        <w:spacing w:after="60"/>
      </w:pPr>
      <w:r>
        <w:rPr>
          <w:b/>
          <w:bCs/>
        </w:rPr>
        <w:t xml:space="preserve">Estimated effort: </w:t>
      </w:r>
      <w:r>
        <w:t xml:space="preserve">25–40 hours, at your pace, ideally within a 6–8 week window (target: September–October 2026).</w:t>
      </w:r>
    </w:p>
    <w:p>
      <w:pPr>
        <w:pStyle w:val="ListParagraph"/>
        <w:numPr>
          <w:ilvl w:val="0"/>
          <w:numId w:val="2"/>
        </w:numPr>
        <w:spacing w:after="60"/>
      </w:pPr>
      <w:r>
        <w:rPr>
          <w:b/>
          <w:bCs/>
        </w:rPr>
        <w:t xml:space="preserve">Output: </w:t>
      </w:r>
      <w:r>
        <w:t xml:space="preserve">written findings in whatever form suits you — a memo, margin notes, a conversation I transcribe. Blocking problems, miscalibrations, and “this is fine” all equally useful.</w:t>
      </w:r>
    </w:p>
    <w:p>
      <w:pPr>
        <w:pStyle w:val="ListParagraph"/>
        <w:numPr>
          <w:ilvl w:val="0"/>
          <w:numId w:val="2"/>
        </w:numPr>
        <w:spacing w:after="60"/>
      </w:pPr>
      <w:r>
        <w:rPr>
          <w:b/>
          <w:bCs/>
        </w:rPr>
        <w:t xml:space="preserve">Honorarium: </w:t>
      </w:r>
      <w:r>
        <w:t xml:space="preserve">[$1,000–1,500 — Mark: adjust per relationship; the budgeted range for a formally engaged specialist is $2,000–3,500]. Paid regardless of how critical the findings are.</w:t>
      </w:r>
    </w:p>
    <w:p>
      <w:pPr>
        <w:pStyle w:val="Heading1"/>
        <w:spacing w:after="100" w:before="240"/>
      </w:pPr>
      <w:r>
        <w:rPr>
          <w:color w:val="1F3864"/>
          <w:sz w:val="26"/>
          <w:szCs w:val="26"/>
        </w:rPr>
        <w:t xml:space="preserve">What your review is — and is not — used for</w:t>
      </w:r>
    </w:p>
    <w:p>
      <w:pPr>
        <w:pStyle w:val="ListParagraph"/>
        <w:numPr>
          <w:ilvl w:val="0"/>
          <w:numId w:val="2"/>
        </w:numPr>
        <w:spacing w:after="60"/>
      </w:pPr>
      <w:r>
        <w:t xml:space="preserve">Your findings drive revisions. Where we cannot fix what you flag, participants are told so — the system carries visible confidence labels and disclosed limitations as a core feature, not fine print.</w:t>
      </w:r>
    </w:p>
    <w:p>
      <w:pPr>
        <w:pStyle w:val="ListParagraph"/>
        <w:numPr>
          <w:ilvl w:val="0"/>
          <w:numId w:val="2"/>
        </w:numPr>
        <w:spacing w:after="60"/>
      </w:pPr>
      <w:r>
        <w:t xml:space="preserve">Your review is disclosed honestly: scope, credentials, and limitations stated; it is never presented as broader than it was. Until external review exists, every participant is told exactly that — that discipline is already in place.</w:t>
      </w:r>
    </w:p>
    <w:p>
      <w:pPr>
        <w:pStyle w:val="ListParagraph"/>
        <w:numPr>
          <w:ilvl w:val="0"/>
          <w:numId w:val="2"/>
        </w:numPr>
        <w:spacing w:after="60"/>
      </w:pPr>
      <w:r>
        <w:t xml:space="preserve">You are not asked to speak for the project publicly, and your participation is not used as an endorsement. If you choose to be named, it is as reviewer, with your findings characterized accurately.</w:t>
      </w:r>
    </w:p>
    <w:p>
      <w:pPr>
        <w:pStyle w:val="ListParagraph"/>
        <w:numPr>
          <w:ilvl w:val="0"/>
          <w:numId w:val="2"/>
        </w:numPr>
        <w:spacing w:after="60"/>
      </w:pPr>
      <w:r>
        <w:t xml:space="preserve">Independence is the point: you had no role in construction, and the constitution explicitly prohibits treating AI-assisted internal review as a substitute for you.</w:t>
      </w:r>
    </w:p>
    <w:p>
      <w:pPr>
        <w:pStyle w:val="Heading1"/>
        <w:spacing w:after="100" w:before="240"/>
      </w:pPr>
      <w:r>
        <w:rPr>
          <w:color w:val="1F3864"/>
          <w:sz w:val="26"/>
          <w:szCs w:val="26"/>
        </w:rPr>
        <w:t xml:space="preserve">Current status, told plainly</w:t>
      </w:r>
    </w:p>
    <w:p>
      <w:pPr>
        <w:spacing w:after="100"/>
      </w:pPr>
      <w:r>
        <w:t xml:space="preserve">Four worlds are live and in structured testing with real participants this month (a 10–12 person pilot, expanding through the fall). Nine ancient worlds complete by mid-September; a Reformation-era batch follows. The project is forming as a Colorado nonprofit this fall. No world has yet had external scholarly review — you would be the first, which is precisely why the ask matters. A second reviewer with early-church standing will be engaged alongside you so no single scholar carries the weight alone.</w:t>
      </w:r>
    </w:p>
    <w:p>
      <w:pPr>
        <w:spacing w:after="100"/>
      </w:pPr>
      <w:r>
        <w:rPr>
          <w:i/>
          <w:iCs/>
        </w:rPr>
        <w:t xml:space="preserve">[Closing in Mark’s voice — the invitation to a 30-minute call, and the offer to send the methodology documents or a guided demo first, whichever they’d prefer.]</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2026-07-16T17:10:48.739Z</dcterms:created>
  <dcterms:modified xsi:type="dcterms:W3CDTF">2026-07-16T17:10:48.739Z</dcterms:modified>
</cp:coreProperties>
</file>

<file path=docProps/custom.xml><?xml version="1.0" encoding="utf-8"?>
<Properties xmlns="http://schemas.openxmlformats.org/officeDocument/2006/custom-properties" xmlns:vt="http://schemas.openxmlformats.org/officeDocument/2006/docPropsVTypes"/>
</file>