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oc_07-integrated-ecology-analysis"/>
    <w:p>
      <w:pPr>
        <w:pStyle w:val="Heading1"/>
      </w:pPr>
      <w:r>
        <w:t xml:space="preserve">Doc_07 — Integrated Ecology Analysis</w:t>
      </w:r>
    </w:p>
    <w:p>
      <w:pPr>
        <w:pStyle w:val="FirstParagraph"/>
      </w:pPr>
      <w:r>
        <w:rPr>
          <w:bCs/>
          <w:b/>
        </w:rPr>
        <w:t xml:space="preserve">World #1: Post-Apostolic/Sub-Apostolic House-Church Christianity (c.70–200 CE; Antioch/Syria, Asia Minor, Rome)</w:t>
      </w:r>
    </w:p>
    <w:p>
      <w:pPr>
        <w:pStyle w:val="BodyText"/>
      </w:pPr>
      <w:r>
        <w:rPr>
          <w:bCs/>
          <w:b/>
        </w:rPr>
        <w:t xml:space="preserve">World code:</w:t>
      </w:r>
      <w:r>
        <w:t xml:space="preserve"> </w:t>
      </w:r>
      <w:r>
        <w:rPr>
          <w:rStyle w:val="VerbatimChar"/>
        </w:rPr>
        <w:t xml:space="preserve">pahc</w:t>
      </w:r>
      <w:r>
        <w:t xml:space="preserve"> </w:t>
      </w:r>
      <w:r>
        <w:t xml:space="preserve">(assigned at Doc_06, Section 0)</w:t>
      </w:r>
    </w:p>
    <w:p>
      <w:pPr>
        <w:pStyle w:val="BodyText"/>
      </w:pPr>
      <w:r>
        <w:rPr>
          <w:bCs/>
          <w:b/>
        </w:rPr>
        <w:t xml:space="preserve">Status:</w:t>
      </w:r>
      <w:r>
        <w:t xml:space="preserve"> </w:t>
      </w:r>
      <w:r>
        <w:t xml:space="preserve">APPROVED TO PROCEED — signed off by the project lead (Mark) on 2026-07-07, via explicit confirmation in this build’s conversation record. Cleared its first cold, file-saved, independent review (round 1: verdict COSMETIC FIXES ONLY — five citation-precision items and one disclosure addition, all applied directly per this project’s revision-decision test; no fresh review round required). This document’s APPROVED TO PROCEED status reflects the project lead’s own explicit sign-off, not a self-declaration by this build thread.</w:t>
      </w:r>
    </w:p>
    <w:p>
      <w:pPr>
        <w:pStyle w:val="BodyText"/>
      </w:pPr>
      <w:r>
        <w:rPr>
          <w:bCs/>
          <w:b/>
        </w:rPr>
        <w:t xml:space="preserve">Governed by:</w:t>
      </w:r>
      <w:r>
        <w:t xml:space="preserve"> </w:t>
      </w:r>
      <w:r>
        <w:t xml:space="preserve">Formation World Construction Framework V7.3, Step 7; Constitution Articles 17 (Confidence Vocabulary), 22 (Forces Principle), 23 (Writing-From-Inside Principle); the Integrated Ecology Analysis Template (L4).</w:t>
      </w:r>
    </w:p>
    <w:p>
      <w:pPr>
        <w:pStyle w:val="BodyText"/>
      </w:pPr>
      <w:r>
        <w:rPr>
          <w:bCs/>
          <w:b/>
        </w:rPr>
        <w:t xml:space="preserve">Built from:</w:t>
      </w:r>
      <w:r>
        <w:t xml:space="preserve"> </w:t>
      </w:r>
      <w:r>
        <w:t xml:space="preserve">Doc_01 through Doc_06, all finalized and signed off by the project lead (Mark) on 2026-07-07 (see each document’s own Project-lead sign-off entry). No content below is drawn from general period knowledge; every claim is traced to a specific section of Doc_01–06.</w:t>
      </w:r>
    </w:p>
    <w:p>
      <w:pPr>
        <w:pStyle w:val="BodyText"/>
      </w:pPr>
      <w:r>
        <w:rPr>
          <w:bCs/>
          <w:b/>
        </w:rPr>
        <w:t xml:space="preserve">Voice:</w:t>
      </w:r>
      <w:r>
        <w:t xml:space="preserve"> </w:t>
      </w:r>
      <w:r>
        <w:t xml:space="preserve">Analytical throughout, per the L4 template’s explicit instruction — this is a construction record, not a runtime document. Constitution Article 23’s Writing-From-Inside discipline governs Doc_05’s inhabited prose and this world’s runtime deployment (Doc_06’s chunk files), not this document.</w:t>
      </w:r>
    </w:p>
    <w:p>
      <w:pPr>
        <w:pStyle w:val="BodyText"/>
      </w:pPr>
      <w:r>
        <w:rPr>
          <w:bCs/>
          <w:b/>
        </w:rPr>
        <w:t xml:space="preserve">Methodological note on lens structure, disclosed up front per this world’s own established practice of surfacing interpretive choices rather than silently resolving them (Doc_05 Section 0; Doc_06 Section 0):</w:t>
      </w:r>
      <w:r>
        <w:t xml:space="preserve"> </w:t>
      </w:r>
      <w:r>
        <w:t xml:space="preserve">the L4 template for this step specifies five required lenses (2A–2E) as a fixed set. Framework V7.3’s own Step 7 text — independently confirmed word-for-word identical in V7.4 (DRAFT) — describes the lens set differently:</w:t>
      </w:r>
      <w:r>
        <w:t xml:space="preserve"> </w:t>
      </w:r>
      <w:r>
        <w:t xml:space="preserve">“</w:t>
      </w:r>
      <w:r>
        <w:t xml:space="preserve">Apply the integration lenses the world’s own ecology calls for, proportional to its formation axis rather than as a fixed required set… the lens set is world-derived, not prescribed.</w:t>
      </w:r>
      <w:r>
        <w:t xml:space="preserve">”</w:t>
      </w:r>
      <w:r>
        <w:t xml:space="preserve"> </w:t>
      </w:r>
      <w:r>
        <w:t xml:space="preserve">This document follows the L4 template’s fixed five-lens structure as the operative build instrument for this step, consistent with how every document in this build has followed its own L4 template’s specific requirements over the Framework’s looser parallel language where the two differ in specificity (see Doc_05 Section 0’s identical disclosure regarding Boundary Ecology). The tension is disclosed rather than silently resolved: a reviewer working from the Framework’s own Step 7 text alone might expect a differently-weighted lens set than the one built below.</w:t>
      </w:r>
    </w:p>
    <w:p>
      <w:r>
        <w:pict>
          <v:rect style="width:0;height:1.5pt" o:hralign="center" o:hrstd="t" o:hr="t"/>
        </w:pict>
      </w:r>
    </w:p>
    <w:bookmarkStart w:id="21" w:name="X73e97b45229c7f6367a76336e4d4655d0b1ea3d"/>
    <w:p>
      <w:pPr>
        <w:pStyle w:val="Heading2"/>
      </w:pPr>
      <w:r>
        <w:t xml:space="preserve">Section 1 — Document Identity and Confirmed Inputs</w:t>
      </w:r>
    </w:p>
    <w:p>
      <w:pPr>
        <w:pStyle w:val="FirstParagraph"/>
      </w:pPr>
      <w:r>
        <w:rPr>
          <w:bCs/>
          <w:b/>
        </w:rPr>
        <w:t xml:space="preserve">World name:</w:t>
      </w:r>
      <w:r>
        <w:t xml:space="preserve"> </w:t>
      </w:r>
      <w:r>
        <w:t xml:space="preserve">World #1 — Post-Apostolic/Sub-Apostolic House-Church Christianity</w:t>
      </w:r>
    </w:p>
    <w:p>
      <w:pPr>
        <w:pStyle w:val="BodyText"/>
      </w:pPr>
      <w:r>
        <w:rPr>
          <w:bCs/>
          <w:b/>
        </w:rPr>
        <w:t xml:space="preserve">World code:</w:t>
      </w:r>
      <w:r>
        <w:t xml:space="preserve"> </w:t>
      </w:r>
      <w:r>
        <w:rPr>
          <w:rStyle w:val="VerbatimChar"/>
        </w:rPr>
        <w:t xml:space="preserve">pahc</w:t>
      </w:r>
    </w:p>
    <w:p>
      <w:pPr>
        <w:pStyle w:val="BodyText"/>
      </w:pPr>
      <w:r>
        <w:rPr>
          <w:bCs/>
          <w:b/>
        </w:rPr>
        <w:t xml:space="preserve">Builder:</w:t>
      </w:r>
      <w:r>
        <w:t xml:space="preserve"> </w:t>
      </w:r>
      <w:r>
        <w:t xml:space="preserve">This build thread</w:t>
      </w:r>
    </w:p>
    <w:p>
      <w:pPr>
        <w:pStyle w:val="BodyText"/>
      </w:pPr>
      <w:r>
        <w:rPr>
          <w:bCs/>
          <w:b/>
        </w:rPr>
        <w:t xml:space="preserve">Date of Doc_07 completion:</w:t>
      </w:r>
      <w:r>
        <w:t xml:space="preserve"> </w:t>
      </w:r>
      <w:r>
        <w:t xml:space="preserve">PENDING — draft stage, not yet reviewed</w:t>
      </w:r>
    </w:p>
    <w:bookmarkStart w:id="20" w:name="input-document-confirmation-checklist"/>
    <w:p>
      <w:pPr>
        <w:pStyle w:val="Heading3"/>
      </w:pPr>
      <w:r>
        <w:t xml:space="preserve">Input Document Confirmation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w:t>
            </w:r>
          </w:p>
        </w:tc>
        <w:tc>
          <w:tcPr/>
          <w:p>
            <w:pPr>
              <w:pStyle w:val="Compact"/>
              <w:jc w:val="left"/>
            </w:pPr>
            <w:r>
              <w:t xml:space="preserve">Status</w:t>
            </w:r>
          </w:p>
        </w:tc>
      </w:tr>
      <w:tr>
        <w:tc>
          <w:tcPr/>
          <w:p>
            <w:pPr>
              <w:pStyle w:val="Compact"/>
              <w:jc w:val="left"/>
            </w:pPr>
            <w:r>
              <w:t xml:space="preserve">Doc_01 — World Identification</w:t>
            </w:r>
          </w:p>
        </w:tc>
        <w:tc>
          <w:tcPr/>
          <w:p>
            <w:pPr>
              <w:pStyle w:val="Compact"/>
              <w:jc w:val="left"/>
            </w:pPr>
            <w:r>
              <w:t xml:space="preserve">COMPLETE</w:t>
            </w:r>
          </w:p>
        </w:tc>
      </w:tr>
      <w:tr>
        <w:tc>
          <w:tcPr/>
          <w:p>
            <w:pPr>
              <w:pStyle w:val="Compact"/>
              <w:jc w:val="left"/>
            </w:pPr>
            <w:r>
              <w:t xml:space="preserve">Doc_02 — Source Ecology</w:t>
            </w:r>
          </w:p>
        </w:tc>
        <w:tc>
          <w:tcPr/>
          <w:p>
            <w:pPr>
              <w:pStyle w:val="Compact"/>
              <w:jc w:val="left"/>
            </w:pPr>
            <w:r>
              <w:t xml:space="preserve">COMPLETE</w:t>
            </w:r>
          </w:p>
        </w:tc>
      </w:tr>
      <w:tr>
        <w:tc>
          <w:tcPr/>
          <w:p>
            <w:pPr>
              <w:pStyle w:val="Compact"/>
              <w:jc w:val="left"/>
            </w:pPr>
            <w:r>
              <w:t xml:space="preserve">Doc_03 — Lexicon Candidate List</w:t>
            </w:r>
          </w:p>
        </w:tc>
        <w:tc>
          <w:tcPr/>
          <w:p>
            <w:pPr>
              <w:pStyle w:val="Compact"/>
              <w:jc w:val="left"/>
            </w:pPr>
            <w:r>
              <w:t xml:space="preserve">COMPLETE</w:t>
            </w:r>
          </w:p>
        </w:tc>
      </w:tr>
      <w:tr>
        <w:tc>
          <w:tcPr/>
          <w:p>
            <w:pPr>
              <w:pStyle w:val="Compact"/>
              <w:jc w:val="left"/>
            </w:pPr>
            <w:r>
              <w:t xml:space="preserve">Doc_04 — Gravity Discovery</w:t>
            </w:r>
          </w:p>
        </w:tc>
        <w:tc>
          <w:tcPr/>
          <w:p>
            <w:pPr>
              <w:pStyle w:val="Compact"/>
              <w:jc w:val="left"/>
            </w:pPr>
            <w:r>
              <w:t xml:space="preserve">COMPLETE</w:t>
            </w:r>
          </w:p>
        </w:tc>
      </w:tr>
      <w:tr>
        <w:tc>
          <w:tcPr/>
          <w:p>
            <w:pPr>
              <w:pStyle w:val="Compact"/>
              <w:jc w:val="left"/>
            </w:pPr>
            <w:r>
              <w:t xml:space="preserve">Doc_05 — Ecological Reconstruction</w:t>
            </w:r>
          </w:p>
        </w:tc>
        <w:tc>
          <w:tcPr/>
          <w:p>
            <w:pPr>
              <w:pStyle w:val="Compact"/>
              <w:jc w:val="left"/>
            </w:pPr>
            <w:r>
              <w:t xml:space="preserve">COMPLETE</w:t>
            </w:r>
          </w:p>
        </w:tc>
      </w:tr>
      <w:tr>
        <w:tc>
          <w:tcPr/>
          <w:p>
            <w:pPr>
              <w:pStyle w:val="Compact"/>
              <w:jc w:val="left"/>
            </w:pPr>
            <w:r>
              <w:t xml:space="preserve">Doc_06 — Full Interpretive Lexicon — Tier 1 entries at genuine depth</w:t>
            </w:r>
          </w:p>
        </w:tc>
        <w:tc>
          <w:tcPr/>
          <w:p>
            <w:pPr>
              <w:pStyle w:val="Compact"/>
              <w:jc w:val="left"/>
            </w:pPr>
            <w:r>
              <w:t xml:space="preserve">COMPLETE — Tier 1 set (episkopos, presbyteros, ekklesia, eucharistia) confirmed per Doc_06 Sections 2 and 4a, each having cleared three independent review rounds including a genuinely cold, file-saved review</w:t>
            </w:r>
          </w:p>
        </w:tc>
      </w:tr>
    </w:tbl>
    <w:p>
      <w:pPr>
        <w:pStyle w:val="BodyText"/>
      </w:pPr>
      <w:r>
        <w:rPr>
          <w:bCs/>
          <w:b/>
        </w:rPr>
        <w:t xml:space="preserve">Gate confirmation:</w:t>
      </w:r>
      <w:r>
        <w:t xml:space="preserve"> </w:t>
      </w:r>
      <w:r>
        <w:t xml:space="preserve">All six inputs confirmed complete before lens work began:</w:t>
      </w:r>
      <w:r>
        <w:t xml:space="preserve"> </w:t>
      </w:r>
      <w:r>
        <w:rPr>
          <w:bCs/>
          <w:b/>
        </w:rPr>
        <w:t xml:space="preserve">YES.</w:t>
      </w:r>
      <w:r>
        <w:t xml:space="preserve"> </w:t>
      </w:r>
      <w:r>
        <w:t xml:space="preserve">Each of Doc_01–06 carries the project lead’s own explicit sign-off (recorded in each document’s own Project-lead sign-off entry, dated 2026-07-07) — not a status this build thread assigned on his behalf.</w:t>
      </w:r>
    </w:p>
    <w:p>
      <w:r>
        <w:pict>
          <v:rect style="width:0;height:1.5pt" o:hralign="center" o:hrstd="t" o:hr="t"/>
        </w:pict>
      </w:r>
    </w:p>
    <w:bookmarkEnd w:id="20"/>
    <w:bookmarkEnd w:id="21"/>
    <w:bookmarkStart w:id="31" w:name="section-2-integration-lenses"/>
    <w:p>
      <w:pPr>
        <w:pStyle w:val="Heading2"/>
      </w:pPr>
      <w:r>
        <w:t xml:space="preserve">Section 2 — Integration Lenses</w:t>
      </w:r>
    </w:p>
    <w:bookmarkStart w:id="22" w:name="a-emotional-ecology-required"/>
    <w:p>
      <w:pPr>
        <w:pStyle w:val="Heading3"/>
      </w:pPr>
      <w:r>
        <w:t xml:space="preserve">2A — Emotional Ecology [REQUIRED]</w:t>
      </w:r>
    </w:p>
    <w:p>
      <w:pPr>
        <w:pStyle w:val="FirstParagraph"/>
      </w:pPr>
      <w:r>
        <w:rPr>
          <w:bCs/>
          <w:b/>
        </w:rPr>
        <w:t xml:space="preserve">What this lens reveals for this world:</w:t>
      </w:r>
      <w:r>
        <w:t xml:space="preserve"> </w:t>
      </w:r>
      <w:r>
        <w:t xml:space="preserve">This world’s own Tier 1 lexicon (episkopos, presbyteros, ekklesia, eucharistia — Doc_06 Section 2) supplies no dedicated affective vocabulary; its emotional texture must be reconstructed from institutional and ritual terms rather than a native emotion-lexicon. Applied carefully, this lens shows that the same underlying external exposure (Doc_04’s G03) was metabolized into two different internal dangers depending on which strand’s own authority logic processed it — a pattern invisible in Doc_05’s own presentation, which states both facts without naming them as two divergent responses to one shared force.</w:t>
      </w:r>
    </w:p>
    <w:p>
      <w:pPr>
        <w:pStyle w:val="BodyText"/>
      </w:pPr>
      <w:r>
        <w:rPr>
          <w:bCs/>
          <w:b/>
        </w:rPr>
        <w:t xml:space="preserve">Dominant emotional register:</w:t>
      </w:r>
      <w:r>
        <w:t xml:space="preserve"> </w:t>
      </w:r>
      <w:r>
        <w:t xml:space="preserve">Not constant terror but standing, unpredictable exposure:</w:t>
      </w:r>
      <w:r>
        <w:t xml:space="preserve"> </w:t>
      </w:r>
      <w:r>
        <w:t xml:space="preserve">“</w:t>
      </w:r>
      <w:r>
        <w:t xml:space="preserve">near enough that a member of these communities organized some real part of their emotional life around it</w:t>
      </w:r>
      <w:r>
        <w:t xml:space="preserve">”</w:t>
      </w:r>
      <w:r>
        <w:t xml:space="preserve"> </w:t>
      </w:r>
      <w:r>
        <w:t xml:space="preserve">(Doc_05 §1.2, grounded in G03/Supporting/cross-strand). For those formed most directly under Ignatius’s own example (Strand A), this exposure could turn toward eager anticipation rather than dread —</w:t>
      </w:r>
      <w:r>
        <w:t xml:space="preserve"> </w:t>
      </w:r>
      <w:r>
        <w:t xml:space="preserve">“</w:t>
      </w:r>
      <w:r>
        <w:t xml:space="preserve">a longing to be consumed rather than spared, framed as the truest possible imitation of the one this community followed</w:t>
      </w:r>
      <w:r>
        <w:t xml:space="preserve">”</w:t>
      </w:r>
      <w:r>
        <w:t xml:space="preserve"> </w:t>
      </w:r>
      <w:r>
        <w:t xml:space="preserve">(Doc_05 §1.2, grounded in G04/Supporting/Strand-A-only; Ignatius,</w:t>
      </w:r>
      <w:r>
        <w:t xml:space="preserve"> </w:t>
      </w:r>
      <w:r>
        <w:rPr>
          <w:iCs/>
          <w:i/>
        </w:rPr>
        <w:t xml:space="preserve">Romans</w:t>
      </w:r>
      <w:r>
        <w:t xml:space="preserve"> </w:t>
      </w:r>
      <w:r>
        <w:t xml:space="preserve">4,</w:t>
      </w:r>
      <w:r>
        <w:t xml:space="preserve"> </w:t>
      </w:r>
      <w:r>
        <w:t xml:space="preserve">“</w:t>
      </w:r>
      <w:r>
        <w:t xml:space="preserve">food for wild beasts</w:t>
      </w:r>
      <w:r>
        <w:t xml:space="preserve">”</w:t>
      </w:r>
      <w:r>
        <w:t xml:space="preserve">). Doc_04 explicitly restricts this register’s confidence to</w:t>
      </w:r>
      <w:r>
        <w:t xml:space="preserve"> </w:t>
      </w:r>
      <w:r>
        <w:t xml:space="preserve">“</w:t>
      </w:r>
      <w:r>
        <w:t xml:space="preserve">these two specific people</w:t>
      </w:r>
      <w:r>
        <w:t xml:space="preserve">”</w:t>
      </w:r>
      <w:r>
        <w:t xml:space="preserve"> </w:t>
      </w:r>
      <w:r>
        <w:t xml:space="preserve">(Ignatius and the community that produced the</w:t>
      </w:r>
      <w:r>
        <w:t xml:space="preserve"> </w:t>
      </w:r>
      <w:r>
        <w:rPr>
          <w:iCs/>
          <w:i/>
        </w:rPr>
        <w:t xml:space="preserve">Martyrdom of Polycarp</w:t>
      </w:r>
      <w:r>
        <w:t xml:space="preserve">) — its Formation-test result reads</w:t>
      </w:r>
      <w:r>
        <w:t xml:space="preserve"> </w:t>
      </w:r>
      <w:r>
        <w:t xml:space="preserve">“</w:t>
      </w:r>
      <w:r>
        <w:rPr>
          <w:bCs/>
          <w:b/>
        </w:rPr>
        <w:t xml:space="preserve">Clearly</w:t>
      </w:r>
      <w:r>
        <w:t xml:space="preserve"> </w:t>
      </w:r>
      <w:r>
        <w:t xml:space="preserve">formation-shaping for the specific individuals in the record; far less certain for the ordinary, non-elite, non-imminently-threatened member</w:t>
      </w:r>
      <w:r>
        <w:t xml:space="preserve">”</w:t>
      </w:r>
      <w:r>
        <w:t xml:space="preserve"> </w:t>
      </w:r>
      <w:r>
        <w:t xml:space="preserve">(Doc_04, G04). For Rome (Strand B), the sharper fear ran elsewhere:</w:t>
      </w:r>
      <w:r>
        <w:t xml:space="preserve"> </w:t>
      </w:r>
      <w:r>
        <w:t xml:space="preserve">“</w:t>
      </w:r>
      <w:r>
        <w:t xml:space="preserve">not toward the possibility of arrest, but toward the possibility that one’s own worst failure, committed after baptism, might already have used up whatever mercy remained</w:t>
      </w:r>
      <w:r>
        <w:t xml:space="preserve">”</w:t>
      </w:r>
      <w:r>
        <w:t xml:space="preserve"> </w:t>
      </w:r>
      <w:r>
        <w:t xml:space="preserve">(Doc_05 §1.2, drawing on Hermas). Cutting across both strands: hope ran through correspondence —</w:t>
      </w:r>
      <w:r>
        <w:t xml:space="preserve"> </w:t>
      </w:r>
      <w:r>
        <w:t xml:space="preserve">“</w:t>
      </w:r>
      <w:r>
        <w:t xml:space="preserve">a letter arriving from another</w:t>
      </w:r>
      <w:r>
        <w:t xml:space="preserve"> </w:t>
      </w:r>
      <w:r>
        <w:rPr>
          <w:iCs/>
          <w:i/>
        </w:rPr>
        <w:t xml:space="preserve">ekklesia</w:t>
      </w:r>
      <w:r>
        <w:t xml:space="preserve"> </w:t>
      </w:r>
      <w:r>
        <w:t xml:space="preserve">was never merely information. It was proof that the</w:t>
      </w:r>
      <w:r>
        <w:t xml:space="preserve"> </w:t>
      </w:r>
      <w:r>
        <w:rPr>
          <w:iCs/>
          <w:i/>
        </w:rPr>
        <w:t xml:space="preserve">ekklesia</w:t>
      </w:r>
      <w:r>
        <w:t xml:space="preserve"> </w:t>
      </w:r>
      <w:r>
        <w:t xml:space="preserve">a member belonged to was larger than the room</w:t>
      </w:r>
      <w:r>
        <w:t xml:space="preserve">”</w:t>
      </w:r>
      <w:r>
        <w:t xml:space="preserve"> </w:t>
      </w:r>
      <w:r>
        <w:t xml:space="preserve">(Doc_05 §1.2, grounded in G02/Primary).</w:t>
      </w:r>
    </w:p>
    <w:p>
      <w:pPr>
        <w:pStyle w:val="BodyText"/>
      </w:pPr>
      <w:r>
        <w:rPr>
          <w:bCs/>
          <w:b/>
        </w:rPr>
        <w:t xml:space="preserve">Emotionally dangerous states:</w:t>
      </w:r>
      <w:r>
        <w:t xml:space="preserve"> </w:t>
      </w:r>
      <w:r>
        <w:t xml:space="preserve">For Strand A, doubt about the reality of Christ’s bodily suffering — docetic denial — is the named danger, addressed through Ignatius’s sustained anti-docetic argument (G05/Tensional/Strand-A-only) and reinforced ritually: adherence to</w:t>
      </w:r>
      <w:r>
        <w:t xml:space="preserve"> </w:t>
      </w:r>
      <w:r>
        <w:t xml:space="preserve">“</w:t>
      </w:r>
      <w:r>
        <w:t xml:space="preserve">one eucharist</w:t>
      </w:r>
      <w:r>
        <w:t xml:space="preserve">”</w:t>
      </w:r>
      <w:r>
        <w:t xml:space="preserve"> </w:t>
      </w:r>
      <w:r>
        <w:t xml:space="preserve">under one bishop functions as an embodied answer to that doubt (Doc_05 §4.1; Doc_04’s G07 Dependency-test finding that the</w:t>
      </w:r>
      <w:r>
        <w:t xml:space="preserve"> </w:t>
      </w:r>
      <w:r>
        <w:t xml:space="preserve">“</w:t>
      </w:r>
      <w:r>
        <w:t xml:space="preserve">one eucharist</w:t>
      </w:r>
      <w:r>
        <w:t xml:space="preserve">”</w:t>
      </w:r>
      <w:r>
        <w:t xml:space="preserve"> </w:t>
      </w:r>
      <w:r>
        <w:t xml:space="preserve">instruction is</w:t>
      </w:r>
      <w:r>
        <w:t xml:space="preserve"> </w:t>
      </w:r>
      <w:r>
        <w:t xml:space="preserve">“</w:t>
      </w:r>
      <w:r>
        <w:t xml:space="preserve">simultaneously a G01 and G05 move</w:t>
      </w:r>
      <w:r>
        <w:t xml:space="preserve">”</w:t>
      </w:r>
      <w:r>
        <w:t xml:space="preserve">). For Strand B, the named danger is despair that repentance no longer avails after a real post-baptismal failure — addressed through Hermas’s own visionary instruction, which</w:t>
      </w:r>
      <w:r>
        <w:t xml:space="preserve"> </w:t>
      </w:r>
      <w:r>
        <w:t xml:space="preserve">“</w:t>
      </w:r>
      <w:r>
        <w:t xml:space="preserve">dwelt at length</w:t>
      </w:r>
      <w:r>
        <w:t xml:space="preserve">”</w:t>
      </w:r>
      <w:r>
        <w:t xml:space="preserve"> </w:t>
      </w:r>
      <w:r>
        <w:t xml:space="preserve">on exactly this question (Doc_05 §1.1).</w:t>
      </w:r>
    </w:p>
    <w:p>
      <w:pPr>
        <w:pStyle w:val="BodyText"/>
      </w:pPr>
      <w:r>
        <w:rPr>
          <w:bCs/>
          <w:b/>
        </w:rPr>
        <w:t xml:space="preserve">Emotional arc of formation:</w:t>
      </w:r>
      <w:r>
        <w:t xml:space="preserve"> </w:t>
      </w:r>
      <w:r>
        <w:t xml:space="preserve">Entry through Two Ways catechesis, framed as a stark moral choice between</w:t>
      </w:r>
      <w:r>
        <w:t xml:space="preserve"> </w:t>
      </w:r>
      <w:r>
        <w:t xml:space="preserve">“</w:t>
      </w:r>
      <w:r>
        <w:t xml:space="preserve">a way of life</w:t>
      </w:r>
      <w:r>
        <w:t xml:space="preserve">”</w:t>
      </w:r>
      <w:r>
        <w:t xml:space="preserve"> </w:t>
      </w:r>
      <w:r>
        <w:t xml:space="preserve">and</w:t>
      </w:r>
      <w:r>
        <w:t xml:space="preserve"> </w:t>
      </w:r>
      <w:r>
        <w:t xml:space="preserve">“</w:t>
      </w:r>
      <w:r>
        <w:t xml:space="preserve">a way of death</w:t>
      </w:r>
      <w:r>
        <w:t xml:space="preserve">”</w:t>
      </w:r>
      <w:r>
        <w:t xml:space="preserve"> </w:t>
      </w:r>
      <w:r>
        <w:t xml:space="preserve">(Doc_03 §2.7; Didache 1–6) → baptism (Didache 7’s descending sequence of acceptable fallbacks, Doc_03 §2.11) → ongoing re-formation through the recurring eucharistic gathering,</w:t>
      </w:r>
      <w:r>
        <w:t xml:space="preserve"> </w:t>
      </w:r>
      <w:r>
        <w:t xml:space="preserve">“</w:t>
      </w:r>
      <w:r>
        <w:t xml:space="preserve">the occasion a member… returned to, again and again, to be re-formed into the body they belonged to</w:t>
      </w:r>
      <w:r>
        <w:t xml:space="preserve">”</w:t>
      </w:r>
      <w:r>
        <w:t xml:space="preserve"> </w:t>
      </w:r>
      <w:r>
        <w:t xml:space="preserve">(Doc_05 §1.1) → for a minority, direct testing through state exposure. No settled terminal state is evidenced anywhere in this world’s own record; Doc_01’s own closing-boundary discussion (§2.2) marks this world’s</w:t>
      </w:r>
      <w:r>
        <w:t xml:space="preserve"> </w:t>
      </w:r>
      <w:r>
        <w:rPr>
          <w:iCs/>
          <w:i/>
        </w:rPr>
        <w:t xml:space="preserve">end</w:t>
      </w:r>
      <w:r>
        <w:t xml:space="preserve"> </w:t>
      </w:r>
      <w:r>
        <w:t xml:space="preserve">by the appearance of a formation logic that has settled (Irenaeus, Tertullian, Alexandria’s teaching institution) — this world’s own emotional arc, by definition, never itself resolves into settledness within its own lifetime.</w:t>
      </w:r>
    </w:p>
    <w:p>
      <w:pPr>
        <w:pStyle w:val="BodyText"/>
      </w:pPr>
      <w:r>
        <w:rPr>
          <w:bCs/>
          <w:b/>
        </w:rPr>
        <w:t xml:space="preserve">Gravities most visible in the emotional texture:</w:t>
      </w:r>
      <w:r>
        <w:t xml:space="preserve"> </w:t>
      </w:r>
      <w:r>
        <w:t xml:space="preserve">G03 (State Pressure, Supporting) as the shared undercurrent; G04 (Martyrdom, Supporting, Strand A only) as its most intensified individual expression; G02 (Translocal Network, Primary) as the hope-channel; G07 (Liturgical Practice, Primary) as the recurring re-forming rite.</w:t>
      </w:r>
    </w:p>
    <w:p>
      <w:pPr>
        <w:pStyle w:val="BodyText"/>
      </w:pPr>
      <w:r>
        <w:rPr>
          <w:bCs/>
          <w:b/>
        </w:rPr>
        <w:t xml:space="preserve">What Emotional Ecology reveals that Doc_05 alone did not show:</w:t>
      </w:r>
      <w:r>
        <w:t xml:space="preserve"> </w:t>
      </w:r>
      <w:r>
        <w:t xml:space="preserve">Doc_05 documents both strands’ emotional content side by side without naming the relationship between them. Held together, they show that one shared external condition — real but intermittent legal exposure (G03) — did not produce one uniform emotional formation across this world. It produced two structurally parallel but substantively different economies of fear and hope, each shaped by which strand’s own authority and boundary logic metabolized the same underlying pressure: Antioch/Asia Minor toward a fear of the body’s unreality (answered by embodied martyrdom-readiness and bishop-presided eucharist), Rome toward a fear of mercy’s exhaustion (answered by ongoing penitential self-examination). The exposure is shared; the danger it becomes is strand-specific.</w:t>
      </w:r>
    </w:p>
    <w:p>
      <w:r>
        <w:pict>
          <v:rect style="width:0;height:1.5pt" o:hralign="center" o:hrstd="t" o:hr="t"/>
        </w:pict>
      </w:r>
    </w:p>
    <w:bookmarkEnd w:id="22"/>
    <w:bookmarkStart w:id="23" w:name="b-philosophical-ecology-required"/>
    <w:p>
      <w:pPr>
        <w:pStyle w:val="Heading3"/>
      </w:pPr>
      <w:r>
        <w:t xml:space="preserve">2B — Philosophical Ecology [REQUIRED]</w:t>
      </w:r>
    </w:p>
    <w:p>
      <w:pPr>
        <w:pStyle w:val="FirstParagraph"/>
      </w:pPr>
      <w:r>
        <w:rPr>
          <w:bCs/>
          <w:b/>
        </w:rPr>
        <w:t xml:space="preserve">What this lens reveals for this world:</w:t>
      </w:r>
      <w:r>
        <w:t xml:space="preserve"> </w:t>
      </w:r>
      <w:r>
        <w:t xml:space="preserve">Beneath the two strand-specific fears named in 2A lies one shared ontological commitment: nothing about a formed Christian life in this world — the reality of the body, the availability of forgiveness, the legitimacy of office — is treated as automatically secured by initiation or apostolic inheritance. Naming that commitment explains why each strand’s specific danger is dangerous at all.</w:t>
      </w:r>
    </w:p>
    <w:p>
      <w:pPr>
        <w:pStyle w:val="BodyText"/>
      </w:pPr>
      <w:r>
        <w:rPr>
          <w:bCs/>
          <w:b/>
        </w:rPr>
        <w:t xml:space="preserve">Fundamental ontological assumptions:</w:t>
      </w:r>
      <w:r>
        <w:t xml:space="preserve"> </w:t>
      </w:r>
      <w:r>
        <w:t xml:space="preserve">Reality in this world is organized around the presence and fading of direct apostolic testimony rather than a closed textual canon —</w:t>
      </w:r>
      <w:r>
        <w:t xml:space="preserve"> </w:t>
      </w:r>
      <w:r>
        <w:t xml:space="preserve">“</w:t>
      </w:r>
      <w:r>
        <w:t xml:space="preserve">scripture read alongside living apostolic testimony, not yet a closed canon</w:t>
      </w:r>
      <w:r>
        <w:t xml:space="preserve">”</w:t>
      </w:r>
      <w:r>
        <w:t xml:space="preserve"> </w:t>
      </w:r>
      <w:r>
        <w:t xml:space="preserve">is named as one of this world’s own Distinct World Criteria (Doc_01 §1). For Strand A specifically, the reality of the body is treated as ontologically load-bearing rather than incidental: Ignatius’s sustained insistence that Christ</w:t>
      </w:r>
      <w:r>
        <w:t xml:space="preserve"> </w:t>
      </w:r>
      <w:r>
        <w:t xml:space="preserve">“</w:t>
      </w:r>
      <w:r>
        <w:t xml:space="preserve">suffered truly and in the flesh, not merely in appearance</w:t>
      </w:r>
      <w:r>
        <w:t xml:space="preserve">”</w:t>
      </w:r>
      <w:r>
        <w:t xml:space="preserve"> </w:t>
      </w:r>
      <w:r>
        <w:t xml:space="preserve">(Doc_05 §6.2) makes bodily suffering, not merely belief about it, the site where truth and falsehood are decided.</w:t>
      </w:r>
    </w:p>
    <w:p>
      <w:pPr>
        <w:pStyle w:val="BodyText"/>
      </w:pPr>
      <w:r>
        <w:rPr>
          <w:bCs/>
          <w:b/>
        </w:rPr>
        <w:t xml:space="preserve">Understanding of the human person:</w:t>
      </w:r>
      <w:r>
        <w:t xml:space="preserve"> </w:t>
      </w:r>
      <w:r>
        <w:t xml:space="preserve">The Two Ways schema frames the person as standing at a live, continuing moral fork —</w:t>
      </w:r>
      <w:r>
        <w:t xml:space="preserve"> </w:t>
      </w:r>
      <w:r>
        <w:t xml:space="preserve">“</w:t>
      </w:r>
      <w:r>
        <w:t xml:space="preserve">a way of life</w:t>
      </w:r>
      <w:r>
        <w:t xml:space="preserve">”</w:t>
      </w:r>
      <w:r>
        <w:t xml:space="preserve"> </w:t>
      </w:r>
      <w:r>
        <w:t xml:space="preserve">versus</w:t>
      </w:r>
      <w:r>
        <w:t xml:space="preserve"> </w:t>
      </w:r>
      <w:r>
        <w:t xml:space="preserve">“</w:t>
      </w:r>
      <w:r>
        <w:t xml:space="preserve">a way of death</w:t>
      </w:r>
      <w:r>
        <w:t xml:space="preserve">”</w:t>
      </w:r>
      <w:r>
        <w:t xml:space="preserve"> </w:t>
      </w:r>
      <w:r>
        <w:t xml:space="preserve">(Doc_03 §2.7) — not a nature settled once by initiation but an ongoing choice rehearsed in catechesis before baptism (Doc_05 §2.1). For Rome specifically, Hermas extends this provisionality past baptism itself: the person remains capable of a real moral failure serious enough to reopen the fundamental question of whether mercy remains available at all (Doc_05 §§1.1, 1.2) — personhood here is morally provisional, not secured once for all by the initiatory rite.</w:t>
      </w:r>
    </w:p>
    <w:p>
      <w:pPr>
        <w:pStyle w:val="BodyText"/>
      </w:pPr>
      <w:r>
        <w:rPr>
          <w:bCs/>
          <w:b/>
        </w:rPr>
        <w:t xml:space="preserve">Temporal assumptions:</w:t>
      </w:r>
      <w:r>
        <w:t xml:space="preserve"> </w:t>
      </w:r>
      <w:r>
        <w:t xml:space="preserve">This world understands itself as living inside the closing of the apostolic generation —</w:t>
      </w:r>
      <w:r>
        <w:t xml:space="preserve"> </w:t>
      </w:r>
      <w:r>
        <w:t xml:space="preserve">“</w:t>
      </w:r>
      <w:r>
        <w:t xml:space="preserve">the dispersal of first-generation eyewitness and apostolic authority… created an urgent, lived problem</w:t>
      </w:r>
      <w:r>
        <w:t xml:space="preserve">”</w:t>
      </w:r>
      <w:r>
        <w:t xml:space="preserve"> </w:t>
      </w:r>
      <w:r>
        <w:t xml:space="preserve">(Doc_01 §7) — not primarily an imminent-parousia urgency but an urgency of transmission before the last direct witnesses are gone. Continuity with the apostles is</w:t>
      </w:r>
      <w:r>
        <w:t xml:space="preserve"> </w:t>
      </w:r>
      <w:r>
        <w:t xml:space="preserve">“</w:t>
      </w:r>
      <w:r>
        <w:t xml:space="preserve">not a settled inheritance quietly received; it was something actively, urgently claimed, precisely because the alternative… was close enough to be felt</w:t>
      </w:r>
      <w:r>
        <w:t xml:space="preserve">”</w:t>
      </w:r>
      <w:r>
        <w:t xml:space="preserve"> </w:t>
      </w:r>
      <w:r>
        <w:t xml:space="preserve">(Doc_05 §6.3).</w:t>
      </w:r>
    </w:p>
    <w:p>
      <w:pPr>
        <w:pStyle w:val="BodyText"/>
      </w:pPr>
      <w:r>
        <w:rPr>
          <w:bCs/>
          <w:b/>
        </w:rPr>
        <w:t xml:space="preserve">How philosophical ecology grounds the emotional ecology:</w:t>
      </w:r>
      <w:r>
        <w:t xml:space="preserve"> </w:t>
      </w:r>
      <w:r>
        <w:t xml:space="preserve">Strand A’s docetic anxiety (2A) is coherent only because bodily reality is ontologically load-bearing; if embodiment were not a site where truth was decided, denying the body’s real suffering would threaten nothing. Rome’s penitential anxiety (2A) is coherent only because the person remains morally provisional after baptism; if the initiatory rite secured a person’s standing once for all, post-baptismal failure would threaten nothing either. Both strand-specific fears are downstream expressions of one shared conviction: nothing is automatically secured by inheritance; it must be actively held.</w:t>
      </w:r>
    </w:p>
    <w:p>
      <w:pPr>
        <w:pStyle w:val="BodyText"/>
      </w:pPr>
      <w:r>
        <w:rPr>
          <w:bCs/>
          <w:b/>
        </w:rPr>
        <w:t xml:space="preserve">Gravities most visible in the philosophical structure:</w:t>
      </w:r>
      <w:r>
        <w:t xml:space="preserve"> </w:t>
      </w:r>
      <w:r>
        <w:t xml:space="preserve">G05 (Strand A’s ontological commitment to bodily reality); G01 (the still-argued nature of office mirrors the still-argued nature of personhood —</w:t>
      </w:r>
      <w:r>
        <w:t xml:space="preserve"> </w:t>
      </w:r>
      <w:r>
        <w:t xml:space="preserve">“</w:t>
      </w:r>
      <w:r>
        <w:t xml:space="preserve">office was argued for, not assumed,</w:t>
      </w:r>
      <w:r>
        <w:t xml:space="preserve">”</w:t>
      </w:r>
      <w:r>
        <w:t xml:space="preserve"> </w:t>
      </w:r>
      <w:r>
        <w:t xml:space="preserve">Doc_05 §5.2); the household/</w:t>
      </w:r>
      <w:r>
        <w:rPr>
          <w:iCs/>
          <w:i/>
        </w:rPr>
        <w:t xml:space="preserve">oikos</w:t>
      </w:r>
      <w:r>
        <w:t xml:space="preserve"> </w:t>
      </w:r>
      <w:r>
        <w:t xml:space="preserve">evidentiary gap underlying G06’s own negative finding (Doc_03 §3; Doc_04, G06).</w:t>
      </w:r>
    </w:p>
    <w:p>
      <w:pPr>
        <w:pStyle w:val="BodyText"/>
      </w:pPr>
      <w:r>
        <w:rPr>
          <w:bCs/>
          <w:b/>
        </w:rPr>
        <w:t xml:space="preserve">What Philosophical Ecology reveals that Doc_05 alone did not show:</w:t>
      </w:r>
      <w:r>
        <w:t xml:space="preserve"> </w:t>
      </w:r>
      <w:r>
        <w:t xml:space="preserve">This world’s institutional unsettledness (G01) and its emotional unsettledness (2A) are not two separate facts about this world but the same underlying philosophical commitment expressed twice — once institutionally, once affectively. This is a world that treats nothing about a formed Christian life as automatically secured by initiation or inheritance; everything (office, embodiment, forgiveness) has to be actively held, argued, or re-earned.</w:t>
      </w:r>
    </w:p>
    <w:p>
      <w:r>
        <w:pict>
          <v:rect style="width:0;height:1.5pt" o:hralign="center" o:hrstd="t" o:hr="t"/>
        </w:pict>
      </w:r>
    </w:p>
    <w:bookmarkEnd w:id="23"/>
    <w:bookmarkStart w:id="24" w:name="c-authority-structures-required"/>
    <w:p>
      <w:pPr>
        <w:pStyle w:val="Heading3"/>
      </w:pPr>
      <w:r>
        <w:t xml:space="preserve">2C — Authority Structures [REQUIRED]</w:t>
      </w:r>
    </w:p>
    <w:p>
      <w:pPr>
        <w:pStyle w:val="FirstParagraph"/>
      </w:pPr>
      <w:r>
        <w:rPr>
          <w:bCs/>
          <w:b/>
        </w:rPr>
        <w:t xml:space="preserve">What this lens reveals for this world:</w:t>
      </w:r>
      <w:r>
        <w:t xml:space="preserve"> </w:t>
      </w:r>
      <w:r>
        <w:t xml:space="preserve">How the</w:t>
      </w:r>
      <w:r>
        <w:t xml:space="preserve"> </w:t>
      </w:r>
      <w:r>
        <w:t xml:space="preserve">“</w:t>
      </w:r>
      <w:r>
        <w:t xml:space="preserve">actively argued, not automatically secured</w:t>
      </w:r>
      <w:r>
        <w:t xml:space="preserve">”</w:t>
      </w:r>
      <w:r>
        <w:t xml:space="preserve"> </w:t>
      </w:r>
      <w:r>
        <w:t xml:space="preserve">logic named in 2B plays out institutionally — and specifically, how the same generative force produced two mutually exclusive but structurally parallel resolutions rather than one settled answer.</w:t>
      </w:r>
    </w:p>
    <w:p>
      <w:pPr>
        <w:pStyle w:val="BodyText"/>
      </w:pPr>
      <w:r>
        <w:rPr>
          <w:bCs/>
          <w:b/>
        </w:rPr>
        <w:t xml:space="preserve">Primary sources of authority:</w:t>
      </w:r>
      <w:r>
        <w:t xml:space="preserve"> </w:t>
      </w:r>
      <w:r>
        <w:t xml:space="preserve">Fading apostolic memory and testimony (Doc_01 §7); demonstrated, correspondence-recognized standing — Rome’s intervention at Corinth is itself an exercise and public demonstration of Rome’s own perceived authority to correct another</w:t>
      </w:r>
      <w:r>
        <w:t xml:space="preserve"> </w:t>
      </w:r>
      <w:r>
        <w:rPr>
          <w:iCs/>
          <w:i/>
        </w:rPr>
        <w:t xml:space="preserve">ekklesia</w:t>
      </w:r>
      <w:r>
        <w:t xml:space="preserve"> </w:t>
      </w:r>
      <w:r>
        <w:t xml:space="preserve">(Doc_02 §1.2); a singular office actively constructed and legitimated through argument, mapped by Ignatius onto pagan civic and mystery-cult models (Doc_01 §6, citing Brent’s reading) rather than simply reported as already secured; and, in Strand B, a plural, interchangeable governing college whose legitimacy rests on collegial continuity rather than any single figure (1 Clement chs. 42, 44, Doc_02 §1.2; Hermas’s plural</w:t>
      </w:r>
      <w:r>
        <w:t xml:space="preserve"> </w:t>
      </w:r>
      <w:r>
        <w:t xml:space="preserve">“</w:t>
      </w:r>
      <w:r>
        <w:t xml:space="preserve">presbyters who preside over the Church,</w:t>
      </w:r>
      <w:r>
        <w:t xml:space="preserve">”</w:t>
      </w:r>
      <w:r>
        <w:t xml:space="preserve"> </w:t>
      </w:r>
      <w:r>
        <w:t xml:space="preserve">Doc_02 §1.5).</w:t>
      </w:r>
    </w:p>
    <w:p>
      <w:pPr>
        <w:pStyle w:val="BodyText"/>
      </w:pPr>
      <w:r>
        <w:rPr>
          <w:bCs/>
          <w:b/>
        </w:rPr>
        <w:t xml:space="preserve">Transmission of authority:</w:t>
      </w:r>
      <w:r>
        <w:t xml:space="preserve"> </w:t>
      </w:r>
      <w:r>
        <w:t xml:space="preserve">In Strand A, the single office is figured as fitted-together continuity — Ignatius’s own image, newly surfaced as primary-text engagement at Doc_05’s own step:</w:t>
      </w:r>
      <w:r>
        <w:t xml:space="preserve"> </w:t>
      </w:r>
      <w:r>
        <w:t xml:space="preserve">“</w:t>
      </w:r>
      <w:r>
        <w:t xml:space="preserve">your justly renowned presbytery… is fitted as exactly to the bishop as the strings are to the harp</w:t>
      </w:r>
      <w:r>
        <w:t xml:space="preserve">”</w:t>
      </w:r>
      <w:r>
        <w:t xml:space="preserve"> </w:t>
      </w:r>
      <w:r>
        <w:t xml:space="preserve">(Doc_05 §5.1,</w:t>
      </w:r>
      <w:r>
        <w:t xml:space="preserve"> </w:t>
      </w:r>
      <w:r>
        <w:rPr>
          <w:iCs/>
          <w:i/>
        </w:rPr>
        <w:t xml:space="preserve">Ephesians</w:t>
      </w:r>
      <w:r>
        <w:t xml:space="preserve"> </w:t>
      </w:r>
      <w:r>
        <w:t xml:space="preserve">4; not yet a Source Registry row, flagged for escalation per Doc_05 §5.1 and Doc_06 §8, item 2). In Strand B, authority is transmitted as shared, interchangeable college membership, with</w:t>
      </w:r>
      <w:r>
        <w:t xml:space="preserve"> </w:t>
      </w:r>
      <w:r>
        <w:t xml:space="preserve">“</w:t>
      </w:r>
      <w:r>
        <w:t xml:space="preserve">no felt lack created by the absence of any single presiding figure</w:t>
      </w:r>
      <w:r>
        <w:t xml:space="preserve">”</w:t>
      </w:r>
      <w:r>
        <w:t xml:space="preserve"> </w:t>
      </w:r>
      <w:r>
        <w:t xml:space="preserve">(Doc_05 §5.1).</w:t>
      </w:r>
    </w:p>
    <w:p>
      <w:pPr>
        <w:pStyle w:val="BodyText"/>
      </w:pPr>
      <w:r>
        <w:rPr>
          <w:bCs/>
          <w:b/>
        </w:rPr>
        <w:t xml:space="preserve">Sites of contestation:</w:t>
      </w:r>
      <w:r>
        <w:t xml:space="preserve"> </w:t>
      </w:r>
      <w:r>
        <w:t xml:space="preserve">The clearest embodied contestation in this world’s entire evidentiary base is a single person: Polycarp identifies himself only as one of</w:t>
      </w:r>
      <w:r>
        <w:t xml:space="preserve"> </w:t>
      </w:r>
      <w:r>
        <w:t xml:space="preserve">“</w:t>
      </w:r>
      <w:r>
        <w:t xml:space="preserve">the presbyters</w:t>
      </w:r>
      <w:r>
        <w:t xml:space="preserve">”</w:t>
      </w:r>
      <w:r>
        <w:t xml:space="preserve"> </w:t>
      </w:r>
      <w:r>
        <w:t xml:space="preserve">in his own letter, while Ignatius separately addresses him as Smyrna’s bishop (Doc_01 §6; Doc_03 §2.2) — the same person carrying both descriptions simultaneously, held rather than resolved anywhere in this world’s own record. Doc_04’s own Confidence/Gravity Cross-Check on G01 found no defensible way to elevate this beyond Supporting:</w:t>
      </w:r>
      <w:r>
        <w:t xml:space="preserve"> </w:t>
      </w:r>
      <w:r>
        <w:t xml:space="preserve">“</w:t>
      </w:r>
      <w:r>
        <w:t xml:space="preserve">the specific content that actually does this gravity’s interaction and dependency work… is exactly the Contested part</w:t>
      </w:r>
      <w:r>
        <w:t xml:space="preserve">”</w:t>
      </w:r>
      <w:r>
        <w:t xml:space="preserve"> </w:t>
      </w:r>
      <w:r>
        <w:t xml:space="preserve">(Doc_04, G01).</w:t>
      </w:r>
    </w:p>
    <w:p>
      <w:pPr>
        <w:pStyle w:val="BodyText"/>
      </w:pPr>
      <w:r>
        <w:rPr>
          <w:bCs/>
          <w:b/>
        </w:rPr>
        <w:t xml:space="preserve">Authority and formation:</w:t>
      </w:r>
      <w:r>
        <w:t xml:space="preserve"> </w:t>
      </w:r>
      <w:r>
        <w:t xml:space="preserve">In Strand A, obedience to a single bishop is</w:t>
      </w:r>
      <w:r>
        <w:t xml:space="preserve"> </w:t>
      </w:r>
      <w:r>
        <w:t xml:space="preserve">“</w:t>
      </w:r>
      <w:r>
        <w:t xml:space="preserve">experienced as the very shape of unity</w:t>
      </w:r>
      <w:r>
        <w:t xml:space="preserve">”</w:t>
      </w:r>
      <w:r>
        <w:t xml:space="preserve"> </w:t>
      </w:r>
      <w:r>
        <w:t xml:space="preserve">(Doc_05 §5.1) and is directly fused with liturgical formation:</w:t>
      </w:r>
      <w:r>
        <w:t xml:space="preserve"> </w:t>
      </w:r>
      <w:r>
        <w:t xml:space="preserve">“</w:t>
      </w:r>
      <w:r>
        <w:t xml:space="preserve">attending that bishop’s own eucharist and refusing any other was inseparably an act of worship and an act of belonging</w:t>
      </w:r>
      <w:r>
        <w:t xml:space="preserve">”</w:t>
      </w:r>
      <w:r>
        <w:t xml:space="preserve"> </w:t>
      </w:r>
      <w:r>
        <w:t xml:space="preserve">(Doc_05 §4.1) — authority-formation and worship-formation are the same act, not two. In Strand B, a council of presbyters is</w:t>
      </w:r>
      <w:r>
        <w:t xml:space="preserve"> </w:t>
      </w:r>
      <w:r>
        <w:t xml:space="preserve">“</w:t>
      </w:r>
      <w:r>
        <w:t xml:space="preserve">experienced as the ordinary, sufficient shape of oversight</w:t>
      </w:r>
      <w:r>
        <w:t xml:space="preserve">”</w:t>
      </w:r>
      <w:r>
        <w:t xml:space="preserve"> </w:t>
      </w:r>
      <w:r>
        <w:t xml:space="preserve">(Doc_05 §5.1), with no comparable fusion evidenced.</w:t>
      </w:r>
    </w:p>
    <w:p>
      <w:pPr>
        <w:pStyle w:val="BodyText"/>
      </w:pPr>
      <w:r>
        <w:rPr>
          <w:bCs/>
          <w:b/>
        </w:rPr>
        <w:t xml:space="preserve">Cross-strand authority variations:</w:t>
      </w:r>
      <w:r>
        <w:t xml:space="preserve"> </w:t>
      </w:r>
      <w:r>
        <w:t xml:space="preserve">Per Doc_04’s own finding: the</w:t>
      </w:r>
      <w:r>
        <w:t xml:space="preserve"> </w:t>
      </w:r>
      <w:r>
        <w:rPr>
          <w:iCs/>
          <w:i/>
        </w:rPr>
        <w:t xml:space="preserve">force</w:t>
      </w:r>
      <w:r>
        <w:t xml:space="preserve"> </w:t>
      </w:r>
      <w:r>
        <w:t xml:space="preserve">— that authority required active organizing at all — is cross-strand confirmed; its</w:t>
      </w:r>
      <w:r>
        <w:t xml:space="preserve"> </w:t>
      </w:r>
      <w:r>
        <w:rPr>
          <w:iCs/>
          <w:i/>
        </w:rPr>
        <w:t xml:space="preserve">resolution</w:t>
      </w:r>
      <w:r>
        <w:t xml:space="preserve"> </w:t>
      </w:r>
      <w:r>
        <w:t xml:space="preserve">is strand-bound (Doc_04, G01, Cross-strand status). Doc_03 identifies episkopos/presbyteros as</w:t>
      </w:r>
      <w:r>
        <w:t xml:space="preserve"> </w:t>
      </w:r>
      <w:r>
        <w:t xml:space="preserve">“</w:t>
      </w:r>
      <w:r>
        <w:t xml:space="preserve">the single clearest strand-differentiating word in the whole source set</w:t>
      </w:r>
      <w:r>
        <w:t xml:space="preserve">”</w:t>
      </w:r>
      <w:r>
        <w:t xml:space="preserve"> </w:t>
      </w:r>
      <w:r>
        <w:t xml:space="preserve">(Doc_03 §2.1).</w:t>
      </w:r>
    </w:p>
    <w:p>
      <w:pPr>
        <w:pStyle w:val="BodyText"/>
      </w:pPr>
      <w:r>
        <w:rPr>
          <w:bCs/>
          <w:b/>
        </w:rPr>
        <w:t xml:space="preserve">Gravities most illuminated by the authority structure analysis:</w:t>
      </w:r>
      <w:r>
        <w:t xml:space="preserve"> </w:t>
      </w:r>
      <w:r>
        <w:t xml:space="preserve">G01 (Supporting — this lens’s direct subject); G07 (Primary — its Strand A fusion with liturgical formation).</w:t>
      </w:r>
    </w:p>
    <w:p>
      <w:pPr>
        <w:pStyle w:val="BodyText"/>
      </w:pPr>
      <w:r>
        <w:rPr>
          <w:bCs/>
          <w:b/>
        </w:rPr>
        <w:t xml:space="preserve">What Authority Structures reveals that Doc_05 alone did not show:</w:t>
      </w:r>
      <w:r>
        <w:t xml:space="preserve"> </w:t>
      </w:r>
      <w:r>
        <w:t xml:space="preserve">Doc_05 documents each strand’s authority experience separately. Read together against Doc_01’s own forces framing, both strand-specific resolutions turn out to answer the identical question — how should continuity with the apostles be secured once eyewitnesses are gone — with structurally parallel but substantively opposite claims to unbroken continuity: Strand A claims continuity through a single office fitted together like tuned strings; Strand B claims continuity through</w:t>
      </w:r>
      <w:r>
        <w:t xml:space="preserve"> </w:t>
      </w:r>
      <w:r>
        <w:t xml:space="preserve">“</w:t>
      </w:r>
      <w:r>
        <w:t xml:space="preserve">an argument that ministry itself had passed down in an unbroken, if loosely conceived, line</w:t>
      </w:r>
      <w:r>
        <w:t xml:space="preserve">”</w:t>
      </w:r>
      <w:r>
        <w:t xml:space="preserve"> </w:t>
      </w:r>
      <w:r>
        <w:t xml:space="preserve">(Doc_05 §2.2). This world’s authority crisis was never actually about</w:t>
      </w:r>
      <w:r>
        <w:t xml:space="preserve"> </w:t>
      </w:r>
      <w:r>
        <w:rPr>
          <w:iCs/>
          <w:i/>
        </w:rPr>
        <w:t xml:space="preserve">whether</w:t>
      </w:r>
      <w:r>
        <w:t xml:space="preserve"> </w:t>
      </w:r>
      <w:r>
        <w:t xml:space="preserve">continuity mattered — both strands agree it does — but about</w:t>
      </w:r>
      <w:r>
        <w:t xml:space="preserve"> </w:t>
      </w:r>
      <w:r>
        <w:rPr>
          <w:iCs/>
          <w:i/>
        </w:rPr>
        <w:t xml:space="preserve">what form</w:t>
      </w:r>
      <w:r>
        <w:t xml:space="preserve"> </w:t>
      </w:r>
      <w:r>
        <w:t xml:space="preserve">continuity should take once direct witness is gone.</w:t>
      </w:r>
    </w:p>
    <w:p>
      <w:r>
        <w:pict>
          <v:rect style="width:0;height:1.5pt" o:hralign="center" o:hrstd="t" o:hr="t"/>
        </w:pict>
      </w:r>
    </w:p>
    <w:bookmarkEnd w:id="24"/>
    <w:bookmarkStart w:id="25" w:name="d-boundary-structures-required"/>
    <w:p>
      <w:pPr>
        <w:pStyle w:val="Heading3"/>
      </w:pPr>
      <w:r>
        <w:t xml:space="preserve">2D — Boundary Structures [REQUIRED]</w:t>
      </w:r>
    </w:p>
    <w:p>
      <w:pPr>
        <w:pStyle w:val="FirstParagraph"/>
      </w:pPr>
      <w:r>
        <w:rPr>
          <w:bCs/>
          <w:b/>
        </w:rPr>
        <w:t xml:space="preserve">What this lens reveals for this world:</w:t>
      </w:r>
      <w:r>
        <w:t xml:space="preserve"> </w:t>
      </w:r>
      <w:r>
        <w:t xml:space="preserve">How this world’s own still-unsettled internal authority question (2C) interacts with real external pressure to produce a boundary that is simultaneously about internal legitimacy and external danger — and a genuinely new integration finding not present in Doc_04’s own Interaction Matrix, disclosed explicitly as this document’s own synthesis below.</w:t>
      </w:r>
    </w:p>
    <w:p>
      <w:pPr>
        <w:pStyle w:val="BodyText"/>
      </w:pPr>
      <w:r>
        <w:rPr>
          <w:bCs/>
          <w:b/>
        </w:rPr>
        <w:t xml:space="preserve">Membership logic:</w:t>
      </w:r>
      <w:r>
        <w:t xml:space="preserve"> </w:t>
      </w:r>
      <w:r>
        <w:t xml:space="preserve">Carrying this world’s name was</w:t>
      </w:r>
      <w:r>
        <w:t xml:space="preserve"> </w:t>
      </w:r>
      <w:r>
        <w:t xml:space="preserve">“</w:t>
      </w:r>
      <w:r>
        <w:t xml:space="preserve">at once, a legal exposure and a claim about the truth, held together as a single thing rather than two</w:t>
      </w:r>
      <w:r>
        <w:t xml:space="preserve">”</w:t>
      </w:r>
      <w:r>
        <w:t xml:space="preserve"> </w:t>
      </w:r>
      <w:r>
        <w:t xml:space="preserve">(Doc_05 §6.1) — membership was never purely a private or internal matter. Baptism (Didache 7’s descending water-fallback sequence, Doc_03 §2.11) is this world’s clearest internal entry rite, preceded by Two Ways catechesis (Doc_05 §2.1) — though both rest on the Didache alone within this world’s Native evidentiary base and cannot be generalized network-wide with confidence (Doc_03 §§2.7, 2.11, Author Gravity risk:</w:t>
      </w:r>
      <w:r>
        <w:t xml:space="preserve"> </w:t>
      </w:r>
      <w:r>
        <w:t xml:space="preserve">“</w:t>
      </w:r>
      <w:r>
        <w:t xml:space="preserve">Yes, maximally</w:t>
      </w:r>
      <w:r>
        <w:t xml:space="preserve">”</w:t>
      </w:r>
      <w:r>
        <w:t xml:space="preserve">).</w:t>
      </w:r>
    </w:p>
    <w:p>
      <w:pPr>
        <w:pStyle w:val="BodyText"/>
      </w:pPr>
      <w:r>
        <w:rPr>
          <w:bCs/>
          <w:b/>
        </w:rPr>
        <w:t xml:space="preserve">Relation to what is outside:</w:t>
      </w:r>
      <w:r>
        <w:t xml:space="preserve"> </w:t>
      </w:r>
      <w:r>
        <w:t xml:space="preserve">Two distinct</w:t>
      </w:r>
      <w:r>
        <w:t xml:space="preserve"> </w:t>
      </w:r>
      <w:r>
        <w:t xml:space="preserve">“</w:t>
      </w:r>
      <w:r>
        <w:t xml:space="preserve">outsides</w:t>
      </w:r>
      <w:r>
        <w:t xml:space="preserve">”</w:t>
      </w:r>
      <w:r>
        <w:t xml:space="preserve"> </w:t>
      </w:r>
      <w:r>
        <w:t xml:space="preserve">mattered, experienced as different in kind rather than one undifferentiated threat. The Roman state’s outside was legal-administrative —</w:t>
      </w:r>
      <w:r>
        <w:t xml:space="preserve"> </w:t>
      </w:r>
      <w:r>
        <w:rPr>
          <w:iCs/>
          <w:i/>
        </w:rPr>
        <w:t xml:space="preserve">hetaeria</w:t>
      </w:r>
      <w:r>
        <w:t xml:space="preserve">,</w:t>
      </w:r>
      <w:r>
        <w:t xml:space="preserve"> </w:t>
      </w:r>
      <w:r>
        <w:rPr>
          <w:iCs/>
          <w:i/>
        </w:rPr>
        <w:t xml:space="preserve">pertinacia</w:t>
      </w:r>
      <w:r>
        <w:t xml:space="preserve"> </w:t>
      </w:r>
      <w:r>
        <w:t xml:space="preserve">(Doc_03 §§2.12–2.13) — improvised and intermittent rather than settled or systematic (Doc_01 §4; Trajan’s rescript explicitly forbidding seeking Christians out). The rival-movement outside was doctrinal and, crucially,</w:t>
      </w:r>
      <w:r>
        <w:t xml:space="preserve"> </w:t>
      </w:r>
      <w:r>
        <w:rPr>
          <w:iCs/>
          <w:i/>
        </w:rPr>
        <w:t xml:space="preserve">not</w:t>
      </w:r>
      <w:r>
        <w:t xml:space="preserve"> </w:t>
      </w:r>
      <w:r>
        <w:t xml:space="preserve">external or already-settled either: Marcion, Valentinian/Gnostic teaching, and Montanism were</w:t>
      </w:r>
      <w:r>
        <w:t xml:space="preserve"> </w:t>
      </w:r>
      <w:r>
        <w:t xml:space="preserve">“</w:t>
      </w:r>
      <w:r>
        <w:t xml:space="preserve">live, undefeated, contemporary neighbors,</w:t>
      </w:r>
      <w:r>
        <w:t xml:space="preserve">”</w:t>
      </w:r>
      <w:r>
        <w:t xml:space="preserve"> </w:t>
      </w:r>
      <w:r>
        <w:t xml:space="preserve">geographically overlapping this world’s own three core regions in the same decades (Doc_01 §8.3) — not later heresies safely outside this world’s own frame.</w:t>
      </w:r>
    </w:p>
    <w:p>
      <w:pPr>
        <w:pStyle w:val="BodyText"/>
      </w:pPr>
      <w:r>
        <w:rPr>
          <w:bCs/>
          <w:b/>
        </w:rPr>
        <w:t xml:space="preserve">Forces most visible in the boundary structures:</w:t>
      </w:r>
      <w:r>
        <w:t xml:space="preserve"> </w:t>
      </w:r>
      <w:r>
        <w:t xml:space="preserve">G03 (State Pressure, Supporting, cross-strand) — Doc_02’s own</w:t>
      </w:r>
      <w:r>
        <w:t xml:space="preserve"> </w:t>
      </w:r>
      <w:r>
        <w:t xml:space="preserve">“</w:t>
      </w:r>
      <w:r>
        <w:t xml:space="preserve">what silences reveal</w:t>
      </w:r>
      <w:r>
        <w:t xml:space="preserve">”</w:t>
      </w:r>
      <w:r>
        <w:t xml:space="preserve"> </w:t>
      </w:r>
      <w:r>
        <w:t xml:space="preserve">finding reads this world’s complete absence of institutional self-documentation as plausibly explained by the practical risk of durable, seizable records under unpredictable legal exposure, not merely accidental non-survival (Doc_02 §9). G05 (Boundary-Drawing vs. Rivals, Tensional, Strand A only) — Ignatius’s anti-docetic argument. Doc_05 explicitly separates these into two boundaries,</w:t>
      </w:r>
      <w:r>
        <w:t xml:space="preserve"> </w:t>
      </w:r>
      <w:r>
        <w:t xml:space="preserve">“</w:t>
      </w:r>
      <w:r>
        <w:t xml:space="preserve">not felt with equal intensity everywhere</w:t>
      </w:r>
      <w:r>
        <w:t xml:space="preserve">”</w:t>
      </w:r>
      <w:r>
        <w:t xml:space="preserve"> </w:t>
      </w:r>
      <w:r>
        <w:t xml:space="preserve">— doctrinal anxiety sharpest nearest the rival teaching (Strand A); the state’s boundary pressing on both regions,</w:t>
      </w:r>
      <w:r>
        <w:t xml:space="preserve"> </w:t>
      </w:r>
      <w:r>
        <w:t xml:space="preserve">“</w:t>
      </w:r>
      <w:r>
        <w:t xml:space="preserve">intermittently and unpredictably rather than as a constant siege</w:t>
      </w:r>
      <w:r>
        <w:t xml:space="preserve">”</w:t>
      </w:r>
      <w:r>
        <w:t xml:space="preserve"> </w:t>
      </w:r>
      <w:r>
        <w:t xml:space="preserve">(Doc_05 §3.1).</w:t>
      </w:r>
    </w:p>
    <w:p>
      <w:pPr>
        <w:pStyle w:val="BodyText"/>
      </w:pPr>
      <w:r>
        <w:rPr>
          <w:bCs/>
          <w:b/>
        </w:rPr>
        <w:t xml:space="preserve">Boundary contestation:</w:t>
      </w:r>
      <w:r>
        <w:t xml:space="preserve"> </w:t>
      </w:r>
      <w:r>
        <w:t xml:space="preserve">The doctrinal boundary is explicitly</w:t>
      </w:r>
      <w:r>
        <w:t xml:space="preserve"> </w:t>
      </w:r>
      <w:r>
        <w:rPr>
          <w:iCs/>
          <w:i/>
        </w:rPr>
        <w:t xml:space="preserve">not</w:t>
      </w:r>
      <w:r>
        <w:t xml:space="preserve"> </w:t>
      </w:r>
      <w:r>
        <w:t xml:space="preserve">settled within this world’s own lifetime — Doc_04 classifies G05 Tensional specifically because its evidence is thin (essentially one voice) and its own Formation-test result reads only</w:t>
      </w:r>
      <w:r>
        <w:t xml:space="preserve"> </w:t>
      </w:r>
      <w:r>
        <w:t xml:space="preserve">“</w:t>
      </w:r>
      <w:r>
        <w:t xml:space="preserve">Plausible… unestablished,</w:t>
      </w:r>
      <w:r>
        <w:t xml:space="preserve">”</w:t>
      </w:r>
      <w:r>
        <w:t xml:space="preserve"> </w:t>
      </w:r>
      <w:r>
        <w:t xml:space="preserve">never reaching the</w:t>
      </w:r>
      <w:r>
        <w:t xml:space="preserve"> </w:t>
      </w:r>
      <w:r>
        <w:t xml:space="preserve">“</w:t>
      </w:r>
      <w:r>
        <w:t xml:space="preserve">Clearly</w:t>
      </w:r>
      <w:r>
        <w:t xml:space="preserve">”</w:t>
      </w:r>
      <w:r>
        <w:t xml:space="preserve"> </w:t>
      </w:r>
      <w:r>
        <w:t xml:space="preserve">language G04 reaches even at its narrowest scope (Doc_04, G05 Cross-Check). The state’s boundary is contested in a different sense: whether</w:t>
      </w:r>
      <w:r>
        <w:t xml:space="preserve"> </w:t>
      </w:r>
      <w:r>
        <w:t xml:space="preserve">“</w:t>
      </w:r>
      <w:r>
        <w:t xml:space="preserve">the name itself</w:t>
      </w:r>
      <w:r>
        <w:t xml:space="preserve">”</w:t>
      </w:r>
      <w:r>
        <w:t xml:space="preserve"> </w:t>
      </w:r>
      <w:r>
        <w:t xml:space="preserve">(</w:t>
      </w:r>
      <w:r>
        <w:rPr>
          <w:iCs/>
          <w:i/>
        </w:rPr>
        <w:t xml:space="preserve">nomen ipsum</w:t>
      </w:r>
      <w:r>
        <w:t xml:space="preserve">) or associated crimes constituted the actual chargeable offense remained genuinely unresolved even to Pliny, its own enforcer (Doc_03 §2.13).</w:t>
      </w:r>
    </w:p>
    <w:p>
      <w:pPr>
        <w:pStyle w:val="BodyText"/>
      </w:pPr>
      <w:r>
        <w:rPr>
          <w:bCs/>
          <w:b/>
        </w:rPr>
        <w:t xml:space="preserve">Boundary logic and formation:</w:t>
      </w:r>
      <w:r>
        <w:t xml:space="preserve"> </w:t>
      </w:r>
      <w:r>
        <w:t xml:space="preserve">In Strand A, refusing a rival’s separate eucharist and holding to</w:t>
      </w:r>
      <w:r>
        <w:t xml:space="preserve"> </w:t>
      </w:r>
      <w:r>
        <w:t xml:space="preserve">“</w:t>
      </w:r>
      <w:r>
        <w:t xml:space="preserve">the one eucharist</w:t>
      </w:r>
      <w:r>
        <w:t xml:space="preserve">”</w:t>
      </w:r>
      <w:r>
        <w:t xml:space="preserve"> </w:t>
      </w:r>
      <w:r>
        <w:t xml:space="preserve">under the community’s own bishop</w:t>
      </w:r>
      <w:r>
        <w:t xml:space="preserve"> </w:t>
      </w:r>
      <w:r>
        <w:t xml:space="preserve">“</w:t>
      </w:r>
      <w:r>
        <w:t xml:space="preserve">were… the same act — belonging and boundary-marking were not experienced as two different decisions</w:t>
      </w:r>
      <w:r>
        <w:t xml:space="preserve">”</w:t>
      </w:r>
      <w:r>
        <w:t xml:space="preserve"> </w:t>
      </w:r>
      <w:r>
        <w:t xml:space="preserve">(Doc_05 §3.1). In both strands,</w:t>
      </w:r>
      <w:r>
        <w:t xml:space="preserve"> </w:t>
      </w:r>
      <w:r>
        <w:t xml:space="preserve">“</w:t>
      </w:r>
      <w:r>
        <w:t xml:space="preserve">learning where the edges of a safe public identity lay</w:t>
      </w:r>
      <w:r>
        <w:t xml:space="preserve">”</w:t>
      </w:r>
      <w:r>
        <w:t xml:space="preserve"> </w:t>
      </w:r>
      <w:r>
        <w:t xml:space="preserve">was itself formative,</w:t>
      </w:r>
      <w:r>
        <w:t xml:space="preserve"> </w:t>
      </w:r>
      <w:r>
        <w:t xml:space="preserve">“</w:t>
      </w:r>
      <w:r>
        <w:t xml:space="preserve">pressed home by a governor’s own letter describing exactly what evidence he required and exactly what a simple denial would spare a person</w:t>
      </w:r>
      <w:r>
        <w:t xml:space="preserve">”</w:t>
      </w:r>
      <w:r>
        <w:t xml:space="preserve"> </w:t>
      </w:r>
      <w:r>
        <w:t xml:space="preserve">(Doc_05 §3.1; Pliny 10.96).</w:t>
      </w:r>
    </w:p>
    <w:p>
      <w:pPr>
        <w:pStyle w:val="BodyText"/>
      </w:pPr>
      <w:r>
        <w:rPr>
          <w:bCs/>
          <w:b/>
        </w:rPr>
        <w:t xml:space="preserve">What Boundary Structures reveals that Doc_05 alone did not show, flagged explicitly as this document’s own synthesis rather than an inherited Doc_04 finding:</w:t>
      </w:r>
      <w:r>
        <w:t xml:space="preserve"> </w:t>
      </w:r>
      <w:r>
        <w:t xml:space="preserve">Doc_04’s own Interaction Matrix, after seven review rounds of pair-by-pair re-derivation, records</w:t>
      </w:r>
      <w:r>
        <w:t xml:space="preserve"> </w:t>
      </w:r>
      <w:r>
        <w:rPr>
          <w:bCs/>
          <w:b/>
        </w:rPr>
        <w:t xml:space="preserve">no demonstrated relationship</w:t>
      </w:r>
      <w:r>
        <w:t xml:space="preserve"> </w:t>
      </w:r>
      <w:r>
        <w:t xml:space="preserve">between G03 (State Pressure) and G05 (Boundary-Drawing) — the two gravities are evidenced by entirely different sources (Pliny; Ignatius) and Doc_04 never traces a direct textual connection between them. This document’s own reading, going beyond what Doc_04 itself established, is that for a Strand A member specifically, these two independently-evidenced pressures converge on a single formative lesson at the level of lived experience even without a documented textual link between the gravities themselves: maintaining any boundary at all — against a rival teacher’s eucharist, or against a magistrate’s demand to curse Christ — was rehearsed as one continuous kind of refusal, learned first in the low-stakes doctrinal case before it might ever be tested in the high-stakes state case. This is Doc_07’s own integrative claim, not a finding carried forward from Doc_04, and is named as such in Section 6 (Gaps and Limits) as a specific candidate for external scholarly review.</w:t>
      </w:r>
    </w:p>
    <w:p>
      <w:r>
        <w:pict>
          <v:rect style="width:0;height:1.5pt" o:hralign="center" o:hrstd="t" o:hr="t"/>
        </w:pict>
      </w:r>
    </w:p>
    <w:bookmarkEnd w:id="25"/>
    <w:bookmarkStart w:id="26" w:name="Xf02021e7548ecac680c2943ec6ec05578590f86"/>
    <w:p>
      <w:pPr>
        <w:pStyle w:val="Heading3"/>
      </w:pPr>
      <w:r>
        <w:t xml:space="preserve">2E — Formation Logic [REQUIRED — applied after 2A–2D]</w:t>
      </w:r>
    </w:p>
    <w:p>
      <w:pPr>
        <w:pStyle w:val="FirstParagraph"/>
      </w:pPr>
      <w:r>
        <w:rPr>
          <w:bCs/>
          <w:b/>
        </w:rPr>
        <w:t xml:space="preserve">What this lens reveals for this world:</w:t>
      </w:r>
      <w:r>
        <w:t xml:space="preserve"> </w:t>
      </w:r>
      <w:r>
        <w:t xml:space="preserve">The organizing principle beneath all four preceding lenses, and the reason Doc_04’s own classification pattern — only two Primary gravities, several Supporting, one Tensional — is itself evidence for this world’s coherence rather than evidence of a weakly-integrated ecology.</w:t>
      </w:r>
    </w:p>
    <w:p>
      <w:pPr>
        <w:pStyle w:val="BodyText"/>
      </w:pPr>
      <w:r>
        <w:rPr>
          <w:bCs/>
          <w:b/>
        </w:rPr>
        <w:t xml:space="preserve">The fundamental aim of formation:</w:t>
      </w:r>
      <w:r>
        <w:t xml:space="preserve"> </w:t>
      </w:r>
      <w:r>
        <w:t xml:space="preserve">Not to arrive at settled answers, but to become someone capable of holding real, community-defining, unresolved questions — who leads; whether the body’s suffering was real; whether mercy still avails after failure; where the edge of a safe public identity lies — as the active substance of belonging, rather than as scandal or deficiency awaiting resolution. A mature practitioner in this world could write, or receive and act on, a letter arguing urgently for a still-contested position while simultaneously recognizing the community on the argument’s other side — differently organized, differently answering its own live question — as still</w:t>
      </w:r>
      <w:r>
        <w:t xml:space="preserve"> </w:t>
      </w:r>
      <w:r>
        <w:t xml:space="preserve">“</w:t>
      </w:r>
      <w:r>
        <w:t xml:space="preserve">the church of God</w:t>
      </w:r>
      <w:r>
        <w:t xml:space="preserve">”</w:t>
      </w:r>
      <w:r>
        <w:t xml:space="preserve"> </w:t>
      </w:r>
      <w:r>
        <w:t xml:space="preserve">(1 Clement’s own opening address, Doc_02 §1.2), not as a rival or an error to correct.</w:t>
      </w:r>
    </w:p>
    <w:p>
      <w:pPr>
        <w:pStyle w:val="BodyText"/>
      </w:pPr>
      <w:r>
        <w:rPr>
          <w:bCs/>
          <w:b/>
        </w:rPr>
        <w:t xml:space="preserve">The formation mechanism:</w:t>
      </w:r>
      <w:r>
        <w:t xml:space="preserve"> </w:t>
      </w:r>
      <w:r>
        <w:t xml:space="preserve">Two mechanisms did nearly all of this world’s formative work, and they are precisely this world’s only two Primary gravities. The correspondence network (G02) transmitted not settled doctrine from a stable center but arguments shaped by specific local trouble:</w:t>
      </w:r>
      <w:r>
        <w:t xml:space="preserve"> </w:t>
      </w:r>
      <w:r>
        <w:t xml:space="preserve">“</w:t>
      </w:r>
      <w:r>
        <w:t xml:space="preserve">a member of one</w:t>
      </w:r>
      <w:r>
        <w:t xml:space="preserve"> </w:t>
      </w:r>
      <w:r>
        <w:rPr>
          <w:iCs/>
          <w:i/>
        </w:rPr>
        <w:t xml:space="preserve">ekklesia</w:t>
      </w:r>
      <w:r>
        <w:t xml:space="preserve"> </w:t>
      </w:r>
      <w:r>
        <w:t xml:space="preserve">rarely encountered the wider movement’s teaching directly — they encountered it as a specific writer had already shaped it, in response to a specific, local argument</w:t>
      </w:r>
      <w:r>
        <w:t xml:space="preserve">”</w:t>
      </w:r>
      <w:r>
        <w:t xml:space="preserve"> </w:t>
      </w:r>
      <w:r>
        <w:t xml:space="preserve">(Doc_05 §2.1). The eucharist (G07) did the parallel work ritually — repeated, re-forming, and, in Strand A specifically, simultaneously an authority-claim and a boundary-claim in the same act (Doc_04, G07 Dependency test; Doc_05 §4.1). Two Ways catechesis supplied the entry-point moral logic (Doc_02 §4), but this world’s ongoing, adult formation ran through letters and liturgy — this world explicitly lacked any formal teaching institution of the kind that would define World #2’s own formation logic just past this world’s own close (Doc_01 §§2.3, 5; §8.2).</w:t>
      </w:r>
    </w:p>
    <w:p>
      <w:pPr>
        <w:pStyle w:val="BodyText"/>
      </w:pPr>
      <w:r>
        <w:rPr>
          <w:bCs/>
          <w:b/>
        </w:rPr>
        <w:t xml:space="preserve">The formation arc:</w:t>
      </w:r>
      <w:r>
        <w:t xml:space="preserve"> </w:t>
      </w:r>
      <w:r>
        <w:t xml:space="preserve">Entry via Two Ways catechesis and baptism → incorporation into a local</w:t>
      </w:r>
      <w:r>
        <w:t xml:space="preserve"> </w:t>
      </w:r>
      <w:r>
        <w:rPr>
          <w:iCs/>
          <w:i/>
        </w:rPr>
        <w:t xml:space="preserve">ekklesia</w:t>
      </w:r>
      <w:r>
        <w:t xml:space="preserve">’s own already-argued answer to the authority question → ongoing re-formation through repeated eucharistic gathering and reception of translocal correspondence → for a minority, direct testing through state exposure, met in Strand A with an intensified, martyrdom-oriented formation logic modeled on one bishop’s own self-presentation. No settled terminal stage is evidenced anywhere in this world’s own record. Doc_01’s own closing-boundary discussion marks this world’s</w:t>
      </w:r>
      <w:r>
        <w:t xml:space="preserve"> </w:t>
      </w:r>
      <w:r>
        <w:rPr>
          <w:iCs/>
          <w:i/>
        </w:rPr>
        <w:t xml:space="preserve">end</w:t>
      </w:r>
      <w:r>
        <w:t xml:space="preserve">, specifically, by the appearance of a formation logic that has settled (Irenaeus’s succession argument, Tertullian’s confident apologetic corpus, Alexandria’s teaching institution, Doc_01 §2.2) — arguing was not a stage on the way to settling; for this world’s own lifetime, arguing was the whole shape of formation.</w:t>
      </w:r>
    </w:p>
    <w:p>
      <w:pPr>
        <w:pStyle w:val="BodyText"/>
      </w:pPr>
      <w:r>
        <w:rPr>
          <w:bCs/>
          <w:b/>
        </w:rPr>
        <w:t xml:space="preserve">How the lenses integrate as a formation system:</w:t>
      </w:r>
      <w:r>
        <w:t xml:space="preserve"> </w:t>
      </w:r>
      <w:r>
        <w:t xml:space="preserve">The emotional register (2A) is the felt experience of living inside unresolved questions, in two strand-specific flavors. The philosophical ecology (2B) is the ontological conviction that makes that felt exposure coherent — nothing is automatically secured; everything must be actively held. The authority structure (2C) is the institutional expression of the same conviction — office argued into being rather than inherited as given. The boundary structure (2D) extends the identical logic outward — a boundary maintained by active, repeated refusal rather than a settled wall inherited from a previous generation. All four lenses, independently derived from Doc_01–06’s own evidence, converge on one formation logic: this world formed people who could actively hold, argue for, and re-enact — rather than passively inherit — the very things a later, more settled Christian world would treat as already decided.</w:t>
      </w:r>
    </w:p>
    <w:p>
      <w:pPr>
        <w:pStyle w:val="BodyText"/>
      </w:pPr>
      <w:r>
        <w:rPr>
          <w:bCs/>
          <w:b/>
        </w:rPr>
        <w:t xml:space="preserve">Cross-strand formation logic:</w:t>
      </w:r>
      <w:r>
        <w:t xml:space="preserve"> </w:t>
      </w:r>
      <w:r>
        <w:t xml:space="preserve">The shared underlying logic — argue rather than inherit — runs through both strands even though its specific content diverges sharply. Strand A argues its way toward a single office and treats the doctrinal/bodily boundary as the sharper front; Strand B argues its way toward a plural college and treats post-baptismal mercy as the sharper front. Neither strand’s argued, not-yet-settled character is itself in question; only the content each strand is arguing toward differs.</w:t>
      </w:r>
    </w:p>
    <w:p>
      <w:pPr>
        <w:pStyle w:val="BodyText"/>
      </w:pPr>
      <w:r>
        <w:rPr>
          <w:bCs/>
          <w:b/>
        </w:rPr>
        <w:t xml:space="preserve">Formation logic and confirmed gravities:</w:t>
      </w:r>
      <w:r>
        <w:t xml:space="preserve"> </w:t>
      </w:r>
      <w:r>
        <w:t xml:space="preserve">G02 (Primary) is the delivery mechanism through which every other gravity’s argued, not-inherited character actually travels between communities. G07 (Primary) is the ritual site where the argued authority claim (G01) and the argued boundary claim (G05) become one embodied act, at least in Strand A. G01 (Supporting) is the clearest single institutional expression of</w:t>
      </w:r>
      <w:r>
        <w:t xml:space="preserve"> </w:t>
      </w:r>
      <w:r>
        <w:t xml:space="preserve">“</w:t>
      </w:r>
      <w:r>
        <w:t xml:space="preserve">argued, not assumed.</w:t>
      </w:r>
      <w:r>
        <w:t xml:space="preserve">”</w:t>
      </w:r>
      <w:r>
        <w:t xml:space="preserve"> </w:t>
      </w:r>
      <w:r>
        <w:t xml:space="preserve">G03 (Supporting) supplies the external condition that makes active holding urgent rather than a scholastic exercise. G04 (Supporting, Strand A only) is the most extreme individual case of choosing rather than passively receiving one’s own relationship to the community’s central conviction. G05 (Tensional) is the least evidentially secured of all seven candidates — and for exactly that reason the clearest demonstration that even this world’s boundary was actively defended, not inherited already-drawn.</w:t>
      </w:r>
    </w:p>
    <w:p>
      <w:pPr>
        <w:pStyle w:val="BodyText"/>
      </w:pPr>
      <w:r>
        <w:rPr>
          <w:bCs/>
          <w:b/>
        </w:rPr>
        <w:t xml:space="preserve">A distinction carried inline here, not only in Section 4, so it travels with this claim wherever it is cited or extracted (tightened at Step 9 Validation &amp; Testing, 2026-07-08, per the Reduction Testing finding):</w:t>
      </w:r>
      <w:r>
        <w:t xml:space="preserve"> </w:t>
      </w:r>
      <w:r>
        <w:t xml:space="preserve">“</w:t>
      </w:r>
      <w:r>
        <w:t xml:space="preserve">argued, not assumed</w:t>
      </w:r>
      <w:r>
        <w:t xml:space="preserve">”</w:t>
      </w:r>
      <w:r>
        <w:t xml:space="preserve"> </w:t>
      </w:r>
      <w:r>
        <w:t xml:space="preserve">is not uniformly evidenced across G01, G03, G04, and G05. G01 and G05 fell short of Primary because the underlying question was genuinely, historically contested in antiquity — Doc_04’s own Cross-Check language treats the coarse claim as Widely Accepted while only the specific resolution is Contested. G03 and G04 fell short for a different reason: modern reconstruction’s own limited ability to responsibly generalize from scattered surviving episodes into a network-wide claim, not demonstrated proof that this world’s own inhabitants argued over state pressure’s severity or martyrdom’s meaning the way they argued over office. Both are real instances of this world declining to settle a question, but they are not the same kind of unresolvedness, and this document’s</w:t>
      </w:r>
      <w:r>
        <w:t xml:space="preserve"> </w:t>
      </w:r>
      <w:r>
        <w:t xml:space="preserve">“</w:t>
      </w:r>
      <w:r>
        <w:t xml:space="preserve">argued, not inherited</w:t>
      </w:r>
      <w:r>
        <w:t xml:space="preserve">”</w:t>
      </w:r>
      <w:r>
        <w:t xml:space="preserve"> </w:t>
      </w:r>
      <w:r>
        <w:t xml:space="preserve">formation logic should be read as most firmly established for G01 and G05, and more provisionally extended to G03 and G04.</w:t>
      </w:r>
    </w:p>
    <w:p>
      <w:pPr>
        <w:pStyle w:val="BodyText"/>
      </w:pPr>
      <w:r>
        <w:rPr>
          <w:bCs/>
          <w:b/>
        </w:rPr>
        <w:t xml:space="preserve">What Formation Logic reveals that no individual document showed:</w:t>
      </w:r>
      <w:r>
        <w:t xml:space="preserve"> </w:t>
      </w:r>
      <w:r>
        <w:t xml:space="preserve">Doc_04 classified only two Primary gravities and explicitly declined to elevate this world’s authority resolution, martyrdom-meaning, or boundary-drawing beyond Supporting or Tensional — read in isolation, that classification pattern could suggest an ecology of unresolved fragments rather than a coherent formation system. This lens shows the opposite: the very fact that so much of this world’s evidence resists confident, Primary-level classification is not a gap in the formation logic — it</w:t>
      </w:r>
      <w:r>
        <w:t xml:space="preserve"> </w:t>
      </w:r>
      <w:r>
        <w:rPr>
          <w:iCs/>
          <w:i/>
        </w:rPr>
        <w:t xml:space="preserve">is</w:t>
      </w:r>
      <w:r>
        <w:t xml:space="preserve"> </w:t>
      </w:r>
      <w:r>
        <w:t xml:space="preserve">the formation logic, directly and specifically. A world whose defining character is</w:t>
      </w:r>
      <w:r>
        <w:t xml:space="preserve"> </w:t>
      </w:r>
      <w:r>
        <w:t xml:space="preserve">“</w:t>
      </w:r>
      <w:r>
        <w:t xml:space="preserve">argued, not assumed</w:t>
      </w:r>
      <w:r>
        <w:t xml:space="preserve">”</w:t>
      </w:r>
      <w:r>
        <w:t xml:space="preserve"> </w:t>
      </w:r>
      <w:r>
        <w:t xml:space="preserve">will, when tested against Doc_04’s own six-test discipline, produce exactly this pattern: two Primary gravities that are pure delivery mechanisms (network, ritual), and several genuinely Supporting or Tensional gravities that are the</w:t>
      </w:r>
      <w:r>
        <w:t xml:space="preserve"> </w:t>
      </w:r>
      <w:r>
        <w:rPr>
          <w:iCs/>
          <w:i/>
        </w:rPr>
        <w:t xml:space="preserve">contents</w:t>
      </w:r>
      <w:r>
        <w:t xml:space="preserve"> </w:t>
      </w:r>
      <w:r>
        <w:t xml:space="preserve">being delivered and argued over. The classification pattern is evidence for the coherence this document names, not evidence against it.</w:t>
      </w:r>
    </w:p>
    <w:p>
      <w:r>
        <w:pict>
          <v:rect style="width:0;height:1.5pt" o:hralign="center" o:hrstd="t" o:hr="t"/>
        </w:pict>
      </w:r>
    </w:p>
    <w:bookmarkEnd w:id="26"/>
    <w:bookmarkStart w:id="27" w:name="f-memory-structures-optional-applied"/>
    <w:p>
      <w:pPr>
        <w:pStyle w:val="Heading3"/>
      </w:pPr>
      <w:r>
        <w:t xml:space="preserve">2F — Memory Structures [OPTIONAL — applied]</w:t>
      </w:r>
    </w:p>
    <w:p>
      <w:pPr>
        <w:pStyle w:val="FirstParagraph"/>
      </w:pPr>
      <w:r>
        <w:rPr>
          <w:bCs/>
          <w:b/>
        </w:rPr>
        <w:t xml:space="preserve">What this lens reveals for this world:</w:t>
      </w:r>
      <w:r>
        <w:t xml:space="preserve"> </w:t>
      </w:r>
      <w:r>
        <w:t xml:space="preserve">This world visibly holds two structurally different modes of memory that map directly onto its strand division, adding a temporal dimension to the authority and boundary picture already built in 2C–2D.</w:t>
      </w:r>
    </w:p>
    <w:p>
      <w:pPr>
        <w:pStyle w:val="BodyText"/>
      </w:pPr>
      <w:r>
        <w:rPr>
          <w:bCs/>
          <w:b/>
        </w:rPr>
        <w:t xml:space="preserve">What this world remembered and how:</w:t>
      </w:r>
      <w:r>
        <w:t xml:space="preserve"> </w:t>
      </w:r>
      <w:r>
        <w:t xml:space="preserve">Strand A holds named-individual memory — a letter-writer’s own voice, carried forward and read aloud after his death; the</w:t>
      </w:r>
      <w:r>
        <w:t xml:space="preserve"> </w:t>
      </w:r>
      <w:r>
        <w:rPr>
          <w:iCs/>
          <w:i/>
        </w:rPr>
        <w:t xml:space="preserve">Martyrdom of Polycarp</w:t>
      </w:r>
      <w:r>
        <w:t xml:space="preserve"> </w:t>
      </w:r>
      <w:r>
        <w:t xml:space="preserve">already, within this world’s own lifetime, marking his</w:t>
      </w:r>
      <w:r>
        <w:t xml:space="preserve"> </w:t>
      </w:r>
      <w:r>
        <w:rPr>
          <w:iCs/>
          <w:i/>
        </w:rPr>
        <w:t xml:space="preserve">dies natalis</w:t>
      </w:r>
      <w:r>
        <w:t xml:space="preserve"> </w:t>
      </w:r>
      <w:r>
        <w:t xml:space="preserve">(Doc_01 §9; Doc_05 §2.2). Strand B holds corporate-continuity memory —</w:t>
      </w:r>
      <w:r>
        <w:t xml:space="preserve"> </w:t>
      </w:r>
      <w:r>
        <w:t xml:space="preserve">“</w:t>
      </w:r>
      <w:r>
        <w:t xml:space="preserve">an argument that ministry itself had passed down in an unbroken, if loosely conceived, line,</w:t>
      </w:r>
      <w:r>
        <w:t xml:space="preserve">”</w:t>
      </w:r>
      <w:r>
        <w:t xml:space="preserve"> </w:t>
      </w:r>
      <w:r>
        <w:t xml:space="preserve">and a body of visionary instruction generating its own authority through revelation rather than a named chain of witnesses (Doc_05 §2.2).</w:t>
      </w:r>
    </w:p>
    <w:p>
      <w:pPr>
        <w:pStyle w:val="BodyText"/>
      </w:pPr>
      <w:r>
        <w:rPr>
          <w:bCs/>
          <w:b/>
        </w:rPr>
        <w:t xml:space="preserve">The formation function of communal memory:</w:t>
      </w:r>
      <w:r>
        <w:t xml:space="preserve"> </w:t>
      </w:r>
      <w:r>
        <w:t xml:space="preserve">The</w:t>
      </w:r>
      <w:r>
        <w:t xml:space="preserve"> </w:t>
      </w:r>
      <w:r>
        <w:rPr>
          <w:iCs/>
          <w:i/>
        </w:rPr>
        <w:t xml:space="preserve">Martyrdom of Polycarp</w:t>
      </w:r>
      <w:r>
        <w:t xml:space="preserve">’s</w:t>
      </w:r>
      <w:r>
        <w:t xml:space="preserve"> </w:t>
      </w:r>
      <w:r>
        <w:rPr>
          <w:iCs/>
          <w:i/>
        </w:rPr>
        <w:t xml:space="preserve">dies natalis</w:t>
      </w:r>
      <w:r>
        <w:t xml:space="preserve"> </w:t>
      </w:r>
      <w:r>
        <w:t xml:space="preserve">commemoration (ch. 18,</w:t>
      </w:r>
      <w:r>
        <w:t xml:space="preserve"> </w:t>
      </w:r>
      <w:r>
        <w:t xml:space="preserve">“</w:t>
      </w:r>
      <w:r>
        <w:t xml:space="preserve">more precious than the finest jewels</w:t>
      </w:r>
      <w:r>
        <w:t xml:space="preserve">”</w:t>
      </w:r>
      <w:r>
        <w:t xml:space="preserve">) begins organizing time itself around a specific death-as-birth event (Doc_05 §4.1) — though Doc_04’s own G04 entry treats this as something this world was only beginning to hand off to its successors, not something its own liturgical practice (G07) had yet fully organized around (Doc_04, G04 Dependency test).</w:t>
      </w:r>
    </w:p>
    <w:p>
      <w:pPr>
        <w:pStyle w:val="BodyText"/>
      </w:pPr>
      <w:r>
        <w:rPr>
          <w:bCs/>
          <w:b/>
        </w:rPr>
        <w:t xml:space="preserve">Gravities most illuminated by the memory analysis:</w:t>
      </w:r>
      <w:r>
        <w:t xml:space="preserve"> </w:t>
      </w:r>
      <w:r>
        <w:t xml:space="preserve">G04 (Strand A, named-individual memory); G01’s own Strand B</w:t>
      </w:r>
      <w:r>
        <w:t xml:space="preserve"> </w:t>
      </w:r>
      <w:r>
        <w:t xml:space="preserve">“</w:t>
      </w:r>
      <w:r>
        <w:t xml:space="preserve">unbroken line</w:t>
      </w:r>
      <w:r>
        <w:t xml:space="preserve">”</w:t>
      </w:r>
      <w:r>
        <w:t xml:space="preserve"> </w:t>
      </w:r>
      <w:r>
        <w:t xml:space="preserve">argument.</w:t>
      </w:r>
    </w:p>
    <w:p>
      <w:pPr>
        <w:pStyle w:val="BodyText"/>
      </w:pPr>
      <w:r>
        <w:rPr>
          <w:bCs/>
          <w:b/>
        </w:rPr>
        <w:t xml:space="preserve">What Memory Structures reveals:</w:t>
      </w:r>
      <w:r>
        <w:t xml:space="preserve"> </w:t>
      </w:r>
      <w:r>
        <w:t xml:space="preserve">From a third independent angle, memory structures confirm the same strand-shaped fault line 2A (emotional register) and 2C (authority) already showed by different routes: Strand A externalizes continuity into named persons and their commemorated deaths; Strand B internalizes it into an argued, corporate, unbroken succession. Three lenses, independently derived, converge on one recurring division.</w:t>
      </w:r>
    </w:p>
    <w:p>
      <w:r>
        <w:pict>
          <v:rect style="width:0;height:1.5pt" o:hralign="center" o:hrstd="t" o:hr="t"/>
        </w:pict>
      </w:r>
    </w:p>
    <w:bookmarkEnd w:id="27"/>
    <w:bookmarkStart w:id="28" w:name="g-interpretive-ecology-optional-applied"/>
    <w:p>
      <w:pPr>
        <w:pStyle w:val="Heading3"/>
      </w:pPr>
      <w:r>
        <w:t xml:space="preserve">2G — Interpretive Ecology [OPTIONAL — applied]</w:t>
      </w:r>
    </w:p>
    <w:p>
      <w:pPr>
        <w:pStyle w:val="FirstParagraph"/>
      </w:pPr>
      <w:r>
        <w:rPr>
          <w:bCs/>
          <w:b/>
        </w:rPr>
        <w:t xml:space="preserve">What this lens reveals for this world:</w:t>
      </w:r>
      <w:r>
        <w:t xml:space="preserve"> </w:t>
      </w:r>
      <w:r>
        <w:t xml:space="preserve">A question distinct from</w:t>
      </w:r>
      <w:r>
        <w:t xml:space="preserve"> </w:t>
      </w:r>
      <w:r>
        <w:rPr>
          <w:iCs/>
          <w:i/>
        </w:rPr>
        <w:t xml:space="preserve">who</w:t>
      </w:r>
      <w:r>
        <w:t xml:space="preserve"> </w:t>
      </w:r>
      <w:r>
        <w:t xml:space="preserve">held authority (2C):</w:t>
      </w:r>
      <w:r>
        <w:t xml:space="preserve"> </w:t>
      </w:r>
      <w:r>
        <w:rPr>
          <w:iCs/>
          <w:i/>
        </w:rPr>
        <w:t xml:space="preserve">how</w:t>
      </w:r>
      <w:r>
        <w:t xml:space="preserve"> </w:t>
      </w:r>
      <w:r>
        <w:t xml:space="preserve">legitimate interpretation itself worked. This world held at least three genuinely different interpretive postures side by side, with none displacing the others within its own lifetime (Doc_05 §6.1).</w:t>
      </w:r>
    </w:p>
    <w:p>
      <w:pPr>
        <w:pStyle w:val="BodyText"/>
      </w:pPr>
      <w:r>
        <w:rPr>
          <w:bCs/>
          <w:b/>
        </w:rPr>
        <w:t xml:space="preserve">The hermeneutical assumptions of this world:</w:t>
      </w:r>
      <w:r>
        <w:t xml:space="preserve"> </w:t>
      </w:r>
      <w:r>
        <w:t xml:space="preserve">Fixed-text interpretation (Two Ways/Didache, community instruction handed down as a stable teaching text); claimed-continuity interpretation (an individual leader’s own claimed continuity with apostolic teaching, per Ignatius); and revelatory interpretation (instruction received through vision, per Hermas) — three postures existing side by side,</w:t>
      </w:r>
      <w:r>
        <w:t xml:space="preserve"> </w:t>
      </w:r>
      <w:r>
        <w:t xml:space="preserve">“</w:t>
      </w:r>
      <w:r>
        <w:t xml:space="preserve">none of these subordinated to the others within this world’s own lifetime</w:t>
      </w:r>
      <w:r>
        <w:t xml:space="preserve">”</w:t>
      </w:r>
      <w:r>
        <w:t xml:space="preserve"> </w:t>
      </w:r>
      <w:r>
        <w:t xml:space="preserve">(Doc_05 §6.1).</w:t>
      </w:r>
    </w:p>
    <w:p>
      <w:pPr>
        <w:pStyle w:val="BodyText"/>
      </w:pPr>
      <w:r>
        <w:rPr>
          <w:bCs/>
          <w:b/>
        </w:rPr>
        <w:t xml:space="preserve">How interpretation shaped formation:</w:t>
      </w:r>
      <w:r>
        <w:t xml:space="preserve"> </w:t>
      </w:r>
      <w:r>
        <w:t xml:space="preserve">Which of these three postures a practitioner was formed to trust depended on their own community, and this unsettledness is inseparable from why a closed canon had not yet emerged:</w:t>
      </w:r>
      <w:r>
        <w:t xml:space="preserve"> </w:t>
      </w:r>
      <w:r>
        <w:t xml:space="preserve">“</w:t>
      </w:r>
      <w:r>
        <w:t xml:space="preserve">scripture read alongside living apostolic testimony, not yet a closed canon</w:t>
      </w:r>
      <w:r>
        <w:t xml:space="preserve">”</w:t>
      </w:r>
      <w:r>
        <w:t xml:space="preserve"> </w:t>
      </w:r>
      <w:r>
        <w:t xml:space="preserve">(Doc_01 §1).</w:t>
      </w:r>
    </w:p>
    <w:p>
      <w:pPr>
        <w:pStyle w:val="BodyText"/>
      </w:pPr>
      <w:r>
        <w:rPr>
          <w:bCs/>
          <w:b/>
        </w:rPr>
        <w:t xml:space="preserve">Gravities most illuminated:</w:t>
      </w:r>
      <w:r>
        <w:t xml:space="preserve"> </w:t>
      </w:r>
      <w:r>
        <w:t xml:space="preserve">G01 (differing legitimation logics for differing interpretive postures); G02 (each posture travels the network differently — text circulates, claimed-continuity is argued in letters, vision is recorded and read).</w:t>
      </w:r>
    </w:p>
    <w:p>
      <w:pPr>
        <w:pStyle w:val="BodyText"/>
      </w:pPr>
      <w:r>
        <w:rPr>
          <w:bCs/>
          <w:b/>
        </w:rPr>
        <w:t xml:space="preserve">What Interpretive Ecology reveals:</w:t>
      </w:r>
      <w:r>
        <w:t xml:space="preserve"> </w:t>
      </w:r>
      <w:r>
        <w:t xml:space="preserve">This world’s failure to settle on one interpretive posture is not incidental to its authority question (2C) — it is the same unsettledness expressed at the level of</w:t>
      </w:r>
      <w:r>
        <w:t xml:space="preserve"> </w:t>
      </w:r>
      <w:r>
        <w:rPr>
          <w:iCs/>
          <w:i/>
        </w:rPr>
        <w:t xml:space="preserve">how</w:t>
      </w:r>
      <w:r>
        <w:t xml:space="preserve"> </w:t>
      </w:r>
      <w:r>
        <w:t xml:space="preserve">truth is known rather than</w:t>
      </w:r>
      <w:r>
        <w:t xml:space="preserve"> </w:t>
      </w:r>
      <w:r>
        <w:rPr>
          <w:iCs/>
          <w:i/>
        </w:rPr>
        <w:t xml:space="preserve">who</w:t>
      </w:r>
      <w:r>
        <w:t xml:space="preserve"> </w:t>
      </w:r>
      <w:r>
        <w:t xml:space="preserve">holds office. A world that has not settled who leads has, unsurprisingly, also not settled how legitimate teaching is recognized; the two open questions reinforce rather than operate independently of each other.</w:t>
      </w:r>
    </w:p>
    <w:p>
      <w:r>
        <w:pict>
          <v:rect style="width:0;height:1.5pt" o:hralign="center" o:hrstd="t" o:hr="t"/>
        </w:pict>
      </w:r>
    </w:p>
    <w:bookmarkEnd w:id="28"/>
    <w:bookmarkStart w:id="29" w:name="Xe7b166f8056447b23f0a1abbbf467bf471e467b"/>
    <w:p>
      <w:pPr>
        <w:pStyle w:val="Heading3"/>
      </w:pPr>
      <w:r>
        <w:t xml:space="preserve">2H — Representative Theological Patterns [OPTIONAL — applied, thin evidence disclosed]</w:t>
      </w:r>
    </w:p>
    <w:p>
      <w:pPr>
        <w:pStyle w:val="FirstParagraph"/>
      </w:pPr>
      <w:r>
        <w:rPr>
          <w:bCs/>
          <w:b/>
        </w:rPr>
        <w:t xml:space="preserve">What this lens reveals for this world:</w:t>
      </w:r>
      <w:r>
        <w:t xml:space="preserve"> </w:t>
      </w:r>
      <w:r>
        <w:t xml:space="preserve">Two theological commitments in this world are directly formation-shaping rather than merely doctrinal content, connecting the philosophical (2B) and emotional (2A) lenses to concrete claims each strand was prepared to argue for — though the underlying evidence is thin (two data points per strand) and this lens is applied with that thinness disclosed rather than smoothed over.</w:t>
      </w:r>
    </w:p>
    <w:p>
      <w:pPr>
        <w:pStyle w:val="BodyText"/>
      </w:pPr>
      <w:r>
        <w:rPr>
          <w:bCs/>
          <w:b/>
        </w:rPr>
        <w:t xml:space="preserve">The theological patterns most formation-shaping:</w:t>
      </w:r>
      <w:r>
        <w:t xml:space="preserve"> </w:t>
      </w:r>
      <w:r>
        <w:t xml:space="preserve">Strand A’s insistence that Christ</w:t>
      </w:r>
      <w:r>
        <w:t xml:space="preserve"> </w:t>
      </w:r>
      <w:r>
        <w:t xml:space="preserve">“</w:t>
      </w:r>
      <w:r>
        <w:t xml:space="preserve">suffered truly and in the flesh, not merely in appearance</w:t>
      </w:r>
      <w:r>
        <w:t xml:space="preserve">”</w:t>
      </w:r>
      <w:r>
        <w:t xml:space="preserve"> </w:t>
      </w:r>
      <w:r>
        <w:t xml:space="preserve">(G05); Strand B’s wrestling over</w:t>
      </w:r>
      <w:r>
        <w:t xml:space="preserve"> </w:t>
      </w:r>
      <w:r>
        <w:t xml:space="preserve">“</w:t>
      </w:r>
      <w:r>
        <w:t xml:space="preserve">whether mercy remained available at all after a real failure committed once the water of baptism had already been received</w:t>
      </w:r>
      <w:r>
        <w:t xml:space="preserve">”</w:t>
      </w:r>
      <w:r>
        <w:t xml:space="preserve"> </w:t>
      </w:r>
      <w:r>
        <w:t xml:space="preserve">(Hermas, Doc_05 §6.2).</w:t>
      </w:r>
    </w:p>
    <w:p>
      <w:pPr>
        <w:pStyle w:val="BodyText"/>
      </w:pPr>
      <w:r>
        <w:rPr>
          <w:bCs/>
          <w:b/>
        </w:rPr>
        <w:t xml:space="preserve">How doctrinal commitments shaped practice and self-understanding:</w:t>
      </w:r>
      <w:r>
        <w:t xml:space="preserve"> </w:t>
      </w:r>
      <w:r>
        <w:t xml:space="preserve">Strand A’s commitment is inseparable from its eucharistic and boundary practice (2D) — refusing a rival’s eucharist enacts, ritually, the same conviction argued doctrinally. Strand B’s commitment shaped an ongoing practice of self-examination that Doc_05 names as a formative rhythm without developing its specific ritual detail beyond noting its presence (Doc_05 §1.1).</w:t>
      </w:r>
    </w:p>
    <w:p>
      <w:pPr>
        <w:pStyle w:val="BodyText"/>
      </w:pPr>
      <w:r>
        <w:rPr>
          <w:bCs/>
          <w:b/>
        </w:rPr>
        <w:t xml:space="preserve">What Representative Theological Patterns reveals:</w:t>
      </w:r>
      <w:r>
        <w:t xml:space="preserve"> </w:t>
      </w:r>
      <w:r>
        <w:t xml:space="preserve">“</w:t>
      </w:r>
      <w:r>
        <w:t xml:space="preserve">Neither community had settled the question so much as answered its own live pressure as that pressure was actually felt</w:t>
      </w:r>
      <w:r>
        <w:t xml:space="preserve">”</w:t>
      </w:r>
      <w:r>
        <w:t xml:space="preserve"> </w:t>
      </w:r>
      <w:r>
        <w:t xml:space="preserve">(Doc_05 §6.2) — this world’s theological content is not free-standing doctrine but a direct verbal register of each strand’s own lived, still-open struggle. This is the same conclusion 2B reached through ontology and 2A reached through emotion, arrived at a third time through theological content specifically.</w:t>
      </w:r>
    </w:p>
    <w:p>
      <w:r>
        <w:pict>
          <v:rect style="width:0;height:1.5pt" o:hralign="center" o:hrstd="t" o:hr="t"/>
        </w:pict>
      </w:r>
    </w:p>
    <w:bookmarkEnd w:id="29"/>
    <w:bookmarkStart w:id="30" w:name="Xfe72244693cd0613e46ea4d2671bb5d83a3d4d5"/>
    <w:p>
      <w:pPr>
        <w:pStyle w:val="Heading3"/>
      </w:pPr>
      <w:r>
        <w:t xml:space="preserve">2I — Material Culture [OPTIONAL — omitted, with reason]</w:t>
      </w:r>
    </w:p>
    <w:p>
      <w:pPr>
        <w:pStyle w:val="FirstParagraph"/>
      </w:pPr>
      <w:r>
        <w:rPr>
          <w:bCs/>
          <w:b/>
        </w:rPr>
        <w:t xml:space="preserve">Omitted.</w:t>
      </w:r>
      <w:r>
        <w:t xml:space="preserve"> </w:t>
      </w:r>
      <w:r>
        <w:t xml:space="preserve">Doc_02 §5 documents, as</w:t>
      </w:r>
      <w:r>
        <w:t xml:space="preserve"> </w:t>
      </w:r>
      <w:r>
        <w:t xml:space="preserve">“</w:t>
      </w:r>
      <w:r>
        <w:t xml:space="preserve">close to mainstream consensus among specialists in early Christian archaeology, not a fringe minimalist position,</w:t>
      </w:r>
      <w:r>
        <w:t xml:space="preserve">”</w:t>
      </w:r>
      <w:r>
        <w:t xml:space="preserve"> </w:t>
      </w:r>
      <w:r>
        <w:t xml:space="preserve">that this world’s own window (70–200 CE, across all three core regions) is</w:t>
      </w:r>
      <w:r>
        <w:t xml:space="preserve"> </w:t>
      </w:r>
      <w:r>
        <w:t xml:space="preserve">“</w:t>
      </w:r>
      <w:r>
        <w:t xml:space="preserve">essentially archaeologically invisible.</w:t>
      </w:r>
      <w:r>
        <w:t xml:space="preserve">”</w:t>
      </w:r>
      <w:r>
        <w:t xml:space="preserve"> </w:t>
      </w:r>
      <w:r>
        <w:t xml:space="preserve">No securely-dated Christian architecture, funerary material, or unambiguous epigraphy exists before the very last years of the 2nd century, and even the closest boundary cases (the Abercius inscription, c. 192–216 CE; Dura-Europos, c. 232–256 CE) fall at or after this world’s own closing boundary (Doc_02 §5). This is an evidentiary absence</w:t>
      </w:r>
      <w:r>
        <w:t xml:space="preserve"> </w:t>
      </w:r>
      <w:r>
        <w:t xml:space="preserve">“</w:t>
      </w:r>
      <w:r>
        <w:t xml:space="preserve">by design of the evidence itself, not by any failure of research</w:t>
      </w:r>
      <w:r>
        <w:t xml:space="preserve">”</w:t>
      </w:r>
      <w:r>
        <w:t xml:space="preserve"> </w:t>
      </w:r>
      <w:r>
        <w:t xml:space="preserve">(Doc_02 §5) — a genuine omission for this specific world, not a builder’s failure to pursue available evidence.</w:t>
      </w:r>
    </w:p>
    <w:p>
      <w:r>
        <w:pict>
          <v:rect style="width:0;height:1.5pt" o:hralign="center" o:hrstd="t" o:hr="t"/>
        </w:pict>
      </w:r>
    </w:p>
    <w:bookmarkEnd w:id="30"/>
    <w:bookmarkEnd w:id="31"/>
    <w:bookmarkStart w:id="32" w:name="section-3-forces-as-integration-lens"/>
    <w:p>
      <w:pPr>
        <w:pStyle w:val="Heading2"/>
      </w:pPr>
      <w:r>
        <w:t xml:space="preserve">Section 3 — Forces as Integration Lens</w:t>
      </w:r>
    </w:p>
    <w:p>
      <w:pPr>
        <w:pStyle w:val="FirstParagraph"/>
      </w:pPr>
      <w:r>
        <w:rPr>
          <w:bCs/>
          <w:b/>
        </w:rPr>
        <w:t xml:space="preserve">Forces documentation status at time of writing:</w:t>
      </w:r>
      <w:r>
        <w:t xml:space="preserve"> </w:t>
      </w:r>
      <w:r>
        <w:t xml:space="preserve">Doc_08 (Forces Document) is</w:t>
      </w:r>
      <w:r>
        <w:t xml:space="preserve"> </w:t>
      </w:r>
      <w:r>
        <w:rPr>
          <w:bCs/>
          <w:b/>
        </w:rPr>
        <w:t xml:space="preserve">not yet built</w:t>
      </w:r>
      <w:r>
        <w:t xml:space="preserve"> </w:t>
      </w:r>
      <w:r>
        <w:t xml:space="preserve">for this world. This section draws on: Doc_01 §7 (Preliminary Forces Identification); Doc_02 §9 (Forces Lens Applied to Source Ecology); each candidate gravity’s own Forces test in Doc_04 §2; and Doc_05 §7 (Forces Integration Summary), a table independently re-derived across seven review rounds. This is substantial preliminary forces work, though not the formal, compiled Doc_08 analysis Framework Step 8 will eventually produce, and this section should be revisited once Doc_08 exists.</w:t>
      </w:r>
    </w:p>
    <w:p>
      <w:pPr>
        <w:pStyle w:val="BodyText"/>
      </w:pPr>
      <w:r>
        <w:rPr>
          <w:bCs/>
          <w:b/>
        </w:rPr>
        <w:t xml:space="preserve">Forces most visible in the emotional texture:</w:t>
      </w:r>
      <w:r>
        <w:t xml:space="preserve"> </w:t>
      </w:r>
      <w:r>
        <w:t xml:space="preserve">G03 (State Pressure) is the clearest. Doc_05’s entire §1.2 emotional-exposure account is explicitly constructed as forces integration (</w:t>
      </w:r>
      <w:r>
        <w:t xml:space="preserve">“</w:t>
      </w:r>
      <w:r>
        <w:t xml:space="preserve">this lens cannot be written without it,</w:t>
      </w:r>
      <w:r>
        <w:t xml:space="preserve">”</w:t>
      </w:r>
      <w:r>
        <w:t xml:space="preserve"> </w:t>
      </w:r>
      <w:r>
        <w:t xml:space="preserve">Doc_05 §1.2 Grounding note). The watchful, unpredictable exposure named in 2A is a direct product of Pliny and Trajan’s own improvised, non-systematic enforcement pattern (Doc_01 §4), not an internally-generated disposition.</w:t>
      </w:r>
    </w:p>
    <w:p>
      <w:pPr>
        <w:pStyle w:val="BodyText"/>
      </w:pPr>
      <w:r>
        <w:rPr>
          <w:bCs/>
          <w:b/>
        </w:rPr>
        <w:t xml:space="preserve">Forces most visible in the boundary structures:</w:t>
      </w:r>
      <w:r>
        <w:t xml:space="preserve"> </w:t>
      </w:r>
      <w:r>
        <w:t xml:space="preserve">Substantially developed under 2D above — G03 and G05 both, plus the new cross-force integration this document proposes (the</w:t>
      </w:r>
      <w:r>
        <w:t xml:space="preserve"> </w:t>
      </w:r>
      <w:r>
        <w:t xml:space="preserve">“</w:t>
      </w:r>
      <w:r>
        <w:t xml:space="preserve">same act of refusal</w:t>
      </w:r>
      <w:r>
        <w:t xml:space="preserve">”</w:t>
      </w:r>
      <w:r>
        <w:t xml:space="preserve"> </w:t>
      </w:r>
      <w:r>
        <w:t xml:space="preserve">reading), explicitly flagged there as this document’s own synthesis rather than an inherited Doc_04 finding.</w:t>
      </w:r>
    </w:p>
    <w:p>
      <w:pPr>
        <w:pStyle w:val="BodyText"/>
      </w:pPr>
      <w:r>
        <w:rPr>
          <w:bCs/>
          <w:b/>
        </w:rPr>
        <w:t xml:space="preserve">Forces most visible in the formation logic:</w:t>
      </w:r>
      <w:r>
        <w:t xml:space="preserve"> </w:t>
      </w:r>
      <w:r>
        <w:t xml:space="preserve">The eyewitness-generation-loss force (Doc_01 §7) is what this world’s entire</w:t>
      </w:r>
      <w:r>
        <w:t xml:space="preserve"> </w:t>
      </w:r>
      <w:r>
        <w:t xml:space="preserve">“</w:t>
      </w:r>
      <w:r>
        <w:t xml:space="preserve">argue, don’t inherit</w:t>
      </w:r>
      <w:r>
        <w:t xml:space="preserve">”</w:t>
      </w:r>
      <w:r>
        <w:t xml:space="preserve"> </w:t>
      </w:r>
      <w:r>
        <w:t xml:space="preserve">formation logic (2E) is ultimately a response to. Had apostolic eyewitnesses remained available, formation could plausibly have continued running through direct witness rather than needing to be argued into stability through letters and office-construction. The 2E synthesis is, at bottom, this world’s own formation-system answer to a single generative force.</w:t>
      </w:r>
    </w:p>
    <w:p>
      <w:pPr>
        <w:pStyle w:val="BodyText"/>
      </w:pPr>
      <w:r>
        <w:rPr>
          <w:bCs/>
          <w:b/>
        </w:rPr>
        <w:t xml:space="preserve">Where forces and ecology are most tightly coherent:</w:t>
      </w:r>
      <w:r>
        <w:t xml:space="preserve"> </w:t>
      </w:r>
      <w:r>
        <w:t xml:space="preserve">The Strand A fusion identified in 2D — refusing a rival’s eucharist and refusing a magistrate’s demand experienced as</w:t>
      </w:r>
      <w:r>
        <w:t xml:space="preserve"> </w:t>
      </w:r>
      <w:r>
        <w:t xml:space="preserve">“</w:t>
      </w:r>
      <w:r>
        <w:t xml:space="preserve">the same act</w:t>
      </w:r>
      <w:r>
        <w:t xml:space="preserve">”</w:t>
      </w:r>
      <w:r>
        <w:t xml:space="preserve"> </w:t>
      </w:r>
      <w:r>
        <w:t xml:space="preserve">— is the single clearest point where external situatedness and internal formation logic explain each other simultaneously. The state-pressure force (G03) is required to explain why liturgical fidelity and public safety were fused for a Strand A member; this world’s own internal logic of belonging-as-public-embodied-act (G07 tied to G01/G05) is required to explain why the state’s pressure specifically targeted public confession of</w:t>
      </w:r>
      <w:r>
        <w:t xml:space="preserve"> </w:t>
      </w:r>
      <w:r>
        <w:t xml:space="preserve">“</w:t>
      </w:r>
      <w:r>
        <w:t xml:space="preserve">the name</w:t>
      </w:r>
      <w:r>
        <w:t xml:space="preserve">”</w:t>
      </w:r>
      <w:r>
        <w:t xml:space="preserve"> </w:t>
      </w:r>
      <w:r>
        <w:t xml:space="preserve">(</w:t>
      </w:r>
      <w:r>
        <w:rPr>
          <w:iCs/>
          <w:i/>
        </w:rPr>
        <w:t xml:space="preserve">nomen ipsum</w:t>
      </w:r>
      <w:r>
        <w:t xml:space="preserve">, per Pliny) rather than private belief.</w:t>
      </w:r>
    </w:p>
    <w:p>
      <w:pPr>
        <w:pStyle w:val="BodyText"/>
      </w:pPr>
      <w:r>
        <w:rPr>
          <w:bCs/>
          <w:b/>
        </w:rPr>
        <w:t xml:space="preserve">Where forces analysis complicates the ecology analysis:</w:t>
      </w:r>
      <w:r>
        <w:t xml:space="preserve"> </w:t>
      </w:r>
      <w:r>
        <w:t xml:space="preserve">Doc_04’s own reclassification of G03 (Primary → Supporting, round 2) is itself a case of forces analysis complicating what a purely rhetorical reading might overstate. The vivid, dramatic impression of sustained persecution a reader might construct from Pliny, Tacitus, and Ignatius’s own martyrdom-rhetoric together does not survive Doc_04’s own confidence-testing discipline once</w:t>
      </w:r>
      <w:r>
        <w:t xml:space="preserve"> </w:t>
      </w:r>
      <w:r>
        <w:t xml:space="preserve">“</w:t>
      </w:r>
      <w:r>
        <w:t xml:space="preserve">the generalized cross-episode synthesis</w:t>
      </w:r>
      <w:r>
        <w:t xml:space="preserve">”</w:t>
      </w:r>
      <w:r>
        <w:t xml:space="preserve"> </w:t>
      </w:r>
      <w:r>
        <w:t xml:space="preserve">is separated from the narrow Documented core (Doc_04, G03 Cross-Check). This world’s own evidence supports real, intermittent, locally variable legal exposure — not one continuous or escalating policy (Doc_04, Open Item 3) — and the forces analysis, done rigorously, requires downgrading what an ecology-only reading might overstate.</w:t>
      </w:r>
    </w:p>
    <w:p>
      <w:pPr>
        <w:pStyle w:val="BodyText"/>
      </w:pPr>
      <w:r>
        <w:rPr>
          <w:bCs/>
          <w:b/>
        </w:rPr>
        <w:t xml:space="preserve">The single most important thing the forces-as-integration-lens reveals:</w:t>
      </w:r>
      <w:r>
        <w:t xml:space="preserve"> </w:t>
      </w:r>
      <w:r>
        <w:t xml:space="preserve">This world’s situatedness under the eyewitness-generation-loss force and intermittent state pressure did not produce a single, uniform formation response. It produced two regionally divergent but structurally parallel systems (2C, 2E) for actively securing what could no longer be passively inherited — and it did so specifically because the external pressures themselves (unpredictable, local, non-systematic) never became severe or centralized enough to force one strand’s answer to displace the other’s before this world’s own close. A more systematic, empire-wide persecution arriving earlier, or a faster institutional consolidation, could plausibly have collapsed this world’s genuine two-strand plurality into a single answer well before c. 200 CE. The mildness and unevenness of this world’s own external pressure is itself a condition of possibility for the argued, unsettled, two-strand formation logic this document names as its central coherence.</w:t>
      </w:r>
    </w:p>
    <w:p>
      <w:r>
        <w:pict>
          <v:rect style="width:0;height:1.5pt" o:hralign="center" o:hrstd="t" o:hr="t"/>
        </w:pict>
      </w:r>
    </w:p>
    <w:bookmarkEnd w:id="32"/>
    <w:bookmarkStart w:id="33" w:name="section-4-cross-lens-synthesis"/>
    <w:p>
      <w:pPr>
        <w:pStyle w:val="Heading2"/>
      </w:pPr>
      <w:r>
        <w:t xml:space="preserve">Section 4 — Cross-Lens Synthesis</w:t>
      </w:r>
    </w:p>
    <w:p>
      <w:pPr>
        <w:pStyle w:val="FirstParagraph"/>
      </w:pPr>
      <w:r>
        <w:rPr>
          <w:bCs/>
          <w:b/>
        </w:rPr>
        <w:t xml:space="preserve">The central coherence:</w:t>
      </w:r>
      <w:r>
        <w:t xml:space="preserve"> </w:t>
      </w:r>
      <w:r>
        <w:t xml:space="preserve">This world formed people to hold what had not yet been settled — who leads, whether the body’s suffering was real, whether mercy still avails after failure, where a safe public identity ends — as the active substance of belonging to one</w:t>
      </w:r>
      <w:r>
        <w:t xml:space="preserve"> </w:t>
      </w:r>
      <w:r>
        <w:rPr>
          <w:iCs/>
          <w:i/>
        </w:rPr>
        <w:t xml:space="preserve">ekklesia</w:t>
      </w:r>
      <w:r>
        <w:t xml:space="preserve">, transmitted and re-enacted through letters and a shared eucharist rather than resolved into a single inherited answer.</w:t>
      </w:r>
    </w:p>
    <w:p>
      <w:pPr>
        <w:pStyle w:val="BodyText"/>
      </w:pPr>
      <w:r>
        <w:rPr>
          <w:bCs/>
          <w:b/>
        </w:rPr>
        <w:t xml:space="preserve">What this world’s distinctiveness consists of:</w:t>
      </w:r>
      <w:r>
        <w:t xml:space="preserve"> </w:t>
      </w:r>
      <w:r>
        <w:t xml:space="preserve">Compared to its two nearest neighbors, not to modern Christianity. World #2 (Alexandria) formed people through a teaching-relationship, exegetical-philosophical mode already assuming a stable teacher-student institution (Doc_01 §8.2). This world’s own successor moment — Irenaeus’s explicit apostolic-succession argument, Tertullian’s confident apologetic corpus, c. 180–197 — argues</w:t>
      </w:r>
      <w:r>
        <w:t xml:space="preserve"> </w:t>
      </w:r>
      <w:r>
        <w:rPr>
          <w:iCs/>
          <w:i/>
        </w:rPr>
        <w:t xml:space="preserve">from</w:t>
      </w:r>
      <w:r>
        <w:t xml:space="preserve"> </w:t>
      </w:r>
      <w:r>
        <w:t xml:space="preserve">apostolic succession as an already-secured structure rather than one still being built (Doc_01 §2.2). A practitioner formed in this world had something a practitioner in either neighbor lacked: direct, personal stakes in an authority question that was not yet closed — the lived experience of writing, receiving, or arguing about which office model was legitimate, rather than inheriting the answer as settled fact. This world lacked something both neighbors had: a stable, reproducible teaching institution, or a systematic, treatise-length doctrinal apparatus. Its own formation ran entirely through occasional correspondence and repeated ritual, never through anything resembling a school.</w:t>
      </w:r>
    </w:p>
    <w:p>
      <w:pPr>
        <w:pStyle w:val="BodyText"/>
      </w:pPr>
      <w:r>
        <w:rPr>
          <w:bCs/>
          <w:b/>
        </w:rPr>
        <w:t xml:space="preserve">The most significant cross-lens insight:</w:t>
      </w:r>
      <w:r>
        <w:t xml:space="preserve"> </w:t>
      </w:r>
      <w:r>
        <w:t xml:space="preserve">Doc_04’s own classification of only two Primary gravities (G02, G07) is not evidence of a weak or under-integrated ecology; it is the precise, formal signature of a world whose defining coherence is</w:t>
      </w:r>
      <w:r>
        <w:t xml:space="preserve"> </w:t>
      </w:r>
      <w:r>
        <w:t xml:space="preserve">“</w:t>
      </w:r>
      <w:r>
        <w:t xml:space="preserve">argued, not assumed</w:t>
      </w:r>
      <w:r>
        <w:t xml:space="preserve">”</w:t>
      </w:r>
      <w:r>
        <w:t xml:space="preserve"> </w:t>
      </w:r>
      <w:r>
        <w:t xml:space="preserve">— a claim first reached in 2E from the ecology lenses alone, and confirmed independently here from two directions 2E does not itself draw on. First, Section 3 (Forces) shows the pattern is not merely a classification artifact but a direct consequence of this world’s own external situatedness: state pressure and the eyewitness-generation-loss force never became severe or centralized enough, within this world’s own window, to force one strand’s answer to displace the other’s — the argued character of G01/G05’s content is a condition this world’s own forces made possible, not only a fact about how Doc_04 happened to score its evidence. Second, the optional lenses (2F, 2G) each independently rediscover the identical strand-shaped fault line 2A and 2C already showed — named-versus-corporate memory (2F), and fixed-text-versus-claimed-continuity-versus-revelatory interpretation (2G) — by routes that do not depend on Doc_04’s classification apparatus at all. Three lenses converging on one fault line by three independent evidentiary routes is a stronger form of confirmation than the classification pattern alone.</w:t>
      </w:r>
    </w:p>
    <w:p>
      <w:pPr>
        <w:pStyle w:val="BodyText"/>
      </w:pPr>
      <w:r>
        <w:rPr>
          <w:bCs/>
          <w:b/>
        </w:rPr>
        <w:t xml:space="preserve">A disclosed limit on this claim’s own evidentiary footing, not fully separated out in 2E:</w:t>
      </w:r>
      <w:r>
        <w:t xml:space="preserve"> </w:t>
      </w:r>
      <w:r>
        <w:t xml:space="preserve">the</w:t>
      </w:r>
      <w:r>
        <w:t xml:space="preserve"> </w:t>
      </w:r>
      <w:r>
        <w:t xml:space="preserve">“</w:t>
      </w:r>
      <w:r>
        <w:t xml:space="preserve">classification pattern as coherence-signature</w:t>
      </w:r>
      <w:r>
        <w:t xml:space="preserve">”</w:t>
      </w:r>
      <w:r>
        <w:t xml:space="preserve"> </w:t>
      </w:r>
      <w:r>
        <w:t xml:space="preserve">argument rests on firmer ground for G01 and G05 than for G03 and G04. G01’s and G05’s Supporting/Tensional status reflects Doc_04’s own finding that the underlying question was</w:t>
      </w:r>
      <w:r>
        <w:t xml:space="preserve"> </w:t>
      </w:r>
      <w:r>
        <w:rPr>
          <w:bCs/>
          <w:b/>
        </w:rPr>
        <w:t xml:space="preserve">historically, actually contested in antiquity</w:t>
      </w:r>
      <w:r>
        <w:t xml:space="preserve"> </w:t>
      </w:r>
      <w:r>
        <w:t xml:space="preserve">— Doc_04’s G01 Cross-Check states the coarse claim (authority required active organizing) is Widely Accepted while only the specific resolution is Contested, and G05 rests on Ignatius’s own live argument against contemporary rivals. G03’s and G04’s Supporting status, by contrast, reflects a different kind of limit:</w:t>
      </w:r>
      <w:r>
        <w:t xml:space="preserve"> </w:t>
      </w:r>
      <w:r>
        <w:rPr>
          <w:bCs/>
          <w:b/>
        </w:rPr>
        <w:t xml:space="preserve">modern reconstruction’s own inability to responsibly generalize</w:t>
      </w:r>
      <w:r>
        <w:t xml:space="preserve"> </w:t>
      </w:r>
      <w:r>
        <w:t xml:space="preserve">from scattered surviving episodes (Nero, Pliny, Ignatius’s arrest for G03; two named individuals for G04) into a network-wide claim — a confidence and evidentiary-generalization limit, not demonstrated proof that this world’s own inhabitants treated the severity of state pressure or the meaning of martyrdom as a live, argued question the way they treated ecclesial office. Doc_04 itself flags this distinction for G04 directly:</w:t>
      </w:r>
      <w:r>
        <w:t xml:space="preserve"> </w:t>
      </w:r>
      <w:r>
        <w:t xml:space="preserve">“</w:t>
      </w:r>
      <w:r>
        <w:t xml:space="preserve">current classification reflects an absence of evidence, not a confirmed absence of the phenomenon in Rome</w:t>
      </w:r>
      <w:r>
        <w:t xml:space="preserve">”</w:t>
      </w:r>
      <w:r>
        <w:t xml:space="preserve"> </w:t>
      </w:r>
      <w:r>
        <w:t xml:space="preserve">(Doc_04, Open Item 1). This document’s own synthesis is accordingly better supported for G01/G05 than for G03/G04, and a reader should weight the central coherence claim above accordingly — the classification pattern is real and load-bearing, but not uniformly load-bearing across all four Supporting/Tensional gravities.</w:t>
      </w:r>
    </w:p>
    <w:p>
      <w:pPr>
        <w:pStyle w:val="BodyText"/>
      </w:pPr>
      <w:r>
        <w:rPr>
          <w:bCs/>
          <w:b/>
        </w:rPr>
        <w:t xml:space="preserve">What the cross-lens synthesis gives the Representative:</w:t>
      </w:r>
      <w:r>
        <w:t xml:space="preserve"> </w:t>
      </w:r>
      <w:r>
        <w:t xml:space="preserve">A Representative built from this integration can authentically hold — rather than resolve, minimize, or apologize for — a live disagreement about office, embodiment, or mercy, recognizing another community’s differently-organized answer as still fully</w:t>
      </w:r>
      <w:r>
        <w:t xml:space="preserve"> </w:t>
      </w:r>
      <w:r>
        <w:t xml:space="preserve">“</w:t>
      </w:r>
      <w:r>
        <w:t xml:space="preserve">the church of God</w:t>
      </w:r>
      <w:r>
        <w:t xml:space="preserve">”</w:t>
      </w:r>
      <w:r>
        <w:t xml:space="preserve"> </w:t>
      </w:r>
      <w:r>
        <w:t xml:space="preserve">rather than as an error to correct or a rival to convert. A Representative built only from Doc_05 and Doc_06 without this synthesis might read this world’s own institutional variety as a documentation gap or an unfinished construction rather than as this world’s own defining and authentic formation logic. The synthesis licenses a Representative to inhabit unsettledness as formation, not as its absence.</w:t>
      </w:r>
    </w:p>
    <w:p>
      <w:r>
        <w:pict>
          <v:rect style="width:0;height:1.5pt" o:hralign="center" o:hrstd="t" o:hr="t"/>
        </w:pict>
      </w:r>
    </w:p>
    <w:bookmarkEnd w:id="33"/>
    <w:bookmarkStart w:id="34" w:name="section-5-integrative-observation"/>
    <w:p>
      <w:pPr>
        <w:pStyle w:val="Heading2"/>
      </w:pPr>
      <w:r>
        <w:t xml:space="preserve">Section 5 — Integrative Observation</w:t>
      </w:r>
    </w:p>
    <w:p>
      <w:pPr>
        <w:pStyle w:val="FirstParagraph"/>
      </w:pPr>
      <w:r>
        <w:t xml:space="preserve">This world’s members were not people waiting for their own</w:t>
      </w:r>
      <w:r>
        <w:t xml:space="preserve"> </w:t>
      </w:r>
      <w:r>
        <w:rPr>
          <w:iCs/>
          <w:i/>
        </w:rPr>
        <w:t xml:space="preserve">ekklesia</w:t>
      </w:r>
      <w:r>
        <w:t xml:space="preserve">’s live questions to be settled before real belonging could begin — the argument itself, carried by letter from one</w:t>
      </w:r>
      <w:r>
        <w:t xml:space="preserve"> </w:t>
      </w:r>
      <w:r>
        <w:rPr>
          <w:iCs/>
          <w:i/>
        </w:rPr>
        <w:t xml:space="preserve">ekklesia</w:t>
      </w:r>
      <w:r>
        <w:t xml:space="preserve"> </w:t>
      </w:r>
      <w:r>
        <w:t xml:space="preserve">to another and re-enacted at one eucharist after another, was how they belonged. A member who wrote urging obedience to a single bishop and a member who addressed a plural</w:t>
      </w:r>
      <w:r>
        <w:t xml:space="preserve"> </w:t>
      </w:r>
      <w:r>
        <w:rPr>
          <w:iCs/>
          <w:i/>
        </w:rPr>
        <w:t xml:space="preserve">presbyterion</w:t>
      </w:r>
      <w:r>
        <w:t xml:space="preserve"> </w:t>
      </w:r>
      <w:r>
        <w:t xml:space="preserve">as sufficient in itself were both, in their own eyes and in each other’s letters, holding the same table and answering to the same name — a name that was, in the same breath, a legal exposure and a claim about the truth. To have settled the question — which office, whether the flesh truly suffered, whether mercy still reached a real failure — would not have completed this world’s formation; it would have ended it, and did, in fact, mark this world’s own closing boundary when it finally began to happen. What must be carried, more than any specific answer this world reached, is that its people were formed to treat their own unresolved questions as the very shape of their belonging to one another, not as a wound in this ekklesia’s own life.</w:t>
      </w:r>
    </w:p>
    <w:p>
      <w:pPr>
        <w:pStyle w:val="BodyText"/>
      </w:pPr>
      <w:r>
        <w:rPr>
          <w:bCs/>
          <w:b/>
        </w:rPr>
        <w:t xml:space="preserve">A note on evidentiary weight, added at Step 9 Validation &amp; Testing (2026-07-08) so it travels with this observation wherever it is extracted or quoted, per the Reduction Testing finding — carried forward from Section 2E and Section 4 rather than left behind in them:</w:t>
      </w:r>
      <w:r>
        <w:t xml:space="preserve"> </w:t>
      </w:r>
      <w:r>
        <w:t xml:space="preserve">this observation’s central claim — that unresolved questions were themselves this world’s formation, not a deficiency in it — rests on firmer ground for some of those questions than others. Which office to obey and whether the body’s suffering was real were genuinely, actively contested within this world’s own lifetime, in its own texts, by its own voices. Whether state pressure amounted to one standing condition, and how representative any one martyrdom is of the wider community’s own experience, are unsettled for a different reason: modern reconstruction’s own limited ability to generalize from scattered surviving evidence, not a demonstrated ancient debate over those questions’ own terms. Both kinds of unresolvedness are real and both are named above; they are not the same kind, and this observation should not be read as claiming they are.</w:t>
      </w:r>
    </w:p>
    <w:p>
      <w:r>
        <w:pict>
          <v:rect style="width:0;height:1.5pt" o:hralign="center" o:hrstd="t" o:hr="t"/>
        </w:pict>
      </w:r>
    </w:p>
    <w:bookmarkEnd w:id="34"/>
    <w:bookmarkStart w:id="35" w:name="section-6-gaps-and-limits"/>
    <w:p>
      <w:pPr>
        <w:pStyle w:val="Heading2"/>
      </w:pPr>
      <w:r>
        <w:t xml:space="preserve">Section 6 — Gaps and Limits</w:t>
      </w:r>
    </w:p>
    <w:p>
      <w:pPr>
        <w:pStyle w:val="FirstParagraph"/>
      </w:pPr>
      <w:r>
        <w:rPr>
          <w:bCs/>
          <w:b/>
        </w:rPr>
        <w:t xml:space="preserve">Optional lenses not applied:</w:t>
      </w:r>
      <w:r>
        <w:t xml:space="preserve"> </w:t>
      </w:r>
      <w:r>
        <w:t xml:space="preserve">2I (Material Culture) was omitted for a genuine evidentiary reason, not builder neglect — Doc_02 §5 documents this world’s own 70–200 CE window, across all three core regions, as archaeologically invisible by design of the evidence itself. 2F, 2G, and 2H were all applied; none was omitted.</w:t>
      </w:r>
    </w:p>
    <w:p>
      <w:pPr>
        <w:pStyle w:val="BodyText"/>
      </w:pPr>
      <w:r>
        <w:rPr>
          <w:bCs/>
          <w:b/>
        </w:rPr>
        <w:t xml:space="preserve">Where required lenses produced thin analysis:</w:t>
      </w:r>
      <w:r>
        <w:t xml:space="preserve"> </w:t>
      </w:r>
      <w:r>
        <w:t xml:space="preserve">2A (Emotional Ecology) rests on institutional and ritual vocabulary rather than a dedicated native affective lexicon, since this world’s own Tier 1 lexicon set (episkopos, presbyteros, ekklesia, eucharistia, per Doc_06 §2) contains no affective terms — a structural feature of this world’s own lexicon, not an oversight in this document. 2D and 2H both lean on G05 and G04, each resting on exactly two data points within this world’s own Native evidentiary base (Ignatius; the community that produced the</w:t>
      </w:r>
      <w:r>
        <w:t xml:space="preserve"> </w:t>
      </w:r>
      <w:r>
        <w:rPr>
          <w:iCs/>
          <w:i/>
        </w:rPr>
        <w:t xml:space="preserve">Martyrdom of Polycarp</w:t>
      </w:r>
      <w:r>
        <w:t xml:space="preserve">) — Doc_04 flagged both as maximal Author Gravity risk at generation, and this document inherits, rather than resolves, that thinness. Throughout every lens above, claims about</w:t>
      </w:r>
      <w:r>
        <w:t xml:space="preserve"> </w:t>
      </w:r>
      <w:r>
        <w:t xml:space="preserve">“</w:t>
      </w:r>
      <w:r>
        <w:t xml:space="preserve">what a member of this world felt or experienced</w:t>
      </w:r>
      <w:r>
        <w:t xml:space="preserve">”</w:t>
      </w:r>
      <w:r>
        <w:t xml:space="preserve"> </w:t>
      </w:r>
      <w:r>
        <w:t xml:space="preserve">rest on Doc_02’s own Affirmative Duty disclosure (§8): literate, male, leadership-tier voices dominate the evidentiary base, and Keith Hopkins’s estimate that only roughly 2% of members were fluent enough to have produced texts like these (Doc_02 §7) means this document’s Emotional Ecology and Formation Logic lenses describe formation as experienced and argued by a narrow literate stratum — not, and not claimed to be, the formation of the ordinary, silent majority of this world’s own actual population.</w:t>
      </w:r>
    </w:p>
    <w:p>
      <w:pPr>
        <w:pStyle w:val="BodyText"/>
      </w:pPr>
      <w:r>
        <w:rPr>
          <w:bCs/>
          <w:b/>
        </w:rPr>
        <w:t xml:space="preserve">What the gaps mean for the Representative:</w:t>
      </w:r>
      <w:r>
        <w:t xml:space="preserve"> </w:t>
      </w:r>
      <w:r>
        <w:t xml:space="preserve">A Representative built from this world will be naturally thin, in an authentic rather than deficient sense, on: the interior experience of enslaved or non-literate members (a structural source-asymmetry limit, not a construction gap); Rome’s specific doctrinal content beyond the mercy-question (Hermas is developed narrowly in this world’s own evidentiary base); any confident claim about</w:t>
      </w:r>
      <w:r>
        <w:t xml:space="preserve"> </w:t>
      </w:r>
      <w:r>
        <w:t xml:space="preserve">“</w:t>
      </w:r>
      <w:r>
        <w:t xml:space="preserve">typical</w:t>
      </w:r>
      <w:r>
        <w:t xml:space="preserve">”</w:t>
      </w:r>
      <w:r>
        <w:t xml:space="preserve"> </w:t>
      </w:r>
      <w:r>
        <w:t xml:space="preserve">practice across the whole network rather than one strand or one community (Bradshaw’s diversity thesis, adopted throughout Doc_02 and inherited unchanged here); and material or embodied practice beyond eucharist and baptism, since material culture is genuinely unrecoverable for this specific window. A Representative whose formation reads thin in these areas did not receive deep formation there; that thinness is authentic to this world’s own evidentiary base, not a deficiency in how this world was built.</w:t>
      </w:r>
    </w:p>
    <w:p>
      <w:pPr>
        <w:pStyle w:val="BodyText"/>
      </w:pPr>
      <w:r>
        <w:rPr>
          <w:bCs/>
          <w:b/>
        </w:rPr>
        <w:t xml:space="preserve">What external scholarly review should focus on:</w:t>
      </w:r>
      <w:r>
        <w:t xml:space="preserve"> </w:t>
      </w:r>
      <w:r>
        <w:t xml:space="preserve">The load-bearing single-voice dependencies this synthesis inherits without independently re-testing — Ignatius’s own authenticity/dating three-way split (Doc_01 §10), which sits directly underneath G01’s Strand A content, G04, and G05 all at once; and the Bagnall/Egypt boundary dependency (Doc_02 §10), which sits underneath this world’s own geographic exclusion of Alexandria and therefore underneath every contrast this document draws against World #2 in Section 4. Most specifically: this document’s own new synthesis claim in Section 2D, that G03 and G05 converge on a single formative lesson for Strand A members despite Doc_04’s own Interaction Matrix recording no demonstrated relationship between them directly. That claim is this document’s own interpretive step, disclosed as such rather than presented as an inherited Doc_04 finding, and is the single specific claim in this document a specialist reviewer should test hardest.</w:t>
      </w:r>
    </w:p>
    <w:p>
      <w:r>
        <w:pict>
          <v:rect style="width:0;height:1.5pt" o:hralign="center" o:hrstd="t" o:hr="t"/>
        </w:pict>
      </w:r>
    </w:p>
    <w:bookmarkEnd w:id="35"/>
    <w:bookmarkStart w:id="36" w:name="X8a59572534e59e597b4cc187ab3f5857b9f25e6"/>
    <w:p>
      <w:pPr>
        <w:pStyle w:val="Heading2"/>
      </w:pPr>
      <w:r>
        <w:t xml:space="preserve">Section 7 — Doc_07 Completion Certification</w:t>
      </w:r>
    </w:p>
    <w:p>
      <w:pPr>
        <w:numPr>
          <w:ilvl w:val="0"/>
          <w:numId w:val="1001"/>
        </w:numPr>
        <w:pStyle w:val="Compact"/>
      </w:pPr>
      <w:r>
        <w:t xml:space="preserve">☒ All required integration lenses applied: Emotional Ecology (2A), Philosophical Ecology (2B), Authority Structures (2C), Boundary Structures (2D), Formation Logic (2E)</w:t>
      </w:r>
    </w:p>
    <w:p>
      <w:pPr>
        <w:numPr>
          <w:ilvl w:val="0"/>
          <w:numId w:val="1001"/>
        </w:numPr>
        <w:pStyle w:val="Compact"/>
      </w:pPr>
      <w:r>
        <w:t xml:space="preserve">☒ Formation Logic section (2E) written with sufficient specificity to ground the World Capsule Core’s ecological sections — a builder reading it can derive that this world’s inhabited second-person content should center on holding unresolved, community-defining questions as the substance of belonging, not on any single settled answer to those questions</w:t>
      </w:r>
    </w:p>
    <w:p>
      <w:pPr>
        <w:numPr>
          <w:ilvl w:val="0"/>
          <w:numId w:val="1001"/>
        </w:numPr>
        <w:pStyle w:val="Compact"/>
      </w:pPr>
      <w:r>
        <w:t xml:space="preserve">☒ All applied lenses draw on specific evidence from Doc_01 through Doc_06 — no lens applied from general knowledge about the period or tradition</w:t>
      </w:r>
    </w:p>
    <w:p>
      <w:pPr>
        <w:numPr>
          <w:ilvl w:val="0"/>
          <w:numId w:val="1001"/>
        </w:numPr>
        <w:pStyle w:val="Compact"/>
      </w:pPr>
      <w:r>
        <w:t xml:space="preserve">☒ Forces as Integration Lens (Section 3) present and draws from preliminary Step 1/2 forces work and Doc_04/Doc_05’s own forces-test findings, since Doc_08 does not yet exist for this world — explicitly disclosed as such</w:t>
      </w:r>
    </w:p>
    <w:p>
      <w:pPr>
        <w:numPr>
          <w:ilvl w:val="0"/>
          <w:numId w:val="1001"/>
        </w:numPr>
        <w:pStyle w:val="Compact"/>
      </w:pPr>
      <w:r>
        <w:t xml:space="preserve">☒ Cross-Lens Synthesis (Section 4) identifies the coherence that no individual lens could reveal — the central organizing principle is named in two sentences using this world’s own vocabulary (</w:t>
      </w:r>
      <w:r>
        <w:rPr>
          <w:iCs/>
          <w:i/>
        </w:rPr>
        <w:t xml:space="preserve">ekklesia</w:t>
      </w:r>
      <w:r>
        <w:t xml:space="preserve">, argued rather than inherited belonging)</w:t>
      </w:r>
    </w:p>
    <w:p>
      <w:pPr>
        <w:numPr>
          <w:ilvl w:val="0"/>
          <w:numId w:val="1001"/>
        </w:numPr>
        <w:pStyle w:val="Compact"/>
      </w:pPr>
      <w:r>
        <w:t xml:space="preserve">☒ Integrative Observation (Section 5) present as a named, specific, world-vocabulary insight — not a summary, not a characterization</w:t>
      </w:r>
    </w:p>
    <w:p>
      <w:pPr>
        <w:numPr>
          <w:ilvl w:val="0"/>
          <w:numId w:val="1001"/>
        </w:numPr>
        <w:pStyle w:val="Compact"/>
      </w:pPr>
      <w:r>
        <w:t xml:space="preserve">☒ Gaps and Limits (Section 6) honest about where the analysis reached its evidential limits, including this document’s own new synthesis claims flagged as such rather than presented as inherited findings</w:t>
      </w:r>
    </w:p>
    <w:p>
      <w:pPr>
        <w:numPr>
          <w:ilvl w:val="0"/>
          <w:numId w:val="1001"/>
        </w:numPr>
        <w:pStyle w:val="Compact"/>
      </w:pPr>
      <w:r>
        <w:t xml:space="preserve">☒ Optional lenses included where evidence supports (2F, 2G, 2H), omitted where it does not (2I, with stated evidentiary reason)</w:t>
      </w:r>
    </w:p>
    <w:p>
      <w:pPr>
        <w:numPr>
          <w:ilvl w:val="0"/>
          <w:numId w:val="1001"/>
        </w:numPr>
        <w:pStyle w:val="Compact"/>
      </w:pPr>
      <w:r>
        <w:t xml:space="preserve">☒ Doc_06 Tier 1 entries confirmed at genuine depth before Emotional Ecology (2A) and Philosophical Ecology (2B) lenses were applied (Section 1 gate)</w:t>
      </w:r>
    </w:p>
    <w:p>
      <w:pPr>
        <w:numPr>
          <w:ilvl w:val="0"/>
          <w:numId w:val="1001"/>
        </w:numPr>
        <w:pStyle w:val="Compact"/>
      </w:pPr>
      <w:r>
        <w:t xml:space="preserve">☒ Boundary Structures lens (2D) draws on forces work rather than treating the boundary in isolation from external pressure</w:t>
      </w:r>
    </w:p>
    <w:p>
      <w:pPr>
        <w:pStyle w:val="FirstParagraph"/>
      </w:pPr>
      <w:r>
        <w:rPr>
          <w:bCs/>
          <w:b/>
        </w:rPr>
        <w:t xml:space="preserve">Doc_07 completion status:</w:t>
      </w:r>
      <w:r>
        <w:t xml:space="preserve"> </w:t>
      </w:r>
      <w:r>
        <w:rPr>
          <w:bCs/>
          <w:b/>
        </w:rPr>
        <w:t xml:space="preserve">APPROVED TO PROCEED — signed off by the project lead on 2026-07-07.</w:t>
      </w:r>
      <w:r>
        <w:t xml:space="preserve"> </w:t>
      </w:r>
      <w:r>
        <w:t xml:space="preserve">All ten checklist items above have been independently checked, not merely self-assessed: a cold, file-saved review (round 1) confirmed template compliance, evidence grounding, and internal consistency, returning a verdict of COSMETIC FIXES ONLY. Those fixes were applied directly (see Document Log), and the project lead reviewed the resulting document before signing off.</w:t>
      </w:r>
    </w:p>
    <w:p>
      <w:pPr>
        <w:pStyle w:val="BodyText"/>
      </w:pPr>
      <w:r>
        <w:rPr>
          <w:bCs/>
          <w:b/>
        </w:rPr>
        <w:t xml:space="preserve">Outstanding items:</w:t>
      </w:r>
      <w:r>
        <w:t xml:space="preserve"> </w:t>
      </w:r>
      <w:r>
        <w:t xml:space="preserve">None.</w:t>
      </w:r>
    </w:p>
    <w:p>
      <w:r>
        <w:pict>
          <v:rect style="width:0;height:1.5pt" o:hralign="center" o:hrstd="t" o:hr="t"/>
        </w:pict>
      </w:r>
    </w:p>
    <w:bookmarkEnd w:id="36"/>
    <w:bookmarkStart w:id="37" w:name="document-log"/>
    <w:p>
      <w:pPr>
        <w:pStyle w:val="Heading2"/>
      </w:pPr>
      <w:r>
        <w:t xml:space="preserve">Document Log</w:t>
      </w:r>
    </w:p>
    <w:p>
      <w:pPr>
        <w:numPr>
          <w:ilvl w:val="0"/>
          <w:numId w:val="1002"/>
        </w:numPr>
        <w:pStyle w:val="Compact"/>
      </w:pPr>
      <w:r>
        <w:rPr>
          <w:bCs/>
          <w:b/>
        </w:rPr>
        <w:t xml:space="preserve">Document:</w:t>
      </w:r>
      <w:r>
        <w:t xml:space="preserve"> </w:t>
      </w:r>
      <w:r>
        <w:t xml:space="preserve">Doc_07 — Integrated Ecology Analysis, World #1 (Post-Apostolic/Sub-Apostolic House-Church Christianity), world code</w:t>
      </w:r>
      <w:r>
        <w:t xml:space="preserve"> </w:t>
      </w:r>
      <w:r>
        <w:rPr>
          <w:rStyle w:val="VerbatimChar"/>
        </w:rPr>
        <w:t xml:space="preserve">pahc</w:t>
      </w:r>
      <w:r>
        <w:t xml:space="preserve">, per Framework V7.3 Step 7 and the L4 Integrated Ecology Analysis Template.</w:t>
      </w:r>
    </w:p>
    <w:p>
      <w:pPr>
        <w:numPr>
          <w:ilvl w:val="0"/>
          <w:numId w:val="1002"/>
        </w:numPr>
        <w:pStyle w:val="Compact"/>
      </w:pPr>
      <w:r>
        <w:rPr>
          <w:bCs/>
          <w:b/>
        </w:rPr>
        <w:t xml:space="preserve">Built from:</w:t>
      </w:r>
      <w:r>
        <w:t xml:space="preserve"> </w:t>
      </w:r>
      <w:r>
        <w:t xml:space="preserve">Doc_01 through Doc_06 (all finalized, all project-lead signed off 2026-07-07). Framework Step 7’s own text was independently re-verified this draft (confirmed byte-identical between V7.3 and V7.4 DRAFT; V7.3 cited as the canonical, traceable version, consistent with this session’s citation-precision fixes to Doc_01 and Doc_04).</w:t>
      </w:r>
    </w:p>
    <w:p>
      <w:pPr>
        <w:numPr>
          <w:ilvl w:val="0"/>
          <w:numId w:val="1002"/>
        </w:numPr>
        <w:pStyle w:val="Compact"/>
      </w:pPr>
      <w:r>
        <w:rPr>
          <w:bCs/>
          <w:b/>
        </w:rPr>
        <w:t xml:space="preserve">Lens-structure disclosure:</w:t>
      </w:r>
      <w:r>
        <w:t xml:space="preserve"> </w:t>
      </w:r>
      <w:r>
        <w:t xml:space="preserve">this document’s own methodological note (front matter) discloses a tension between the L4 template’s fixed five-required-lens structure and Framework V7.3’s own more permissive</w:t>
      </w:r>
      <w:r>
        <w:t xml:space="preserve"> </w:t>
      </w:r>
      <w:r>
        <w:t xml:space="preserve">“</w:t>
      </w:r>
      <w:r>
        <w:t xml:space="preserve">world-derived, not prescribed</w:t>
      </w:r>
      <w:r>
        <w:t xml:space="preserve">”</w:t>
      </w:r>
      <w:r>
        <w:t xml:space="preserve"> </w:t>
      </w:r>
      <w:r>
        <w:t xml:space="preserve">Step 7 language, and states which this document follows and why, rather than silently picking one.</w:t>
      </w:r>
    </w:p>
    <w:p>
      <w:pPr>
        <w:numPr>
          <w:ilvl w:val="0"/>
          <w:numId w:val="1002"/>
        </w:numPr>
        <w:pStyle w:val="Compact"/>
      </w:pPr>
      <w:r>
        <w:rPr>
          <w:bCs/>
          <w:b/>
        </w:rPr>
        <w:t xml:space="preserve">New primary-source/synthesis claims made at this step, flagged for independent review:</w:t>
      </w:r>
      <w:r>
        <w:t xml:space="preserve"> </w:t>
      </w:r>
      <w:r>
        <w:t xml:space="preserve">(1) the strand-shaped fault line recurring independently across 2A, 2C, and 2F, presented as a genuine cross-lens finding; (2) the 2D/Section 3 claim that G03 and G05 converge on a single formative lesson for Strand A members despite no demonstrated relationship between them in Doc_04’s own Interaction Matrix — explicitly disclosed as this document’s own interpretive step, not an inherited finding; (3) the Section 4 reading of Doc_04’s two-Primary-gravity classification pattern as itself evidence for, rather than against, this world’s named coherence.</w:t>
      </w:r>
    </w:p>
    <w:p>
      <w:pPr>
        <w:numPr>
          <w:ilvl w:val="0"/>
          <w:numId w:val="1002"/>
        </w:numPr>
        <w:pStyle w:val="Compact"/>
      </w:pPr>
      <w:r>
        <w:rPr>
          <w:bCs/>
          <w:b/>
        </w:rPr>
        <w:t xml:space="preserve">Cold review, round 1 (first file-saved, genuinely independent review of this document):</w:t>
      </w:r>
      <w:r>
        <w:t xml:space="preserve"> </w:t>
      </w:r>
      <w:r>
        <w:t xml:space="preserve">dispatched with zero visibility into this document’s own drafting, checking it cold against the L4 template, Framework V7.3 Step 7 (independently diffed against V7.4 DRAFT, confirmed byte-identical), the Constitution, and Doc_01–06 as actually written. Full review saved at</w:t>
      </w:r>
      <w:r>
        <w:t xml:space="preserve"> </w:t>
      </w:r>
      <w:r>
        <w:rPr>
          <w:rStyle w:val="VerbatimChar"/>
        </w:rPr>
        <w:t xml:space="preserve">CiC_W1_Doc07_Cold_Review_Round1.md</w:t>
      </w:r>
      <w:r>
        <w:t xml:space="preserve">. Result:</w:t>
      </w:r>
      <w:r>
        <w:t xml:space="preserve"> </w:t>
      </w:r>
      <w:r>
        <w:rPr>
          <w:bCs/>
          <w:b/>
        </w:rPr>
        <w:t xml:space="preserve">COSMETIC FIXES ONLY.</w:t>
      </w:r>
      <w:r>
        <w:t xml:space="preserve"> </w:t>
      </w:r>
      <w:r>
        <w:t xml:space="preserve">Of roughly 60 individually checked claims/citations, the large majority were confirmed accurate; the reviewer found one genuine non-sequitur citation (Section 2B’s G06/household citation pointed to the wrong Doc_03 subsection), four minor wrong-section citations (correct content, wrong section number), one place where this document’s central analytical claim (Doc_04’s two-Primary-gravity classification pattern as evidence for this world’s</w:t>
      </w:r>
      <w:r>
        <w:t xml:space="preserve"> </w:t>
      </w:r>
      <w:r>
        <w:t xml:space="preserve">“</w:t>
      </w:r>
      <w:r>
        <w:t xml:space="preserve">argued, not inherited</w:t>
      </w:r>
      <w:r>
        <w:t xml:space="preserve">”</w:t>
      </w:r>
      <w:r>
        <w:t xml:space="preserve"> </w:t>
      </w:r>
      <w:r>
        <w:t xml:space="preserve">coherence) was applied more uniformly across G01/G03/G04/G05 than the underlying evidence supports, one structural overlap between Section 4 and 2E not yet resolved, and one literal violation of the L4 template’s own Final Assembly Instruction #5 (the word</w:t>
      </w:r>
      <w:r>
        <w:t xml:space="preserve"> </w:t>
      </w:r>
      <w:r>
        <w:t xml:space="preserve">“</w:t>
      </w:r>
      <w:r>
        <w:t xml:space="preserve">community</w:t>
      </w:r>
      <w:r>
        <w:t xml:space="preserve">”</w:t>
      </w:r>
      <w:r>
        <w:t xml:space="preserve"> </w:t>
      </w:r>
      <w:r>
        <w:t xml:space="preserve">appearing in Section 5). The reviewer independently verified the document’s own most self-critical disclosure — that Doc_04’s Interaction Matrix records no demonstrated relationship between G03 and G05, and that this document’s own reading of the two as converging on a shared formative lesson is new synthesis, not an inherited Doc_04 finding — and found it accurate and correctly flagged, calling it</w:t>
      </w:r>
      <w:r>
        <w:t xml:space="preserve"> </w:t>
      </w:r>
      <w:r>
        <w:t xml:space="preserve">“</w:t>
      </w:r>
      <w:r>
        <w:t xml:space="preserve">the strongest-disclosed claim in the document.</w:t>
      </w:r>
      <w:r>
        <w:t xml:space="preserve">”</w:t>
      </w:r>
      <w:r>
        <w:t xml:space="preserve"> </w:t>
      </w:r>
      <w:r>
        <w:t xml:space="preserve">The reviewer confirmed the file was not truncated and found no invented gravity IDs, no invented strand content, and no confidence-level inflation anywhere in three independent citation-verification passes.</w:t>
      </w:r>
    </w:p>
    <w:p>
      <w:pPr>
        <w:numPr>
          <w:ilvl w:val="0"/>
          <w:numId w:val="1002"/>
        </w:numPr>
        <w:pStyle w:val="Compact"/>
      </w:pPr>
      <w:r>
        <w:rPr>
          <w:bCs/>
          <w:b/>
        </w:rPr>
        <w:t xml:space="preserve">Round 1 fixes applied (cosmetic, per this project’s revision-decision test — no further review round required):</w:t>
      </w:r>
      <w:r>
        <w:t xml:space="preserve"> </w:t>
      </w:r>
      <w:r>
        <w:t xml:space="preserve">Section 2B’s G06/household citation corrected from the non-sequitur Doc_03 §2.7 to the correct Doc_03 §3; four wrong-section citations corrected (Section 2C: 1 Clement chs. 42/44 now cites Doc_02 §1.2; Section 2D: Two Ways-precedes-baptism now cites Doc_05 §2.1, and the Author Gravity risk phrase corrected to the source’s own exact wording,</w:t>
      </w:r>
      <w:r>
        <w:t xml:space="preserve"> </w:t>
      </w:r>
      <w:r>
        <w:t xml:space="preserve">“</w:t>
      </w:r>
      <w:r>
        <w:t xml:space="preserve">Yes, maximally</w:t>
      </w:r>
      <w:r>
        <w:t xml:space="preserve">”</w:t>
      </w:r>
      <w:r>
        <w:t xml:space="preserve">; Section 2E: the teaching-institution-absence claim now cites Doc_01 §§2.3, 5 alongside the already-correct §8.2; Section 2H: the spurious Doc_05 §5.1 half of the Strand B self-examination citation removed, leaving the actually-supporting §1.1 alone); Section 4 rewritten to (a) show what it adds beyond 2E — independent confirmation of the same strand-shaped fault line from Section 3’s forces analysis and from the optional lenses (2F, 2G), which do not depend on Doc_04’s classification apparatus at all, and (b) explicitly disclose that the</w:t>
      </w:r>
      <w:r>
        <w:t xml:space="preserve"> </w:t>
      </w:r>
      <w:r>
        <w:t xml:space="preserve">“</w:t>
      </w:r>
      <w:r>
        <w:t xml:space="preserve">classification pattern as coherence-signature</w:t>
      </w:r>
      <w:r>
        <w:t xml:space="preserve">”</w:t>
      </w:r>
      <w:r>
        <w:t xml:space="preserve"> </w:t>
      </w:r>
      <w:r>
        <w:t xml:space="preserve">argument is better supported for G01/G05 (genuine ancient contestation, per Doc_04’s own Cross-Check language) than for G03/G04 (modern evidentiary-generalization limits, per Doc_04’s own Open Item 1 language), rather than treating all four as equivalent support for the same claim; Section 5’s</w:t>
      </w:r>
      <w:r>
        <w:t xml:space="preserve"> </w:t>
      </w:r>
      <w:r>
        <w:t xml:space="preserve">“</w:t>
      </w:r>
      <w:r>
        <w:t xml:space="preserve">community’s</w:t>
      </w:r>
      <w:r>
        <w:t xml:space="preserve">”</w:t>
      </w:r>
      <w:r>
        <w:t xml:space="preserve"> </w:t>
      </w:r>
      <w:r>
        <w:t xml:space="preserve">reworded to</w:t>
      </w:r>
      <w:r>
        <w:t xml:space="preserve"> </w:t>
      </w:r>
      <w:r>
        <w:t xml:space="preserve">“</w:t>
      </w:r>
      <w:r>
        <w:t xml:space="preserve">this ekklesia’s</w:t>
      </w:r>
      <w:r>
        <w:t xml:space="preserve">”</w:t>
      </w:r>
      <w:r>
        <w:t xml:space="preserve"> </w:t>
      </w:r>
      <w:r>
        <w:t xml:space="preserve">per the template’s own Final Assembly Instruction #5.</w:t>
      </w:r>
    </w:p>
    <w:p>
      <w:pPr>
        <w:numPr>
          <w:ilvl w:val="0"/>
          <w:numId w:val="1002"/>
        </w:numPr>
        <w:pStyle w:val="Compact"/>
      </w:pPr>
      <w:r>
        <w:rPr>
          <w:bCs/>
          <w:b/>
        </w:rPr>
        <w:t xml:space="preserve">Status after round 1:</w:t>
      </w:r>
      <w:r>
        <w:t xml:space="preserve"> </w:t>
      </w:r>
      <w:r>
        <w:t xml:space="preserve">Cleared review — pending project-lead sign-off. This document does not mark itself APPROVED TO PROCEED; that status is reserved for the project lead’s own explicit decision.</w:t>
      </w:r>
    </w:p>
    <w:p>
      <w:r>
        <w:pict>
          <v:rect style="width:0;height:1.5pt" o:hralign="center" o:hrstd="t" o:hr="t"/>
        </w:pict>
      </w:r>
    </w:p>
    <w:p>
      <w:pPr>
        <w:pStyle w:val="FirstParagraph"/>
      </w:pPr>
      <w:r>
        <w:rPr>
          <w:bCs/>
          <w:b/>
        </w:rPr>
        <w:t xml:space="preserve">Project-lead sign-off:</w:t>
      </w:r>
      <w:r>
        <w:t xml:space="preserve"> </w:t>
      </w:r>
      <w:r>
        <w:t xml:space="preserve">The project lead (Mark) explicitly reviewed this document, having been presented with both the full draft and the full cold review (round 1) before any fix was applied, and confirmed sign-off on 2026-07-07 in this build’s own conversation record. This is a real decision made by the project lead himself — not a status this build thread assigned on his behalf, and not inferred from an ambiguous instruction.</w:t>
      </w:r>
      <w:r>
        <w:t xml:space="preserve"> </w:t>
      </w:r>
      <w:r>
        <w:rPr>
          <w:bCs/>
          <w:b/>
        </w:rPr>
        <w:t xml:space="preserve">Status: APPROVED TO PROCEED.</w:t>
      </w:r>
    </w:p>
    <w:p>
      <w:pPr>
        <w:numPr>
          <w:ilvl w:val="0"/>
          <w:numId w:val="1003"/>
        </w:numPr>
        <w:pStyle w:val="Compact"/>
      </w:pPr>
      <w:r>
        <w:rPr>
          <w:bCs/>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p>
      <w:pPr>
        <w:numPr>
          <w:ilvl w:val="0"/>
          <w:numId w:val="1003"/>
        </w:numPr>
        <w:pStyle w:val="Compact"/>
      </w:pPr>
      <w:r>
        <w:rPr>
          <w:bCs/>
          <w:b/>
        </w:rPr>
        <w:t xml:space="preserve">Reduction finding resolved (2026-07-08), batch-authorized by the project lead:</w:t>
      </w:r>
      <w:r>
        <w:t xml:space="preserve"> </w:t>
      </w:r>
      <w:r>
        <w:t xml:space="preserve">Part VI Validation &amp; Testing found that Section 4’s own disclosed confidence-basis caveat (G01/G05 rest on ancient contestation; G03/G04 rest on modern reconstruction limits) was honestly stated but appended separately rather than carried into the master-frame claim itself, so downstream extraction — most notably World Profile Section 10’s required verbatim copy of Section 5 — read the</w:t>
      </w:r>
      <w:r>
        <w:t xml:space="preserve"> </w:t>
      </w:r>
      <w:r>
        <w:t xml:space="preserve">“</w:t>
      </w:r>
      <w:r>
        <w:t xml:space="preserve">argued, not inherited</w:t>
      </w:r>
      <w:r>
        <w:t xml:space="preserve">”</w:t>
      </w:r>
      <w:r>
        <w:t xml:space="preserve"> </w:t>
      </w:r>
      <w:r>
        <w:t xml:space="preserve">frame as uniformly, equally supported across all four gravities. Fixed by adding the same distinction inline at the end of Section 2E’s own</w:t>
      </w:r>
      <w:r>
        <w:t xml:space="preserve"> </w:t>
      </w:r>
      <w:r>
        <w:t xml:space="preserve">“</w:t>
      </w:r>
      <w:r>
        <w:t xml:space="preserve">Formation logic and confirmed gravities</w:t>
      </w:r>
      <w:r>
        <w:t xml:space="preserve">”</w:t>
      </w:r>
      <w:r>
        <w:t xml:space="preserve"> </w:t>
      </w:r>
      <w:r>
        <w:t xml:space="preserve">paragraph, and as a new second paragraph appended to Section 5’s Integrative Observation, so the caveat now travels with the claim itself rather than living only in Section 4. Section 5’s addition required re-copying verbatim into World Profile Section 10 (see that document’s own Log). No existing claim’s substance changed; this tightens where an already-disclosed limit is stated so it cannot be silently dropped by extraction.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2026-09-01T23:58:29Z</dcterms:created>
  <dcterms:modified xsi:type="dcterms:W3CDTF">2026-09-01T23:58:29Z</dcterms:modified>
</cp:coreProperties>
</file>

<file path=docProps/custom.xml><?xml version="1.0" encoding="utf-8"?>
<Properties xmlns="http://schemas.openxmlformats.org/officeDocument/2006/custom-properties" xmlns:vt="http://schemas.openxmlformats.org/officeDocument/2006/docPropsVTypes"/>
</file>