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3864"/>
          <w:sz w:val="56"/>
          <w:szCs w:val="56"/>
        </w:rPr>
        <w:t xml:space="preserve">The Church in Conversation</w:t>
      </w:r>
    </w:p>
    <w:p>
      <w:pPr>
        <w:spacing w:after="120"/>
        <w:jc w:val="center"/>
      </w:pPr>
      <w:r>
        <w:rPr>
          <w:rFonts w:ascii="Arial" w:cs="Arial" w:eastAsia="Arial" w:hAnsi="Arial"/>
          <w:b/>
          <w:bCs/>
          <w:color w:val="2E5395"/>
          <w:sz w:val="32"/>
          <w:szCs w:val="32"/>
        </w:rPr>
        <w:t xml:space="preserve">The Table: A Description of the Experience</w:t>
      </w:r>
    </w:p>
    <w:p>
      <w:pPr>
        <w:spacing w:after="240"/>
        <w:jc w:val="center"/>
      </w:pPr>
      <w:r>
        <w:rPr>
          <w:rFonts w:ascii="Arial" w:cs="Arial" w:eastAsia="Arial" w:hAnsi="Arial"/>
          <w:i/>
          <w:iCs/>
          <w:color w:val="595959"/>
          <w:sz w:val="22"/>
          <w:szCs w:val="22"/>
        </w:rPr>
        <w:t xml:space="preserve">How this is meant to work and feel — written for the specialist engineer, ahead of any engineering specification</w:t>
      </w:r>
    </w:p>
    <w:p>
      <w:pPr>
        <w:spacing w:after="60"/>
        <w:jc w:val="center"/>
      </w:pPr>
      <w:r>
        <w:rPr>
          <w:rFonts w:ascii="Arial" w:cs="Arial" w:eastAsia="Arial" w:hAnsi="Arial"/>
          <w:color w:val="595959"/>
          <w:sz w:val="20"/>
          <w:szCs w:val="20"/>
        </w:rPr>
        <w:t xml:space="preserve">Draft 1 · July 7, 2026 · Descriptive vision, not a technical spec</w:t>
      </w:r>
    </w:p>
    <w:p>
      <w:pPr>
        <w:spacing w:after="60"/>
        <w:jc w:val="center"/>
      </w:pPr>
      <w:r>
        <w:rPr>
          <w:rFonts w:ascii="Arial" w:cs="Arial" w:eastAsia="Arial" w:hAnsi="Arial"/>
          <w:color w:val="595959"/>
          <w:sz w:val="20"/>
          <w:szCs w:val="20"/>
        </w:rPr>
        <w:t xml:space="preserve">Assembled from a working conversation with the project lead</w:t>
      </w:r>
    </w:p>
    <w:p>
      <w:pPr>
        <w:pStyle w:val="Heading1"/>
        <w:pageBreakBefore/>
      </w:pPr>
      <w:r>
        <w:t xml:space="preserve">What This Document Is</w:t>
      </w:r>
    </w:p>
    <w:p>
      <w:pPr>
        <w:spacing w:after="160" w:line="276"/>
      </w:pPr>
      <w:r>
        <w:rPr>
          <w:rFonts w:ascii="Arial" w:cs="Arial" w:eastAsia="Arial" w:hAnsi="Arial"/>
          <w:sz w:val="22"/>
          <w:szCs w:val="22"/>
        </w:rPr>
        <w:t xml:space="preserve">This is not an engineering specification. An engineering specification already exists for this project and describes the mechanics — context isolation, retrieval tiers, drift monitoring, deployment packaging. What that document could not supply, because no document can supply it secondhand, is what this is actually supposed to feel like to the person sitting down at it. This document is that description, in the project lead’s own terms, gathered from a single working conversation rather than derived from governance documents.</w:t>
      </w:r>
    </w:p>
    <w:p>
      <w:pPr>
        <w:spacing w:after="160" w:line="276"/>
      </w:pPr>
      <w:r>
        <w:rPr>
          <w:rFonts w:ascii="Arial" w:cs="Arial" w:eastAsia="Arial" w:hAnsi="Arial"/>
          <w:sz w:val="22"/>
          <w:szCs w:val="22"/>
        </w:rPr>
        <w:t xml:space="preserve">Read this before the engineering specification, not after. The mechanics exist to serve this feeling, not the other way around. Where the two documents describe the same thing from different angles, they should agree; where this document adds texture the engineering spec doesn’t have yet — the atmosphere of the room, the reasoning behind a design choice, a future feature not yet scoped — that texture is the point of writing this down separately.</w:t>
      </w:r>
    </w:p>
    <w:p>
      <w:pPr>
        <w:spacing w:after="160" w:line="276"/>
      </w:pPr>
      <w:r>
        <w:rPr>
          <w:rFonts w:ascii="Arial" w:cs="Arial" w:eastAsia="Arial" w:hAnsi="Arial"/>
          <w:sz w:val="22"/>
          <w:szCs w:val="22"/>
        </w:rPr>
        <w:t xml:space="preserve">Some of what follows is settled. Some is provisional — a first attempt at shaping an answer, offered back to the project lead for correction rather than treated as decided. Each is marked as it comes. Some of it — Tours, onboarding role-shaping, an ethnicity and demographic reference for each world — is named explicitly as a future feature, not in scope for the first build, but written down now so the idea survives long enough to be built when its time comes.</w:t>
      </w:r>
    </w:p>
    <w:p>
      <w:pPr>
        <w:pStyle w:val="Heading1"/>
        <w:pageBreakBefore/>
      </w:pPr>
      <w:r>
        <w:t xml:space="preserve">The One Rule Underneath Everything</w:t>
      </w:r>
    </w:p>
    <w:p>
      <w:pPr>
        <w:spacing w:after="160" w:line="276"/>
      </w:pPr>
      <w:r>
        <w:rPr>
          <w:rFonts w:ascii="Arial" w:cs="Arial" w:eastAsia="Arial" w:hAnsi="Arial"/>
          <w:sz w:val="22"/>
          <w:szCs w:val="22"/>
        </w:rPr>
        <w:t xml:space="preserve">Before describing any single piece of this, one rule is worth stating plainly, because it turned out to be the same rule every time, arrived at independently, for several completely different design questions: only what the evidence actually supports is shown, played, spoken, or offered. Where the evidence runs out, the system says so plainly, rather than staying silent and rather than inventing something to fill the space.</w:t>
      </w:r>
    </w:p>
    <w:p>
      <w:pPr>
        <w:spacing w:after="160" w:line="276"/>
      </w:pPr>
      <w:r>
        <w:rPr>
          <w:rFonts w:ascii="Arial" w:cs="Arial" w:eastAsia="Arial" w:hAnsi="Arial"/>
          <w:sz w:val="22"/>
          <w:szCs w:val="22"/>
        </w:rPr>
        <w:t xml:space="preserve">This rule showed up, unprompted, in at least four separate places over the course of one conversation: in whether the people depicted at the Table reflect real ethnic diversity (only where a world’s own evidence supports it); in what object sits in front of each Representative (a scroll, a codex, or nothing at all, depending on what that world actually had); in whether a participant can be shown a tour of a worship service (only if the source material describes one); and in what happens when a participant asks for something the world genuinely cannot provide (a plain statement that the documented sources don’t describe it, not silence and not fabrication).</w:t>
      </w:r>
    </w:p>
    <w:p>
      <w:pPr>
        <w:spacing w:after="160" w:line="276"/>
      </w:pPr>
      <w:r>
        <w:rPr>
          <w:rFonts w:ascii="Arial" w:cs="Arial" w:eastAsia="Arial" w:hAnsi="Arial"/>
          <w:sz w:val="22"/>
          <w:szCs w:val="22"/>
        </w:rPr>
        <w:t xml:space="preserve">It is not four rules that happen to agree with each other. It is one conviction, already constitutional in the project’s governing documents as a text discipline — confidence calibration, evidentiary humility, honest acknowledgment of what remains unknown — now extended past text into image, casting, and experience. Every design decision below answers to it.</w:t>
      </w:r>
    </w:p>
    <w:p>
      <w:pPr>
        <w:pStyle w:val="Heading1"/>
        <w:pageBreakBefore/>
      </w:pPr>
      <w:r>
        <w:t xml:space="preserve">The Feeling We’re After</w:t>
      </w:r>
    </w:p>
    <w:p>
      <w:pPr>
        <w:spacing w:after="160" w:line="276"/>
      </w:pPr>
      <w:r>
        <w:rPr>
          <w:rFonts w:ascii="Arial" w:cs="Arial" w:eastAsia="Arial" w:hAnsi="Arial"/>
          <w:sz w:val="22"/>
          <w:szCs w:val="22"/>
        </w:rPr>
        <w:t xml:space="preserve">The governing image is a pub conversation in the spirit of the Inklings — C.S. Lewis and Tolkien and their circle, arguing and laughing late into the evening at the Eagle and Child — but re-set in an early-church register rather than an Oxford-donnish one. What carries over from the Inklings image: unhurried conversation, argument as a form of affection rather than combat, people who trust each other enough to disagree hard without the disagreement becoming a fight. What shifts in the early-church re-setting: the cleverness of a common room gives way to something more communal and lower to the ground — a shared room, oil lamps rather than a fireplace and pipe smoke, people who have broken bread together rather than academics who happen to like each other.</w:t>
      </w:r>
    </w:p>
    <w:p>
      <w:pPr>
        <w:spacing w:after="160" w:line="276"/>
      </w:pPr>
      <w:r>
        <w:rPr>
          <w:rFonts w:ascii="Arial" w:cs="Arial" w:eastAsia="Arial" w:hAnsi="Arial"/>
          <w:sz w:val="22"/>
          <w:szCs w:val="22"/>
        </w:rPr>
        <w:t xml:space="preserve">This is the atmosphere the whole visual and conversational design answers to. It is the reason the Table is described as something a participant is invited to sit down at, rather than a system they operate. It is the reason the Facilitator’s success is its own disappearance — a good host at a real gathering is felt in the room’s warmth, not in anything they visibly did.</w:t>
      </w:r>
    </w:p>
    <w:p>
      <w:pPr>
        <w:pStyle w:val="Heading1"/>
        <w:pageBreakBefore/>
      </w:pPr>
      <w:r>
        <w:t xml:space="preserve">Arriving — The Landing Page</w:t>
      </w:r>
    </w:p>
    <w:p>
      <w:pPr>
        <w:pBdr>
          <w:top w:val="single" w:color="BF8F00" w:sz="4" w:space="6"/>
          <w:bottom w:val="single" w:color="BF8F00" w:sz="4" w:space="6"/>
        </w:pBdr>
        <w:shd w:fill="FFF2CC" w:val="clear"/>
        <w:spacing w:after="200" w:before="160" w:line="264"/>
        <w:ind w:left="200" w:right="200"/>
      </w:pPr>
      <w:r>
        <w:rPr>
          <w:rFonts w:ascii="Arial" w:cs="Arial" w:eastAsia="Arial" w:hAnsi="Arial"/>
          <w:b w:val="false"/>
          <w:bCs w:val="false"/>
          <w:sz w:val="21"/>
          <w:szCs w:val="21"/>
        </w:rPr>
        <w:t xml:space="preserve">Provisional — this is a first attempt at shape, offered back to the project lead for correction, not yet confirmed the way most of what follows is.</w:t>
      </w:r>
    </w:p>
    <w:p>
      <w:pPr>
        <w:spacing w:after="160" w:line="276"/>
      </w:pPr>
      <w:r>
        <w:rPr>
          <w:rFonts w:ascii="Arial" w:cs="Arial" w:eastAsia="Arial" w:hAnsi="Arial"/>
          <w:sz w:val="22"/>
          <w:szCs w:val="22"/>
        </w:rPr>
        <w:t xml:space="preserve">The first thing on screen is an evocative, not-yet-populated version of the Table itself — empty or waiting seats, warm light, no specific Representatives visible yet, because no world has been chosen. Not a marketing image and not a hero banner with a tagline over it — an invitation, in keeping with a project whose Constitution names encounter over persuasion as a governing boundary. A short line of honest text accompanies it, closer to "come and see" than to "meet history’s greatest minds."</w:t>
      </w:r>
    </w:p>
    <w:p>
      <w:pPr>
        <w:spacing w:after="160" w:line="276"/>
      </w:pPr>
      <w:r>
        <w:rPr>
          <w:rFonts w:ascii="Arial" w:cs="Arial" w:eastAsia="Arial" w:hAnsi="Arial"/>
          <w:sz w:val="22"/>
          <w:szCs w:val="22"/>
        </w:rPr>
        <w:t xml:space="preserve">Beneath or alongside that image, three ways in sit with genuinely equal visual weight, matching the Pre-Encounter Experience Design’s own requirement that no entry pathway be presented as the default:</w:t>
      </w:r>
    </w:p>
    <w:p>
      <w:pPr>
        <w:pStyle w:val="ListParagraph"/>
        <w:numPr>
          <w:ilvl w:val="0"/>
          <w:numId w:val="2"/>
        </w:numPr>
        <w:spacing w:after="100" w:line="276"/>
      </w:pPr>
      <w:r>
        <w:rPr>
          <w:rFonts w:ascii="Arial" w:cs="Arial" w:eastAsia="Arial" w:hAnsi="Arial"/>
          <w:sz w:val="22"/>
          <w:szCs w:val="22"/>
        </w:rPr>
        <w:t xml:space="preserve">Just start talking — skip everything and go straight to the Table, letting the Facilitator do its own discovery in the opening conversation.</w:t>
      </w:r>
    </w:p>
    <w:p>
      <w:pPr>
        <w:pStyle w:val="ListParagraph"/>
        <w:numPr>
          <w:ilvl w:val="0"/>
          <w:numId w:val="2"/>
        </w:numPr>
        <w:spacing w:after="100" w:line="276"/>
      </w:pPr>
      <w:r>
        <w:rPr>
          <w:rFonts w:ascii="Arial" w:cs="Arial" w:eastAsia="Arial" w:hAnsi="Arial"/>
          <w:sz w:val="22"/>
          <w:szCs w:val="22"/>
        </w:rPr>
        <w:t xml:space="preserve">Build your own Table — browse the available worlds and choose one to three before sitting down.</w:t>
      </w:r>
    </w:p>
    <w:p>
      <w:pPr>
        <w:pStyle w:val="ListParagraph"/>
        <w:numPr>
          <w:ilvl w:val="0"/>
          <w:numId w:val="2"/>
        </w:numPr>
        <w:spacing w:after="100" w:line="276"/>
      </w:pPr>
      <w:r>
        <w:rPr>
          <w:rFonts w:ascii="Arial" w:cs="Arial" w:eastAsia="Arial" w:hAnsi="Arial"/>
          <w:sz w:val="22"/>
          <w:szCs w:val="22"/>
        </w:rPr>
        <w:t xml:space="preserve">Let the Facilitator guide you in — a brief, warm sequence of questions, after which the Facilitator sets the Table for you.</w:t>
      </w:r>
    </w:p>
    <w:p>
      <w:pPr>
        <w:spacing w:after="160" w:line="276"/>
      </w:pPr>
      <w:r>
        <w:rPr>
          <w:rFonts w:ascii="Arial" w:cs="Arial" w:eastAsia="Arial" w:hAnsi="Arial"/>
          <w:sz w:val="22"/>
          <w:szCs w:val="22"/>
        </w:rPr>
        <w:t xml:space="preserve">A fourth, quieter option sits nearby without competing with the three real entry points: Ask the Facilitator, described in the next section.</w:t>
      </w:r>
    </w:p>
    <w:p>
      <w:pPr>
        <w:spacing w:after="160" w:line="276"/>
      </w:pPr>
      <w:r>
        <w:rPr>
          <w:rFonts w:ascii="Arial" w:cs="Arial" w:eastAsia="Arial" w:hAnsi="Arial"/>
          <w:sz w:val="22"/>
          <w:szCs w:val="22"/>
        </w:rPr>
        <w:t xml:space="preserve">A simple menu — About, Features, FAQ — opens as a temporary overlay on top of this page rather than navigating a visitor away from it. This part is settled: the point is to keep a first-time visitor anchored on the invitation itself, not routed through a stack of separate marketing pages before they’ve even seen what this is.</w:t>
      </w:r>
    </w:p>
    <w:p>
      <w:pPr>
        <w:pStyle w:val="Heading1"/>
        <w:pageBreakBefore/>
      </w:pPr>
      <w:r>
        <w:t xml:space="preserve">Ask the Facilitator</w:t>
      </w:r>
    </w:p>
    <w:p>
      <w:pPr>
        <w:spacing w:after="160" w:line="276"/>
      </w:pPr>
      <w:r>
        <w:rPr>
          <w:rFonts w:ascii="Arial" w:cs="Arial" w:eastAsia="Arial" w:hAnsi="Arial"/>
          <w:sz w:val="22"/>
          <w:szCs w:val="22"/>
        </w:rPr>
        <w:t xml:space="preserve">This project is unusual enough — not a chatbot, not a search engine, not a set of historical-figure impersonations — that a first-time visitor will reasonably arrive with real questions and real skepticism before they’re willing to trust it with anything genuine. “Ask the Facilitator” exists for exactly that visitor: a way to interrogate the project itself before sitting down at it.</w:t>
      </w:r>
    </w:p>
    <w:p>
      <w:pPr>
        <w:spacing w:after="160" w:line="276"/>
      </w:pPr>
      <w:r>
        <w:rPr>
          <w:rFonts w:ascii="Arial" w:cs="Arial" w:eastAsia="Arial" w:hAnsi="Arial"/>
          <w:sz w:val="22"/>
          <w:szCs w:val="22"/>
        </w:rPr>
        <w:t xml:space="preserve">The Facilitator itself voices this, rather than a separate support persona. It already exists as the neutral, trustworthy host a participant can step outside a live encounter to address directly — reusing that same character for pre-threshold questions means the project only ever has one voice that has to sound credible, not two.</w:t>
      </w:r>
    </w:p>
    <w:p>
      <w:pPr>
        <w:spacing w:after="160" w:line="276"/>
      </w:pPr>
      <w:r>
        <w:rPr>
          <w:rFonts w:ascii="Arial" w:cs="Arial" w:eastAsia="Arial" w:hAnsi="Arial"/>
          <w:sz w:val="22"/>
          <w:szCs w:val="22"/>
        </w:rPr>
        <w:t xml:space="preserve">The clearest worked example, and one worth building the actual FAQ content around rather than treating as an edge case: “Why can’t I talk to Origen, or Augustine?” The honest answer is a feature of the project, not an apology for a limitation. A single historical figure’s exact voice, on any given day, in any given mood, cannot be reconstructed with the confidence this project requires of anything it presents. The world that formed people like Origen — what they read, argued over, feared, took for granted — can be, with real evidence behind it. The Church in Conversation offers the second thing because the first thing would require a kind of certainty no honest reconstruction can claim.</w:t>
      </w:r>
    </w:p>
    <w:p>
      <w:pPr>
        <w:pStyle w:val="Heading1"/>
        <w:pageBreakBefore/>
      </w:pPr>
      <w:r>
        <w:t xml:space="preserve">Sitting Down — The Table Itself</w:t>
      </w:r>
    </w:p>
    <w:p>
      <w:pPr>
        <w:pStyle w:val="Heading2"/>
      </w:pPr>
      <w:r>
        <w:t xml:space="preserve">The room and the figures</w:t>
      </w:r>
    </w:p>
    <w:p>
      <w:pPr>
        <w:spacing w:after="160" w:line="276"/>
      </w:pPr>
      <w:r>
        <w:rPr>
          <w:rFonts w:ascii="Arial" w:cs="Arial" w:eastAsia="Arial" w:hAnsi="Arial"/>
          <w:sz w:val="22"/>
          <w:szCs w:val="22"/>
        </w:rPr>
        <w:t xml:space="preserve">The Prototype Alpha visual is a single static background image: up to three figures seated at a table, one per active Representative, in clothing typical of their world and era. Where a world’s own evidence supports real ethnic or demographic diversity — a trade city like Edessa, for instance, sitting at the crossroads of several peoples — the depicted figures reflect that. Where it doesn’t, they don’t. Diversity is never added for its own sake and never withheld out of a false neutrality — it is decided per world, from that world’s own Source Ecology, the same way every other evidentiary judgment in this project gets made.</w:t>
      </w:r>
    </w:p>
    <w:p>
      <w:pPr>
        <w:spacing w:after="160" w:line="276"/>
      </w:pPr>
      <w:r>
        <w:rPr>
          <w:rFonts w:ascii="Arial" w:cs="Arial" w:eastAsia="Arial" w:hAnsi="Arial"/>
          <w:sz w:val="22"/>
          <w:szCs w:val="22"/>
        </w:rPr>
        <w:t xml:space="preserve">The Representative itself is already understood, in the project’s own construction methodology, as a single synthesized voice standing in for an entire formation world — an acknowledged composite, not a claim to be any one historical person. That composite is the only fabrication the project allows itself. Everything hung on it — what it says, what it wears, what it carries, and now what it looks like — is source-driven or silent, never invented to fill a gap.</w:t>
      </w:r>
    </w:p>
    <w:p>
      <w:pPr>
        <w:spacing w:after="160" w:line="276"/>
      </w:pPr>
      <w:r>
        <w:rPr>
          <w:rFonts w:ascii="Arial" w:cs="Arial" w:eastAsia="Arial" w:hAnsi="Arial"/>
          <w:sz w:val="22"/>
          <w:szCs w:val="22"/>
        </w:rPr>
        <w:t xml:space="preserve">A name and a short world descriptor sit with each figure, so a participant can hold up to three distinct voices in mind at once without losing track of who is who — a small, cheap addition that does real work once more than one or two Representatives are at the Table together.</w:t>
      </w:r>
    </w:p>
    <w:p>
      <w:pPr>
        <w:pStyle w:val="Heading2"/>
      </w:pPr>
      <w:r>
        <w:t xml:space="preserve">The object at each place</w:t>
      </w:r>
    </w:p>
    <w:p>
      <w:pPr>
        <w:spacing w:after="160" w:line="276"/>
      </w:pPr>
      <w:r>
        <w:rPr>
          <w:rFonts w:ascii="Arial" w:cs="Arial" w:eastAsia="Arial" w:hAnsi="Arial"/>
          <w:sz w:val="22"/>
          <w:szCs w:val="22"/>
        </w:rPr>
        <w:t xml:space="preserve">In place of a tankard of ale — the detail that most directly translates the Inklings image into this one — each Representative has whatever object was actually typical of that world’s own expression of faith, and only if the world had one. Scrolls, for a world where that was the era’s writing technology. A codex, once that becomes the technology in use. Nothing at all in front of the Post-Apostolic house-church voice — not an oversight, but because that world’s own construction record already establishes it had no closed canon yet, no single fixed text to place there. The empty space in front of that Representative is not a gap waiting to be filled later. It is the honest finding, sitting in plain sight.</w:t>
      </w:r>
    </w:p>
    <w:p>
      <w:pPr>
        <w:spacing w:after="160" w:line="276"/>
      </w:pPr>
      <w:r>
        <w:rPr>
          <w:rFonts w:ascii="Arial" w:cs="Arial" w:eastAsia="Arial" w:hAnsi="Arial"/>
          <w:sz w:val="22"/>
          <w:szCs w:val="22"/>
        </w:rPr>
        <w:t xml:space="preserve">When a participant actively asks for something a world’s evidence doesn’t support — wanting to sit through a sermon from a world with no documented sermons, for instance — the answer is a plain, specific statement: this world doesn’t have the documented sources to describe this. Not silence, not an apologetic non-answer, and not an invented sermon offered so the moment doesn’t feel like a dead end.</w:t>
      </w:r>
    </w:p>
    <w:p>
      <w:pPr>
        <w:pStyle w:val="Heading2"/>
      </w:pPr>
      <w:r>
        <w:t xml:space="preserve">Bringing the still image to life</w:t>
      </w:r>
    </w:p>
    <w:p>
      <w:pPr>
        <w:spacing w:after="160" w:line="276"/>
      </w:pPr>
      <w:r>
        <w:rPr>
          <w:rFonts w:ascii="Arial" w:cs="Arial" w:eastAsia="Arial" w:hAnsi="Arial"/>
          <w:sz w:val="22"/>
          <w:szCs w:val="22"/>
        </w:rPr>
        <w:t xml:space="preserve">Rather than full character animation — which the existing phase ladder reserves for Phase 1’s "animated table" — the single static image gets camera movement: a zoom to whoever currently has the floor, a pan between two Representatives mid-exchange, a widening out when the participant addresses the whole Table or turns to speak to the Facilitator directly. The camera follows the same turn-taking the Facilitator already governs conversationally — it just gives that governance a visible expression. This is a deliberate middle tier between a flat still image and full animation, and it may mean the earliest prototype feels considerably more alive than "static picture background" sounds on its own.</w:t>
      </w:r>
    </w:p>
    <w:p>
      <w:pPr>
        <w:pStyle w:val="Heading2"/>
      </w:pPr>
      <w:r>
        <w:t xml:space="preserve">The conversation itself</w:t>
      </w:r>
    </w:p>
    <w:p>
      <w:pPr>
        <w:spacing w:after="160" w:line="276"/>
      </w:pPr>
      <w:r>
        <w:rPr>
          <w:rFonts w:ascii="Arial" w:cs="Arial" w:eastAsia="Arial" w:hAnsi="Arial"/>
          <w:sz w:val="22"/>
          <w:szCs w:val="22"/>
        </w:rPr>
        <w:t xml:space="preserve">The conversation is typed text, sitting in a dialogue box at the center of the scene. Text is not a placeholder for voice, waiting to be replaced — it is the permanent structural layer everything else is built on, because the transparency mechanics described below only work as text: there is no equivalent gesture for hovering over spoken audio.</w:t>
      </w:r>
    </w:p>
    <w:p>
      <w:pPr>
        <w:spacing w:after="160" w:line="276"/>
      </w:pPr>
      <w:r>
        <w:rPr>
          <w:rFonts w:ascii="Arial" w:cs="Arial" w:eastAsia="Arial" w:hAnsi="Arial"/>
          <w:sz w:val="22"/>
          <w:szCs w:val="22"/>
        </w:rPr>
        <w:t xml:space="preserve">Voice is a real ambition layered on top of that floor, not a requirement of it: each Representative eventually speaks in a text-to-speech voice matched to their world’s culture and the Representative’s gender, in English first, with other languages added as the project grows. The honest constraint today is cost, not architecture — richer, better-cast voice work is a concrete, fundable line item to raise with the funding side of the project, not a design gap to solve here.</w:t>
      </w:r>
    </w:p>
    <w:p>
      <w:pPr>
        <w:pStyle w:val="Heading2"/>
      </w:pPr>
      <w:r>
        <w:t xml:space="preserve">Reading the world’s own words</w:t>
      </w:r>
    </w:p>
    <w:p>
      <w:pPr>
        <w:spacing w:after="160" w:line="276"/>
      </w:pPr>
      <w:r>
        <w:rPr>
          <w:rFonts w:ascii="Arial" w:cs="Arial" w:eastAsia="Arial" w:hAnsi="Arial"/>
          <w:sz w:val="22"/>
          <w:szCs w:val="22"/>
        </w:rPr>
        <w:t xml:space="preserve">Certain words in the conversation — terms specific to that world, or words whose meaning differs from how we’d hear them today — are visually highlighted in the dialogue text. Hovering over one surfaces a short popup: how this world actually understood the word. Clicking it opens the full lexicon and context entry behind that short description — sourcing, the tension or contest around the term if there is one, everything the construction record actually holds. This is the literal, on-screen version of what the Constitution already requires in the abstract: a plain-language explanation always one step away, and the full scholarly grounding always reachable beneath that.</w:t>
      </w:r>
    </w:p>
    <w:p>
      <w:pPr>
        <w:spacing w:after="160" w:line="276"/>
      </w:pPr>
      <w:r>
        <w:rPr>
          <w:rFonts w:ascii="Arial" w:cs="Arial" w:eastAsia="Arial" w:hAnsi="Arial"/>
          <w:sz w:val="22"/>
          <w:szCs w:val="22"/>
        </w:rPr>
        <w:t xml:space="preserve">The same hover-then-click pattern extends past lexicon terms to stories, quotes, and sourcing generally — one consistent way of interacting with anything in the conversation that carries a confidence level behind it, rather than a different interaction for every content type.</w:t>
      </w:r>
    </w:p>
    <w:p>
      <w:pPr>
        <w:pStyle w:val="Heading1"/>
        <w:pageBreakBefore/>
      </w:pPr>
      <w:r>
        <w:t xml:space="preserve">Who’s Asking Shapes What’s Offered</w:t>
      </w:r>
    </w:p>
    <w:p>
      <w:pPr>
        <w:pBdr>
          <w:top w:val="single" w:color="BF8F00" w:sz="4" w:space="6"/>
          <w:bottom w:val="single" w:color="BF8F00" w:sz="4" w:space="6"/>
        </w:pBdr>
        <w:shd w:fill="FFF2CC" w:val="clear"/>
        <w:spacing w:after="200" w:before="160" w:line="264"/>
        <w:ind w:left="200" w:right="200"/>
      </w:pPr>
      <w:r>
        <w:rPr>
          <w:rFonts w:ascii="Arial" w:cs="Arial" w:eastAsia="Arial" w:hAnsi="Arial"/>
          <w:b w:val="false"/>
          <w:bCs w:val="false"/>
          <w:sz w:val="21"/>
          <w:szCs w:val="21"/>
        </w:rPr>
        <w:t xml:space="preserve">Future feature — not scoped for the first build, but worth designing the underlying data model for now rather than retrofitting it later.</w:t>
      </w:r>
    </w:p>
    <w:p>
      <w:pPr>
        <w:spacing w:after="160" w:line="276"/>
      </w:pPr>
      <w:r>
        <w:rPr>
          <w:rFonts w:ascii="Arial" w:cs="Arial" w:eastAsia="Arial" w:hAnsi="Arial"/>
          <w:sz w:val="22"/>
          <w:szCs w:val="22"/>
        </w:rPr>
        <w:t xml:space="preserve">A participant already identifies, early on, as one of four kinds of visitor: someone just asking questions, a pastor or teacher, an academic or scholar, or someone deconstructing or reconstructing their faith. Two distinct things should eventually ride on that choice, and they shouldn’t be collapsed into one:</w:t>
      </w:r>
    </w:p>
    <w:p>
      <w:pPr>
        <w:spacing w:after="160" w:line="276"/>
      </w:pPr>
      <w:r>
        <w:rPr>
          <w:rFonts w:ascii="Arial" w:cs="Arial" w:eastAsia="Arial" w:hAnsi="Arial"/>
          <w:sz w:val="22"/>
          <w:szCs w:val="22"/>
        </w:rPr>
        <w:t xml:space="preserve">A baseline of accessibility that holds for everyone, regardless of role — currently aimed at a 10th-grade reading level for the plain-language explanations behind a hover or a click. This gives the project’s existing transparency commitment an actual, checkable target, where before it only had the word "accessible" to go on.</w:t>
      </w:r>
    </w:p>
    <w:p>
      <w:pPr>
        <w:spacing w:after="160" w:line="276"/>
      </w:pPr>
      <w:r>
        <w:rPr>
          <w:rFonts w:ascii="Arial" w:cs="Arial" w:eastAsia="Arial" w:hAnsi="Arial"/>
          <w:sz w:val="22"/>
          <w:szCs w:val="22"/>
        </w:rPr>
        <w:t xml:space="preserve">A layer of emphasis on top of that same floor, shaped by role — a pastor or teacher is offered material more useful for sermon preparation by default; an academic or scholar is offered more of the exposed rigor by default. Neither ever loses access to the other’s angle. Role changes what’s offered first, never what a participant is allowed to reach — the same never-gated invariant that already governs the Three-Level Transparency system applies here too.</w:t>
      </w:r>
    </w:p>
    <w:p>
      <w:pPr>
        <w:pStyle w:val="Heading1"/>
        <w:pageBreakBefore/>
      </w:pPr>
      <w:r>
        <w:t xml:space="preserve">Beyond Conversation — Tours</w:t>
      </w:r>
    </w:p>
    <w:p>
      <w:pPr>
        <w:pBdr>
          <w:top w:val="single" w:color="BF8F00" w:sz="4" w:space="6"/>
          <w:bottom w:val="single" w:color="BF8F00" w:sz="4" w:space="6"/>
        </w:pBdr>
        <w:shd w:fill="FFF2CC" w:val="clear"/>
        <w:spacing w:after="200" w:before="160" w:line="264"/>
        <w:ind w:left="200" w:right="200"/>
      </w:pPr>
      <w:r>
        <w:rPr>
          <w:rFonts w:ascii="Arial" w:cs="Arial" w:eastAsia="Arial" w:hAnsi="Arial"/>
          <w:b w:val="false"/>
          <w:bCs w:val="false"/>
          <w:sz w:val="21"/>
          <w:szCs w:val="21"/>
        </w:rPr>
        <w:t xml:space="preserve">Future feature, already named at Phase 3 on the existing roadmap — this section gives it real shape rather than introducing something new.</w:t>
      </w:r>
    </w:p>
    <w:p>
      <w:pPr>
        <w:spacing w:after="160" w:line="276"/>
      </w:pPr>
      <w:r>
        <w:rPr>
          <w:rFonts w:ascii="Arial" w:cs="Arial" w:eastAsia="Arial" w:hAnsi="Arial"/>
          <w:sz w:val="22"/>
          <w:szCs w:val="22"/>
        </w:rPr>
        <w:t xml:space="preserve">A Representative can eventually take a participant on a tour of their world — illustrated with pictures, potentially including an experience like sitting in on a church service or witnessing the Eucharist. The same rule that governs everything else in this document governs Tours too: the tour is bounded by what that world’s actual source material describes. A world with a richly documented liturgical life can support a full, detailed tour. A world without one says so, plainly, rather than staging an invented scene to avoid disappointing the participant who asked for it.</w:t>
      </w:r>
    </w:p>
    <w:p>
      <w:pPr>
        <w:pStyle w:val="Heading1"/>
        <w:pageBreakBefore/>
      </w:pPr>
      <w:r>
        <w:t xml:space="preserve">A Gap Worth Naming</w:t>
      </w:r>
    </w:p>
    <w:p>
      <w:pPr>
        <w:spacing w:after="160" w:line="276"/>
      </w:pPr>
      <w:r>
        <w:rPr>
          <w:rFonts w:ascii="Arial" w:cs="Arial" w:eastAsia="Arial" w:hAnsi="Arial"/>
          <w:sz w:val="22"/>
          <w:szCs w:val="22"/>
        </w:rPr>
        <w:t xml:space="preserve">Nothing in the current set of construction templates — World Profile, Source Ecology, Voice Configuration — actually captures what a world’s population plausibly looked like, or what the evidence supports about its ethnic and demographic makeup. That gap became visible only because the visual design of the Table required an answer to it. It is worth building as an actual construction artifact — likely an extension of Source Ecology, or a sibling document to Voice Configuration — so that how a Representative looks answers to the same evidentiary discipline as what it says and how it sounds. This also directly serves the Constitution’s existing duty to represent marginalized and easily-overlooked voices, not just the ones the sources most readily amplify.</w:t>
      </w:r>
    </w:p>
    <w:p>
      <w:pPr>
        <w:pStyle w:val="Heading1"/>
        <w:pageBreakBefore/>
      </w:pPr>
      <w:r>
        <w:t xml:space="preserve">What’s Settled and What Isn’t</w:t>
      </w:r>
    </w:p>
    <w:p>
      <w:pPr>
        <w:spacing w:after="160" w:line="276"/>
      </w:pPr>
      <w:r>
        <w:rPr>
          <w:rFonts w:ascii="Arial" w:cs="Arial" w:eastAsia="Arial" w:hAnsi="Arial"/>
          <w:sz w:val="22"/>
          <w:szCs w:val="22"/>
        </w:rPr>
        <w:t xml:space="preserve">Settled, in the sense that this reflects a clear and confirmed decision from the project lead: the identity of "the conversation" as the Table encounter itself; the pub-in-an-early-church-register atmosphere; the static image with world-appropriate figures, evidence-gated diversity, and evidence-gated objects; camera movement in place of full animation at the earliest prototype; name and world labels; text as the permanent structural layer with voice as a cost-gated enhancement on top; the hover/click transparency mechanic and its extension to stories, quotes, and sourcing; the About/Features/FAQ menu as an overlay; Ask the Facilitator, voiced by the Facilitator itself; and the single evidentiary rule underneath all of it.</w:t>
      </w:r>
    </w:p>
    <w:p>
      <w:pPr>
        <w:spacing w:after="160" w:line="276"/>
      </w:pPr>
      <w:r>
        <w:rPr>
          <w:rFonts w:ascii="Arial" w:cs="Arial" w:eastAsia="Arial" w:hAnsi="Arial"/>
          <w:sz w:val="22"/>
          <w:szCs w:val="22"/>
        </w:rPr>
        <w:t xml:space="preserve">Provisional, in the sense that it is a first attempt at shape rather than a confirmed answer: the exact landing page hero content described above. Everything in that section should be read as a draft for the project lead to correct, not a settled design.</w:t>
      </w:r>
    </w:p>
    <w:p>
      <w:pPr>
        <w:spacing w:after="160" w:line="276"/>
      </w:pPr>
      <w:r>
        <w:rPr>
          <w:rFonts w:ascii="Arial" w:cs="Arial" w:eastAsia="Arial" w:hAnsi="Arial"/>
          <w:sz w:val="22"/>
          <w:szCs w:val="22"/>
        </w:rPr>
        <w:t xml:space="preserve">Future, in the sense that it is named and intended but explicitly out of scope for the first build: onboarding role-shaping and the 10th-grade readability baseline; Tours; and the ethnicity and demographic reference gap. All three are written down now, in enough detail to survive being picked back up later, precisely so that they don’t have to be reconstructed from memory when their time comes.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Church in Conversation — The Table: A Description of the Experience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5395"/>
      <w:sz w:val="25"/>
      <w:szCs w:val="25"/>
    </w:rPr>
  </w:style>
  <w:style w:type="paragraph" w:styleId="Heading3">
    <w:name w:val="Heading 3"/>
    <w:basedOn w:val="Normal"/>
    <w:next w:val="Normal"/>
    <w:qFormat/>
    <w:pPr>
      <w:spacing w:after="100" w:before="200"/>
      <w:outlineLvl w:val="2"/>
    </w:pPr>
    <w:rPr>
      <w:rFonts w:ascii="Arial" w:cs="Arial" w:eastAsia="Arial" w:hAnsi="Arial"/>
      <w:b/>
      <w:bCs/>
      <w:i/>
      <w:i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2026-07-08T01:04:43.561Z</dcterms:created>
  <dcterms:modified xsi:type="dcterms:W3CDTF">2026-07-08T01:04:43.562Z</dcterms:modified>
</cp:coreProperties>
</file>

<file path=docProps/custom.xml><?xml version="1.0" encoding="utf-8"?>
<Properties xmlns="http://schemas.openxmlformats.org/officeDocument/2006/custom-properties" xmlns:vt="http://schemas.openxmlformats.org/officeDocument/2006/docPropsVTypes"/>
</file>